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BRD-06 Renewal Sign-off Pack,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8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BRD-6 Renewal business sign-off pack, on the Renewal BRD issued by BDOI on 8-Oct-2026 with the Renewal Addendum (Walkthrough) of May 2026 (replaces the FRS and test plan v1.1)</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Jarin, AVP, Product Owner; Mark Joseph C. Makalintal, SAVP, Unit Head - Combank and Corbank; Edmundante F. Ramirez, VP, Head - Retail Marketing; Roderick Lim, FVP, Head - Corporate and Retail Marketing</w:t>
            </w:r>
          </w:p>
        </w:tc>
        <w:tc>
          <w:tcPr>
            <w:tcW w:type="dxa" w:w="2266"/>
            <w:tcMar>
              <w:top w:w="50" w:type="dxa"/>
              <w:bottom w:w="50" w:type="dxa"/>
              <w:left w:w="90" w:type="dxa"/>
              <w:right w:w="90" w:type="dxa"/>
            </w:tcMar>
            <w:shd w:val="clear" w:color="auto" w:fill="E5F5FF"/>
          </w:tcPr>
          <w:p>
            <w:pPr>
              <w:pStyle w:val="BDOITable"/>
            </w:pPr>
            <w:r>
              <w:rPr>
                <w:sz w:val="18"/>
              </w:rPr>
              <w:t>Approvers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Sign-off of the addendum functions and of their units' rows</w:t>
            </w:r>
          </w:p>
        </w:tc>
      </w:tr>
      <w:tr>
        <w:trPr>
          <w:cantSplit w:val="true"/>
        </w:trPr>
        <w:tc>
          <w:tcPr>
            <w:tcW w:type="dxa" w:w="2606"/>
            <w:tcMar>
              <w:top w:w="50" w:type="dxa"/>
              <w:bottom w:w="50" w:type="dxa"/>
              <w:left w:w="90" w:type="dxa"/>
              <w:right w:w="90" w:type="dxa"/>
            </w:tcMar>
          </w:tcPr>
          <w:p>
            <w:pPr>
              <w:pStyle w:val="BDOITable"/>
            </w:pPr>
            <w:r>
              <w:rPr>
                <w:sz w:val="18"/>
              </w:rPr>
              <w:t>Rhommel Mark Galler, Marketing Business Services and System Support (MBS)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set-up, lists of values, templates and menus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Team Leaders and Account Officers, Processing Team Leaders and Officers, Contact Center and LAMD (the input providers of the approval sheets)</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tcPr>
          <w:p>
            <w:pPr>
              <w:pStyle w:val="BDOITable"/>
            </w:pPr>
            <w:r>
              <w:rPr>
                <w:sz w:val="18"/>
              </w:rPr>
              <w:t>Information Technology Group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Scheduled runs, uploads, protected e-mails, access; the Technical Specification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Dan Ace R. Cauton, Edward Kenneth Cadena and Zean C. Ibay, ESG - 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6</w:t>
        </w:r>
      </w:hyperlink>
    </w:p>
    <w:p>
      <w:pPr>
        <w:pStyle w:val="toc1"/>
      </w:pPr>
      <w:hyperlink w:anchor="_Toc000106" w:history="1">
        <w:r>
          <w:t xml:space="preserve">6 Change control after sign-off</w:t>
        </w:r>
        <w:r>
          <w:t xml:space="preserve">	</w:t>
        </w:r>
        <w:r>
          <w:t xml:space="preserve">8</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BRD-6 Renewal of BIBS, screen by screen, so that the Marketing, Processing, Contact Center and LAMD units can confirm what they will get and sign it off: the expiry list and its extraction, the checks and the Clean, Review and Exception classification, assignment and transfers, the disposition and the Team Leader's review, processing and the insurer's answer, the Renewal Advice and the closing letters, the client's acceptance up to placement and booking, the follow-ups, the LAMD reports and the Renewal set-up. It follows the Renewal BRD as issued by BDOI on 8-Oct-2026, including the Renewal Addendum (Walkthrough) approved in May 2026. Signing freezes the content, the screens and the navigation of Renewal; a later change goes through the Change Management Register with its mandays. The screenshots use fictitious seed data only.</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BRD-06_Renewal of Drop 1.</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00_BIBS_StartHere_BRD-06_Renewal_v2.0.docx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01_BIBS_GuideDeck_BRD-06_Renewal_v2.0.pptx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and impacts on other modules,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Product Owners, Marketing heads and the Combank / Corbank Unit Head;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02_BIBS_FRS_BRD-06_Renewal_v2.0.docx</w:t>
            </w:r>
          </w:p>
        </w:tc>
        <w:tc>
          <w:tcPr>
            <w:tcW w:type="dxa" w:w="3626"/>
            <w:tcMar>
              <w:top w:w="50" w:type="dxa"/>
              <w:bottom w:w="50" w:type="dxa"/>
              <w:left w:w="90" w:type="dxa"/>
              <w:right w:w="90" w:type="dxa"/>
            </w:tcMar>
          </w:tcPr>
          <w:p>
            <w:pPr>
              <w:pStyle w:val="BDOITable"/>
            </w:pPr>
            <w:r>
              <w:rPr>
                <w:sz w:val="15"/>
              </w:rPr>
              <w:t>Functional Requirements Specification v2.0: requirements, navigation, 20 screen specifications with screenshots, five walkthroughs, messages, notifications, documents, uploads, cross-BRD contract</w:t>
            </w:r>
          </w:p>
        </w:tc>
        <w:tc>
          <w:tcPr>
            <w:tcW w:type="dxa" w:w="1926"/>
            <w:tcMar>
              <w:top w:w="50" w:type="dxa"/>
              <w:bottom w:w="50" w:type="dxa"/>
              <w:left w:w="90" w:type="dxa"/>
              <w:right w:w="90" w:type="dxa"/>
            </w:tcMar>
          </w:tcPr>
          <w:p>
            <w:pPr>
              <w:pStyle w:val="BDOITable"/>
            </w:pPr>
            <w:r>
              <w:rPr>
                <w:sz w:val="15"/>
              </w:rPr>
              <w:t>Marketing Team Leaders and Account Officers, Processing Team Leaders and Officers, MBS; Contact Center, LAMD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03_BIBS_Signoff_BRD-06_Renewal_v2.0.xlsx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business owner signs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04_BIBS_TestPlan_BRD-06_Renewal_v2.0.xlsx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05_BIBS_TestPlan_BRD-06_Renewal_Summary_v2.0.docx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07_BIBS_UXDeck_BRD-06_Renewal_v2.0.pptx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walkthrough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08_BIBS_UXScreens_BRD-06_Renewal_v2.0.xlsx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walkthrough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09_BIBS_UXScreens_BRD-06_Renewal_v2.0.zip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Owners; Marketing heads; Combank / Corbank Unit Head)</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20 (sign-off) and 21 (proposed rules for confirmation);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Marketing Team Leaders</w:t>
            </w:r>
          </w:p>
        </w:tc>
        <w:tc>
          <w:tcPr>
            <w:tcW w:type="dxa" w:w="7592"/>
            <w:tcMar>
              <w:top w:w="50" w:type="dxa"/>
              <w:bottom w:w="50" w:type="dxa"/>
              <w:left w:w="90" w:type="dxa"/>
              <w:right w:w="90" w:type="dxa"/>
            </w:tcMar>
            <w:shd w:val="clear" w:color="auto" w:fill="E5F5FF"/>
          </w:tcPr>
          <w:p>
            <w:pPr>
              <w:pStyle w:val="BDOITable"/>
            </w:pPr>
            <w:r>
              <w:rPr>
                <w:sz w:val="16"/>
              </w:rPr>
              <w:t>FRS sections 4.2 to 4.6; Expiry List, TL Review and Transfers (SCR-RN-02, 08, 09); walkthroughs A, D and E; messages in chapter 15</w:t>
            </w:r>
          </w:p>
        </w:tc>
      </w:tr>
      <w:tr>
        <w:tc>
          <w:tcPr>
            <w:tcW w:type="dxa" w:w="2380"/>
            <w:tcMar>
              <w:top w:w="50" w:type="dxa"/>
              <w:bottom w:w="50" w:type="dxa"/>
              <w:left w:w="90" w:type="dxa"/>
              <w:right w:w="90" w:type="dxa"/>
            </w:tcMar>
          </w:tcPr>
          <w:p>
            <w:pPr>
              <w:pStyle w:val="BDOITable"/>
            </w:pPr>
            <w:r>
              <w:rPr>
                <w:b/>
                <w:sz w:val="16"/>
              </w:rPr>
              <w:t>Marketing Account Officers (Account Brokers)</w:t>
            </w:r>
          </w:p>
        </w:tc>
        <w:tc>
          <w:tcPr>
            <w:tcW w:type="dxa" w:w="7592"/>
            <w:tcMar>
              <w:top w:w="50" w:type="dxa"/>
              <w:bottom w:w="50" w:type="dxa"/>
              <w:left w:w="90" w:type="dxa"/>
              <w:right w:w="90" w:type="dxa"/>
            </w:tcMar>
          </w:tcPr>
          <w:p>
            <w:pPr>
              <w:pStyle w:val="BDOITable"/>
            </w:pPr>
            <w:r>
              <w:rPr>
                <w:sz w:val="16"/>
              </w:rPr>
              <w:t>My Dispositions, the renewal and its tabs, Set Disposition (SCR-RN-03 to 07); Letters and Record Acceptance (SCR-RN-13, 14); walkthroughs A, B and D</w:t>
            </w:r>
          </w:p>
        </w:tc>
      </w:tr>
      <w:tr>
        <w:tc>
          <w:tcPr>
            <w:tcW w:type="dxa" w:w="2380"/>
            <w:tcMar>
              <w:top w:w="50" w:type="dxa"/>
              <w:bottom w:w="50" w:type="dxa"/>
              <w:left w:w="90" w:type="dxa"/>
              <w:right w:w="90" w:type="dxa"/>
            </w:tcMar>
            <w:shd w:val="clear" w:color="auto" w:fill="E5F5FF"/>
          </w:tcPr>
          <w:p>
            <w:pPr>
              <w:pStyle w:val="BDOITable"/>
            </w:pPr>
            <w:r>
              <w:rPr>
                <w:b/>
                <w:sz w:val="16"/>
              </w:rPr>
              <w:t>Processing Team Leaders and Processing Officers</w:t>
            </w:r>
          </w:p>
        </w:tc>
        <w:tc>
          <w:tcPr>
            <w:tcW w:type="dxa" w:w="7592"/>
            <w:tcMar>
              <w:top w:w="50" w:type="dxa"/>
              <w:bottom w:w="50" w:type="dxa"/>
              <w:left w:w="90" w:type="dxa"/>
              <w:right w:w="90" w:type="dxa"/>
            </w:tcMar>
            <w:shd w:val="clear" w:color="auto" w:fill="E5F5FF"/>
          </w:tcPr>
          <w:p>
            <w:pPr>
              <w:pStyle w:val="BDOITable"/>
            </w:pPr>
            <w:r>
              <w:rPr>
                <w:sz w:val="16"/>
              </w:rPr>
              <w:t>FRS sections 4.7 and 4.8; Processing Worklist, Insurer Batches and Record Insurer Response (SCR-RN-10 to 12); Package Map and Go-live (SCR-RN-19, 20); walkthrough B; the insurer extract DO-03 in chapter 17</w:t>
            </w:r>
          </w:p>
        </w:tc>
      </w:tr>
      <w:tr>
        <w:tc>
          <w:tcPr>
            <w:tcW w:type="dxa" w:w="2380"/>
            <w:tcMar>
              <w:top w:w="50" w:type="dxa"/>
              <w:bottom w:w="50" w:type="dxa"/>
              <w:left w:w="90" w:type="dxa"/>
              <w:right w:w="90" w:type="dxa"/>
            </w:tcMar>
          </w:tcPr>
          <w:p>
            <w:pPr>
              <w:pStyle w:val="BDOITable"/>
            </w:pPr>
            <w:r>
              <w:rPr>
                <w:b/>
                <w:sz w:val="16"/>
              </w:rPr>
              <w:t>Contact Center and LAMD</w:t>
            </w:r>
          </w:p>
        </w:tc>
        <w:tc>
          <w:tcPr>
            <w:tcW w:type="dxa" w:w="7592"/>
            <w:tcMar>
              <w:top w:w="50" w:type="dxa"/>
              <w:bottom w:w="50" w:type="dxa"/>
              <w:left w:w="90" w:type="dxa"/>
              <w:right w:w="90" w:type="dxa"/>
            </w:tcMar>
          </w:tcPr>
          <w:p>
            <w:pPr>
              <w:pStyle w:val="BDOITable"/>
            </w:pPr>
            <w:r>
              <w:rPr>
                <w:sz w:val="16"/>
              </w:rPr>
              <w:t>Follow-ups (SCR-RN-15) and walkthrough C for the Contact Center; LAMD Reports (SCR-RN-16) and FRS FR-RN-025 for LAMD; the uploads in chapter 18</w:t>
            </w:r>
          </w:p>
        </w:tc>
      </w:tr>
      <w:tr>
        <w:tc>
          <w:tcPr>
            <w:tcW w:type="dxa" w:w="2380"/>
            <w:tcMar>
              <w:top w:w="50" w:type="dxa"/>
              <w:bottom w:w="50" w:type="dxa"/>
              <w:left w:w="90" w:type="dxa"/>
              <w:right w:w="90" w:type="dxa"/>
            </w:tcMar>
            <w:shd w:val="clear" w:color="auto" w:fill="E5F5FF"/>
          </w:tcPr>
          <w:p>
            <w:pPr>
              <w:pStyle w:val="BDOITable"/>
            </w:pPr>
            <w:r>
              <w:rPr>
                <w:b/>
                <w:sz w:val="16"/>
              </w:rPr>
              <w:t>Marketing Business Services and System Support (Business Administrator)</w:t>
            </w:r>
          </w:p>
        </w:tc>
        <w:tc>
          <w:tcPr>
            <w:tcW w:type="dxa" w:w="7592"/>
            <w:tcMar>
              <w:top w:w="50" w:type="dxa"/>
              <w:bottom w:w="50" w:type="dxa"/>
              <w:left w:w="90" w:type="dxa"/>
              <w:right w:w="90" w:type="dxa"/>
            </w:tcMar>
            <w:shd w:val="clear" w:color="auto" w:fill="E5F5FF"/>
          </w:tcPr>
          <w:p>
            <w:pPr>
              <w:pStyle w:val="BDOITable"/>
            </w:pPr>
            <w:r>
              <w:rPr>
                <w:sz w:val="16"/>
              </w:rPr>
              <w:t>Renewal Setup (SCR-RN-17 to 20); configuration in chapter 9; the letters DO-01 and DO-02; the menus by persona in chapter 12</w:t>
            </w:r>
          </w:p>
        </w:tc>
      </w:tr>
      <w:tr>
        <w:tc>
          <w:tcPr>
            <w:tcW w:type="dxa" w:w="2380"/>
            <w:tcMar>
              <w:top w:w="50" w:type="dxa"/>
              <w:bottom w:w="50" w:type="dxa"/>
              <w:left w:w="90" w:type="dxa"/>
              <w:right w:w="90" w:type="dxa"/>
            </w:tcMar>
          </w:tcPr>
          <w:p>
            <w:pPr>
              <w:pStyle w:val="BDOITable"/>
            </w:pPr>
            <w:r>
              <w:rPr>
                <w:b/>
                <w:sz w:val="16"/>
              </w:rPr>
              <w:t>BDOI IT</w:t>
            </w:r>
          </w:p>
        </w:tc>
        <w:tc>
          <w:tcPr>
            <w:tcW w:type="dxa" w:w="7592"/>
            <w:tcMar>
              <w:top w:w="50" w:type="dxa"/>
              <w:bottom w:w="50" w:type="dxa"/>
              <w:left w:w="90" w:type="dxa"/>
              <w:right w:w="90" w:type="dxa"/>
            </w:tcMar>
          </w:tcPr>
          <w:p>
            <w:pPr>
              <w:pStyle w:val="BDOITable"/>
            </w:pPr>
            <w:r>
              <w:rPr>
                <w:sz w:val="16"/>
              </w:rPr>
              <w:t>Interfaces and integration (chapter 7), non-functional requirements (chapter 8), configuration (chapter 9), cross-BRD contract (chapter 19); the Technical Specification, reviewed by BDOI IT</w:t>
            </w:r>
          </w:p>
        </w:tc>
      </w:tr>
      <w:tr>
        <w:tc>
          <w:tcPr>
            <w:tcW w:type="dxa" w:w="2380"/>
            <w:tcMar>
              <w:top w:w="50" w:type="dxa"/>
              <w:bottom w:w="50" w:type="dxa"/>
              <w:left w:w="90" w:type="dxa"/>
              <w:right w:w="90" w:type="dxa"/>
            </w:tcMar>
            <w:shd w:val="clear" w:color="auto" w:fill="E5F5FF"/>
          </w:tcPr>
          <w:p>
            <w:pPr>
              <w:pStyle w:val="BDOITable"/>
            </w:pPr>
            <w:r>
              <w:rPr>
                <w:b/>
                <w:sz w:val="16"/>
              </w:rPr>
              <w:t>BDOI UX Design team</w:t>
            </w:r>
          </w:p>
        </w:tc>
        <w:tc>
          <w:tcPr>
            <w:tcW w:type="dxa" w:w="7592"/>
            <w:tcMar>
              <w:top w:w="50" w:type="dxa"/>
              <w:bottom w:w="50" w:type="dxa"/>
              <w:left w:w="90" w:type="dxa"/>
              <w:right w:w="90" w:type="dxa"/>
            </w:tcMar>
            <w:shd w:val="clear" w:color="auto" w:fill="E5F5FF"/>
          </w:tcPr>
          <w:p>
            <w:pPr>
              <w:pStyle w:val="BDOITable"/>
            </w:pPr>
            <w:r>
              <w:rPr>
                <w:sz w:val="16"/>
              </w:rPr>
              <w:t>07 UX Screen Deck: design foundation and navigation first, then the personas, walkthroughs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tcPr>
          <w:p>
            <w:pPr>
              <w:pStyle w:val="BDOITable"/>
            </w:pPr>
            <w:r>
              <w:rPr>
                <w:b/>
                <w:sz w:val="16"/>
              </w:rPr>
              <w:t>iorta TechNXT project team</w:t>
            </w:r>
          </w:p>
        </w:tc>
        <w:tc>
          <w:tcPr>
            <w:tcW w:type="dxa" w:w="7592"/>
            <w:tcMar>
              <w:top w:w="50" w:type="dxa"/>
              <w:bottom w:w="50" w:type="dxa"/>
              <w:left w:w="90" w:type="dxa"/>
              <w:right w:w="90" w:type="dxa"/>
            </w:tcMar>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mkttl (Marketing Team Leader, CBG Metro Team 1), ao (Marketing Account Officer, CBG Metro Team 1), rnwtl (Renewal Team Leader, Corporate Marketing Team 1), ao2 (Marketing Account Officer, Corporate Marketing Team 1), proctl (Processing Team Leader), proc (Processing Officer), contactc (Contact Center), lamd (LAMD), badmin (Business Administrator), admin (System Administrator) and auditor.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v2.0 in the BRD-06 folder; invitations to the sessions</w:t>
            </w:r>
          </w:p>
        </w:tc>
        <w:tc>
          <w:tcPr>
            <w:tcW w:type="dxa" w:w="1926"/>
            <w:tcMar>
              <w:top w:w="50" w:type="dxa"/>
              <w:bottom w:w="50" w:type="dxa"/>
              <w:left w:w="90" w:type="dxa"/>
              <w:right w:w="90" w:type="dxa"/>
            </w:tcMar>
          </w:tcPr>
          <w:p>
            <w:pPr>
              <w:pStyle w:val="BDOITable"/>
            </w:pPr>
            <w:r>
              <w:rPr>
                <w:sz w:val="15"/>
              </w:rPr>
              <w:t>Day 0 (Thu 8-Oct-2026); sessions in the Drop 1 window of November 2026</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Marketing and Processing input providers, MBS; I: Contact Center, LAMD, BDOI IT</w:t>
            </w:r>
          </w:p>
        </w:tc>
        <w:tc>
          <w:tcPr>
            <w:tcW w:type="dxa" w:w="2946"/>
            <w:tcMar>
              <w:top w:w="50" w:type="dxa"/>
              <w:bottom w:w="50" w:type="dxa"/>
              <w:left w:w="90" w:type="dxa"/>
              <w:right w:w="90" w:type="dxa"/>
            </w:tcMar>
            <w:shd w:val="clear" w:color="auto" w:fill="E5F5FF"/>
          </w:tcPr>
          <w:p>
            <w:pPr>
              <w:pStyle w:val="BDOITable"/>
            </w:pPr>
            <w:r>
              <w:rPr>
                <w:sz w:val="15"/>
              </w:rPr>
              <w:t>Screens shown live (expiry list and disposition, review and transfers, processing and the insurer, letters and acceptance, set-up);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3 sessions, 4 to 6-Nov-2026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w:t>
            </w:r>
          </w:p>
        </w:tc>
        <w:tc>
          <w:tcPr>
            <w:tcW w:type="dxa" w:w="2946"/>
            <w:tcMar>
              <w:top w:w="50" w:type="dxa"/>
              <w:bottom w:w="50" w:type="dxa"/>
              <w:left w:w="90" w:type="dxa"/>
              <w:right w:w="90" w:type="dxa"/>
            </w:tcMar>
          </w:tcPr>
          <w:p>
            <w:pPr>
              <w:pStyle w:val="BDOITable"/>
            </w:pPr>
            <w:r>
              <w:rPr>
                <w:sz w:val="15"/>
              </w:rPr>
              <w:t>R: Marketing Team Leaders and Account Officers, Processing Team Leaders and Officers, MBS; A: Marketing Business Services and System Support;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w:t>
            </w:r>
          </w:p>
        </w:tc>
        <w:tc>
          <w:tcPr>
            <w:tcW w:type="dxa" w:w="1926"/>
            <w:tcMar>
              <w:top w:w="50" w:type="dxa"/>
              <w:bottom w:w="50" w:type="dxa"/>
              <w:left w:w="90" w:type="dxa"/>
              <w:right w:w="90" w:type="dxa"/>
            </w:tcMar>
          </w:tcPr>
          <w:p>
            <w:pPr>
              <w:pStyle w:val="BDOITable"/>
            </w:pPr>
            <w:r>
              <w:rPr>
                <w:sz w:val="15"/>
              </w:rPr>
              <w:t>10 working days after the walkthroughs, until Fri 20-Nov-2026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2 working days, Q&amp;A on Tue 24-Nov-2026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(v2.1)</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v2.1 with the changed rows marked; change requests raised for the rest</w:t>
            </w:r>
          </w:p>
        </w:tc>
        <w:tc>
          <w:tcPr>
            <w:tcW w:type="dxa" w:w="1926"/>
            <w:tcMar>
              <w:top w:w="50" w:type="dxa"/>
              <w:bottom w:w="50" w:type="dxa"/>
              <w:left w:w="90" w:type="dxa"/>
              <w:right w:w="90" w:type="dxa"/>
            </w:tcMar>
          </w:tcPr>
          <w:p>
            <w:pPr>
              <w:pStyle w:val="BDOITable"/>
            </w:pPr>
            <w:r>
              <w:rPr>
                <w:sz w:val="15"/>
              </w:rPr>
              <w:t>1 working day, v2.1 on Wed 25-Nov-2026; check by the reviewers until Thu 26-Nov-2026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Product Owners, Marketing heads, Combank / Corbank Unit Head,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Fri 27-Nov-2026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w:t>
            </w:r>
          </w:p>
        </w:tc>
        <w:tc>
          <w:tcPr>
            <w:tcW w:type="dxa" w:w="2946"/>
            <w:tcMar>
              <w:top w:w="50" w:type="dxa"/>
              <w:bottom w:w="50" w:type="dxa"/>
              <w:left w:w="90" w:type="dxa"/>
              <w:right w:w="90" w:type="dxa"/>
            </w:tcMar>
          </w:tcPr>
          <w:p>
            <w:pPr>
              <w:pStyle w:val="BDOITable"/>
            </w:pPr>
            <w:r>
              <w:rPr>
                <w:sz w:val="15"/>
              </w:rPr>
              <w:t>R: iorta TechNXT delivery lead; A: BDOI Product Owner; I: BDOI IT, other BRD owners</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w:t>
            </w:r>
          </w:p>
        </w:tc>
        <w:tc>
          <w:tcPr>
            <w:tcW w:type="dxa" w:w="1926"/>
            <w:tcMar>
              <w:top w:w="50" w:type="dxa"/>
              <w:bottom w:w="50" w:type="dxa"/>
              <w:left w:w="90" w:type="dxa"/>
              <w:right w:w="90" w:type="dxa"/>
            </w:tcMar>
          </w:tcPr>
          <w:p>
            <w:pPr>
              <w:pStyle w:val="BDOITable"/>
            </w:pPr>
            <w:r>
              <w:rPr>
                <w:sz w:val="15"/>
              </w:rPr>
              <w:t>From Mon 30-Nov-2026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Jan - Jul 2027; UAT Aug - Dec 2027</w:t>
            </w:r>
          </w:p>
        </w:tc>
      </w:tr>
    </w:tbl>
    <w:p>
      <w:pPr>
        <w:pStyle w:val="BDOISpacer"/>
      </w:pPr>
    </w:p>
    <w:p>
      <w:r>
        <w:rPr>
          <w:b/>
        </w:rPr>
        <w:t>How to review.</w:t>
      </w:r>
      <w:r>
        <w:rPr/>
        <w:t xml:space="preserve"> Open the FRS chapters of your unit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unit is enough. Chapter 21 of the FRS lists the proposed rules and clarifications on which BDOI is asked to decide; the appendices of the FRS give the user-story view of every BRD requirement and the storyboard index of the walkthroughs.</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Wed 4-Nov-2026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the expiry list, the checks and the classification, assignment, the disposition and the Team Leader's post (walkthrough A, walkthrough E)</w:t>
            </w:r>
          </w:p>
        </w:tc>
        <w:tc>
          <w:tcPr>
            <w:tcW w:type="dxa" w:w="2493"/>
            <w:tcMar>
              <w:top w:w="50" w:type="dxa"/>
              <w:bottom w:w="50" w:type="dxa"/>
              <w:left w:w="90" w:type="dxa"/>
              <w:right w:w="90" w:type="dxa"/>
            </w:tcMar>
          </w:tcPr>
          <w:p>
            <w:pPr>
              <w:pStyle w:val="BDOITable"/>
            </w:pPr>
            <w:r>
              <w:rPr>
                <w:sz w:val="18"/>
              </w:rPr>
              <w:t>Marketing Team Leaders and Account Officers, MBS</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Thu 5-Nov-2026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Processing, insurer batches and answers, the Renewal Advice; Not for Renewal and the closing letters (walkthroughs B and D)</w:t>
            </w:r>
          </w:p>
        </w:tc>
        <w:tc>
          <w:tcPr>
            <w:tcW w:type="dxa" w:w="2493"/>
            <w:tcMar>
              <w:top w:w="50" w:type="dxa"/>
              <w:bottom w:w="50" w:type="dxa"/>
              <w:left w:w="90" w:type="dxa"/>
              <w:right w:w="90" w:type="dxa"/>
            </w:tcMar>
            <w:shd w:val="clear" w:color="auto" w:fill="E5F5FF"/>
          </w:tcPr>
          <w:p>
            <w:pPr>
              <w:pStyle w:val="BDOITable"/>
            </w:pPr>
            <w:r>
              <w:rPr>
                <w:sz w:val="18"/>
              </w:rPr>
              <w:t>Processing Team Leaders and Officers, Marketing</w:t>
            </w:r>
          </w:p>
        </w:tc>
      </w:tr>
      <w:tr>
        <w:trPr>
          <w:cantSplit w:val="true"/>
        </w:trPr>
        <w:tc>
          <w:tcPr>
            <w:tcW w:type="dxa" w:w="2040"/>
            <w:tcMar>
              <w:top w:w="50" w:type="dxa"/>
              <w:bottom w:w="50" w:type="dxa"/>
              <w:left w:w="90" w:type="dxa"/>
              <w:right w:w="90" w:type="dxa"/>
            </w:tcMar>
          </w:tcPr>
          <w:p>
            <w:pPr>
              <w:pStyle w:val="BDOITable"/>
            </w:pPr>
            <w:r>
              <w:rPr>
                <w:sz w:val="18"/>
              </w:rPr>
              <w:t>Fri 6-Nov-2026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Contact Center follow-up, acceptance, hold cover and placement; LAMD reports; Renewal Setup and go-live (walkthrough C)</w:t>
            </w:r>
          </w:p>
        </w:tc>
        <w:tc>
          <w:tcPr>
            <w:tcW w:type="dxa" w:w="2493"/>
            <w:tcMar>
              <w:top w:w="50" w:type="dxa"/>
              <w:bottom w:w="50" w:type="dxa"/>
              <w:left w:w="90" w:type="dxa"/>
              <w:right w:w="90" w:type="dxa"/>
            </w:tcMar>
          </w:tcPr>
          <w:p>
            <w:pPr>
              <w:pStyle w:val="BDOITable"/>
            </w:pPr>
            <w:r>
              <w:rPr>
                <w:sz w:val="18"/>
              </w:rPr>
              <w:t>Contact Center, LAMD, MBS, BDOI IT</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files and templates that the user sees or fills in, the validations, business rules, messages, notifications, documents and walkthroughs. The business users sign that content. Technical content (the interfaces between systems, data storage, security set-up) is not part of the set: it is in the Technical Specification, a separate document reviewed by BDOI IT. The roles are those of the approval sheets of the Renewal BRD and its addenda: iorta TechNXT and the Business Analysts of Business Project Services prepare the set, the Marketing and Processing users with MBS provide the input, MBS, the Program Manager and the BA Unit Head of Business Project Services and BDOI IT review it, and the Product Owners, the Combank and Corbank Unit Head and the Marketing heads approve it. The approval sheets mark the Comptrollership approval as not required: a renewal books through the New Business booking.</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Marketing &amp; MBS input</w:t>
            </w:r>
          </w:p>
        </w:tc>
        <w:tc>
          <w:tcPr>
            <w:tcW w:type="dxa" w:w="1700"/>
            <w:tcMar>
              <w:top w:w="50" w:type="dxa"/>
              <w:bottom w:w="50" w:type="dxa"/>
              <w:left w:w="90" w:type="dxa"/>
              <w:right w:w="90" w:type="dxa"/>
            </w:tcMar>
          </w:tcPr>
          <w:p>
            <w:pPr>
              <w:pStyle w:val="BDOITable"/>
            </w:pPr>
            <w:r>
              <w:rPr>
                <w:sz w:val="15"/>
              </w:rPr>
              <w:t>Program Manager (BPS), MBS review</w:t>
            </w:r>
          </w:p>
        </w:tc>
        <w:tc>
          <w:tcPr>
            <w:tcW w:type="dxa" w:w="2153"/>
            <w:tcMar>
              <w:top w:w="50" w:type="dxa"/>
              <w:bottom w:w="50" w:type="dxa"/>
              <w:left w:w="90" w:type="dxa"/>
              <w:right w:w="90" w:type="dxa"/>
            </w:tcMar>
          </w:tcPr>
          <w:p>
            <w:pPr>
              <w:pStyle w:val="BDOITable"/>
            </w:pPr>
            <w:r>
              <w:rPr>
                <w:sz w:val="15"/>
              </w:rPr>
              <w:t>Product Owner, Product Owner (2), Combank / Corbank UH, Retail Marketing heads</w:t>
            </w:r>
          </w:p>
        </w:tc>
      </w:tr>
      <w:tr>
        <w:tc>
          <w:tcPr>
            <w:tcW w:type="dxa" w:w="2946"/>
            <w:tcMar>
              <w:top w:w="50" w:type="dxa"/>
              <w:bottom w:w="50" w:type="dxa"/>
              <w:left w:w="90" w:type="dxa"/>
              <w:right w:w="90" w:type="dxa"/>
            </w:tcMar>
            <w:shd w:val="clear" w:color="auto" w:fill="E5F5FF"/>
          </w:tcPr>
          <w:p>
            <w:pPr>
              <w:pStyle w:val="BDOITable"/>
            </w:pPr>
            <w:r>
              <w:rPr>
                <w:b/>
                <w:sz w:val="15"/>
              </w:rPr>
              <w:t>Business rules, checks, classification and the decision matrix</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Marketing &amp; MBS input, BA (BPS)</w:t>
            </w:r>
          </w:p>
        </w:tc>
        <w:tc>
          <w:tcPr>
            <w:tcW w:type="dxa" w:w="1700"/>
            <w:tcMar>
              <w:top w:w="50" w:type="dxa"/>
              <w:bottom w:w="50" w:type="dxa"/>
              <w:left w:w="90" w:type="dxa"/>
              <w:right w:w="90" w:type="dxa"/>
            </w:tcMar>
            <w:shd w:val="clear" w:color="auto" w:fill="E5F5FF"/>
          </w:tcPr>
          <w:p>
            <w:pPr>
              <w:pStyle w:val="BDOITable"/>
            </w:pPr>
            <w:r>
              <w:rPr>
                <w:sz w:val="15"/>
              </w:rPr>
              <w:t>Program Manager (BPS), MBS review</w:t>
            </w:r>
          </w:p>
        </w:tc>
        <w:tc>
          <w:tcPr>
            <w:tcW w:type="dxa" w:w="2153"/>
            <w:tcMar>
              <w:top w:w="50" w:type="dxa"/>
              <w:bottom w:w="50" w:type="dxa"/>
              <w:left w:w="90" w:type="dxa"/>
              <w:right w:w="90" w:type="dxa"/>
            </w:tcMar>
            <w:shd w:val="clear" w:color="auto" w:fill="E5F5FF"/>
          </w:tcPr>
          <w:p>
            <w:pPr>
              <w:pStyle w:val="BDOITable"/>
            </w:pPr>
            <w:r>
              <w:rPr>
                <w:sz w:val="15"/>
              </w:rPr>
              <w:t>Product Owner, Product Owner (2), Combank / Corbank UH, Retail Marketing heads</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Marketing &amp; MBS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Retail Marketing heads</w:t>
            </w:r>
          </w:p>
        </w:tc>
      </w:tr>
      <w:tr>
        <w:tc>
          <w:tcPr>
            <w:tcW w:type="dxa" w:w="2946"/>
            <w:tcMar>
              <w:top w:w="50" w:type="dxa"/>
              <w:bottom w:w="50" w:type="dxa"/>
              <w:left w:w="90" w:type="dxa"/>
              <w:right w:w="90" w:type="dxa"/>
            </w:tcMar>
            <w:shd w:val="clear" w:color="auto" w:fill="E5F5FF"/>
          </w:tcPr>
          <w:p>
            <w:pPr>
              <w:pStyle w:val="BDOITable"/>
            </w:pPr>
            <w:r>
              <w:rPr>
                <w:b/>
                <w:sz w:val="15"/>
              </w:rPr>
              <w:t>Documents and files (Renewal Advice, No Advice and Not for Renewal letters, insurer extract, expiry list and account details)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Marketing &amp; MBS input</w:t>
            </w:r>
          </w:p>
        </w:tc>
        <w:tc>
          <w:tcPr>
            <w:tcW w:type="dxa" w:w="1700"/>
            <w:tcMar>
              <w:top w:w="50" w:type="dxa"/>
              <w:bottom w:w="50" w:type="dxa"/>
              <w:left w:w="90" w:type="dxa"/>
              <w:right w:w="90" w:type="dxa"/>
            </w:tcMar>
            <w:shd w:val="clear" w:color="auto" w:fill="E5F5FF"/>
          </w:tcPr>
          <w:p>
            <w:pPr>
              <w:pStyle w:val="BDOITable"/>
            </w:pPr>
            <w:r>
              <w:rPr>
                <w:sz w:val="15"/>
              </w:rPr>
              <w:t>Program Manager (BPS), MBS review</w:t>
            </w:r>
          </w:p>
        </w:tc>
        <w:tc>
          <w:tcPr>
            <w:tcW w:type="dxa" w:w="2153"/>
            <w:tcMar>
              <w:top w:w="50" w:type="dxa"/>
              <w:bottom w:w="50" w:type="dxa"/>
              <w:left w:w="90" w:type="dxa"/>
              <w:right w:w="90" w:type="dxa"/>
            </w:tcMar>
            <w:shd w:val="clear" w:color="auto" w:fill="E5F5FF"/>
          </w:tcPr>
          <w:p>
            <w:pPr>
              <w:pStyle w:val="BDOITable"/>
            </w:pPr>
            <w:r>
              <w:rPr>
                <w:sz w:val="15"/>
              </w:rPr>
              <w:t>Product Owner, Combank / Corbank UH, Retail Marketing heads</w:t>
            </w:r>
          </w:p>
        </w:tc>
      </w:tr>
      <w:tr>
        <w:tc>
          <w:tcPr>
            <w:tcW w:type="dxa" w:w="2946"/>
            <w:tcMar>
              <w:top w:w="50" w:type="dxa"/>
              <w:bottom w:w="50" w:type="dxa"/>
              <w:left w:w="90" w:type="dxa"/>
              <w:right w:w="90" w:type="dxa"/>
            </w:tcMar>
          </w:tcPr>
          <w:p>
            <w:pPr>
              <w:pStyle w:val="BDOITable"/>
            </w:pPr>
            <w:r>
              <w:rPr>
                <w:b/>
                <w:sz w:val="15"/>
              </w:rPr>
              <w:t>Walkthroughs (end-to-end, screen by screen)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Marketing &amp; MBS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Proposed business rules and clarifications for confirmation</w:t>
            </w:r>
          </w:p>
        </w:tc>
        <w:tc>
          <w:tcPr>
            <w:tcW w:type="dxa" w:w="1360"/>
            <w:tcMar>
              <w:top w:w="50" w:type="dxa"/>
              <w:bottom w:w="50" w:type="dxa"/>
              <w:left w:w="90" w:type="dxa"/>
              <w:right w:w="90" w:type="dxa"/>
            </w:tcMar>
            <w:shd w:val="clear" w:color="auto" w:fill="E5F5FF"/>
          </w:tcPr>
          <w:p>
            <w:pPr>
              <w:pStyle w:val="BDOITable"/>
            </w:pPr>
            <w:r>
              <w:rPr>
                <w:sz w:val="15"/>
              </w:rPr>
              <w:t>iorta TechNXT, BA (BPS)</w:t>
            </w:r>
          </w:p>
        </w:tc>
        <w:tc>
          <w:tcPr>
            <w:tcW w:type="dxa" w:w="1813"/>
            <w:tcMar>
              <w:top w:w="50" w:type="dxa"/>
              <w:bottom w:w="50" w:type="dxa"/>
              <w:left w:w="90" w:type="dxa"/>
              <w:right w:w="90" w:type="dxa"/>
            </w:tcMar>
            <w:shd w:val="clear" w:color="auto" w:fill="E5F5FF"/>
          </w:tcPr>
          <w:p>
            <w:pPr>
              <w:pStyle w:val="BDOITable"/>
            </w:pPr>
            <w:r>
              <w:rPr>
                <w:sz w:val="15"/>
              </w:rPr>
              <w:t>Marketing &amp; MBS input</w:t>
            </w:r>
          </w:p>
        </w:tc>
        <w:tc>
          <w:tcPr>
            <w:tcW w:type="dxa" w:w="1700"/>
            <w:tcMar>
              <w:top w:w="50" w:type="dxa"/>
              <w:bottom w:w="50" w:type="dxa"/>
              <w:left w:w="90" w:type="dxa"/>
              <w:right w:w="90" w:type="dxa"/>
            </w:tcMar>
            <w:shd w:val="clear" w:color="auto" w:fill="E5F5FF"/>
          </w:tcPr>
          <w:p>
            <w:pPr>
              <w:pStyle w:val="BDOITable"/>
            </w:pPr>
            <w:r>
              <w:rPr>
                <w:sz w:val="15"/>
              </w:rPr>
              <w:t>Program Manager (BPS), MBS review</w:t>
            </w:r>
          </w:p>
        </w:tc>
        <w:tc>
          <w:tcPr>
            <w:tcW w:type="dxa" w:w="2153"/>
            <w:tcMar>
              <w:top w:w="50" w:type="dxa"/>
              <w:bottom w:w="50" w:type="dxa"/>
              <w:left w:w="90" w:type="dxa"/>
              <w:right w:w="90" w:type="dxa"/>
            </w:tcMar>
            <w:shd w:val="clear" w:color="auto" w:fill="E5F5FF"/>
          </w:tcPr>
          <w:p>
            <w:pPr>
              <w:pStyle w:val="BDOITable"/>
            </w:pPr>
            <w:r>
              <w:rPr>
                <w:sz w:val="15"/>
              </w:rPr>
              <w:t>Product Owner, Product Owner (2), Combank / Corbank UH, Retail Marketing heads</w:t>
            </w:r>
          </w:p>
        </w:tc>
      </w:tr>
      <w:tr>
        <w:tc>
          <w:tcPr>
            <w:tcW w:type="dxa" w:w="2946"/>
            <w:tcMar>
              <w:top w:w="50" w:type="dxa"/>
              <w:bottom w:w="50" w:type="dxa"/>
              <w:left w:w="90" w:type="dxa"/>
              <w:right w:w="90" w:type="dxa"/>
            </w:tcMar>
          </w:tcPr>
          <w:p>
            <w:pPr>
              <w:pStyle w:val="BDOITable"/>
            </w:pPr>
            <w:r>
              <w:rPr>
                <w:b/>
                <w:sz w:val="15"/>
              </w:rPr>
              <w:t>Scheduled runs, uploads, protected e-mails, user access and menus by persona</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Marketing &amp; MBS input</w:t>
            </w:r>
          </w:p>
        </w:tc>
        <w:tc>
          <w:tcPr>
            <w:tcW w:type="dxa" w:w="1700"/>
            <w:tcMar>
              <w:top w:w="50" w:type="dxa"/>
              <w:bottom w:w="50" w:type="dxa"/>
              <w:left w:w="90" w:type="dxa"/>
              <w:right w:w="90" w:type="dxa"/>
            </w:tcMar>
          </w:tcPr>
          <w:p>
            <w:pPr>
              <w:pStyle w:val="BDOITable"/>
            </w:pPr>
            <w:r>
              <w:rPr>
                <w:sz w:val="15"/>
              </w:rPr>
              <w:t>BDOI IT, MBS review</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Accounting impact: none of its own (a renewal books through the New Business booking)</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Comptrollership</w:t>
            </w:r>
          </w:p>
        </w:tc>
      </w:tr>
      <w:tr>
        <w:tc>
          <w:tcPr>
            <w:tcW w:type="dxa" w:w="2946"/>
            <w:tcMar>
              <w:top w:w="50" w:type="dxa"/>
              <w:bottom w:w="50" w:type="dxa"/>
              <w:left w:w="90" w:type="dxa"/>
              <w:right w:w="90" w:type="dxa"/>
            </w:tcMar>
          </w:tcPr>
          <w:p>
            <w:pPr>
              <w:pStyle w:val="BDOITable"/>
            </w:pPr>
            <w:r>
              <w:rPr>
                <w:b/>
                <w:sz w:val="15"/>
              </w:rPr>
              <w:t>Test plan (04 workbook, 05 summary)</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Marketing &amp; MBS input</w:t>
            </w:r>
          </w:p>
        </w:tc>
        <w:tc>
          <w:tcPr>
            <w:tcW w:type="dxa" w:w="1700"/>
            <w:tcMar>
              <w:top w:w="50" w:type="dxa"/>
              <w:bottom w:w="50" w:type="dxa"/>
              <w:left w:w="90" w:type="dxa"/>
              <w:right w:w="90" w:type="dxa"/>
            </w:tcMar>
          </w:tcPr>
          <w:p>
            <w:pPr>
              <w:pStyle w:val="BDOITable"/>
            </w:pPr>
            <w:r>
              <w:rPr>
                <w:sz w:val="15"/>
              </w:rPr>
              <w:t>Program Manager (BPS), BDOI IT</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Marketing &amp; MBS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BDOI IT</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(Renewal BRD approval sheets: Renewal Addendum (Walkthrough) p.17-19, Renewal Addendum (Workshop) p.42-44, Renewal Addendum 1 p.61-64 and the RMEL Phase 2 Online Dispositioning BRD p.214-215 (Prepared, Input provided, Reviewed, Approved by))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Analysts, Enterprise Services Group - Business Project Services (BPS) (Zean C. Ibay, Roda Lyn D. Gallardo, Jane Tagle)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(p.17, p.42, p.61, p.214)</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Marketing Business Services and System Support and the Marketing and Processing input providers (Ma. Fides R. Rivera, Rose Marie Lique, Jackie Lyn Serrano, Marie Grace Mendiola, Berna Corpuz, Maria Cecilia Remodo, Alma Aramburo Olegario, Grace Tordesillas, Jocimarie Biaoco Palcat, Angelo Tiu Alibuyog, Amara Camille Linis Cruz, Racquel Jimenez, Clarissa Pagalanan, Herbert De Guzman) (BDOI)</w:t>
            </w:r>
          </w:p>
        </w:tc>
        <w:tc>
          <w:tcPr>
            <w:tcW w:type="dxa" w:w="3853"/>
            <w:tcMar>
              <w:top w:w="50" w:type="dxa"/>
              <w:bottom w:w="50" w:type="dxa"/>
              <w:left w:w="90" w:type="dxa"/>
              <w:right w:w="90" w:type="dxa"/>
            </w:tcMar>
          </w:tcPr>
          <w:p>
            <w:pPr>
              <w:pStyle w:val="BDOITable"/>
            </w:pPr>
            <w:r>
              <w:rPr>
                <w:sz w:val="15"/>
              </w:rPr>
              <w:t>The expiry list, disposition, Team Leader review, transfer, processing, insurer, letter, acceptance and follow-up screens, fields, rules and messages match the business input</w:t>
            </w:r>
          </w:p>
        </w:tc>
        <w:tc>
          <w:tcPr>
            <w:tcW w:type="dxa" w:w="2040"/>
            <w:tcMar>
              <w:top w:w="50" w:type="dxa"/>
              <w:bottom w:w="50" w:type="dxa"/>
              <w:left w:w="90" w:type="dxa"/>
              <w:right w:w="90" w:type="dxa"/>
            </w:tcMar>
          </w:tcPr>
          <w:p>
            <w:pPr>
              <w:pStyle w:val="BDOITable"/>
            </w:pPr>
            <w:r>
              <w:rPr>
                <w:sz w:val="15"/>
              </w:rPr>
              <w:t>Input provided by (p.17-18, p.42-43, p.61-62, p.214)</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Marketing Business Services and System Support (Rhommel Mark Galler) (BDOI)</w:t>
            </w:r>
          </w:p>
        </w:tc>
        <w:tc>
          <w:tcPr>
            <w:tcW w:type="dxa" w:w="3853"/>
            <w:tcMar>
              <w:top w:w="50" w:type="dxa"/>
              <w:bottom w:w="50" w:type="dxa"/>
              <w:left w:w="90" w:type="dxa"/>
              <w:right w:w="90" w:type="dxa"/>
            </w:tcMar>
            <w:shd w:val="clear" w:color="auto" w:fill="E5F5FF"/>
          </w:tcPr>
          <w:p>
            <w:pPr>
              <w:pStyle w:val="BDOITable"/>
            </w:pPr>
            <w:r>
              <w:rPr>
                <w:sz w:val="15"/>
              </w:rPr>
              <w:t>The lists of values, templates, set-up and the menus of the Renewal users as the business administers them</w:t>
            </w:r>
          </w:p>
        </w:tc>
        <w:tc>
          <w:tcPr>
            <w:tcW w:type="dxa" w:w="2040"/>
            <w:tcMar>
              <w:top w:w="50" w:type="dxa"/>
              <w:bottom w:w="50" w:type="dxa"/>
              <w:left w:w="90" w:type="dxa"/>
              <w:right w:w="90" w:type="dxa"/>
            </w:tcMar>
            <w:shd w:val="clear" w:color="auto" w:fill="E5F5FF"/>
          </w:tcPr>
          <w:p>
            <w:pPr>
              <w:pStyle w:val="BDOITable"/>
            </w:pPr>
            <w:r>
              <w:rPr>
                <w:sz w:val="15"/>
              </w:rPr>
              <w:t>Reviewed by (p.19, p.44)</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BDOI Information Technology Group (Angela Villamarzo Ramirez, Ma. Carmela Austria Morfe) (BDOI)</w:t>
            </w:r>
          </w:p>
        </w:tc>
        <w:tc>
          <w:tcPr>
            <w:tcW w:type="dxa" w:w="3853"/>
            <w:tcMar>
              <w:top w:w="50" w:type="dxa"/>
              <w:bottom w:w="50" w:type="dxa"/>
              <w:left w:w="90" w:type="dxa"/>
              <w:right w:w="90" w:type="dxa"/>
            </w:tcMar>
          </w:tcPr>
          <w:p>
            <w:pPr>
              <w:pStyle w:val="BDOITable"/>
            </w:pPr>
            <w:r>
              <w:rPr>
                <w:sz w:val="15"/>
              </w:rPr>
              <w:t>Scheduled runs, uploads, protected e-mails, user access and menus and the Technical Specification (a separate document); not the business screens</w:t>
            </w:r>
          </w:p>
        </w:tc>
        <w:tc>
          <w:tcPr>
            <w:tcW w:type="dxa" w:w="2040"/>
            <w:tcMar>
              <w:top w:w="50" w:type="dxa"/>
              <w:bottom w:w="50" w:type="dxa"/>
              <w:left w:w="90" w:type="dxa"/>
              <w:right w:w="90" w:type="dxa"/>
            </w:tcMar>
          </w:tcPr>
          <w:p>
            <w:pPr>
              <w:pStyle w:val="BDOITable"/>
            </w:pPr>
            <w:r>
              <w:rPr>
                <w:sz w:val="15"/>
              </w:rPr>
              <w:t>Reviewed by (p.63)</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Program Manager and BA Unit Head, Enterprise Services Group - Business Project Services (BPS) (Dan Ace R. Cauton, Edward Kenneth Cadena) (BDO Unibank ESG)</w:t>
            </w:r>
          </w:p>
        </w:tc>
        <w:tc>
          <w:tcPr>
            <w:tcW w:type="dxa" w:w="3853"/>
            <w:tcMar>
              <w:top w:w="50" w:type="dxa"/>
              <w:bottom w:w="50" w:type="dxa"/>
              <w:left w:w="90" w:type="dxa"/>
              <w:right w:w="90" w:type="dxa"/>
            </w:tcMar>
            <w:shd w:val="clear" w:color="auto" w:fill="E5F5FF"/>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shd w:val="clear" w:color="auto" w:fill="E5F5FF"/>
          </w:tcPr>
          <w:p>
            <w:pPr>
              <w:pStyle w:val="BDOITable"/>
            </w:pPr>
            <w:r>
              <w:rPr>
                <w:sz w:val="15"/>
              </w:rPr>
              <w:t>Reviewed by (p.19, p.44, p.63, p.214)</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AVP (Shellah Marie C. Miranda) (BDOI)</w:t>
            </w:r>
          </w:p>
        </w:tc>
        <w:tc>
          <w:tcPr>
            <w:tcW w:type="dxa" w:w="3853"/>
            <w:tcMar>
              <w:top w:w="50" w:type="dxa"/>
              <w:bottom w:w="50" w:type="dxa"/>
              <w:left w:w="90" w:type="dxa"/>
              <w:right w:w="90" w:type="dxa"/>
            </w:tcMar>
          </w:tcPr>
          <w:p>
            <w:pPr>
              <w:pStyle w:val="BDOITable"/>
            </w:pPr>
            <w:r>
              <w:rPr>
                <w:sz w:val="15"/>
              </w:rPr>
              <w:t>Owns the set and approves all of its contents</w:t>
            </w:r>
          </w:p>
        </w:tc>
        <w:tc>
          <w:tcPr>
            <w:tcW w:type="dxa" w:w="2040"/>
            <w:tcMar>
              <w:top w:w="50" w:type="dxa"/>
              <w:bottom w:w="50" w:type="dxa"/>
              <w:left w:w="90" w:type="dxa"/>
              <w:right w:w="90" w:type="dxa"/>
            </w:tcMar>
          </w:tcPr>
          <w:p>
            <w:pPr>
              <w:pStyle w:val="BDOITable"/>
            </w:pPr>
            <w:r>
              <w:rPr>
                <w:sz w:val="15"/>
              </w:rPr>
              <w:t>Approved by (p.19, p.44, p.64, p.214)</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AVP (Jose Melvin Jarin) (BDOI)</w:t>
            </w:r>
          </w:p>
        </w:tc>
        <w:tc>
          <w:tcPr>
            <w:tcW w:type="dxa" w:w="3853"/>
            <w:tcMar>
              <w:top w:w="50" w:type="dxa"/>
              <w:bottom w:w="50" w:type="dxa"/>
              <w:left w:w="90" w:type="dxa"/>
              <w:right w:w="90" w:type="dxa"/>
            </w:tcMar>
            <w:shd w:val="clear" w:color="auto" w:fill="E5F5FF"/>
          </w:tcPr>
          <w:p>
            <w:pPr>
              <w:pStyle w:val="BDOITable"/>
            </w:pPr>
            <w:r>
              <w:rPr>
                <w:sz w:val="15"/>
              </w:rPr>
              <w:t>The addendum functions: sanitation, classification, decision matrix, LAMD and Contact Center, insurer responses and the progression to placement and booking</w:t>
            </w:r>
          </w:p>
        </w:tc>
        <w:tc>
          <w:tcPr>
            <w:tcW w:type="dxa" w:w="2040"/>
            <w:tcMar>
              <w:top w:w="50" w:type="dxa"/>
              <w:bottom w:w="50" w:type="dxa"/>
              <w:left w:w="90" w:type="dxa"/>
              <w:right w:w="90" w:type="dxa"/>
            </w:tcMar>
            <w:shd w:val="clear" w:color="auto" w:fill="E5F5FF"/>
          </w:tcPr>
          <w:p>
            <w:pPr>
              <w:pStyle w:val="BDOITable"/>
            </w:pPr>
            <w:r>
              <w:rPr>
                <w:sz w:val="15"/>
              </w:rPr>
              <w:t>Approved by (p.19 on leave, p.44 for regularization)</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Unit Head - Combank and Corbank Marketing / Corporate Processing, SAVP (Mark Joseph C. Makalintal) (BDOI)</w:t>
            </w:r>
          </w:p>
        </w:tc>
        <w:tc>
          <w:tcPr>
            <w:tcW w:type="dxa" w:w="3853"/>
            <w:tcMar>
              <w:top w:w="50" w:type="dxa"/>
              <w:bottom w:w="50" w:type="dxa"/>
              <w:left w:w="90" w:type="dxa"/>
              <w:right w:w="90" w:type="dxa"/>
            </w:tcMar>
          </w:tcPr>
          <w:p>
            <w:pPr>
              <w:pStyle w:val="BDOITable"/>
            </w:pPr>
            <w:r>
              <w:rPr>
                <w:sz w:val="15"/>
              </w:rPr>
              <w:t>The screens, rules and messages of the Corporate and Commercial Marketing units and of Corporate Processing</w:t>
            </w:r>
          </w:p>
        </w:tc>
        <w:tc>
          <w:tcPr>
            <w:tcW w:type="dxa" w:w="2040"/>
            <w:tcMar>
              <w:top w:w="50" w:type="dxa"/>
              <w:bottom w:w="50" w:type="dxa"/>
              <w:left w:w="90" w:type="dxa"/>
              <w:right w:w="90" w:type="dxa"/>
            </w:tcMar>
          </w:tcPr>
          <w:p>
            <w:pPr>
              <w:pStyle w:val="BDOITable"/>
            </w:pPr>
            <w:r>
              <w:rPr>
                <w:sz w:val="15"/>
              </w:rPr>
              <w:t>Approved by (p.19, p.44, p.64, p.214, with e-mail sign-off)</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Retail Marketing, VP (Edmundante F. Ramirez) and Head - Corporate and Retail Marketing, FVP (Roderick Lim) (BDOI)</w:t>
            </w:r>
          </w:p>
        </w:tc>
        <w:tc>
          <w:tcPr>
            <w:tcW w:type="dxa" w:w="3853"/>
            <w:tcMar>
              <w:top w:w="50" w:type="dxa"/>
              <w:bottom w:w="50" w:type="dxa"/>
              <w:left w:w="90" w:type="dxa"/>
              <w:right w:w="90" w:type="dxa"/>
            </w:tcMar>
            <w:shd w:val="clear" w:color="auto" w:fill="E5F5FF"/>
          </w:tcPr>
          <w:p>
            <w:pPr>
              <w:pStyle w:val="BDOITable"/>
            </w:pPr>
            <w:r>
              <w:rPr>
                <w:sz w:val="15"/>
              </w:rPr>
              <w:t>The screens, rules and messages of the Retail and Corporate Marketing units</w:t>
            </w:r>
          </w:p>
        </w:tc>
        <w:tc>
          <w:tcPr>
            <w:tcW w:type="dxa" w:w="2040"/>
            <w:tcMar>
              <w:top w:w="50" w:type="dxa"/>
              <w:bottom w:w="50" w:type="dxa"/>
              <w:left w:w="90" w:type="dxa"/>
              <w:right w:w="90" w:type="dxa"/>
            </w:tcMar>
            <w:shd w:val="clear" w:color="auto" w:fill="E5F5FF"/>
          </w:tcPr>
          <w:p>
            <w:pPr>
              <w:pStyle w:val="BDOITable"/>
            </w:pPr>
            <w:r>
              <w:rPr>
                <w:sz w:val="15"/>
              </w:rPr>
              <w:t>Approved by (p.19, p.44, p.64, p.215)</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Comptrollership, VP (Ronald Allan E. De Leon) (BDOI)</w:t>
            </w:r>
          </w:p>
        </w:tc>
        <w:tc>
          <w:tcPr>
            <w:tcW w:type="dxa" w:w="3853"/>
            <w:tcMar>
              <w:top w:w="50" w:type="dxa"/>
              <w:bottom w:w="50" w:type="dxa"/>
              <w:left w:w="90" w:type="dxa"/>
              <w:right w:w="90" w:type="dxa"/>
            </w:tcMar>
          </w:tcPr>
          <w:p>
            <w:pPr>
              <w:pStyle w:val="BDOITable"/>
            </w:pPr>
            <w:r>
              <w:rPr>
                <w:sz w:val="15"/>
              </w:rPr>
              <w:t>Informed of the set: the Renewal BRD marks the Comptrollership approval as not required; a renewal books through the New Business booking and posts nothing itself</w:t>
            </w:r>
          </w:p>
        </w:tc>
        <w:tc>
          <w:tcPr>
            <w:tcW w:type="dxa" w:w="2040"/>
            <w:tcMar>
              <w:top w:w="50" w:type="dxa"/>
              <w:bottom w:w="50" w:type="dxa"/>
              <w:left w:w="90" w:type="dxa"/>
              <w:right w:w="90" w:type="dxa"/>
            </w:tcMar>
          </w:tcPr>
          <w:p>
            <w:pPr>
              <w:pStyle w:val="BDOITable"/>
            </w:pPr>
            <w:r>
              <w:rPr>
                <w:sz w:val="15"/>
              </w:rPr>
              <w:t>Approved by (p.44 and p.64: not required for this BRD)</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6 Change control after sign-off</w:t>
      </w:r>
      <w:bookmarkEnd w:id="106"/>
    </w:p>
    <w:p>
      <w:r>
        <w:rPr/>
        <w:t>Signing freezes the Renewal screens, fields, navigation, actions, business rules, messages, notifications, documents, the upload templates and the cross-BRD contract as specified. Configuration values marked "default" (lead days, the TSI threshold, notice, reminder, waiting and ageing days, hold cover durations, list entries, check settings, classification rules, the decision matrix and the templates) are not frozen. A change to anything frozen is raised in the Change Management Register with the screen, field, rule or message concerned, assessed with its mandays and its effect on the other BRDs (Renewal reads the booked accounts and hands the renewal account to New Business placement and booking),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BRD-6 Renewal</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BRD-06,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