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STRATEGY AND APPROACH</w:t>
      </w:r>
    </w:p>
    <w:p>
      <w:pPr>
        <w:spacing w:after="80" w:line="240" w:lineRule="auto"/>
      </w:pPr>
      <w:r>
        <w:rPr>
          <w:b/>
          <w:color w:val="004EA8"/>
          <w:sz w:val="56"/>
        </w:rPr>
        <w:t>Data Migration Strategy and Approach</w:t>
      </w:r>
    </w:p>
    <w:p>
      <w:pPr>
        <w:spacing w:after="40"/>
      </w:pPr>
      <w:r>
        <w:rPr>
          <w:color w:val="2E2E2E"/>
          <w:sz w:val="28"/>
        </w:rPr>
        <w:t>BRD-13 Data Migration - scope, approach, cutover and proof</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the build design and FRS BRD-13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Data Requirements Workbook, the extract templates, the Cutover Runbook and the Reconciliation Approach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the BDOI programme timeline (go-live January 2028; trial migrations in the SIT and UAT migration windows; BDOI input dates inside requirements and mapping, Sep-Oct 2026); early-renewal concept paper recorded as superseded by the single January 2028 go-live; trial-migration load order; carried RMEL cohorts of January-May 2028 (layout P03); package remapping options and recommendation; decisions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BDOI answers of 26-Sep-2026 (DMQ36-DMQ39): packages remapped at Renewal sanitation; January-May 2028 expiries processed in BIBS after go-live, RA-sent file with maker-checker review; year-end option A with a provisional GL opening and FY2027 true-ups (object G03)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owner of the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Open items, GL opening, legacy sub-ledgers, reconciliation</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 Heads of Retail and Corporate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Compliance; Unit Head, Analytics and Risk Management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protection, archive, access logging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legacy read-only and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rehearsals, cutover,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 and basis</w:t>
        </w:r>
        <w:r>
          <w:t xml:space="preserve">	</w:t>
        </w:r>
        <w:r>
          <w:t xml:space="preserve">6</w:t>
        </w:r>
      </w:hyperlink>
    </w:p>
    <w:p>
      <w:pPr>
        <w:pStyle w:val="toc2"/>
      </w:pPr>
      <w:hyperlink w:anchor="_Toc000104" w:history="1">
        <w:r>
          <w:t xml:space="preserve">1.3 The Data Migration document set</w:t>
        </w:r>
        <w:r>
          <w:t xml:space="preserve">	</w:t>
        </w:r>
        <w:r>
          <w:t xml:space="preserve">7</w:t>
        </w:r>
      </w:hyperlink>
    </w:p>
    <w:p>
      <w:pPr>
        <w:pStyle w:val="toc2"/>
      </w:pPr>
      <w:hyperlink w:anchor="_Toc000105" w:history="1">
        <w:r>
          <w:t xml:space="preserve">1.4 References</w:t>
        </w:r>
        <w:r>
          <w:t xml:space="preserve">	</w:t>
        </w:r>
        <w:r>
          <w:t xml:space="preserve">7</w:t>
        </w:r>
      </w:hyperlink>
    </w:p>
    <w:p>
      <w:pPr>
        <w:pStyle w:val="toc1"/>
      </w:pPr>
      <w:hyperlink w:anchor="_Toc000106" w:history="1">
        <w:r>
          <w:t xml:space="preserve">2 Objectives and principles</w:t>
        </w:r>
        <w:r>
          <w:t xml:space="preserve">	</w:t>
        </w:r>
        <w:r>
          <w:t xml:space="preserve">9</w:t>
        </w:r>
      </w:hyperlink>
    </w:p>
    <w:p>
      <w:pPr>
        <w:pStyle w:val="toc2"/>
      </w:pPr>
      <w:hyperlink w:anchor="_Toc000107" w:history="1">
        <w:r>
          <w:t xml:space="preserve">2.1 Objectives</w:t>
        </w:r>
        <w:r>
          <w:t xml:space="preserve">	</w:t>
        </w:r>
        <w:r>
          <w:t xml:space="preserve">9</w:t>
        </w:r>
      </w:hyperlink>
    </w:p>
    <w:p>
      <w:pPr>
        <w:pStyle w:val="toc2"/>
      </w:pPr>
      <w:hyperlink w:anchor="_Toc000108" w:history="1">
        <w:r>
          <w:t xml:space="preserve">2.2 Principles</w:t>
        </w:r>
        <w:r>
          <w:t xml:space="preserve">	</w:t>
        </w:r>
        <w:r>
          <w:t xml:space="preserve">9</w:t>
        </w:r>
      </w:hyperlink>
    </w:p>
    <w:p>
      <w:pPr>
        <w:pStyle w:val="toc2"/>
      </w:pPr>
      <w:hyperlink w:anchor="_Toc000109" w:history="1">
        <w:r>
          <w:t xml:space="preserve">2.3 What this migration does not do</w:t>
        </w:r>
        <w:r>
          <w:t xml:space="preserve">	</w:t>
        </w:r>
        <w:r>
          <w:t xml:space="preserve">10</w:t>
        </w:r>
      </w:hyperlink>
    </w:p>
    <w:p>
      <w:pPr>
        <w:pStyle w:val="toc1"/>
      </w:pPr>
      <w:hyperlink w:anchor="_Toc000110" w:history="1">
        <w:r>
          <w:t xml:space="preserve">3 Scope and decisions per data object</w:t>
        </w:r>
        <w:r>
          <w:t xml:space="preserve">	</w:t>
        </w:r>
        <w:r>
          <w:t xml:space="preserve">11</w:t>
        </w:r>
      </w:hyperlink>
    </w:p>
    <w:p>
      <w:pPr>
        <w:pStyle w:val="toc2"/>
      </w:pPr>
      <w:hyperlink w:anchor="_Toc000111" w:history="1">
        <w:r>
          <w:t xml:space="preserve">3.1 The decision gate</w:t>
        </w:r>
        <w:r>
          <w:t xml:space="preserve">	</w:t>
        </w:r>
        <w:r>
          <w:t xml:space="preserve">11</w:t>
        </w:r>
      </w:hyperlink>
    </w:p>
    <w:p>
      <w:pPr>
        <w:pStyle w:val="toc2"/>
      </w:pPr>
      <w:hyperlink w:anchor="_Toc000112" w:history="1">
        <w:r>
          <w:t xml:space="preserve">3.2 Data object register</w:t>
        </w:r>
        <w:r>
          <w:t xml:space="preserve">	</w:t>
        </w:r>
        <w:r>
          <w:t xml:space="preserve">11</w:t>
        </w:r>
      </w:hyperlink>
    </w:p>
    <w:p>
      <w:pPr>
        <w:pStyle w:val="toc2"/>
      </w:pPr>
      <w:hyperlink w:anchor="_Toc000113" w:history="1">
        <w:r>
          <w:t xml:space="preserve">3.3 Depth, delta and due dates</w:t>
        </w:r>
        <w:r>
          <w:t xml:space="preserve">	</w:t>
        </w:r>
        <w:r>
          <w:t xml:space="preserve">13</w:t>
        </w:r>
      </w:hyperlink>
    </w:p>
    <w:p>
      <w:pPr>
        <w:pStyle w:val="toc2"/>
      </w:pPr>
      <w:hyperlink w:anchor="_Toc000114" w:history="1">
        <w:r>
          <w:t xml:space="preserve">3.4 Business owners and data stewards</w:t>
        </w:r>
        <w:r>
          <w:t xml:space="preserve">	</w:t>
        </w:r>
        <w:r>
          <w:t xml:space="preserve">15</w:t>
        </w:r>
      </w:hyperlink>
    </w:p>
    <w:p>
      <w:pPr>
        <w:pStyle w:val="toc2"/>
      </w:pPr>
      <w:hyperlink w:anchor="_Toc000115" w:history="1">
        <w:r>
          <w:t xml:space="preserve">3.5 Client migration "2020 to present" and daily client batches</w:t>
        </w:r>
        <w:r>
          <w:t xml:space="preserve">	</w:t>
        </w:r>
        <w:r>
          <w:t xml:space="preserve">16</w:t>
        </w:r>
      </w:hyperlink>
    </w:p>
    <w:p>
      <w:pPr>
        <w:pStyle w:val="toc1"/>
      </w:pPr>
      <w:hyperlink w:anchor="_Toc000116" w:history="1">
        <w:r>
          <w:t xml:space="preserve">4 Source systems</w:t>
        </w:r>
        <w:r>
          <w:t xml:space="preserve">	</w:t>
        </w:r>
        <w:r>
          <w:t xml:space="preserve">17</w:t>
        </w:r>
      </w:hyperlink>
    </w:p>
    <w:p>
      <w:pPr>
        <w:pStyle w:val="toc2"/>
      </w:pPr>
      <w:hyperlink w:anchor="_Toc000117" w:history="1">
        <w:r>
          <w:t xml:space="preserve">4.1 Legacy systems in scope</w:t>
        </w:r>
        <w:r>
          <w:t xml:space="preserve">	</w:t>
        </w:r>
        <w:r>
          <w:t xml:space="preserve">17</w:t>
        </w:r>
      </w:hyperlink>
    </w:p>
    <w:p>
      <w:pPr>
        <w:pStyle w:val="toc2"/>
      </w:pPr>
      <w:hyperlink w:anchor="_Toc000118" w:history="1">
        <w:r>
          <w:t xml:space="preserve">4.2 Source per object</w:t>
        </w:r>
        <w:r>
          <w:t xml:space="preserve">	</w:t>
        </w:r>
        <w:r>
          <w:t xml:space="preserve">17</w:t>
        </w:r>
      </w:hyperlink>
    </w:p>
    <w:p>
      <w:pPr>
        <w:pStyle w:val="toc1"/>
      </w:pPr>
      <w:hyperlink w:anchor="_Toc000119" w:history="1">
        <w:r>
          <w:t xml:space="preserve">5 Target in BIBS</w:t>
        </w:r>
        <w:r>
          <w:t xml:space="preserve">	</w:t>
        </w:r>
        <w:r>
          <w:t xml:space="preserve">19</w:t>
        </w:r>
      </w:hyperlink>
    </w:p>
    <w:p>
      <w:pPr>
        <w:pStyle w:val="toc2"/>
      </w:pPr>
      <w:hyperlink w:anchor="_Toc000120" w:history="1">
        <w:r>
          <w:t xml:space="preserve">5.1 Target per object and load order</w:t>
        </w:r>
        <w:r>
          <w:t xml:space="preserve">	</w:t>
        </w:r>
        <w:r>
          <w:t xml:space="preserve">19</w:t>
        </w:r>
      </w:hyperlink>
    </w:p>
    <w:p>
      <w:pPr>
        <w:pStyle w:val="toc2"/>
      </w:pPr>
      <w:hyperlink w:anchor="_Toc000121" w:history="1">
        <w:r>
          <w:t xml:space="preserve">5.2 How migrated records are marked</w:t>
        </w:r>
        <w:r>
          <w:t xml:space="preserve">	</w:t>
        </w:r>
        <w:r>
          <w:t xml:space="preserve">20</w:t>
        </w:r>
      </w:hyperlink>
    </w:p>
    <w:p>
      <w:pPr>
        <w:pStyle w:val="toc1"/>
      </w:pPr>
      <w:hyperlink w:anchor="_Toc000122" w:history="1">
        <w:r>
          <w:t xml:space="preserve">6 Migration approach</w:t>
        </w:r>
        <w:r>
          <w:t xml:space="preserve">	</w:t>
        </w:r>
        <w:r>
          <w:t xml:space="preserve">21</w:t>
        </w:r>
      </w:hyperlink>
    </w:p>
    <w:p>
      <w:pPr>
        <w:pStyle w:val="toc2"/>
      </w:pPr>
      <w:hyperlink w:anchor="_Toc000123" w:history="1">
        <w:r>
          <w:t xml:space="preserve">6.1 End-to-end process</w:t>
        </w:r>
        <w:r>
          <w:t xml:space="preserve">	</w:t>
        </w:r>
        <w:r>
          <w:t xml:space="preserve">21</w:t>
        </w:r>
      </w:hyperlink>
    </w:p>
    <w:p>
      <w:pPr>
        <w:pStyle w:val="toc2"/>
      </w:pPr>
      <w:hyperlink w:anchor="_Toc000124" w:history="1">
        <w:r>
          <w:t xml:space="preserve">6.2 Extract templates</w:t>
        </w:r>
        <w:r>
          <w:t xml:space="preserve">	</w:t>
        </w:r>
        <w:r>
          <w:t xml:space="preserve">22</w:t>
        </w:r>
      </w:hyperlink>
    </w:p>
    <w:p>
      <w:pPr>
        <w:pStyle w:val="toc2"/>
      </w:pPr>
      <w:hyperlink w:anchor="_Toc000125" w:history="1">
        <w:r>
          <w:t xml:space="preserve">6.3 Secure transfer and staging</w:t>
        </w:r>
        <w:r>
          <w:t xml:space="preserve">	</w:t>
        </w:r>
        <w:r>
          <w:t xml:space="preserve">25</w:t>
        </w:r>
      </w:hyperlink>
    </w:p>
    <w:p>
      <w:pPr>
        <w:pStyle w:val="toc2"/>
      </w:pPr>
      <w:hyperlink w:anchor="_Toc000126" w:history="1">
        <w:r>
          <w:t xml:space="preserve">6.4 Profiling</w:t>
        </w:r>
        <w:r>
          <w:t xml:space="preserve">	</w:t>
        </w:r>
        <w:r>
          <w:t xml:space="preserve">26</w:t>
        </w:r>
      </w:hyperlink>
    </w:p>
    <w:p>
      <w:pPr>
        <w:pStyle w:val="toc2"/>
      </w:pPr>
      <w:hyperlink w:anchor="_Toc000127" w:history="1">
        <w:r>
          <w:t xml:space="preserve">6.5 Cleansing: who fixes what</w:t>
        </w:r>
        <w:r>
          <w:t xml:space="preserve">	</w:t>
        </w:r>
        <w:r>
          <w:t xml:space="preserve">26</w:t>
        </w:r>
      </w:hyperlink>
    </w:p>
    <w:p>
      <w:pPr>
        <w:pStyle w:val="toc2"/>
      </w:pPr>
      <w:hyperlink w:anchor="_Toc000128" w:history="1">
        <w:r>
          <w:t xml:space="preserve">6.6 Mapping and code maps</w:t>
        </w:r>
        <w:r>
          <w:t xml:space="preserve">	</w:t>
        </w:r>
        <w:r>
          <w:t xml:space="preserve">26</w:t>
        </w:r>
      </w:hyperlink>
    </w:p>
    <w:p>
      <w:pPr>
        <w:pStyle w:val="toc3"/>
      </w:pPr>
      <w:hyperlink w:anchor="_Toc000129" w:history="1">
        <w:r>
          <w:t xml:space="preserve">6.6.1 Package remapping</w:t>
        </w:r>
        <w:r>
          <w:t xml:space="preserve">	</w:t>
        </w:r>
        <w:r>
          <w:t xml:space="preserve">27</w:t>
        </w:r>
      </w:hyperlink>
    </w:p>
    <w:p>
      <w:pPr>
        <w:pStyle w:val="toc2"/>
      </w:pPr>
      <w:hyperlink w:anchor="_Toc000130" w:history="1">
        <w:r>
          <w:t xml:space="preserve">6.7 Validation</w:t>
        </w:r>
        <w:r>
          <w:t xml:space="preserve">	</w:t>
        </w:r>
        <w:r>
          <w:t xml:space="preserve">28</w:t>
        </w:r>
      </w:hyperlink>
    </w:p>
    <w:p>
      <w:pPr>
        <w:pStyle w:val="toc2"/>
      </w:pPr>
      <w:hyperlink w:anchor="_Toc000131" w:history="1">
        <w:r>
          <w:t xml:space="preserve">6.8 Client matching and survivorship</w:t>
        </w:r>
        <w:r>
          <w:t xml:space="preserve">	</w:t>
        </w:r>
        <w:r>
          <w:t xml:space="preserve">28</w:t>
        </w:r>
      </w:hyperlink>
    </w:p>
    <w:p>
      <w:pPr>
        <w:pStyle w:val="toc2"/>
      </w:pPr>
      <w:hyperlink w:anchor="_Toc000132" w:history="1">
        <w:r>
          <w:t xml:space="preserve">6.9 Load through the BIBS services</w:t>
        </w:r>
        <w:r>
          <w:t xml:space="preserve">	</w:t>
        </w:r>
        <w:r>
          <w:t xml:space="preserve">29</w:t>
        </w:r>
      </w:hyperlink>
    </w:p>
    <w:p>
      <w:pPr>
        <w:pStyle w:val="toc2"/>
      </w:pPr>
      <w:hyperlink w:anchor="_Toc000133" w:history="1">
        <w:r>
          <w:t xml:space="preserve">6.10 Reconciliation and sign-off</w:t>
        </w:r>
        <w:r>
          <w:t xml:space="preserve">	</w:t>
        </w:r>
        <w:r>
          <w:t xml:space="preserve">29</w:t>
        </w:r>
      </w:hyperlink>
    </w:p>
    <w:p>
      <w:pPr>
        <w:pStyle w:val="toc1"/>
      </w:pPr>
      <w:hyperlink w:anchor="_Toc000134" w:history="1">
        <w:r>
          <w:t xml:space="preserve">7 Legacy invoices after go-live</w:t>
        </w:r>
        <w:r>
          <w:t xml:space="preserve">	</w:t>
        </w:r>
        <w:r>
          <w:t xml:space="preserve">30</w:t>
        </w:r>
      </w:hyperlink>
    </w:p>
    <w:p>
      <w:pPr>
        <w:pStyle w:val="toc2"/>
      </w:pPr>
      <w:hyperlink w:anchor="_Toc000135" w:history="1">
        <w:r>
          <w:t xml:space="preserve">7.1 What a legacy invoice is</w:t>
        </w:r>
        <w:r>
          <w:t xml:space="preserve">	</w:t>
        </w:r>
        <w:r>
          <w:t xml:space="preserve">30</w:t>
        </w:r>
      </w:hyperlink>
    </w:p>
    <w:p>
      <w:pPr>
        <w:pStyle w:val="toc2"/>
      </w:pPr>
      <w:hyperlink w:anchor="_Toc000136" w:history="1">
        <w:r>
          <w:t xml:space="preserve">7.2 Legacy sub-ledgers</w:t>
        </w:r>
        <w:r>
          <w:t xml:space="preserve">	</w:t>
        </w:r>
        <w:r>
          <w:t xml:space="preserve">31</w:t>
        </w:r>
      </w:hyperlink>
    </w:p>
    <w:p>
      <w:pPr>
        <w:pStyle w:val="toc2"/>
      </w:pPr>
      <w:hyperlink w:anchor="_Toc000137" w:history="1">
        <w:r>
          <w:t xml:space="preserve">7.3 Worked example: one legacy invoice from load to remittance</w:t>
        </w:r>
        <w:r>
          <w:t xml:space="preserve">	</w:t>
        </w:r>
        <w:r>
          <w:t xml:space="preserve">31</w:t>
        </w:r>
      </w:hyperlink>
    </w:p>
    <w:p>
      <w:pPr>
        <w:pStyle w:val="toc2"/>
      </w:pPr>
      <w:hyperlink w:anchor="_Toc000138" w:history="1">
        <w:r>
          <w:t xml:space="preserve">7.4 Unapplied premium payments (UPP)</w:t>
        </w:r>
        <w:r>
          <w:t xml:space="preserve">	</w:t>
        </w:r>
        <w:r>
          <w:t xml:space="preserve">32</w:t>
        </w:r>
      </w:hyperlink>
    </w:p>
    <w:p>
      <w:pPr>
        <w:pStyle w:val="toc2"/>
      </w:pPr>
      <w:hyperlink w:anchor="_Toc000139" w:history="1">
        <w:r>
          <w:t xml:space="preserve">7.5 Payments, reversals, remittance, endorsements and Prod Recon</w:t>
        </w:r>
        <w:r>
          <w:t xml:space="preserve">	</w:t>
        </w:r>
        <w:r>
          <w:t xml:space="preserve">33</w:t>
        </w:r>
      </w:hyperlink>
    </w:p>
    <w:p>
      <w:pPr>
        <w:pStyle w:val="toc2"/>
      </w:pPr>
      <w:hyperlink w:anchor="_Toc000140" w:history="1">
        <w:r>
          <w:t xml:space="preserve">7.6 When the legacy context closes</w:t>
        </w:r>
        <w:r>
          <w:t xml:space="preserve">	</w:t>
        </w:r>
        <w:r>
          <w:t xml:space="preserve">33</w:t>
        </w:r>
      </w:hyperlink>
    </w:p>
    <w:p>
      <w:pPr>
        <w:pStyle w:val="toc1"/>
      </w:pPr>
      <w:hyperlink w:anchor="_Toc000141" w:history="1">
        <w:r>
          <w:t xml:space="preserve">8 In-force policies and the renewal-driven transition</w:t>
        </w:r>
        <w:r>
          <w:t xml:space="preserve">	</w:t>
        </w:r>
        <w:r>
          <w:t xml:space="preserve">34</w:t>
        </w:r>
      </w:hyperlink>
    </w:p>
    <w:p>
      <w:pPr>
        <w:pStyle w:val="toc2"/>
      </w:pPr>
      <w:hyperlink w:anchor="_Toc000142" w:history="1">
        <w:r>
          <w:t xml:space="preserve">8.1 In-force policy headers</w:t>
        </w:r>
        <w:r>
          <w:t xml:space="preserve">	</w:t>
        </w:r>
        <w:r>
          <w:t xml:space="preserve">34</w:t>
        </w:r>
      </w:hyperlink>
    </w:p>
    <w:p>
      <w:pPr>
        <w:pStyle w:val="toc2"/>
      </w:pPr>
      <w:hyperlink w:anchor="_Toc000143" w:history="1">
        <w:r>
          <w:t xml:space="preserve">8.2 Renewal by RMEL cohort</w:t>
        </w:r>
        <w:r>
          <w:t xml:space="preserve">	</w:t>
        </w:r>
        <w:r>
          <w:t xml:space="preserve">34</w:t>
        </w:r>
      </w:hyperlink>
    </w:p>
    <w:p>
      <w:pPr>
        <w:pStyle w:val="toc1"/>
      </w:pPr>
      <w:hyperlink w:anchor="_Toc000144" w:history="1">
        <w:r>
          <w:t xml:space="preserve">9 History, archive and read-only access</w:t>
        </w:r>
        <w:r>
          <w:t xml:space="preserve">	</w:t>
        </w:r>
        <w:r>
          <w:t xml:space="preserve">36</w:t>
        </w:r>
      </w:hyperlink>
    </w:p>
    <w:p>
      <w:pPr>
        <w:pStyle w:val="toc1"/>
      </w:pPr>
      <w:hyperlink w:anchor="_Toc000145" w:history="1">
        <w:r>
          <w:t xml:space="preserve">10 Migration cycles</w:t>
        </w:r>
        <w:r>
          <w:t xml:space="preserve">	</w:t>
        </w:r>
        <w:r>
          <w:t xml:space="preserve">37</w:t>
        </w:r>
      </w:hyperlink>
    </w:p>
    <w:p>
      <w:pPr>
        <w:pStyle w:val="toc2"/>
      </w:pPr>
      <w:hyperlink w:anchor="_Toc000146" w:history="1">
        <w:r>
          <w:t xml:space="preserve">10.1 Trial migrations, dress rehearsal and production</w:t>
        </w:r>
        <w:r>
          <w:t xml:space="preserve">	</w:t>
        </w:r>
        <w:r>
          <w:t xml:space="preserve">37</w:t>
        </w:r>
      </w:hyperlink>
    </w:p>
    <w:p>
      <w:pPr>
        <w:pStyle w:val="toc2"/>
      </w:pPr>
      <w:hyperlink w:anchor="_Toc000147" w:history="1">
        <w:r>
          <w:t xml:space="preserve">10.2 Test data and masking</w:t>
        </w:r>
        <w:r>
          <w:t xml:space="preserve">	</w:t>
        </w:r>
        <w:r>
          <w:t xml:space="preserve">38</w:t>
        </w:r>
      </w:hyperlink>
    </w:p>
    <w:p>
      <w:pPr>
        <w:pStyle w:val="toc1"/>
      </w:pPr>
      <w:hyperlink w:anchor="_Toc000148" w:history="1">
        <w:r>
          <w:t xml:space="preserve">11 Cutover strategy</w:t>
        </w:r>
        <w:r>
          <w:t xml:space="preserve">	</w:t>
        </w:r>
        <w:r>
          <w:t xml:space="preserve">39</w:t>
        </w:r>
      </w:hyperlink>
    </w:p>
    <w:p>
      <w:pPr>
        <w:pStyle w:val="toc2"/>
      </w:pPr>
      <w:hyperlink w:anchor="_Toc000149" w:history="1">
        <w:r>
          <w:t xml:space="preserve">11.1 Approach</w:t>
        </w:r>
        <w:r>
          <w:t xml:space="preserve">	</w:t>
        </w:r>
        <w:r>
          <w:t xml:space="preserve">39</w:t>
        </w:r>
      </w:hyperlink>
    </w:p>
    <w:p>
      <w:pPr>
        <w:pStyle w:val="toc2"/>
      </w:pPr>
      <w:hyperlink w:anchor="_Toc000150" w:history="1">
        <w:r>
          <w:t xml:space="preserve">11.2 Freeze windows</w:t>
        </w:r>
        <w:r>
          <w:t xml:space="preserve">	</w:t>
        </w:r>
        <w:r>
          <w:t xml:space="preserve">40</w:t>
        </w:r>
      </w:hyperlink>
    </w:p>
    <w:p>
      <w:pPr>
        <w:pStyle w:val="toc2"/>
      </w:pPr>
      <w:hyperlink w:anchor="_Toc000151" w:history="1">
        <w:r>
          <w:t xml:space="preserve">11.3 Parallel run</w:t>
        </w:r>
        <w:r>
          <w:t xml:space="preserve">	</w:t>
        </w:r>
        <w:r>
          <w:t xml:space="preserve">41</w:t>
        </w:r>
      </w:hyperlink>
    </w:p>
    <w:p>
      <w:pPr>
        <w:pStyle w:val="toc2"/>
      </w:pPr>
      <w:hyperlink w:anchor="_Toc000152" w:history="1">
        <w:r>
          <w:t xml:space="preserve">11.4 Go / no-go</w:t>
        </w:r>
        <w:r>
          <w:t xml:space="preserve">	</w:t>
        </w:r>
        <w:r>
          <w:t xml:space="preserve">41</w:t>
        </w:r>
      </w:hyperlink>
    </w:p>
    <w:p>
      <w:pPr>
        <w:pStyle w:val="toc2"/>
      </w:pPr>
      <w:hyperlink w:anchor="_Toc000153" w:history="1">
        <w:r>
          <w:t xml:space="preserve">11.5 Rollback</w:t>
        </w:r>
        <w:r>
          <w:t xml:space="preserve">	</w:t>
        </w:r>
        <w:r>
          <w:t xml:space="preserve">41</w:t>
        </w:r>
      </w:hyperlink>
    </w:p>
    <w:p>
      <w:pPr>
        <w:pStyle w:val="toc2"/>
      </w:pPr>
      <w:hyperlink w:anchor="_Toc000154" w:history="1">
        <w:r>
          <w:t xml:space="preserve">11.6 Hypercare</w:t>
        </w:r>
        <w:r>
          <w:t xml:space="preserve">	</w:t>
        </w:r>
        <w:r>
          <w:t xml:space="preserve">42</w:t>
        </w:r>
      </w:hyperlink>
    </w:p>
    <w:p>
      <w:pPr>
        <w:pStyle w:val="toc2"/>
      </w:pPr>
      <w:hyperlink w:anchor="_Toc000155" w:history="1">
        <w:r>
          <w:t xml:space="preserve">11.7 In-flight items at the freeze</w:t>
        </w:r>
        <w:r>
          <w:t xml:space="preserve">	</w:t>
        </w:r>
        <w:r>
          <w:t xml:space="preserve">42</w:t>
        </w:r>
      </w:hyperlink>
    </w:p>
    <w:p>
      <w:pPr>
        <w:pStyle w:val="toc2"/>
      </w:pPr>
      <w:hyperlink w:anchor="_Toc000156" w:history="1">
        <w:r>
          <w:t xml:space="preserve">11.8 Decommissioning</w:t>
        </w:r>
        <w:r>
          <w:t xml:space="preserve">	</w:t>
        </w:r>
        <w:r>
          <w:t xml:space="preserve">42</w:t>
        </w:r>
      </w:hyperlink>
    </w:p>
    <w:p>
      <w:pPr>
        <w:pStyle w:val="toc1"/>
      </w:pPr>
      <w:hyperlink w:anchor="_Toc000157" w:history="1">
        <w:r>
          <w:t xml:space="preserve">12 Data security</w:t>
        </w:r>
        <w:r>
          <w:t xml:space="preserve">	</w:t>
        </w:r>
        <w:r>
          <w:t xml:space="preserve">43</w:t>
        </w:r>
      </w:hyperlink>
    </w:p>
    <w:p>
      <w:pPr>
        <w:pStyle w:val="toc1"/>
      </w:pPr>
      <w:hyperlink w:anchor="_Toc000158" w:history="1">
        <w:r>
          <w:t xml:space="preserve">13 Roles and responsibilities</w:t>
        </w:r>
        <w:r>
          <w:t xml:space="preserve">	</w:t>
        </w:r>
        <w:r>
          <w:t xml:space="preserve">44</w:t>
        </w:r>
      </w:hyperlink>
    </w:p>
    <w:p>
      <w:pPr>
        <w:pStyle w:val="toc2"/>
      </w:pPr>
      <w:hyperlink w:anchor="_Toc000159" w:history="1">
        <w:r>
          <w:t xml:space="preserve">13.1 Migration organisation</w:t>
        </w:r>
        <w:r>
          <w:t xml:space="preserve">	</w:t>
        </w:r>
        <w:r>
          <w:t xml:space="preserve">44</w:t>
        </w:r>
      </w:hyperlink>
    </w:p>
    <w:p>
      <w:pPr>
        <w:pStyle w:val="toc2"/>
      </w:pPr>
      <w:hyperlink w:anchor="_Toc000160" w:history="1">
        <w:r>
          <w:t xml:space="preserve">13.2 RACI</w:t>
        </w:r>
        <w:r>
          <w:t xml:space="preserve">	</w:t>
        </w:r>
        <w:r>
          <w:t xml:space="preserve">44</w:t>
        </w:r>
      </w:hyperlink>
    </w:p>
    <w:p>
      <w:pPr>
        <w:pStyle w:val="toc1"/>
      </w:pPr>
      <w:hyperlink w:anchor="_Toc000161" w:history="1">
        <w:r>
          <w:t xml:space="preserve">14 Risks and mitigations</w:t>
        </w:r>
        <w:r>
          <w:t xml:space="preserve">	</w:t>
        </w:r>
        <w:r>
          <w:t xml:space="preserve">46</w:t>
        </w:r>
      </w:hyperlink>
    </w:p>
    <w:p>
      <w:pPr>
        <w:pStyle w:val="toc1"/>
      </w:pPr>
      <w:hyperlink w:anchor="_Toc000162" w:history="1">
        <w:r>
          <w:t xml:space="preserve">15 Dependencies and open decisions</w:t>
        </w:r>
        <w:r>
          <w:t xml:space="preserve">	</w:t>
        </w:r>
        <w:r>
          <w:t xml:space="preserve">47</w:t>
        </w:r>
      </w:hyperlink>
    </w:p>
    <w:p>
      <w:pPr>
        <w:pStyle w:val="toc2"/>
      </w:pPr>
      <w:hyperlink w:anchor="_Toc000163" w:history="1">
        <w:r>
          <w:t xml:space="preserve">15.1 Dependencies</w:t>
        </w:r>
        <w:r>
          <w:t xml:space="preserve">	</w:t>
        </w:r>
        <w:r>
          <w:t xml:space="preserve">47</w:t>
        </w:r>
      </w:hyperlink>
    </w:p>
    <w:p>
      <w:pPr>
        <w:pStyle w:val="toc2"/>
      </w:pPr>
      <w:hyperlink w:anchor="_Toc000164" w:history="1">
        <w:r>
          <w:t xml:space="preserve">15.2 Open decisions and the date each is needed by</w:t>
        </w:r>
        <w:r>
          <w:t xml:space="preserve">	</w:t>
        </w:r>
        <w:r>
          <w:t xml:space="preserve">47</w:t>
        </w:r>
      </w:hyperlink>
    </w:p>
    <w:p>
      <w:pPr>
        <w:pStyle w:val="toc1"/>
      </w:pPr>
      <w:hyperlink w:anchor="_Toc000165" w:history="1">
        <w:r>
          <w:t xml:space="preserve">16 Timeline</w:t>
        </w:r>
        <w:r>
          <w:t xml:space="preserve">	</w:t>
        </w:r>
        <w:r>
          <w:t xml:space="preserve">50</w:t>
        </w:r>
      </w:hyperlink>
    </w:p>
    <w:p>
      <w:pPr>
        <w:pStyle w:val="toc2"/>
      </w:pPr>
      <w:hyperlink w:anchor="_Toc000166" w:history="1">
        <w:r>
          <w:t xml:space="preserve">16.1 Alignment with the BDOI timeline</w:t>
        </w:r>
        <w:r>
          <w:t xml:space="preserve">	</w:t>
        </w:r>
        <w:r>
          <w:t xml:space="preserve">50</w:t>
        </w:r>
      </w:hyperlink>
    </w:p>
    <w:p>
      <w:pPr>
        <w:pStyle w:val="toc1"/>
      </w:pPr>
      <w:hyperlink w:anchor="_Toc000167" w:history="1">
        <w:r>
          <w:t xml:space="preserve">Glossary</w:t>
        </w:r>
        <w:r>
          <w:t xml:space="preserve">	</w:t>
        </w:r>
        <w:r>
          <w:t xml:space="preserve">52</w:t>
        </w:r>
      </w:hyperlink>
    </w:p>
    <w:p>
      <w:pPr>
        <w:pStyle w:val="toc1"/>
      </w:pPr>
      <w:hyperlink w:anchor="_Toc000168" w:history="1">
        <w:r>
          <w:t xml:space="preserve">Sign-off</w:t>
        </w:r>
        <w:r>
          <w:t xml:space="preserve">	</w:t>
        </w:r>
        <w:r>
          <w:t xml:space="preserve">53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sets out how BDO Insurance and Reinsurance Brokers, Inc. (BDOI) moves from its legacy systems to BIBS (BDOI Broker System, on iNXT BrokerVerse). It answers four questions for the BDOI departments and BDOI IT:</w:t>
      </w:r>
    </w:p>
    <w:p>
      <w:pPr>
        <w:tabs>
          <w:tab w:pos="312" w:val="left"/>
        </w:tabs>
        <w:spacing w:after="40"/>
        <w:ind w:left="312" w:hanging="283"/>
      </w:pPr>
      <w:r>
        <w:rPr>
          <w:color w:val="004EA8"/>
        </w:rPr>
        <w:t>1.</w:t>
        <w:tab/>
      </w:r>
      <w:r>
        <w:rPr>
          <w:b/>
        </w:rPr>
        <w:t>What data moves</w:t>
      </w:r>
      <w:r>
        <w:rPr/>
        <w:t>, object by object, and what stays behind (Migrate, Carry forward, Archive, Excluded).</w:t>
      </w:r>
    </w:p>
    <w:p>
      <w:pPr>
        <w:tabs>
          <w:tab w:pos="312" w:val="left"/>
        </w:tabs>
        <w:spacing w:after="40"/>
        <w:ind w:left="312" w:hanging="283"/>
      </w:pPr>
      <w:r>
        <w:rPr>
          <w:color w:val="004EA8"/>
        </w:rPr>
        <w:t>2.</w:t>
        <w:tab/>
      </w:r>
      <w:r>
        <w:rPr>
          <w:b/>
        </w:rPr>
        <w:t>What BDOI provides</w:t>
      </w:r>
      <w:r>
        <w:rPr/>
        <w:t>, in which form and by when (the Data Requirements Workbook and the extract templates).</w:t>
      </w:r>
    </w:p>
    <w:p>
      <w:pPr>
        <w:tabs>
          <w:tab w:pos="312" w:val="left"/>
        </w:tabs>
        <w:spacing w:after="40"/>
        <w:ind w:left="312" w:hanging="283"/>
      </w:pPr>
      <w:r>
        <w:rPr>
          <w:color w:val="004EA8"/>
        </w:rPr>
        <w:t>3.</w:t>
        <w:tab/>
      </w:r>
      <w:r>
        <w:rPr>
          <w:b/>
        </w:rPr>
        <w:t>How the data gets into BIBS</w:t>
      </w:r>
      <w:r>
        <w:rPr/>
        <w:t>: transfer, staging, cleansing, code mapping, validation, load and reconciliation, and who does each step.</w:t>
      </w:r>
    </w:p>
    <w:p>
      <w:pPr>
        <w:tabs>
          <w:tab w:pos="312" w:val="left"/>
        </w:tabs>
        <w:spacing w:after="120"/>
        <w:ind w:left="312" w:hanging="283"/>
      </w:pPr>
      <w:r>
        <w:rPr>
          <w:color w:val="004EA8"/>
        </w:rPr>
        <w:t>4.</w:t>
        <w:tab/>
      </w:r>
      <w:r>
        <w:rPr>
          <w:b/>
        </w:rPr>
        <w:t>How the cutover is run and proven</w:t>
      </w:r>
      <w:r>
        <w:rPr/>
        <w:t>: rehearsals, freeze, go / no-go, rollback, hypercare and decommissioning of the legacy systems.</w:t>
      </w:r>
    </w:p>
    <w:p>
      <w:r>
        <w:rPr/>
        <w:t>It also explains, for business readers, how legacy invoices and unapplied payments that are still open at cutover are processed in BIBS after go-live.</w:t>
      </w:r>
    </w:p>
    <w:p>
      <w:pPr>
        <w:pStyle w:val="Heading2"/>
      </w:pPr>
      <w:bookmarkStart w:id="103" w:name="_Toc000103"/>
      <w:r>
        <w:rPr/>
        <w:t>1.2 Scope and basis</w:t>
      </w:r>
      <w:bookmarkEnd w:id="103"/>
    </w:p>
    <w:p>
      <w:r>
        <w:rPr/>
        <w:t xml:space="preserve">The basis is the Data Migration BRD (R1), a </w:t>
      </w:r>
      <w:r>
        <w:rPr>
          <w:b/>
        </w:rPr>
        <w:t>draft v0.01 of 14-Apr-2026 that is not signed</w:t>
      </w:r>
      <w:r>
        <w:rPr/>
        <w:t xml:space="preserve"> (p.2, p.15-16; register DCR-189).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document follows that approach and fills the gaps the BRD leaves with proposals, each tied to an open decision (DMQ##) that BDOI confirms.</w:t>
      </w:r>
    </w:p>
    <w:p>
      <w:r>
        <w:rPr/>
        <w:t xml:space="preserve">Data Migration is </w:t>
      </w:r>
      <w:r>
        <w:rPr>
          <w:b/>
        </w:rPr>
        <w:t>designed and not yet built</w:t>
      </w:r>
      <w:r>
        <w:rPr/>
        <w:t xml:space="preserve"> in BIBS. The mechanisms named here (Migration Console, loaders, reconciliation, legacy invoice processing) are those of the build design (R3) and the FRS (R4).</w:t>
      </w:r>
    </w:p>
    <w:p>
      <w:r>
        <w:rPr>
          <w:b/>
        </w:rPr>
        <w:t>Programme calendar and the early-renewal concept paper.</w:t>
      </w:r>
      <w:r>
        <w:rPr/>
        <w:t xml:space="preserve"> This version follows the BDOI drop plan and timeline (R9): data migration is part of Drop 0, requirements and mapping run in September-October 2026, the build from November 2026 to March 2027, SIT migration from April to July 2027, UAT migration from August to October 2027, full migration and cut-over from November 2027 to January 2028, and go-live is in January 2028. The concept paper on an early renewal release (R10), signed on 6 September 2026, proposed to take renewal processing live by 15 August 2027 with the client master and reference data migrated ahead of it. BDOI decided on 26 September 2026 that everything goes live together in January 2028; the concept paper is therefore superseded and there is </w:t>
      </w:r>
      <w:r>
        <w:rPr>
          <w:b/>
        </w:rPr>
        <w:t>one production cut-over</w:t>
      </w:r>
      <w:r>
        <w:rPr/>
        <w:t xml:space="preserve"> (register DCR-240). Of its points, the trial-migration load order still applies: reference data and clients are loaded first in every trial migration (section 10.1).</w:t>
      </w:r>
    </w:p>
    <w:p>
      <w:r>
        <w:rPr>
          <w:b/>
        </w:rPr>
        <w:t>BDOI answers of 26 September 2026.</w:t>
      </w:r>
      <w:r>
        <w:rPr/>
        <w:t xml:space="preserve"> This version applies BDOI's answers to four open decisions: legacy packages are remapped at Renewal sanitation and the migration only loads the PACKAGE code map (DMQ36, section 6.6.1); the renewals of the January-May 2028 expiries are processed in BIBS after go-live from a go-live extraction of the migrated policy headers, with the renewal advices already sent loaded so they are not sent again (DMQ37, section 8.2); the RMEL and dispositions are kept in Excel, and the Renewal processing team reviews rejected rows with a maker and a checker (DMQ38, section 8.2); and, as a recommendation that Comptrollership still confirms, the go-live sits on the year-end boundary with a provisional GL opening and controlled true-ups of the FY2027 closing and audit adjustments (DMQ39, section 11.1).</w:t>
      </w:r>
    </w:p>
    <w:p>
      <w:pPr>
        <w:pStyle w:val="Heading2"/>
      </w:pPr>
      <w:bookmarkStart w:id="104" w:name="_Toc000104"/>
      <w:r>
        <w:rPr/>
        <w:t>1.3 The Data Migration document set</w:t>
      </w:r>
      <w:bookmarkEnd w:id="104"/>
    </w:p>
    <w:p>
      <w:pPr>
        <w:pStyle w:val="Caption"/>
        <w:keepNext/>
        <w:spacing w:after="60"/>
      </w:pPr>
      <w:r>
        <w:rPr>
          <w:b/>
          <w:i w:val="0"/>
        </w:rPr>
        <w:t xml:space="preserve">Table 1: </w:t>
      </w:r>
      <w:r>
        <w:rPr/>
        <w:t>Documents of this set (version 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922"/>
        <w:gridCol w:w="4926"/>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Format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124"/>
            <w:tcMar>
              <w:top w:w="50" w:type="dxa"/>
              <w:bottom w:w="50" w:type="dxa"/>
              <w:left w:w="90" w:type="dxa"/>
              <w:right w:w="90" w:type="dxa"/>
            </w:tcMar>
          </w:tcPr>
          <w:p>
            <w:pPr>
              <w:pStyle w:val="BDOITable"/>
            </w:pPr>
            <w:r>
              <w:rPr>
                <w:sz w:val="18"/>
              </w:rPr>
              <w:t>Data Migration Strategy and Approach (this document)</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Decisions, approach, responsibilities, timeline; for approval</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BDOI Data Requirements Workbook</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One sheet per extract layout (fields, formats, rules, BIBS target), object register, code map templates, control totals, data-quality rules, open decisions; for BDOI IT and data stewards</w:t>
            </w:r>
          </w:p>
        </w:tc>
      </w:tr>
      <w:tr>
        <w:trPr>
          <w:cantSplit w:val="true"/>
        </w:trPr>
        <w:tc>
          <w:tcPr>
            <w:tcW w:type="dxa" w:w="3124"/>
            <w:tcMar>
              <w:top w:w="50" w:type="dxa"/>
              <w:bottom w:w="50" w:type="dxa"/>
              <w:left w:w="90" w:type="dxa"/>
              <w:right w:w="90" w:type="dxa"/>
            </w:tcMar>
          </w:tcPr>
          <w:p>
            <w:pPr>
              <w:pStyle w:val="BDOITable"/>
            </w:pPr>
            <w:r>
              <w:rPr>
                <w:sz w:val="18"/>
              </w:rPr>
              <w:t>Extract templates (</w:t>
            </w:r>
            <w:r>
              <w:rPr>
                <w:rFonts w:ascii="Courier New" w:hAnsi="Courier New" w:cs="Courier New" w:eastAsia="Courier New"/>
                <w:color w:val="2E2E2E"/>
                <w:sz w:val="16"/>
              </w:rPr>
              <w:t>templates/</w:t>
            </w:r>
            <w:r>
              <w:rPr>
                <w:sz w:val="18"/>
              </w:rPr>
              <w:t>)</w:t>
            </w:r>
          </w:p>
        </w:tc>
        <w:tc>
          <w:tcPr>
            <w:tcW w:type="dxa" w:w="1922"/>
            <w:tcMar>
              <w:top w:w="50" w:type="dxa"/>
              <w:bottom w:w="50" w:type="dxa"/>
              <w:left w:w="90" w:type="dxa"/>
              <w:right w:w="90" w:type="dxa"/>
            </w:tcMar>
          </w:tcPr>
          <w:p>
            <w:pPr>
              <w:pStyle w:val="BDOITable"/>
            </w:pPr>
            <w:r>
              <w:rPr>
                <w:sz w:val="18"/>
              </w:rPr>
              <w:t>CSV, XLSX + README</w:t>
            </w:r>
          </w:p>
        </w:tc>
        <w:tc>
          <w:tcPr>
            <w:tcW w:type="dxa" w:w="4926"/>
            <w:tcMar>
              <w:top w:w="50" w:type="dxa"/>
              <w:bottom w:w="50" w:type="dxa"/>
              <w:left w:w="90" w:type="dxa"/>
              <w:right w:w="90" w:type="dxa"/>
            </w:tcMar>
          </w:tcPr>
          <w:p>
            <w:pPr>
              <w:pStyle w:val="BDOITable"/>
            </w:pPr>
            <w:r>
              <w:rPr>
                <w:sz w:val="18"/>
              </w:rPr>
              <w:t>One header-only CSV per layout, the Excel template of the RA-sent file (P03) for the Renewal processing team, and the control-file template (deliverable 20)</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Reconciliation Approach and Sign-off</w:t>
            </w:r>
          </w:p>
        </w:tc>
        <w:tc>
          <w:tcPr>
            <w:tcW w:type="dxa" w:w="1922"/>
            <w:tcMar>
              <w:top w:w="50" w:type="dxa"/>
              <w:bottom w:w="50" w:type="dxa"/>
              <w:left w:w="90" w:type="dxa"/>
              <w:right w:w="90" w:type="dxa"/>
            </w:tcMar>
            <w:shd w:val="clear" w:color="auto" w:fill="E5F5FF"/>
          </w:tcPr>
          <w:p>
            <w:pPr>
              <w:pStyle w:val="BDOITable"/>
            </w:pPr>
            <w:r>
              <w:rPr>
                <w:sz w:val="18"/>
              </w:rPr>
              <w:t>Word</w:t>
            </w:r>
          </w:p>
        </w:tc>
        <w:tc>
          <w:tcPr>
            <w:tcW w:type="dxa" w:w="4926"/>
            <w:tcMar>
              <w:top w:w="50" w:type="dxa"/>
              <w:bottom w:w="50" w:type="dxa"/>
              <w:left w:w="90" w:type="dxa"/>
              <w:right w:w="90" w:type="dxa"/>
            </w:tcMar>
            <w:shd w:val="clear" w:color="auto" w:fill="E5F5FF"/>
          </w:tcPr>
          <w:p>
            <w:pPr>
              <w:pStyle w:val="BDOITable"/>
            </w:pPr>
            <w:r>
              <w:rPr>
                <w:sz w:val="18"/>
              </w:rPr>
              <w:t>Reconciliation per object, sampling, evidence and the sign-off forms</w:t>
            </w:r>
          </w:p>
        </w:tc>
      </w:tr>
      <w:tr>
        <w:trPr>
          <w:cantSplit w:val="true"/>
        </w:trPr>
        <w:tc>
          <w:tcPr>
            <w:tcW w:type="dxa" w:w="3124"/>
            <w:tcMar>
              <w:top w:w="50" w:type="dxa"/>
              <w:bottom w:w="50" w:type="dxa"/>
              <w:left w:w="90" w:type="dxa"/>
              <w:right w:w="90" w:type="dxa"/>
            </w:tcMar>
          </w:tcPr>
          <w:p>
            <w:pPr>
              <w:pStyle w:val="BDOITable"/>
            </w:pPr>
            <w:r>
              <w:rPr>
                <w:sz w:val="18"/>
              </w:rPr>
              <w:t>Cutover Runbook</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Cutover organisation, T-30 to hypercare exit, checkpoints, rollback, communication, decommissioning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Cutover Task Plan</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The runbook tasks with owner, duration, predecessors and verification, for execution</w:t>
            </w:r>
          </w:p>
        </w:tc>
      </w:tr>
      <w:tr>
        <w:trPr>
          <w:cantSplit w:val="true"/>
        </w:trPr>
        <w:tc>
          <w:tcPr>
            <w:tcW w:type="dxa" w:w="3124"/>
            <w:tcMar>
              <w:top w:w="50" w:type="dxa"/>
              <w:bottom w:w="50" w:type="dxa"/>
              <w:left w:w="90" w:type="dxa"/>
              <w:right w:w="90" w:type="dxa"/>
            </w:tcMar>
          </w:tcPr>
          <w:p>
            <w:pPr>
              <w:pStyle w:val="BDOITable"/>
            </w:pPr>
            <w:r>
              <w:rPr>
                <w:sz w:val="18"/>
              </w:rPr>
              <w:t>Migration Test Plan BRD-13</w:t>
            </w:r>
          </w:p>
        </w:tc>
        <w:tc>
          <w:tcPr>
            <w:tcW w:type="dxa" w:w="1922"/>
            <w:tcMar>
              <w:top w:w="50" w:type="dxa"/>
              <w:bottom w:w="50" w:type="dxa"/>
              <w:left w:w="90" w:type="dxa"/>
              <w:right w:w="90" w:type="dxa"/>
            </w:tcMar>
          </w:tcPr>
          <w:p>
            <w:pPr>
              <w:pStyle w:val="BDOITable"/>
            </w:pPr>
            <w:r>
              <w:rPr>
                <w:sz w:val="18"/>
              </w:rPr>
              <w:t>Excel + Word</w:t>
            </w:r>
          </w:p>
        </w:tc>
        <w:tc>
          <w:tcPr>
            <w:tcW w:type="dxa" w:w="4926"/>
            <w:tcMar>
              <w:top w:w="50" w:type="dxa"/>
              <w:bottom w:w="50" w:type="dxa"/>
              <w:left w:w="90" w:type="dxa"/>
              <w:right w:w="90" w:type="dxa"/>
            </w:tcMar>
          </w:tcPr>
          <w:p>
            <w:pPr>
              <w:pStyle w:val="BDOITable"/>
            </w:pPr>
            <w:r>
              <w:rPr>
                <w:sz w:val="18"/>
              </w:rPr>
              <w:t>Test conditions and cases of every Data Migration FR (deliverable 3)</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4603"/>
        <w:gridCol w:w="1753"/>
        <w:gridCol w:w="2959"/>
      </w:tblGrid>
      <w:tr>
        <w:trPr>
          <w:tblHeader w:val="true"/>
          <w:cantSplit w:val="true"/>
        </w:trPr>
        <w:tc>
          <w:tcPr>
            <w:tcW w:type="dxa" w:w="657"/>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7"/>
              </w:rPr>
              <w:t>Version</w:t>
            </w:r>
          </w:p>
        </w:tc>
        <w:tc>
          <w:tcPr>
            <w:tcW w:type="dxa" w:w="2959"/>
            <w:shd w:val="clear" w:color="auto" w:fill="004EA8"/>
            <w:tcMar>
              <w:top w:w="50" w:type="dxa"/>
              <w:bottom w:w="50" w:type="dxa"/>
              <w:left w:w="90" w:type="dxa"/>
              <w:right w:w="90" w:type="dxa"/>
            </w:tcMar>
            <w:vAlign w:val="center"/>
          </w:tcPr>
          <w:p>
            <w:pPr>
              <w:pStyle w:val="BDOITableHeader"/>
            </w:pPr>
            <w:r>
              <w:rPr>
                <w:b/>
                <w:color w:val="FFFFFF"/>
                <w:sz w:val="17"/>
              </w:rPr>
              <w:t>Location</w:t>
            </w:r>
          </w:p>
        </w:tc>
      </w:tr>
      <w:tr>
        <w:trPr>
          <w:cantSplit w:val="true"/>
        </w:trPr>
        <w:tc>
          <w:tcPr>
            <w:tcW w:type="dxa" w:w="657"/>
            <w:tcMar>
              <w:top w:w="50" w:type="dxa"/>
              <w:bottom w:w="50" w:type="dxa"/>
              <w:left w:w="90" w:type="dxa"/>
              <w:right w:w="90" w:type="dxa"/>
            </w:tcMar>
          </w:tcPr>
          <w:p>
            <w:pPr>
              <w:pStyle w:val="BDOITable"/>
            </w:pPr>
            <w:r>
              <w:rPr>
                <w:sz w:val="17"/>
              </w:rPr>
              <w:t>R1</w:t>
            </w:r>
          </w:p>
        </w:tc>
        <w:tc>
          <w:tcPr>
            <w:tcW w:type="dxa" w:w="4602"/>
            <w:tcMar>
              <w:top w:w="50" w:type="dxa"/>
              <w:bottom w:w="50" w:type="dxa"/>
              <w:left w:w="90" w:type="dxa"/>
              <w:right w:w="90" w:type="dxa"/>
            </w:tcMar>
          </w:tcPr>
          <w:p>
            <w:pPr>
              <w:pStyle w:val="BDOITable"/>
            </w:pPr>
            <w:r>
              <w:rPr>
                <w:sz w:val="17"/>
              </w:rPr>
              <w:t>BDO Insure Core Modernization - Data Migration BRD</w:t>
            </w:r>
          </w:p>
        </w:tc>
        <w:tc>
          <w:tcPr>
            <w:tcW w:type="dxa" w:w="1753"/>
            <w:tcMar>
              <w:top w:w="50" w:type="dxa"/>
              <w:bottom w:w="50" w:type="dxa"/>
              <w:left w:w="90" w:type="dxa"/>
              <w:right w:w="90" w:type="dxa"/>
            </w:tcMar>
          </w:tcPr>
          <w:p>
            <w:pPr>
              <w:pStyle w:val="BDOITable"/>
            </w:pPr>
            <w:r>
              <w:rPr>
                <w:sz w:val="17"/>
              </w:rPr>
              <w:t>draft v0.01, 14-Apr-2026</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docs/source-documents/BRD - Data Migration - draft V0.01.pdf</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R2</w:t>
            </w:r>
          </w:p>
        </w:tc>
        <w:tc>
          <w:tcPr>
            <w:tcW w:type="dxa" w:w="4602"/>
            <w:tcMar>
              <w:top w:w="50" w:type="dxa"/>
              <w:bottom w:w="50" w:type="dxa"/>
              <w:left w:w="90" w:type="dxa"/>
              <w:right w:w="90" w:type="dxa"/>
            </w:tcMar>
            <w:shd w:val="clear" w:color="auto" w:fill="E5F5FF"/>
          </w:tcPr>
          <w:p>
            <w:pPr>
              <w:pStyle w:val="BDOITable"/>
            </w:pPr>
            <w:r>
              <w:rPr>
                <w:sz w:val="17"/>
              </w:rPr>
              <w:t>Data Migration (BRD-13) requirements baseline and fit/gap</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docs/requirements/BDOI_DM_BRD_SPEC.md</w:t>
            </w:r>
          </w:p>
        </w:tc>
      </w:tr>
      <w:tr>
        <w:trPr>
          <w:cantSplit w:val="true"/>
        </w:trPr>
        <w:tc>
          <w:tcPr>
            <w:tcW w:type="dxa" w:w="657"/>
            <w:tcMar>
              <w:top w:w="50" w:type="dxa"/>
              <w:bottom w:w="50" w:type="dxa"/>
              <w:left w:w="90" w:type="dxa"/>
              <w:right w:w="90" w:type="dxa"/>
            </w:tcMar>
          </w:tcPr>
          <w:p>
            <w:pPr>
              <w:pStyle w:val="BDOITable"/>
            </w:pPr>
            <w:r>
              <w:rPr>
                <w:sz w:val="17"/>
              </w:rPr>
              <w:t>R3</w:t>
            </w:r>
          </w:p>
        </w:tc>
        <w:tc>
          <w:tcPr>
            <w:tcW w:type="dxa" w:w="4602"/>
            <w:tcMar>
              <w:top w:w="50" w:type="dxa"/>
              <w:bottom w:w="50" w:type="dxa"/>
              <w:left w:w="90" w:type="dxa"/>
              <w:right w:w="90" w:type="dxa"/>
            </w:tcMar>
          </w:tcPr>
          <w:p>
            <w:pPr>
              <w:pStyle w:val="BDOITable"/>
            </w:pPr>
            <w:r>
              <w:rPr>
                <w:sz w:val="17"/>
              </w:rPr>
              <w:t>Data Migration build design</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docs/architecture/DATA_MIGRATION_DESIGN.md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R4</w:t>
            </w:r>
          </w:p>
        </w:tc>
        <w:tc>
          <w:tcPr>
            <w:tcW w:type="dxa" w:w="4602"/>
            <w:tcMar>
              <w:top w:w="50" w:type="dxa"/>
              <w:bottom w:w="50" w:type="dxa"/>
              <w:left w:w="90" w:type="dxa"/>
              <w:right w:w="90" w:type="dxa"/>
            </w:tcMar>
            <w:shd w:val="clear" w:color="auto" w:fill="E5F5FF"/>
          </w:tcPr>
          <w:p>
            <w:pPr>
              <w:pStyle w:val="BDOITable"/>
            </w:pPr>
            <w:r>
              <w:rPr>
                <w:sz w:val="17"/>
              </w:rPr>
              <w:t>Functional Requirements Specification BRD-13 Data Migration</w:t>
            </w:r>
          </w:p>
        </w:tc>
        <w:tc>
          <w:tcPr>
            <w:tcW w:type="dxa" w:w="1753"/>
            <w:tcMar>
              <w:top w:w="50" w:type="dxa"/>
              <w:bottom w:w="50" w:type="dxa"/>
              <w:left w:w="90" w:type="dxa"/>
              <w:right w:w="90" w:type="dxa"/>
            </w:tcMar>
            <w:shd w:val="clear" w:color="auto" w:fill="E5F5FF"/>
          </w:tcPr>
          <w:p>
            <w:pPr>
              <w:pStyle w:val="BDOITable"/>
            </w:pPr>
            <w:r>
              <w:rPr>
                <w:sz w:val="17"/>
              </w:rPr>
              <w:t>1.2</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BIBS_FRS_BRD-13_Data_Migration_v1.2.docx</w:t>
            </w:r>
          </w:p>
        </w:tc>
      </w:tr>
      <w:tr>
        <w:trPr>
          <w:cantSplit w:val="true"/>
        </w:trPr>
        <w:tc>
          <w:tcPr>
            <w:tcW w:type="dxa" w:w="657"/>
            <w:tcMar>
              <w:top w:w="50" w:type="dxa"/>
              <w:bottom w:w="50" w:type="dxa"/>
              <w:left w:w="90" w:type="dxa"/>
              <w:right w:w="90" w:type="dxa"/>
            </w:tcMar>
          </w:tcPr>
          <w:p>
            <w:pPr>
              <w:pStyle w:val="BDOITable"/>
            </w:pPr>
            <w:r>
              <w:rPr>
                <w:sz w:val="17"/>
              </w:rPr>
              <w:t>R5</w:t>
            </w:r>
          </w:p>
        </w:tc>
        <w:tc>
          <w:tcPr>
            <w:tcW w:type="dxa" w:w="4602"/>
            <w:tcMar>
              <w:top w:w="50" w:type="dxa"/>
              <w:bottom w:w="50" w:type="dxa"/>
              <w:left w:w="90" w:type="dxa"/>
              <w:right w:w="90" w:type="dxa"/>
            </w:tcMar>
          </w:tcPr>
          <w:p>
            <w:pPr>
              <w:pStyle w:val="BDOITable"/>
            </w:pPr>
            <w:r>
              <w:rPr>
                <w:sz w:val="17"/>
              </w:rPr>
              <w:t>BRD BDOI Core Replacement (umbrella BRD) and its analysis</w:t>
            </w:r>
          </w:p>
        </w:tc>
        <w:tc>
          <w:tcPr>
            <w:tcW w:type="dxa" w:w="1753"/>
            <w:tcMar>
              <w:top w:w="50" w:type="dxa"/>
              <w:bottom w:w="50" w:type="dxa"/>
              <w:left w:w="90" w:type="dxa"/>
              <w:right w:w="90" w:type="dxa"/>
            </w:tcMar>
          </w:tcPr>
          <w:p>
            <w:pPr>
              <w:pStyle w:val="BDOITable"/>
            </w:pPr>
            <w:r>
              <w:rPr>
                <w:sz w:val="17"/>
              </w:rPr>
              <w:t>v01</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docs/source-documents/00 - BRD BDOI Core Replacement v01.pdf</w:t>
            </w:r>
            <w:r>
              <w:rPr>
                <w:sz w:val="17"/>
              </w:rPr>
              <w:t xml:space="preserve">; </w:t>
            </w:r>
            <w:r>
              <w:rPr>
                <w:rFonts w:ascii="Courier New" w:hAnsi="Courier New" w:cs="Courier New" w:eastAsia="Courier New"/>
                <w:color w:val="2E2E2E"/>
                <w:sz w:val="15"/>
              </w:rPr>
              <w:t>BDOI_CORE_BRD_SPEC.md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R6</w:t>
            </w:r>
          </w:p>
        </w:tc>
        <w:tc>
          <w:tcPr>
            <w:tcW w:type="dxa" w:w="4602"/>
            <w:tcMar>
              <w:top w:w="50" w:type="dxa"/>
              <w:bottom w:w="50" w:type="dxa"/>
              <w:left w:w="90" w:type="dxa"/>
              <w:right w:w="90" w:type="dxa"/>
            </w:tcMar>
            <w:shd w:val="clear" w:color="auto" w:fill="E5F5FF"/>
          </w:tcPr>
          <w:p>
            <w:pPr>
              <w:pStyle w:val="BDOITable"/>
            </w:pPr>
            <w:r>
              <w:rPr>
                <w:sz w:val="17"/>
              </w:rPr>
              <w:t>BRD discrepancy and clarification register</w:t>
            </w:r>
          </w:p>
        </w:tc>
        <w:tc>
          <w:tcPr>
            <w:tcW w:type="dxa" w:w="1753"/>
            <w:tcMar>
              <w:top w:w="50" w:type="dxa"/>
              <w:bottom w:w="50" w:type="dxa"/>
              <w:left w:w="90" w:type="dxa"/>
              <w:right w:w="90" w:type="dxa"/>
            </w:tcMar>
            <w:shd w:val="clear" w:color="auto" w:fill="E5F5FF"/>
          </w:tcPr>
          <w:p>
            <w:pPr>
              <w:pStyle w:val="BDOITable"/>
            </w:pPr>
            <w:r>
              <w:rPr>
                <w:sz w:val="17"/>
              </w:rPr>
              <w:t>1.2</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BIBS_Register_BRD-00_Discrepancies_and_Clarifications_v1.2.xlsx</w:t>
            </w:r>
          </w:p>
        </w:tc>
      </w:tr>
      <w:tr>
        <w:trPr>
          <w:cantSplit w:val="true"/>
        </w:trPr>
        <w:tc>
          <w:tcPr>
            <w:tcW w:type="dxa" w:w="657"/>
            <w:tcMar>
              <w:top w:w="50" w:type="dxa"/>
              <w:bottom w:w="50" w:type="dxa"/>
              <w:left w:w="90" w:type="dxa"/>
              <w:right w:w="90" w:type="dxa"/>
            </w:tcMar>
          </w:tcPr>
          <w:p>
            <w:pPr>
              <w:pStyle w:val="BDOITable"/>
            </w:pPr>
            <w:r>
              <w:rPr>
                <w:sz w:val="17"/>
              </w:rPr>
              <w:t>R7</w:t>
            </w:r>
          </w:p>
        </w:tc>
        <w:tc>
          <w:tcPr>
            <w:tcW w:type="dxa" w:w="4602"/>
            <w:tcMar>
              <w:top w:w="50" w:type="dxa"/>
              <w:bottom w:w="50" w:type="dxa"/>
              <w:left w:w="90" w:type="dxa"/>
              <w:right w:w="90" w:type="dxa"/>
            </w:tcMar>
          </w:tcPr>
          <w:p>
            <w:pPr>
              <w:pStyle w:val="BDOITable"/>
            </w:pPr>
            <w:r>
              <w:rPr>
                <w:sz w:val="17"/>
              </w:rPr>
              <w:t>Deliverables plan, UAT readiness programme and hosting appendix</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docs/deliverables/README.md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R8</w:t>
            </w:r>
          </w:p>
        </w:tc>
        <w:tc>
          <w:tcPr>
            <w:tcW w:type="dxa" w:w="4602"/>
            <w:tcMar>
              <w:top w:w="50" w:type="dxa"/>
              <w:bottom w:w="50" w:type="dxa"/>
              <w:left w:w="90" w:type="dxa"/>
              <w:right w:w="90" w:type="dxa"/>
            </w:tcMar>
            <w:shd w:val="clear" w:color="auto" w:fill="E5F5FF"/>
          </w:tcPr>
          <w:p>
            <w:pPr>
              <w:pStyle w:val="BDOITable"/>
            </w:pPr>
            <w:r>
              <w:rPr>
                <w:sz w:val="17"/>
              </w:rPr>
              <w:t>Operations, Collections, Accounting / ACSL and Renewal designs</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docs/architecture/</w:t>
            </w:r>
          </w:p>
        </w:tc>
      </w:tr>
      <w:tr>
        <w:trPr>
          <w:cantSplit w:val="true"/>
        </w:trPr>
        <w:tc>
          <w:tcPr>
            <w:tcW w:type="dxa" w:w="657"/>
            <w:tcMar>
              <w:top w:w="50" w:type="dxa"/>
              <w:bottom w:w="50" w:type="dxa"/>
              <w:left w:w="90" w:type="dxa"/>
              <w:right w:w="90" w:type="dxa"/>
            </w:tcMar>
          </w:tcPr>
          <w:p>
            <w:pPr>
              <w:pStyle w:val="BDOITable"/>
            </w:pPr>
            <w:r>
              <w:rPr>
                <w:sz w:val="17"/>
              </w:rPr>
              <w:t>R9</w:t>
            </w:r>
          </w:p>
        </w:tc>
        <w:tc>
          <w:tcPr>
            <w:tcW w:type="dxa" w:w="4602"/>
            <w:tcMar>
              <w:top w:w="50" w:type="dxa"/>
              <w:bottom w:w="50" w:type="dxa"/>
              <w:left w:w="90" w:type="dxa"/>
              <w:right w:w="90" w:type="dxa"/>
            </w:tcMar>
          </w:tcPr>
          <w:p>
            <w:pPr>
              <w:pStyle w:val="BDOITable"/>
            </w:pPr>
            <w:r>
              <w:rPr>
                <w:sz w:val="17"/>
              </w:rPr>
              <w:t>BDOI drop plan and programme timeline</w:t>
            </w:r>
          </w:p>
        </w:tc>
        <w:tc>
          <w:tcPr>
            <w:tcW w:type="dxa" w:w="1753"/>
            <w:tcMar>
              <w:top w:w="50" w:type="dxa"/>
              <w:bottom w:w="50" w:type="dxa"/>
              <w:left w:w="90" w:type="dxa"/>
              <w:right w:w="90" w:type="dxa"/>
            </w:tcMar>
          </w:tcPr>
          <w:p>
            <w:pPr>
              <w:pStyle w:val="BDOITable"/>
            </w:pPr>
            <w:r>
              <w:rPr>
                <w:sz w:val="17"/>
              </w:rPr>
              <w:t>received 26-Sep-2026</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docs/source-documents/BDOI_DROP_PLAN.md</w:t>
            </w:r>
            <w:r>
              <w:rPr>
                <w:sz w:val="17"/>
              </w:rPr>
              <w:t xml:space="preserve">; </w:t>
            </w:r>
            <w:r>
              <w:rPr>
                <w:rFonts w:ascii="Courier New" w:hAnsi="Courier New" w:cs="Courier New" w:eastAsia="Courier New"/>
                <w:color w:val="2E2E2E"/>
                <w:sz w:val="15"/>
              </w:rPr>
              <w:t>BDOI Programme Timeline.webp</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R10</w:t>
            </w:r>
          </w:p>
        </w:tc>
        <w:tc>
          <w:tcPr>
            <w:tcW w:type="dxa" w:w="4602"/>
            <w:tcMar>
              <w:top w:w="50" w:type="dxa"/>
              <w:bottom w:w="50" w:type="dxa"/>
              <w:left w:w="90" w:type="dxa"/>
              <w:right w:w="90" w:type="dxa"/>
            </w:tcMar>
            <w:shd w:val="clear" w:color="auto" w:fill="E5F5FF"/>
          </w:tcPr>
          <w:p>
            <w:pPr>
              <w:pStyle w:val="BDOITable"/>
            </w:pPr>
            <w:r>
              <w:rPr>
                <w:sz w:val="17"/>
              </w:rPr>
              <w:t>Concept Paper - Advance Implementation of Renewal Processing</w:t>
            </w:r>
          </w:p>
        </w:tc>
        <w:tc>
          <w:tcPr>
            <w:tcW w:type="dxa" w:w="1753"/>
            <w:tcMar>
              <w:top w:w="50" w:type="dxa"/>
              <w:bottom w:w="50" w:type="dxa"/>
              <w:left w:w="90" w:type="dxa"/>
              <w:right w:w="90" w:type="dxa"/>
            </w:tcMar>
            <w:shd w:val="clear" w:color="auto" w:fill="E5F5FF"/>
          </w:tcPr>
          <w:p>
            <w:pPr>
              <w:pStyle w:val="BDOITable"/>
            </w:pPr>
            <w:r>
              <w:rPr>
                <w:sz w:val="17"/>
              </w:rPr>
              <w:t>V1.0, signed 06-Sep-2026; superseded 26-Sep-2026</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docs/source-documents/Concept Paper - Advance Implementation of Renewal Processing V1.0 (signed).pdf</w:t>
            </w:r>
          </w:p>
        </w:tc>
      </w:tr>
    </w:tbl>
    <w:p>
      <w:pPr>
        <w:pStyle w:val="BDOISpacer"/>
      </w:pPr>
    </w:p>
    <w:p>
      <w:pPr>
        <w:pStyle w:val="Heading1"/>
        <w:pageBreakBefore/>
        <w:pBdr>
          <w:bottom w:val="single" w:sz="4" w:space="4" w:color="99C1E7"/>
        </w:pBdr>
      </w:pPr>
      <w:bookmarkStart w:id="106" w:name="_Toc000106"/>
      <w:r>
        <w:rPr/>
        <w:t>2 Objectives and principles</w:t>
      </w:r>
      <w:bookmarkEnd w:id="106"/>
    </w:p>
    <w:p>
      <w:pPr>
        <w:pStyle w:val="Heading2"/>
      </w:pPr>
      <w:bookmarkStart w:id="107" w:name="_Toc000107"/>
      <w:r>
        <w:rPr/>
        <w:t>2.1 Objectives</w:t>
      </w:r>
      <w:bookmarkEnd w:id="107"/>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3: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 1.1b)</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 12.1)</w:t>
            </w:r>
          </w:p>
        </w:tc>
        <w:tc>
          <w:tcPr>
            <w:tcW w:type="dxa" w:w="4926"/>
            <w:tcMar>
              <w:top w:w="50" w:type="dxa"/>
              <w:bottom w:w="50" w:type="dxa"/>
              <w:left w:w="90" w:type="dxa"/>
              <w:right w:w="90" w:type="dxa"/>
            </w:tcMar>
          </w:tcPr>
          <w:p>
            <w:pPr>
              <w:pStyle w:val="BDOITable"/>
            </w:pPr>
            <w:r>
              <w:rPr>
                <w:sz w:val="18"/>
              </w:rPr>
              <w:t>Every policy expiring from go-live to 31 May 2028 and not renewed in legacy is a candidate in BIBS Renewal at go-live, January expiries flagged urgent, RAs already sent recorded; later expiries extracted by BIBS on the normal lead time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4565"/>
            <w:tcMar>
              <w:top w:w="50" w:type="dxa"/>
              <w:bottom w:w="50" w:type="dxa"/>
              <w:left w:w="90" w:type="dxa"/>
              <w:right w:w="90" w:type="dxa"/>
            </w:tcMar>
            <w:shd w:val="clear" w:color="auto" w:fill="E5F5FF"/>
          </w:tcPr>
          <w:p>
            <w:pPr>
              <w:pStyle w:val="BDOITable"/>
            </w:pPr>
            <w:r>
              <w:rPr>
                <w:sz w:val="18"/>
              </w:rPr>
              <w:t>The GL opens correctly at the year end (DMQ39)</w:t>
            </w:r>
          </w:p>
        </w:tc>
        <w:tc>
          <w:tcPr>
            <w:tcW w:type="dxa" w:w="4926"/>
            <w:tcMar>
              <w:top w:w="50" w:type="dxa"/>
              <w:bottom w:w="50" w:type="dxa"/>
              <w:left w:w="90" w:type="dxa"/>
              <w:right w:w="90" w:type="dxa"/>
            </w:tcMar>
            <w:shd w:val="clear" w:color="auto" w:fill="E5F5FF"/>
          </w:tcPr>
          <w:p>
            <w:pPr>
              <w:pStyle w:val="BDOITable"/>
            </w:pPr>
            <w:r>
              <w:rPr>
                <w:sz w:val="18"/>
              </w:rPr>
              <w:t>Balance-sheet opening equals the signed preliminary December TB per branch and currency; FY2028 P&amp;L at zero; every FY2027 adjustment reaches BIBS through a signed true-up</w:t>
            </w:r>
          </w:p>
        </w:tc>
      </w:tr>
    </w:tbl>
    <w:p>
      <w:pPr>
        <w:pStyle w:val="BDOISpacer"/>
      </w:pPr>
    </w:p>
    <w:p>
      <w:pPr>
        <w:pStyle w:val="Heading2"/>
      </w:pPr>
      <w:bookmarkStart w:id="108" w:name="_Toc000108"/>
      <w:r>
        <w:rPr/>
        <w:t>2.2 Principles</w:t>
      </w:r>
      <w:bookmarkEnd w:id="108"/>
    </w:p>
    <w:p>
      <w:pPr>
        <w:tabs>
          <w:tab w:pos="312" w:val="left"/>
        </w:tabs>
        <w:spacing w:after="40"/>
        <w:ind w:left="312" w:hanging="283"/>
      </w:pPr>
      <w:r>
        <w:rPr>
          <w:color w:val="004EA8"/>
        </w:rPr>
        <w:t>1.</w:t>
        <w:tab/>
      </w:r>
      <w:r>
        <w:rPr>
          <w:b/>
        </w:rPr>
        <w:t>Selective, not a conversion.</w:t>
      </w:r>
      <w:r>
        <w:rPr/>
        <w:t xml:space="preserve"> Every data object gets one class through a decision gate (BRID 1.1a).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Four trial migrations and a dress rehearsal run the full cutover with masked data and measured timings, in the SIT and UAT migration windows of the BDOI timeline.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09" w:name="_Toc000109"/>
      <w:r>
        <w:rPr/>
        <w:t>2.3 What this migration does not do</w:t>
      </w:r>
      <w:bookmarkEnd w:id="109"/>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(section 11.3).</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0" w:name="_Toc000110"/>
      <w:r>
        <w:rPr/>
        <w:t>3 Scope and decisions per data object</w:t>
      </w:r>
      <w:bookmarkEnd w:id="110"/>
    </w:p>
    <w:p>
      <w:pPr>
        <w:pStyle w:val="Heading2"/>
      </w:pPr>
      <w:bookmarkStart w:id="111" w:name="_Toc000111"/>
      <w:r>
        <w:rPr/>
        <w:t>3.1 The decision gate</w:t>
      </w:r>
      <w:bookmarkEnd w:id="111"/>
    </w:p>
    <w:p>
      <w:r>
        <w:rPr/>
        <w:t>BRID 1.1a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4: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rebuilt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2" w:name="_Toc000112"/>
      <w:r>
        <w:rPr/>
        <w:t>3.2 Data object register</w:t>
      </w:r>
      <w:bookmarkEnd w:id="112"/>
    </w:p>
    <w:p>
      <w:r>
        <w:rPr/>
        <w:t>The register below is the proposal for gate G1 (R3 section 2; DMQ01, DCR-195). The workbook sheet "Object Register" holds the same rows with the columns BDOI fills in (volumes, named owners and stewards, status).</w:t>
      </w:r>
    </w:p>
    <w:p>
      <w:pPr>
        <w:pStyle w:val="Caption"/>
        <w:keepNext/>
        <w:spacing w:after="60"/>
      </w:pPr>
      <w:r>
        <w:rPr>
          <w:b/>
          <w:i w:val="0"/>
        </w:rPr>
        <w:t xml:space="preserve">Table 5: </w:t>
      </w:r>
      <w:r>
        <w:rPr/>
        <w:t>Data objects and proposed decisions (BDOI confirms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1321"/>
        <w:gridCol w:w="48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48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Every coded field of clients, policies and open items needs its BIBS value on Day 1 (BRID 3.1). Legacy values are mapped to BIBS values; missing values are created through the LOV master with maker-checker.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Packages are remapped at sanitation in Renewal, not at migration intake (DMQ36, answered 26-Sep-2026). The migration loads the PACKAGE code map as reference data only; the Renewal check PACKAGE_REMAP uses it and sends unmapped packages to the Exception bucket, worked by the Renewal processing team. The BIBS packages themselves are maintained by TSU in Product Maintenance (BRD-3) and are not migrated.</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Endorsements and renewals of legacy policies compute commission from the rate table.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The payee migration handler exists (DISB_PAYEE_MIGRATION); in scope if BDOI confirms (AQ11, DMQ30).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3004"/>
            <w:tcMar>
              <w:top w:w="50" w:type="dxa"/>
              <w:bottom w:w="50" w:type="dxa"/>
              <w:left w:w="90" w:type="dxa"/>
              <w:right w:w="90" w:type="dxa"/>
            </w:tcMar>
            <w:shd w:val="clear" w:color="auto" w:fill="E5F5FF"/>
          </w:tcPr>
          <w:p>
            <w:pPr>
              <w:pStyle w:val="BDOITable"/>
            </w:pPr>
            <w:r>
              <w:rPr>
                <w:sz w:val="16"/>
              </w:rPr>
              <w:t>Users and roles</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48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(map set USER) so AO, handler and collector fields resolve.</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 (AR and OR, ATP and next number)</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 2.1); clients are deduplicated before load. Umbrella BRD p.43 asks for clients "2020 to present" and daily client batches (DCR-173).</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3004"/>
            <w:tcMar>
              <w:top w:w="50" w:type="dxa"/>
              <w:bottom w:w="50" w:type="dxa"/>
              <w:left w:w="90" w:type="dxa"/>
              <w:right w:w="90" w:type="dxa"/>
            </w:tcMar>
          </w:tcPr>
          <w:p>
            <w:pPr>
              <w:pStyle w:val="BDOITable"/>
            </w:pPr>
            <w:r>
              <w:rPr>
                <w:sz w:val="16"/>
              </w:rPr>
              <w:t>Client payout accounts (for refunds)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Refunds of legacy UPP (BRID 5.4) need the client's payout account.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3004"/>
            <w:tcMar>
              <w:top w:w="50" w:type="dxa"/>
              <w:bottom w:w="50" w:type="dxa"/>
              <w:left w:w="90" w:type="dxa"/>
              <w:right w:w="90" w:type="dxa"/>
            </w:tcMar>
            <w:shd w:val="clear" w:color="auto" w:fill="E5F5FF"/>
          </w:tcPr>
          <w:p>
            <w:pPr>
              <w:pStyle w:val="BDOITable"/>
            </w:pPr>
            <w:r>
              <w:rPr>
                <w:sz w:val="16"/>
              </w:rPr>
              <w:t>KYC documents and IDs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3004"/>
            <w:tcMar>
              <w:top w:w="50" w:type="dxa"/>
              <w:bottom w:w="50" w:type="dxa"/>
              <w:left w:w="90" w:type="dxa"/>
              <w:right w:w="90" w:type="dxa"/>
            </w:tcMar>
          </w:tcPr>
          <w:p>
            <w:pPr>
              <w:pStyle w:val="BDOITable"/>
            </w:pPr>
            <w:r>
              <w:rPr>
                <w:sz w:val="16"/>
              </w:rPr>
              <w:t>Screening results and risk ratings</w:t>
            </w:r>
          </w:p>
        </w:tc>
        <w:tc>
          <w:tcPr>
            <w:tcW w:type="dxa" w:w="1322"/>
            <w:tcMar>
              <w:top w:w="50" w:type="dxa"/>
              <w:bottom w:w="50" w:type="dxa"/>
              <w:left w:w="90" w:type="dxa"/>
              <w:right w:w="90" w:type="dxa"/>
            </w:tcMar>
          </w:tcPr>
          <w:p>
            <w:pPr>
              <w:pStyle w:val="BDOITable"/>
            </w:pPr>
            <w:r>
              <w:rPr>
                <w:sz w:val="16"/>
              </w:rPr>
              <w:t>Excluded</w:t>
            </w:r>
          </w:p>
        </w:tc>
        <w:tc>
          <w:tcPr>
            <w:tcW w:type="dxa" w:w="48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Needed to locate active coverage, to endorse legacy invoices (BRID 9) and to renew in BIBS (BRID 12.1); the scope condition is decided by BDOI (DMQ09). Whatever it is, every policy expiring from T to 31-May-2028 and every renewal term booked in legacy that starts on or after T are in scope, because the go-live renewal extraction works only from the headers (DMQ37). The legacy package is kept as given; it is remapped at Renewal sanitation (DMQ36).</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is not converted (BRD p.3); kept for inquiry.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January-May 2028 expiries are processed in BIBS after go-live from a go-live extraction of the migrated headers (DMQ37, answered 26-Sep-2026); no renewal candidate is carried. The RAs already sent by hand before go-live, kept in the Excel trackers of the Renewal processing team (DMQ38), are loaded as a small reference file so that BIBS does not send them again.</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004"/>
            <w:tcMar>
              <w:top w:w="50" w:type="dxa"/>
              <w:bottom w:w="50" w:type="dxa"/>
              <w:left w:w="90" w:type="dxa"/>
              <w:right w:w="90" w:type="dxa"/>
            </w:tcMar>
          </w:tcPr>
          <w:p>
            <w:pPr>
              <w:pStyle w:val="BDOITable"/>
            </w:pPr>
            <w:r>
              <w:rPr>
                <w:sz w:val="16"/>
              </w:rPr>
              <w:t>Submitted-policy masterlists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Submitted Policies migration handler (SBM_MIGRATION) if BDOI confirms (SP SQ16, DMQ30); layout issued with that module.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004"/>
            <w:tcMar>
              <w:top w:w="50" w:type="dxa"/>
              <w:bottom w:w="50" w:type="dxa"/>
              <w:left w:w="90" w:type="dxa"/>
              <w:right w:w="90" w:type="dxa"/>
            </w:tcMar>
            <w:shd w:val="clear" w:color="auto" w:fill="E5F5FF"/>
          </w:tcPr>
          <w:p>
            <w:pPr>
              <w:pStyle w:val="BDOITable"/>
            </w:pPr>
            <w:r>
              <w:rPr>
                <w:sz w:val="16"/>
              </w:rPr>
              <w:t>Employee Benefits programmes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Loaded through EB_PROGRAMME_LOAD if BDOI confirms (DMQ30); layout issued with the EB module.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Receivables and payables open at cutover must be collected, remitted, reversed and endorsed in BIBS (BRID 5.1-10.1).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Unapplied cash must not be lost after cutover (BRID 5.1); it is applied, refunded or reclassified in BIBS.</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004"/>
            <w:tcMar>
              <w:top w:w="50" w:type="dxa"/>
              <w:bottom w:w="50" w:type="dxa"/>
              <w:left w:w="90" w:type="dxa"/>
              <w:right w:w="90" w:type="dxa"/>
            </w:tcMar>
          </w:tcPr>
          <w:p>
            <w:pPr>
              <w:pStyle w:val="BDOITable"/>
            </w:pPr>
            <w:r>
              <w:rPr>
                <w:sz w:val="16"/>
              </w:rPr>
              <w:t>DP billing in process and DP commission receivable</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004"/>
            <w:tcMar>
              <w:top w:w="50" w:type="dxa"/>
              <w:bottom w:w="50" w:type="dxa"/>
              <w:left w:w="90" w:type="dxa"/>
              <w:right w:w="90" w:type="dxa"/>
            </w:tcMar>
          </w:tcPr>
          <w:p>
            <w:pPr>
              <w:pStyle w:val="BDOITable"/>
            </w:pPr>
            <w:r>
              <w:rPr>
                <w:sz w:val="16"/>
              </w:rPr>
              <w:t>Open claims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Claims migration (BCL_CLAIM_MIGRATION, V1025 held) if BDOI decides (CLQ14, DMQ30); closed claims are archived.</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At the year-end go-live (DMQ39, option A recommended) the BIBS GL opens from the preliminary December 2027 TB - balance-sheet accounts only, the FY2027 net result to retained earnings, legacy control-account lines to Migration Clearing, which the F01 and F02 opening entries clear to 0.00. The opening is provisional; at each true-up the legacy TB after the adjustments is sent again as reconciliation input (G03).</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Kept for audit; BIBS starts from the opening trial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legacy GL stays open after the freeze only for the FY2027 closing and audit adjustments of Comptrollership (DMQ39). Each adjustment reaches BIBS as a controlled opening-balance adjustment journal in the opening period - after the legacy year-end close and after the audited FS - with approvals, cut-off controls and a reconciliation to the legacy TB.</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300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stays in read-only legacy or the BIBS archive with logged access (BRID 11.1).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300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are kept with their archive record and a checksum.</w:t>
            </w:r>
          </w:p>
        </w:tc>
      </w:tr>
    </w:tbl>
    <w:p>
      <w:pPr>
        <w:pStyle w:val="BDOISpacer"/>
      </w:pPr>
    </w:p>
    <w:p>
      <w:pPr>
        <w:pStyle w:val="Heading2"/>
      </w:pPr>
      <w:bookmarkStart w:id="113" w:name="_Toc000113"/>
      <w:r>
        <w:rPr/>
        <w:t>3.3 Depth, delta and due dates</w:t>
      </w:r>
      <w:bookmarkEnd w:id="113"/>
    </w:p>
    <w:p>
      <w:pPr>
        <w:pStyle w:val="Caption"/>
        <w:keepNext/>
        <w:spacing w:after="60"/>
      </w:pPr>
      <w:r>
        <w:rPr>
          <w:b/>
          <w:i w:val="0"/>
        </w:rPr>
        <w:t xml:space="preserve">Table 6: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441"/>
        <w:gridCol w:w="186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Legacy packages of in-force policies</w:t>
            </w:r>
          </w:p>
        </w:tc>
        <w:tc>
          <w:tcPr>
            <w:tcW w:type="dxa" w:w="2763"/>
            <w:tcMar>
              <w:top w:w="50" w:type="dxa"/>
              <w:bottom w:w="50" w:type="dxa"/>
              <w:left w:w="90" w:type="dxa"/>
              <w:right w:w="90" w:type="dxa"/>
            </w:tcMar>
            <w:shd w:val="clear" w:color="auto" w:fill="E5F5FF"/>
          </w:tcPr>
          <w:p>
            <w:pPr>
              <w:pStyle w:val="BDOITable"/>
            </w:pPr>
            <w:r>
              <w:rPr>
                <w:sz w:val="16"/>
              </w:rPr>
              <w:t>New map versions until the map freeze (T-7 days)</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M5 (18 Jun 2027); final at T-7</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 at least every expiry from T to 31-May-2028 and every booked renewal term starting on or after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RAs sent before go-live for expiries from T to 31-May-2028</w:t>
            </w:r>
          </w:p>
        </w:tc>
        <w:tc>
          <w:tcPr>
            <w:tcW w:type="dxa" w:w="2763"/>
            <w:tcMar>
              <w:top w:w="50" w:type="dxa"/>
              <w:bottom w:w="50" w:type="dxa"/>
              <w:left w:w="90" w:type="dxa"/>
              <w:right w:w="90" w:type="dxa"/>
            </w:tcMar>
            <w:shd w:val="clear" w:color="auto" w:fill="E5F5FF"/>
          </w:tcPr>
          <w:p>
            <w:pPr>
              <w:pStyle w:val="BDOITable"/>
            </w:pPr>
            <w:r>
              <w:rPr>
                <w:sz w:val="16"/>
              </w:rPr>
              <w:t>One file in every trial migration; final file with the RAs sent up to T-5; resubmissions of corrected rows until T-1 12:00</w:t>
            </w:r>
          </w:p>
        </w:tc>
        <w:tc>
          <w:tcPr>
            <w:tcW w:type="dxa" w:w="1442"/>
            <w:tcMar>
              <w:top w:w="50" w:type="dxa"/>
              <w:bottom w:w="50" w:type="dxa"/>
              <w:left w:w="90" w:type="dxa"/>
              <w:right w:w="90" w:type="dxa"/>
            </w:tcMar>
            <w:shd w:val="clear" w:color="auto" w:fill="E5F5FF"/>
          </w:tcPr>
          <w:p>
            <w:pPr>
              <w:pStyle w:val="BDOITable"/>
            </w:pPr>
            <w:r>
              <w:rPr>
                <w:sz w:val="16"/>
              </w:rPr>
              <w:t>XLSX template (P03_template.xlsx) or CSV</w:t>
            </w:r>
          </w:p>
        </w:tc>
        <w:tc>
          <w:tcPr>
            <w:tcW w:type="dxa" w:w="1862"/>
            <w:tcMar>
              <w:top w:w="50" w:type="dxa"/>
              <w:bottom w:w="50" w:type="dxa"/>
              <w:left w:w="90" w:type="dxa"/>
              <w:right w:w="90" w:type="dxa"/>
            </w:tcMar>
            <w:shd w:val="clear" w:color="auto" w:fill="E5F5FF"/>
          </w:tcPr>
          <w:p>
            <w:pPr>
              <w:pStyle w:val="BDOITable"/>
            </w:pPr>
            <w:r>
              <w:rPr>
                <w:sz w:val="16"/>
              </w:rPr>
              <w:t>M4 (9 Apr 2027) (Trial migration 1); final at T-5</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XLSX</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w:t>
            </w:r>
          </w:p>
        </w:tc>
        <w:tc>
          <w:tcPr>
            <w:tcW w:type="dxa" w:w="1862"/>
            <w:tcMar>
              <w:top w:w="50" w:type="dxa"/>
              <w:bottom w:w="50" w:type="dxa"/>
              <w:left w:w="90" w:type="dxa"/>
              <w:right w:w="90" w:type="dxa"/>
            </w:tcMar>
            <w:shd w:val="clear" w:color="auto" w:fill="E5F5FF"/>
          </w:tcPr>
          <w:p>
            <w:pPr>
              <w:pStyle w:val="BDOITable"/>
            </w:pPr>
            <w:r>
              <w:rPr>
                <w:sz w:val="16"/>
              </w:rPr>
              <w:t>M3 (29 Jan 2027) if in scope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 with control file</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442"/>
            <w:tcMar>
              <w:top w:w="50" w:type="dxa"/>
              <w:bottom w:w="50" w:type="dxa"/>
              <w:left w:w="90" w:type="dxa"/>
              <w:right w:w="90" w:type="dxa"/>
            </w:tcMar>
          </w:tcPr>
          <w:p>
            <w:pPr>
              <w:pStyle w:val="BDOITable"/>
            </w:pPr>
            <w:r>
              <w:rPr>
                <w:sz w:val="16"/>
              </w:rPr>
              <w:t>In F01</w:t>
            </w:r>
          </w:p>
        </w:tc>
        <w:tc>
          <w:tcPr>
            <w:tcW w:type="dxa" w:w="1862"/>
            <w:tcMar>
              <w:top w:w="50" w:type="dxa"/>
              <w:bottom w:w="50" w:type="dxa"/>
              <w:left w:w="90" w:type="dxa"/>
              <w:right w:w="90" w:type="dxa"/>
            </w:tcMar>
          </w:tcPr>
          <w:p>
            <w:pPr>
              <w:pStyle w:val="BDOITable"/>
            </w:pPr>
            <w:r>
              <w:rPr>
                <w:sz w:val="16"/>
              </w:rPr>
              <w:t>With F01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Preliminary December 2027 TB after the last legacy EOD; the legacy TB at each true-up</w:t>
            </w:r>
          </w:p>
        </w:tc>
        <w:tc>
          <w:tcPr>
            <w:tcW w:type="dxa" w:w="2763"/>
            <w:tcMar>
              <w:top w:w="50" w:type="dxa"/>
              <w:bottom w:w="50" w:type="dxa"/>
              <w:left w:w="90" w:type="dxa"/>
              <w:right w:w="90" w:type="dxa"/>
            </w:tcMar>
            <w:shd w:val="clear" w:color="auto" w:fill="E5F5FF"/>
          </w:tcPr>
          <w:p>
            <w:pPr>
              <w:pStyle w:val="BDOITable"/>
            </w:pPr>
            <w:r>
              <w:rPr>
                <w:sz w:val="16"/>
              </w:rPr>
              <w:t>Single load after the freeze; one TB per true-up (about 18-Jan-2028 and after the audited FS)</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 at each true-up</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Legacy journals posted after the freeze, dated in FY2027</w:t>
            </w:r>
          </w:p>
        </w:tc>
        <w:tc>
          <w:tcPr>
            <w:tcW w:type="dxa" w:w="2763"/>
            <w:tcMar>
              <w:top w:w="50" w:type="dxa"/>
              <w:bottom w:w="50" w:type="dxa"/>
              <w:left w:w="90" w:type="dxa"/>
              <w:right w:w="90" w:type="dxa"/>
            </w:tcMar>
            <w:shd w:val="clear" w:color="auto" w:fill="E5F5FF"/>
          </w:tcPr>
          <w:p>
            <w:pPr>
              <w:pStyle w:val="BDOITable"/>
            </w:pPr>
            <w:r>
              <w:rPr>
                <w:sz w:val="16"/>
              </w:rPr>
              <w:t>One set per true-up (true-up 1 about 18-Jan-2028; final after the audited FS, about March-April 2028)</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T+16 (true-up 1); T+92 (final)</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Per retention</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 index plus files</w:t>
            </w:r>
          </w:p>
        </w:tc>
        <w:tc>
          <w:tcPr>
            <w:tcW w:type="dxa" w:w="186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7: </w:t>
      </w:r>
      <w:r>
        <w:rPr/>
        <w:t>Milestones of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488"/>
        <w:gridCol w:w="240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081"/>
            <w:tcMar>
              <w:top w:w="50" w:type="dxa"/>
              <w:bottom w:w="50" w:type="dxa"/>
              <w:left w:w="90" w:type="dxa"/>
              <w:right w:w="90" w:type="dxa"/>
            </w:tcMar>
          </w:tcPr>
          <w:p>
            <w:pPr>
              <w:pStyle w:val="BDOITable"/>
            </w:pPr>
            <w:r>
              <w:rPr>
                <w:b/>
                <w:sz w:val="18"/>
              </w:rPr>
              <w:t>M0</w:t>
            </w:r>
          </w:p>
        </w:tc>
        <w:tc>
          <w:tcPr>
            <w:tcW w:type="dxa" w:w="6488"/>
            <w:tcMar>
              <w:top w:w="50" w:type="dxa"/>
              <w:bottom w:w="50" w:type="dxa"/>
              <w:left w:w="90" w:type="dxa"/>
              <w:right w:w="90" w:type="dxa"/>
            </w:tcMar>
          </w:tcPr>
          <w:p>
            <w:pPr>
              <w:pStyle w:val="BDOITable"/>
            </w:pPr>
            <w:r>
              <w:rPr>
                <w:sz w:val="18"/>
              </w:rPr>
              <w:t>Pack issued to BDOI (v1.2 with the BDOI answers to DMQ36-DMQ39)</w:t>
            </w:r>
          </w:p>
        </w:tc>
        <w:tc>
          <w:tcPr>
            <w:tcW w:type="dxa" w:w="2403"/>
            <w:tcMar>
              <w:top w:w="50" w:type="dxa"/>
              <w:bottom w:w="50" w:type="dxa"/>
              <w:left w:w="90" w:type="dxa"/>
              <w:right w:w="90" w:type="dxa"/>
            </w:tcMar>
          </w:tcPr>
          <w:p>
            <w:pPr>
              <w:pStyle w:val="BDOITable"/>
            </w:pPr>
            <w:r>
              <w:rPr>
                <w:sz w:val="18"/>
              </w:rPr>
              <w:t>26 Sep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M1</w:t>
            </w:r>
          </w:p>
        </w:tc>
        <w:tc>
          <w:tcPr>
            <w:tcW w:type="dxa" w:w="6488"/>
            <w:tcMar>
              <w:top w:w="50" w:type="dxa"/>
              <w:bottom w:w="50" w:type="dxa"/>
              <w:left w:w="90" w:type="dxa"/>
              <w:right w:w="90" w:type="dxa"/>
            </w:tcMar>
            <w:shd w:val="clear" w:color="auto" w:fill="E5F5FF"/>
          </w:tcPr>
          <w:p>
            <w:pPr>
              <w:pStyle w:val="BDOITable"/>
            </w:pPr>
            <w:r>
              <w:rPr>
                <w:sz w:val="18"/>
              </w:rPr>
              <w:t>Build-shaping decisions (answers that change what is built)</w:t>
            </w:r>
          </w:p>
        </w:tc>
        <w:tc>
          <w:tcPr>
            <w:tcW w:type="dxa" w:w="2403"/>
            <w:tcMar>
              <w:top w:w="50" w:type="dxa"/>
              <w:bottom w:w="50" w:type="dxa"/>
              <w:left w:w="90" w:type="dxa"/>
              <w:right w:w="90" w:type="dxa"/>
            </w:tcMar>
            <w:shd w:val="clear" w:color="auto" w:fill="E5F5FF"/>
          </w:tcPr>
          <w:p>
            <w:pPr>
              <w:pStyle w:val="BDOITable"/>
            </w:pPr>
            <w:r>
              <w:rPr>
                <w:sz w:val="18"/>
              </w:rPr>
              <w:t>16 Oct 2026</w:t>
            </w:r>
          </w:p>
        </w:tc>
      </w:tr>
      <w:tr>
        <w:trPr>
          <w:cantSplit w:val="true"/>
        </w:trPr>
        <w:tc>
          <w:tcPr>
            <w:tcW w:type="dxa" w:w="1081"/>
            <w:tcMar>
              <w:top w:w="50" w:type="dxa"/>
              <w:bottom w:w="50" w:type="dxa"/>
              <w:left w:w="90" w:type="dxa"/>
              <w:right w:w="90" w:type="dxa"/>
            </w:tcMar>
          </w:tcPr>
          <w:p>
            <w:pPr>
              <w:pStyle w:val="BDOITable"/>
            </w:pPr>
            <w:r>
              <w:rPr>
                <w:b/>
                <w:sz w:val="18"/>
              </w:rPr>
              <w:t>M2</w:t>
            </w:r>
          </w:p>
        </w:tc>
        <w:tc>
          <w:tcPr>
            <w:tcW w:type="dxa" w:w="6488"/>
            <w:tcMar>
              <w:top w:w="50" w:type="dxa"/>
              <w:bottom w:w="50" w:type="dxa"/>
              <w:left w:w="90" w:type="dxa"/>
              <w:right w:w="90" w:type="dxa"/>
            </w:tcMar>
          </w:tcPr>
          <w:p>
            <w:pPr>
              <w:pStyle w:val="BDOITable"/>
            </w:pPr>
            <w:r>
              <w:rPr>
                <w:sz w:val="18"/>
              </w:rPr>
              <w:t>Owners, stewards, keys and remaining business rules; object decisions signed (gate G1); layouts frozen, version 1 (G2 part 1) - end of requirements and mapping</w:t>
            </w:r>
          </w:p>
        </w:tc>
        <w:tc>
          <w:tcPr>
            <w:tcW w:type="dxa" w:w="2403"/>
            <w:tcMar>
              <w:top w:w="50" w:type="dxa"/>
              <w:bottom w:w="50" w:type="dxa"/>
              <w:left w:w="90" w:type="dxa"/>
              <w:right w:w="90" w:type="dxa"/>
            </w:tcMar>
          </w:tcPr>
          <w:p>
            <w:pPr>
              <w:pStyle w:val="BDOITable"/>
            </w:pPr>
            <w:r>
              <w:rPr>
                <w:sz w:val="18"/>
              </w:rPr>
              <w:t>30 Oct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M3</w:t>
            </w:r>
          </w:p>
        </w:tc>
        <w:tc>
          <w:tcPr>
            <w:tcW w:type="dxa" w:w="6488"/>
            <w:tcMar>
              <w:top w:w="50" w:type="dxa"/>
              <w:bottom w:w="50" w:type="dxa"/>
              <w:left w:w="90" w:type="dxa"/>
              <w:right w:w="90" w:type="dxa"/>
            </w:tcMar>
            <w:shd w:val="clear" w:color="auto" w:fill="E5F5FF"/>
          </w:tcPr>
          <w:p>
            <w:pPr>
              <w:pStyle w:val="BDOITable"/>
            </w:pPr>
            <w:r>
              <w:rPr>
                <w:sz w:val="18"/>
              </w:rPr>
              <w:t>First full extracts in the templates, with control files and volumes (profiling, performance sizing)</w:t>
            </w:r>
          </w:p>
        </w:tc>
        <w:tc>
          <w:tcPr>
            <w:tcW w:type="dxa" w:w="2403"/>
            <w:tcMar>
              <w:top w:w="50" w:type="dxa"/>
              <w:bottom w:w="50" w:type="dxa"/>
              <w:left w:w="90" w:type="dxa"/>
              <w:right w:w="90" w:type="dxa"/>
            </w:tcMar>
            <w:shd w:val="clear" w:color="auto" w:fill="E5F5FF"/>
          </w:tcPr>
          <w:p>
            <w:pPr>
              <w:pStyle w:val="BDOITable"/>
            </w:pPr>
            <w:r>
              <w:rPr>
                <w:sz w:val="18"/>
              </w:rPr>
              <w:t>29 Jan 2027</w:t>
            </w:r>
          </w:p>
        </w:tc>
      </w:tr>
      <w:tr>
        <w:trPr>
          <w:cantSplit w:val="true"/>
        </w:trPr>
        <w:tc>
          <w:tcPr>
            <w:tcW w:type="dxa" w:w="1081"/>
            <w:tcMar>
              <w:top w:w="50" w:type="dxa"/>
              <w:bottom w:w="50" w:type="dxa"/>
              <w:left w:w="90" w:type="dxa"/>
              <w:right w:w="90" w:type="dxa"/>
            </w:tcMar>
          </w:tcPr>
          <w:p>
            <w:pPr>
              <w:pStyle w:val="BDOITable"/>
            </w:pPr>
            <w:r>
              <w:rPr>
                <w:b/>
                <w:sz w:val="18"/>
              </w:rPr>
              <w:t>M4</w:t>
            </w:r>
          </w:p>
        </w:tc>
        <w:tc>
          <w:tcPr>
            <w:tcW w:type="dxa" w:w="6488"/>
            <w:tcMar>
              <w:top w:w="50" w:type="dxa"/>
              <w:bottom w:w="50" w:type="dxa"/>
              <w:left w:w="90" w:type="dxa"/>
              <w:right w:w="90" w:type="dxa"/>
            </w:tcMar>
          </w:tcPr>
          <w:p>
            <w:pPr>
              <w:pStyle w:val="BDOITable"/>
            </w:pPr>
            <w:r>
              <w:rPr>
                <w:sz w:val="18"/>
              </w:rPr>
              <w:t>Extracts for Trial migration 1 (SIT migration starts); reference data and clients first</w:t>
            </w:r>
          </w:p>
        </w:tc>
        <w:tc>
          <w:tcPr>
            <w:tcW w:type="dxa" w:w="2403"/>
            <w:tcMar>
              <w:top w:w="50" w:type="dxa"/>
              <w:bottom w:w="50" w:type="dxa"/>
              <w:left w:w="90" w:type="dxa"/>
              <w:right w:w="90" w:type="dxa"/>
            </w:tcMar>
          </w:tcPr>
          <w:p>
            <w:pPr>
              <w:pStyle w:val="BDOITable"/>
            </w:pPr>
            <w:r>
              <w:rPr>
                <w:sz w:val="18"/>
              </w:rPr>
              <w:t>9 Apr 2027</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M5</w:t>
            </w:r>
          </w:p>
        </w:tc>
        <w:tc>
          <w:tcPr>
            <w:tcW w:type="dxa" w:w="6488"/>
            <w:tcMar>
              <w:top w:w="50" w:type="dxa"/>
              <w:bottom w:w="50" w:type="dxa"/>
              <w:left w:w="90" w:type="dxa"/>
              <w:right w:w="90" w:type="dxa"/>
            </w:tcMar>
            <w:shd w:val="clear" w:color="auto" w:fill="E5F5FF"/>
          </w:tcPr>
          <w:p>
            <w:pPr>
              <w:pStyle w:val="BDOITable"/>
            </w:pPr>
            <w:r>
              <w:rPr>
                <w:sz w:val="18"/>
              </w:rPr>
              <w:t>Code maps approved for Trial migration 2 (G2), including the PACKAGE map</w:t>
            </w:r>
          </w:p>
        </w:tc>
        <w:tc>
          <w:tcPr>
            <w:tcW w:type="dxa" w:w="2403"/>
            <w:tcMar>
              <w:top w:w="50" w:type="dxa"/>
              <w:bottom w:w="50" w:type="dxa"/>
              <w:left w:w="90" w:type="dxa"/>
              <w:right w:w="90" w:type="dxa"/>
            </w:tcMar>
            <w:shd w:val="clear" w:color="auto" w:fill="E5F5FF"/>
          </w:tcPr>
          <w:p>
            <w:pPr>
              <w:pStyle w:val="BDOITable"/>
            </w:pPr>
            <w:r>
              <w:rPr>
                <w:sz w:val="18"/>
              </w:rPr>
              <w:t>18 Jun 2027</w:t>
            </w:r>
          </w:p>
        </w:tc>
      </w:tr>
      <w:tr>
        <w:trPr>
          <w:cantSplit w:val="true"/>
        </w:trPr>
        <w:tc>
          <w:tcPr>
            <w:tcW w:type="dxa" w:w="1081"/>
            <w:tcMar>
              <w:top w:w="50" w:type="dxa"/>
              <w:bottom w:w="50" w:type="dxa"/>
              <w:left w:w="90" w:type="dxa"/>
              <w:right w:w="90" w:type="dxa"/>
            </w:tcMar>
          </w:tcPr>
          <w:p>
            <w:pPr>
              <w:pStyle w:val="BDOITable"/>
            </w:pPr>
            <w:r>
              <w:rPr>
                <w:b/>
                <w:sz w:val="18"/>
              </w:rPr>
              <w:t>M6</w:t>
            </w:r>
          </w:p>
        </w:tc>
        <w:tc>
          <w:tcPr>
            <w:tcW w:type="dxa" w:w="6488"/>
            <w:tcMar>
              <w:top w:w="50" w:type="dxa"/>
              <w:bottom w:w="50" w:type="dxa"/>
              <w:left w:w="90" w:type="dxa"/>
              <w:right w:w="90" w:type="dxa"/>
            </w:tcMar>
          </w:tcPr>
          <w:p>
            <w:pPr>
              <w:pStyle w:val="BDOITable"/>
            </w:pPr>
            <w:r>
              <w:rPr>
                <w:sz w:val="18"/>
              </w:rPr>
              <w:t>Cut-over date and window, fallback and decommissioning criteria agreed; Comptrollership confirms the year-end option A (DMQ39)</w:t>
            </w:r>
          </w:p>
        </w:tc>
        <w:tc>
          <w:tcPr>
            <w:tcW w:type="dxa" w:w="2403"/>
            <w:tcMar>
              <w:top w:w="50" w:type="dxa"/>
              <w:bottom w:w="50" w:type="dxa"/>
              <w:left w:w="90" w:type="dxa"/>
              <w:right w:w="90" w:type="dxa"/>
            </w:tcMar>
          </w:tcPr>
          <w:p>
            <w:pPr>
              <w:pStyle w:val="BDOITable"/>
            </w:pPr>
            <w:r>
              <w:rPr>
                <w:sz w:val="18"/>
              </w:rPr>
              <w:t>1 Oct 2027</w:t>
            </w:r>
          </w:p>
        </w:tc>
      </w:tr>
    </w:tbl>
    <w:p>
      <w:pPr>
        <w:pStyle w:val="BDOISpacer"/>
      </w:pPr>
    </w:p>
    <w:p>
      <w:pPr>
        <w:pStyle w:val="Heading2"/>
      </w:pPr>
      <w:bookmarkStart w:id="114" w:name="_Toc000114"/>
      <w:r>
        <w:rPr/>
        <w:t>3.4 Business owners and data stewards</w:t>
      </w:r>
      <w:bookmarkEnd w:id="114"/>
    </w:p>
    <w:p>
      <w:r>
        <w:rPr/>
        <w:t>Each object has a business owner who signs its decision (G1), its code maps (G2) and its acceptance (G6), and a data steward who prepares the code maps, resolves the data-quality issues and fixes records at source. The table is the proposal from the BRD approvers (p.15-16); BDOI names the people (DMQ01).</w:t>
      </w:r>
    </w:p>
    <w:p>
      <w:pPr>
        <w:pStyle w:val="Caption"/>
        <w:keepNext/>
        <w:spacing w:after="60"/>
      </w:pPr>
      <w:r>
        <w:rPr>
          <w:b/>
          <w:i w:val="0"/>
        </w:rPr>
        <w:t xml:space="preserve">Table 8: </w:t>
      </w:r>
      <w:r>
        <w:rPr/>
        <w:t>Business owner and data steward per object (proposal;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986"/>
        <w:gridCol w:w="4205"/>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6"/>
              </w:rPr>
              <w:t>Business owner (signs G1, G2, G6)</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986"/>
            <w:tcMar>
              <w:top w:w="50" w:type="dxa"/>
              <w:bottom w:w="50" w:type="dxa"/>
              <w:left w:w="90" w:type="dxa"/>
              <w:right w:w="90" w:type="dxa"/>
            </w:tcMar>
          </w:tcPr>
          <w:p>
            <w:pPr>
              <w:pStyle w:val="BDOITable"/>
            </w:pPr>
            <w:r>
              <w:rPr>
                <w:sz w:val="16"/>
              </w:rPr>
              <w:t>Product Owner, Marketing Business System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986"/>
            <w:tcMar>
              <w:top w:w="50" w:type="dxa"/>
              <w:bottom w:w="50" w:type="dxa"/>
              <w:left w:w="90" w:type="dxa"/>
              <w:right w:w="90" w:type="dxa"/>
            </w:tcMar>
          </w:tcPr>
          <w:p>
            <w:pPr>
              <w:pStyle w:val="BDOITable"/>
            </w:pPr>
            <w:r>
              <w:rPr>
                <w:sz w:val="16"/>
              </w:rPr>
              <w:t>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986"/>
            <w:tcMar>
              <w:top w:w="50" w:type="dxa"/>
              <w:bottom w:w="50" w:type="dxa"/>
              <w:left w:w="90" w:type="dxa"/>
              <w:right w:w="90" w:type="dxa"/>
            </w:tcMar>
          </w:tcPr>
          <w:p>
            <w:pPr>
              <w:pStyle w:val="BDOITable"/>
            </w:pPr>
            <w:r>
              <w:rPr>
                <w:sz w:val="16"/>
              </w:rPr>
              <w:t>Product Owner,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986"/>
            <w:tcMar>
              <w:top w:w="50" w:type="dxa"/>
              <w:bottom w:w="50" w:type="dxa"/>
              <w:left w:w="90" w:type="dxa"/>
              <w:right w:w="90" w:type="dxa"/>
            </w:tcMar>
            <w:shd w:val="clear" w:color="auto" w:fill="E5F5FF"/>
          </w:tcPr>
          <w:p>
            <w:pPr>
              <w:pStyle w:val="BDOITable"/>
            </w:pPr>
            <w:r>
              <w:rPr>
                <w:sz w:val="16"/>
              </w:rPr>
              <w:t>Product Owner, MBS (approves); TSU (prepares)</w:t>
            </w:r>
          </w:p>
        </w:tc>
        <w:tc>
          <w:tcPr>
            <w:tcW w:type="dxa" w:w="4205"/>
            <w:tcMar>
              <w:top w:w="50" w:type="dxa"/>
              <w:bottom w:w="50" w:type="dxa"/>
              <w:left w:w="90" w:type="dxa"/>
              <w:right w:w="90" w:type="dxa"/>
            </w:tcMar>
            <w:shd w:val="clear" w:color="auto" w:fill="E5F5FF"/>
          </w:tcPr>
          <w:p>
            <w:pPr>
              <w:pStyle w:val="BDOITable"/>
            </w:pPr>
            <w:r>
              <w:rPr>
                <w:sz w:val="16"/>
              </w:rPr>
              <w:t>TSU (to name)</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986"/>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986"/>
            <w:tcMar>
              <w:top w:w="50" w:type="dxa"/>
              <w:bottom w:w="50" w:type="dxa"/>
              <w:left w:w="90" w:type="dxa"/>
              <w:right w:w="90" w:type="dxa"/>
            </w:tcMar>
          </w:tcPr>
          <w:p>
            <w:pPr>
              <w:pStyle w:val="BDOITable"/>
            </w:pPr>
            <w:r>
              <w:rPr>
                <w:sz w:val="16"/>
              </w:rPr>
              <w:t>Product Owner, Comptrollership - Disbursement</w:t>
            </w:r>
          </w:p>
        </w:tc>
        <w:tc>
          <w:tcPr>
            <w:tcW w:type="dxa" w:w="4205"/>
            <w:tcMar>
              <w:top w:w="50" w:type="dxa"/>
              <w:bottom w:w="50" w:type="dxa"/>
              <w:left w:w="90" w:type="dxa"/>
              <w:right w:w="90" w:type="dxa"/>
            </w:tcMar>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4986"/>
            <w:tcMar>
              <w:top w:w="50" w:type="dxa"/>
              <w:bottom w:w="50" w:type="dxa"/>
              <w:left w:w="90" w:type="dxa"/>
              <w:right w:w="90" w:type="dxa"/>
            </w:tcMar>
          </w:tcPr>
          <w:p>
            <w:pPr>
              <w:pStyle w:val="BDOITable"/>
            </w:pPr>
            <w:r>
              <w:rPr>
                <w:sz w:val="16"/>
              </w:rPr>
              <w:t>Product Owner, MBS; 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4986"/>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4205"/>
            <w:tcMar>
              <w:top w:w="50" w:type="dxa"/>
              <w:bottom w:w="50" w:type="dxa"/>
              <w:left w:w="90" w:type="dxa"/>
              <w:right w:w="90" w:type="dxa"/>
            </w:tcMar>
            <w:shd w:val="clear" w:color="auto" w:fill="E5F5FF"/>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4986"/>
            <w:tcMar>
              <w:top w:w="50" w:type="dxa"/>
              <w:bottom w:w="50" w:type="dxa"/>
              <w:left w:w="90" w:type="dxa"/>
              <w:right w:w="90" w:type="dxa"/>
            </w:tcMar>
          </w:tcPr>
          <w:p>
            <w:pPr>
              <w:pStyle w:val="BDOITable"/>
            </w:pPr>
            <w:r>
              <w:rPr>
                <w:sz w:val="16"/>
              </w:rPr>
              <w:t>Compliance</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986"/>
            <w:tcMar>
              <w:top w:w="50" w:type="dxa"/>
              <w:bottom w:w="50" w:type="dxa"/>
              <w:left w:w="90" w:type="dxa"/>
              <w:right w:w="90" w:type="dxa"/>
            </w:tcMar>
            <w:shd w:val="clear" w:color="auto" w:fill="E5F5FF"/>
          </w:tcPr>
          <w:p>
            <w:pPr>
              <w:pStyle w:val="BDOITable"/>
            </w:pPr>
            <w:r>
              <w:rPr>
                <w:sz w:val="16"/>
              </w:rPr>
              <w:t>Head of the Renewal processing team</w:t>
            </w:r>
          </w:p>
        </w:tc>
        <w:tc>
          <w:tcPr>
            <w:tcW w:type="dxa" w:w="4205"/>
            <w:tcMar>
              <w:top w:w="50" w:type="dxa"/>
              <w:bottom w:w="50" w:type="dxa"/>
              <w:left w:w="90" w:type="dxa"/>
              <w:right w:w="90" w:type="dxa"/>
            </w:tcMar>
            <w:shd w:val="clear" w:color="auto" w:fill="E5F5FF"/>
          </w:tcPr>
          <w:p>
            <w:pPr>
              <w:pStyle w:val="BDOITable"/>
            </w:pPr>
            <w:r>
              <w:rPr>
                <w:sz w:val="16"/>
              </w:rPr>
              <w:t>Renewal processing team - makers (corrections) and checkers (resubmission approval)</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986"/>
            <w:tcMar>
              <w:top w:w="50" w:type="dxa"/>
              <w:bottom w:w="50" w:type="dxa"/>
              <w:left w:w="90" w:type="dxa"/>
              <w:right w:w="90" w:type="dxa"/>
            </w:tcMar>
          </w:tcPr>
          <w:p>
            <w:pPr>
              <w:pStyle w:val="BDOITable"/>
            </w:pPr>
            <w:r>
              <w:rPr>
                <w:sz w:val="16"/>
              </w:rPr>
              <w:t>CBG and Non-CBG Marketing (Submitted Policies)</w:t>
            </w:r>
          </w:p>
        </w:tc>
        <w:tc>
          <w:tcPr>
            <w:tcW w:type="dxa" w:w="4205"/>
            <w:tcMar>
              <w:top w:w="50" w:type="dxa"/>
              <w:bottom w:w="50" w:type="dxa"/>
              <w:left w:w="90" w:type="dxa"/>
              <w:right w:w="90" w:type="dxa"/>
            </w:tcMar>
          </w:tcPr>
          <w:p>
            <w:pPr>
              <w:pStyle w:val="BDOITable"/>
            </w:pPr>
            <w:r>
              <w:rPr>
                <w:sz w:val="16"/>
              </w:rPr>
              <w:t>Submitted Policies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986"/>
            <w:tcMar>
              <w:top w:w="50" w:type="dxa"/>
              <w:bottom w:w="50" w:type="dxa"/>
              <w:left w:w="90" w:type="dxa"/>
              <w:right w:w="90" w:type="dxa"/>
            </w:tcMar>
            <w:shd w:val="clear" w:color="auto" w:fill="E5F5FF"/>
          </w:tcPr>
          <w:p>
            <w:pPr>
              <w:pStyle w:val="BDOITable"/>
            </w:pPr>
            <w:r>
              <w:rPr>
                <w:sz w:val="16"/>
              </w:rPr>
              <w:t>Head, Employee Benefits</w:t>
            </w:r>
          </w:p>
        </w:tc>
        <w:tc>
          <w:tcPr>
            <w:tcW w:type="dxa" w:w="4205"/>
            <w:tcMar>
              <w:top w:w="50" w:type="dxa"/>
              <w:bottom w:w="50" w:type="dxa"/>
              <w:left w:w="90" w:type="dxa"/>
              <w:right w:w="90" w:type="dxa"/>
            </w:tcMar>
            <w:shd w:val="clear" w:color="auto" w:fill="E5F5FF"/>
          </w:tcPr>
          <w:p>
            <w:pPr>
              <w:pStyle w:val="BDOITable"/>
            </w:pPr>
            <w:r>
              <w:rPr>
                <w:sz w:val="16"/>
              </w:rPr>
              <w:t>EB data steward (to name)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986"/>
            <w:tcMar>
              <w:top w:w="50" w:type="dxa"/>
              <w:bottom w:w="50" w:type="dxa"/>
              <w:left w:w="90" w:type="dxa"/>
              <w:right w:w="90" w:type="dxa"/>
            </w:tcMar>
          </w:tcPr>
          <w:p>
            <w:pPr>
              <w:pStyle w:val="BDOITable"/>
            </w:pPr>
            <w:r>
              <w:rPr>
                <w:sz w:val="16"/>
              </w:rPr>
              <w:t>Operations - Financial Transactions; Head, Comptrollership</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986"/>
            <w:tcMar>
              <w:top w:w="50" w:type="dxa"/>
              <w:bottom w:w="50" w:type="dxa"/>
              <w:left w:w="90" w:type="dxa"/>
              <w:right w:w="90" w:type="dxa"/>
            </w:tcMar>
          </w:tcPr>
          <w:p>
            <w:pPr>
              <w:pStyle w:val="BDOITable"/>
            </w:pPr>
            <w:r>
              <w:rPr>
                <w:sz w:val="16"/>
              </w:rPr>
              <w:t>Head, Operations (Collections)</w:t>
            </w:r>
          </w:p>
        </w:tc>
        <w:tc>
          <w:tcPr>
            <w:tcW w:type="dxa" w:w="4205"/>
            <w:tcMar>
              <w:top w:w="50" w:type="dxa"/>
              <w:bottom w:w="50" w:type="dxa"/>
              <w:left w:w="90" w:type="dxa"/>
              <w:right w:w="90" w:type="dxa"/>
            </w:tcMar>
          </w:tcPr>
          <w:p>
            <w:pPr>
              <w:pStyle w:val="BDOITable"/>
            </w:pPr>
            <w:r>
              <w:rPr>
                <w:sz w:val="16"/>
              </w:rPr>
              <w:t>Collections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986"/>
            <w:tcMar>
              <w:top w:w="50" w:type="dxa"/>
              <w:bottom w:w="50" w:type="dxa"/>
              <w:left w:w="90" w:type="dxa"/>
              <w:right w:w="90" w:type="dxa"/>
            </w:tcMar>
            <w:shd w:val="clear" w:color="auto" w:fill="E5F5FF"/>
          </w:tcPr>
          <w:p>
            <w:pPr>
              <w:pStyle w:val="BDOITable"/>
            </w:pPr>
            <w:r>
              <w:rPr>
                <w:sz w:val="16"/>
              </w:rPr>
              <w:t>Operations - Remittance</w:t>
            </w:r>
          </w:p>
        </w:tc>
        <w:tc>
          <w:tcPr>
            <w:tcW w:type="dxa" w:w="4205"/>
            <w:tcMar>
              <w:top w:w="50" w:type="dxa"/>
              <w:bottom w:w="50" w:type="dxa"/>
              <w:left w:w="90" w:type="dxa"/>
              <w:right w:w="90" w:type="dxa"/>
            </w:tcMar>
            <w:shd w:val="clear" w:color="auto" w:fill="E5F5FF"/>
          </w:tcPr>
          <w:p>
            <w:pPr>
              <w:pStyle w:val="BDOITable"/>
            </w:pPr>
            <w:r>
              <w:rPr>
                <w:sz w:val="16"/>
              </w:rPr>
              <w:t>Remittance data steward (to name)</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986"/>
            <w:tcMar>
              <w:top w:w="50" w:type="dxa"/>
              <w:bottom w:w="50" w:type="dxa"/>
              <w:left w:w="90" w:type="dxa"/>
              <w:right w:w="90" w:type="dxa"/>
            </w:tcMar>
          </w:tcPr>
          <w:p>
            <w:pPr>
              <w:pStyle w:val="BDOITable"/>
            </w:pPr>
            <w:r>
              <w:rPr>
                <w:sz w:val="16"/>
              </w:rPr>
              <w:t>Operations - Financial Transactions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986"/>
            <w:tcMar>
              <w:top w:w="50" w:type="dxa"/>
              <w:bottom w:w="50" w:type="dxa"/>
              <w:left w:w="90" w:type="dxa"/>
              <w:right w:w="90" w:type="dxa"/>
            </w:tcMar>
            <w:shd w:val="clear" w:color="auto" w:fill="E5F5FF"/>
          </w:tcPr>
          <w:p>
            <w:pPr>
              <w:pStyle w:val="BDOITable"/>
            </w:pPr>
            <w:r>
              <w:rPr>
                <w:sz w:val="16"/>
              </w:rPr>
              <w:t>Operations - Cashiering</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986"/>
            <w:tcMar>
              <w:top w:w="50" w:type="dxa"/>
              <w:bottom w:w="50" w:type="dxa"/>
              <w:left w:w="90" w:type="dxa"/>
              <w:right w:w="90" w:type="dxa"/>
            </w:tcMar>
          </w:tcPr>
          <w:p>
            <w:pPr>
              <w:pStyle w:val="BDOITable"/>
            </w:pPr>
            <w:r>
              <w:rPr>
                <w:sz w:val="16"/>
              </w:rPr>
              <w:t>Unit Head, Claims, RI and TU</w:t>
            </w:r>
          </w:p>
        </w:tc>
        <w:tc>
          <w:tcPr>
            <w:tcW w:type="dxa" w:w="4205"/>
            <w:tcMar>
              <w:top w:w="50" w:type="dxa"/>
              <w:bottom w:w="50" w:type="dxa"/>
              <w:left w:w="90" w:type="dxa"/>
              <w:right w:w="90" w:type="dxa"/>
            </w:tcMar>
          </w:tcPr>
          <w:p>
            <w:pPr>
              <w:pStyle w:val="BDOITable"/>
            </w:pPr>
            <w:r>
              <w:rPr>
                <w:sz w:val="16"/>
              </w:rPr>
              <w:t>Claims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986"/>
            <w:tcMar>
              <w:top w:w="50" w:type="dxa"/>
              <w:bottom w:w="50" w:type="dxa"/>
              <w:left w:w="90" w:type="dxa"/>
              <w:right w:w="90" w:type="dxa"/>
            </w:tcMar>
          </w:tcPr>
          <w:p>
            <w:pPr>
              <w:pStyle w:val="BDOITable"/>
            </w:pPr>
            <w:r>
              <w:rPr>
                <w:sz w:val="16"/>
              </w:rPr>
              <w:t>Head, Comptrollership</w:t>
            </w:r>
          </w:p>
        </w:tc>
        <w:tc>
          <w:tcPr>
            <w:tcW w:type="dxa" w:w="4205"/>
            <w:tcMar>
              <w:top w:w="50" w:type="dxa"/>
              <w:bottom w:w="50" w:type="dxa"/>
              <w:left w:w="90" w:type="dxa"/>
              <w:right w:w="90" w:type="dxa"/>
            </w:tcMar>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GL lead (prepares each true-up)</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4986"/>
            <w:tcMar>
              <w:top w:w="50" w:type="dxa"/>
              <w:bottom w:w="50" w:type="dxa"/>
              <w:left w:w="90" w:type="dxa"/>
              <w:right w:w="90" w:type="dxa"/>
            </w:tcMar>
          </w:tcPr>
          <w:p>
            <w:pPr>
              <w:pStyle w:val="BDOITable"/>
            </w:pPr>
            <w:r>
              <w:rPr>
                <w:sz w:val="16"/>
              </w:rPr>
              <w:t>Audit / Compliance; legacy system owners</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4986"/>
            <w:tcMar>
              <w:top w:w="50" w:type="dxa"/>
              <w:bottom w:w="50" w:type="dxa"/>
              <w:left w:w="90" w:type="dxa"/>
              <w:right w:w="90" w:type="dxa"/>
            </w:tcMar>
            <w:shd w:val="clear" w:color="auto" w:fill="E5F5FF"/>
          </w:tcPr>
          <w:p>
            <w:pPr>
              <w:pStyle w:val="BDOITable"/>
            </w:pPr>
            <w:r>
              <w:rPr>
                <w:sz w:val="16"/>
              </w:rPr>
              <w:t>Audit / Compliance</w:t>
            </w:r>
          </w:p>
        </w:tc>
        <w:tc>
          <w:tcPr>
            <w:tcW w:type="dxa" w:w="4205"/>
            <w:tcMar>
              <w:top w:w="50" w:type="dxa"/>
              <w:bottom w:w="50" w:type="dxa"/>
              <w:left w:w="90" w:type="dxa"/>
              <w:right w:w="90" w:type="dxa"/>
            </w:tcMar>
            <w:shd w:val="clear" w:color="auto" w:fill="E5F5FF"/>
          </w:tcPr>
          <w:p>
            <w:pPr>
              <w:pStyle w:val="BDOITable"/>
            </w:pPr>
            <w:r>
              <w:rPr>
                <w:sz w:val="16"/>
              </w:rPr>
              <w:t>Compliance data steward (to name)</w:t>
            </w:r>
          </w:p>
        </w:tc>
      </w:tr>
    </w:tbl>
    <w:p>
      <w:pPr>
        <w:pStyle w:val="BDOISpacer"/>
      </w:pPr>
    </w:p>
    <w:p>
      <w:pPr>
        <w:pStyle w:val="Heading2"/>
      </w:pPr>
      <w:bookmarkStart w:id="115" w:name="_Toc000115"/>
      <w:r>
        <w:rPr/>
        <w:t>3.5 Client migration "2020 to present" and daily client batches</w:t>
      </w:r>
      <w:bookmarkEnd w:id="115"/>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 2.1). This document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(job </w:t>
      </w:r>
      <w:r>
        <w:rPr>
          <w:rFonts w:ascii="Courier New" w:hAnsi="Courier New" w:cs="Courier New" w:eastAsia="Courier New"/>
          <w:color w:val="2E2E2E"/>
          <w:sz w:val="19"/>
        </w:rPr>
        <w:t>MIG_CLIENT_DELTA</w:t>
      </w:r>
      <w:r>
        <w:rPr/>
        <w:t>).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6" w:name="_Toc000116"/>
      <w:r>
        <w:rPr/>
        <w:t>4 Source systems</w:t>
      </w:r>
      <w:bookmarkEnd w:id="116"/>
    </w:p>
    <w:p>
      <w:pPr>
        <w:pStyle w:val="Heading2"/>
      </w:pPr>
      <w:bookmarkStart w:id="117" w:name="_Toc000117"/>
      <w:r>
        <w:rPr/>
        <w:t>4.1 Legacy systems in scope</w:t>
      </w:r>
      <w:bookmarkEnd w:id="117"/>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9: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18" w:name="_Toc000118"/>
      <w:r>
        <w:rPr/>
        <w:t>4.2 Source per object</w:t>
      </w:r>
      <w:bookmarkEnd w:id="118"/>
    </w:p>
    <w:p>
      <w:pPr>
        <w:pStyle w:val="Caption"/>
        <w:keepNext/>
        <w:spacing w:after="60"/>
      </w:pPr>
      <w:r>
        <w:rPr>
          <w:b/>
          <w:i w:val="0"/>
        </w:rPr>
        <w:t xml:space="preserve">Table 10: </w:t>
      </w:r>
      <w:r>
        <w:rPr/>
        <w:t>Source systems per data object (Y = holds the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 account officers)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4205"/>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4205"/>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4205"/>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(section 6.8).</w:t>
      </w:r>
    </w:p>
    <w:p>
      <w:pPr>
        <w:pStyle w:val="Heading1"/>
        <w:pageBreakBefore/>
        <w:pBdr>
          <w:bottom w:val="single" w:sz="4" w:space="4" w:color="99C1E7"/>
        </w:pBdr>
      </w:pPr>
      <w:bookmarkStart w:id="119" w:name="_Toc000119"/>
      <w:r>
        <w:rPr/>
        <w:t>5 Target in BIBS</w:t>
      </w:r>
      <w:bookmarkEnd w:id="119"/>
    </w:p>
    <w:p>
      <w:pPr>
        <w:pStyle w:val="Heading2"/>
      </w:pPr>
      <w:bookmarkStart w:id="120" w:name="_Toc000120"/>
      <w:r>
        <w:rPr/>
        <w:t>5.1 Target per object and load order</w:t>
      </w:r>
      <w:bookmarkEnd w:id="120"/>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11: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6007"/>
        <w:gridCol w:w="2162"/>
        <w:gridCol w:w="102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6"/>
              </w:rPr>
              <w:t>BIBS target (service or table)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Load order</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6007"/>
            <w:tcMar>
              <w:top w:w="50" w:type="dxa"/>
              <w:bottom w:w="50" w:type="dxa"/>
              <w:left w:w="90" w:type="dxa"/>
              <w:right w:w="90" w:type="dxa"/>
            </w:tcMar>
          </w:tcPr>
          <w:p>
            <w:pPr>
              <w:pStyle w:val="BDOITable"/>
            </w:pPr>
            <w:r>
              <w:rPr>
                <w:sz w:val="16"/>
              </w:rPr>
              <w:t>lov_value through LovService; MIS field catalogue (Core Replacement CR-W1)</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6007"/>
            <w:tcMar>
              <w:top w:w="50" w:type="dxa"/>
              <w:bottom w:w="50" w:type="dxa"/>
              <w:left w:w="90" w:type="dxa"/>
              <w:right w:w="90" w:type="dxa"/>
            </w:tcMar>
            <w:shd w:val="clear" w:color="auto" w:fill="E5F5FF"/>
          </w:tcPr>
          <w:p>
            <w:pPr>
              <w:pStyle w:val="BDOITable"/>
            </w:pPr>
            <w:r>
              <w:rPr>
                <w:sz w:val="16"/>
              </w:rPr>
              <w:t>org_branch (check only, code map BRANCH)</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6007"/>
            <w:tcMar>
              <w:top w:w="50" w:type="dxa"/>
              <w:bottom w:w="50" w:type="dxa"/>
              <w:left w:w="90" w:type="dxa"/>
              <w:right w:w="90" w:type="dxa"/>
            </w:tcMar>
          </w:tcPr>
          <w:p>
            <w:pPr>
              <w:pStyle w:val="BDOITable"/>
            </w:pPr>
            <w:r>
              <w:rPr>
                <w:sz w:val="16"/>
              </w:rPr>
              <w:t>cat_sales_unit, cat_sales_officer (catalog services)</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6007"/>
            <w:tcMar>
              <w:top w:w="50" w:type="dxa"/>
              <w:bottom w:w="50" w:type="dxa"/>
              <w:left w:w="90" w:type="dxa"/>
              <w:right w:w="90" w:type="dxa"/>
            </w:tcMar>
            <w:shd w:val="clear" w:color="auto" w:fill="E5F5FF"/>
          </w:tcPr>
          <w:p>
            <w:pPr>
              <w:pStyle w:val="BDOITable"/>
            </w:pPr>
            <w:r>
              <w:rPr>
                <w:sz w:val="16"/>
              </w:rPr>
              <w:t>cat_insurer, cat_insurer_branch (InsurerService), party</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6007"/>
            <w:tcMar>
              <w:top w:w="50" w:type="dxa"/>
              <w:bottom w:w="50" w:type="dxa"/>
              <w:left w:w="90" w:type="dxa"/>
              <w:right w:w="90" w:type="dxa"/>
            </w:tcMar>
          </w:tcPr>
          <w:p>
            <w:pPr>
              <w:pStyle w:val="BDOITable"/>
            </w:pPr>
            <w:r>
              <w:rPr>
                <w:sz w:val="16"/>
              </w:rPr>
              <w:t>cat_product_line, cat_cover_type, cat_product (ProductCatalogService)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6007"/>
            <w:tcMar>
              <w:top w:w="50" w:type="dxa"/>
              <w:bottom w:w="50" w:type="dxa"/>
              <w:left w:w="90" w:type="dxa"/>
              <w:right w:w="90" w:type="dxa"/>
            </w:tcMar>
            <w:shd w:val="clear" w:color="auto" w:fill="E5F5FF"/>
          </w:tcPr>
          <w:p>
            <w:pPr>
              <w:pStyle w:val="BDOITable"/>
            </w:pPr>
            <w:r>
              <w:rPr>
                <w:sz w:val="16"/>
              </w:rPr>
              <w:t>Renewal package map, through the Renewal service that maintains it (check PACKAGE_REMAP)</w:t>
            </w:r>
          </w:p>
        </w:tc>
        <w:tc>
          <w:tcPr>
            <w:tcW w:type="dxa" w:w="2163"/>
            <w:tcMar>
              <w:top w:w="50" w:type="dxa"/>
              <w:bottom w:w="50" w:type="dxa"/>
              <w:left w:w="90" w:type="dxa"/>
              <w:right w:w="90" w:type="dxa"/>
            </w:tcMar>
            <w:shd w:val="clear" w:color="auto" w:fill="E5F5FF"/>
          </w:tcPr>
          <w:p>
            <w:pPr>
              <w:pStyle w:val="BDOITable"/>
            </w:pPr>
            <w:r>
              <w:rPr>
                <w:sz w:val="16"/>
              </w:rPr>
              <w:t>BRID 3.1, 12.1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6007"/>
            <w:tcMar>
              <w:top w:w="50" w:type="dxa"/>
              <w:bottom w:w="50" w:type="dxa"/>
              <w:left w:w="90" w:type="dxa"/>
              <w:right w:w="90" w:type="dxa"/>
            </w:tcMar>
          </w:tcPr>
          <w:p>
            <w:pPr>
              <w:pStyle w:val="BDOITable"/>
            </w:pPr>
            <w:r>
              <w:rPr>
                <w:sz w:val="16"/>
              </w:rPr>
              <w:t>cat_commission_rate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6007"/>
            <w:tcMar>
              <w:top w:w="50" w:type="dxa"/>
              <w:bottom w:w="50" w:type="dxa"/>
              <w:left w:w="90" w:type="dxa"/>
              <w:right w:w="90" w:type="dxa"/>
            </w:tcMar>
            <w:shd w:val="clear" w:color="auto" w:fill="E5F5FF"/>
          </w:tcPr>
          <w:p>
            <w:pPr>
              <w:pStyle w:val="BDOITable"/>
            </w:pPr>
            <w:r>
              <w:rPr>
                <w:sz w:val="16"/>
              </w:rPr>
              <w:t>Code map GL_ACCOUNT to coa_account (chart configured by Comptrollership)</w:t>
            </w:r>
          </w:p>
        </w:tc>
        <w:tc>
          <w:tcPr>
            <w:tcW w:type="dxa" w:w="2163"/>
            <w:tcMar>
              <w:top w:w="50" w:type="dxa"/>
              <w:bottom w:w="50" w:type="dxa"/>
              <w:left w:w="90" w:type="dxa"/>
              <w:right w:w="90" w:type="dxa"/>
            </w:tcMar>
            <w:shd w:val="clear" w:color="auto" w:fill="E5F5FF"/>
          </w:tcPr>
          <w:p>
            <w:pPr>
              <w:pStyle w:val="BDOITable"/>
            </w:pPr>
            <w:r>
              <w:rPr>
                <w:sz w:val="16"/>
              </w:rPr>
              <w:t>BRID 5.1-8.1; AQ01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6007"/>
            <w:tcMar>
              <w:top w:w="50" w:type="dxa"/>
              <w:bottom w:w="50" w:type="dxa"/>
              <w:left w:w="90" w:type="dxa"/>
              <w:right w:w="90" w:type="dxa"/>
            </w:tcMar>
          </w:tcPr>
          <w:p>
            <w:pPr>
              <w:pStyle w:val="BDOITable"/>
            </w:pPr>
            <w:r>
              <w:rPr>
                <w:sz w:val="16"/>
              </w:rPr>
              <w:t>party and payee through the DISB_PAYEE_MIGRATION service</w:t>
            </w:r>
          </w:p>
        </w:tc>
        <w:tc>
          <w:tcPr>
            <w:tcW w:type="dxa" w:w="2163"/>
            <w:tcMar>
              <w:top w:w="50" w:type="dxa"/>
              <w:bottom w:w="50" w:type="dxa"/>
              <w:left w:w="90" w:type="dxa"/>
              <w:right w:w="90" w:type="dxa"/>
            </w:tcMar>
          </w:tcPr>
          <w:p>
            <w:pPr>
              <w:pStyle w:val="BDOITable"/>
            </w:pPr>
            <w:r>
              <w:rPr>
                <w:sz w:val="16"/>
              </w:rPr>
              <w:t>AQ11</w:t>
            </w:r>
          </w:p>
        </w:tc>
        <w:tc>
          <w:tcPr>
            <w:tcW w:type="dxa" w:w="1021"/>
            <w:tcMar>
              <w:top w:w="50" w:type="dxa"/>
              <w:bottom w:w="50" w:type="dxa"/>
              <w:left w:w="90" w:type="dxa"/>
              <w:right w:w="90" w:type="dxa"/>
            </w:tcMar>
          </w:tcPr>
          <w:p>
            <w:pPr>
              <w:pStyle w:val="BDOITable"/>
            </w:pPr>
            <w:r>
              <w:rPr>
                <w:sz w:val="16"/>
              </w:rPr>
              <w:t>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6007"/>
            <w:tcMar>
              <w:top w:w="50" w:type="dxa"/>
              <w:bottom w:w="50" w:type="dxa"/>
              <w:left w:w="90" w:type="dxa"/>
              <w:right w:w="90" w:type="dxa"/>
            </w:tcMar>
            <w:shd w:val="clear" w:color="auto" w:fill="E5F5FF"/>
          </w:tcPr>
          <w:p>
            <w:pPr>
              <w:pStyle w:val="BDOITable"/>
            </w:pPr>
            <w:r>
              <w:rPr>
                <w:sz w:val="16"/>
              </w:rPr>
              <w:t>csh_receipt_series</w:t>
            </w:r>
          </w:p>
        </w:tc>
        <w:tc>
          <w:tcPr>
            <w:tcW w:type="dxa" w:w="2163"/>
            <w:tcMar>
              <w:top w:w="50" w:type="dxa"/>
              <w:bottom w:w="50" w:type="dxa"/>
              <w:left w:w="90" w:type="dxa"/>
              <w:right w:w="90" w:type="dxa"/>
            </w:tcMar>
            <w:shd w:val="clear" w:color="auto" w:fill="E5F5FF"/>
          </w:tcPr>
          <w:p>
            <w:pPr>
              <w:pStyle w:val="BDOITable"/>
            </w:pPr>
            <w:r>
              <w:rPr>
                <w:sz w:val="16"/>
              </w:rPr>
              <w:t>BRID 6.1</w:t>
            </w:r>
          </w:p>
        </w:tc>
        <w:tc>
          <w:tcPr>
            <w:tcW w:type="dxa" w:w="102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6007"/>
            <w:tcMar>
              <w:top w:w="50" w:type="dxa"/>
              <w:bottom w:w="50" w:type="dxa"/>
              <w:left w:w="90" w:type="dxa"/>
              <w:right w:w="90" w:type="dxa"/>
            </w:tcMar>
          </w:tcPr>
          <w:p>
            <w:pPr>
              <w:pStyle w:val="BDOITable"/>
            </w:pPr>
            <w:r>
              <w:rPr>
                <w:sz w:val="16"/>
              </w:rPr>
              <w:t>crm_client through ClientOnboardingService.registerMigrated (new)</w:t>
            </w:r>
          </w:p>
        </w:tc>
        <w:tc>
          <w:tcPr>
            <w:tcW w:type="dxa" w:w="2163"/>
            <w:tcMar>
              <w:top w:w="50" w:type="dxa"/>
              <w:bottom w:w="50" w:type="dxa"/>
              <w:left w:w="90" w:type="dxa"/>
              <w:right w:w="90" w:type="dxa"/>
            </w:tcMar>
          </w:tcPr>
          <w:p>
            <w:pPr>
              <w:pStyle w:val="BDOITable"/>
            </w:pPr>
            <w:r>
              <w:rPr>
                <w:sz w:val="16"/>
              </w:rPr>
              <w:t>BRID 2.1</w:t>
            </w:r>
          </w:p>
        </w:tc>
        <w:tc>
          <w:tcPr>
            <w:tcW w:type="dxa" w:w="1021"/>
            <w:tcMar>
              <w:top w:w="50" w:type="dxa"/>
              <w:bottom w:w="50" w:type="dxa"/>
              <w:left w:w="90" w:type="dxa"/>
              <w:right w:w="90" w:type="dxa"/>
            </w:tcMar>
          </w:tcPr>
          <w:p>
            <w:pPr>
              <w:pStyle w:val="BDOITable"/>
            </w:pPr>
            <w:r>
              <w:rPr>
                <w:sz w:val="16"/>
              </w:rPr>
              <w:t>5</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6007"/>
            <w:tcMar>
              <w:top w:w="50" w:type="dxa"/>
              <w:bottom w:w="50" w:type="dxa"/>
              <w:left w:w="90" w:type="dxa"/>
              <w:right w:w="90" w:type="dxa"/>
            </w:tcMar>
            <w:shd w:val="clear" w:color="auto" w:fill="E5F5FF"/>
          </w:tcPr>
          <w:p>
            <w:pPr>
              <w:pStyle w:val="BDOITable"/>
            </w:pPr>
            <w:r>
              <w:rPr>
                <w:sz w:val="16"/>
              </w:rPr>
              <w:t>crm_client_payout_account (ClientPayoutAccounts)</w:t>
            </w:r>
          </w:p>
        </w:tc>
        <w:tc>
          <w:tcPr>
            <w:tcW w:type="dxa" w:w="2163"/>
            <w:tcMar>
              <w:top w:w="50" w:type="dxa"/>
              <w:bottom w:w="50" w:type="dxa"/>
              <w:left w:w="90" w:type="dxa"/>
              <w:right w:w="90" w:type="dxa"/>
            </w:tcMar>
            <w:shd w:val="clear" w:color="auto" w:fill="E5F5FF"/>
          </w:tcPr>
          <w:p>
            <w:pPr>
              <w:pStyle w:val="BDOITable"/>
            </w:pPr>
            <w:r>
              <w:rPr>
                <w:sz w:val="16"/>
              </w:rPr>
              <w:t>BRID 5.4</w:t>
            </w:r>
          </w:p>
        </w:tc>
        <w:tc>
          <w:tcPr>
            <w:tcW w:type="dxa" w:w="1021"/>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6007"/>
            <w:tcMar>
              <w:top w:w="50" w:type="dxa"/>
              <w:bottom w:w="50" w:type="dxa"/>
              <w:left w:w="90" w:type="dxa"/>
              <w:right w:w="90" w:type="dxa"/>
            </w:tcMar>
          </w:tcPr>
          <w:p>
            <w:pPr>
              <w:pStyle w:val="BDOITable"/>
            </w:pPr>
            <w:r>
              <w:rPr>
                <w:sz w:val="16"/>
              </w:rPr>
              <w:t>BIBS archive (mig_archive_record, attachment LEGACY_DOCUMENT)</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6007"/>
            <w:tcMar>
              <w:top w:w="50" w:type="dxa"/>
              <w:bottom w:w="50" w:type="dxa"/>
              <w:left w:w="90" w:type="dxa"/>
              <w:right w:w="90" w:type="dxa"/>
            </w:tcMar>
            <w:shd w:val="clear" w:color="auto" w:fill="E5F5FF"/>
          </w:tcPr>
          <w:p>
            <w:pPr>
              <w:pStyle w:val="BDOITable"/>
            </w:pPr>
            <w:r>
              <w:rPr>
                <w:sz w:val="16"/>
              </w:rPr>
              <w:t>acc_account through AccountService.importLegacy (new)</w:t>
            </w:r>
          </w:p>
        </w:tc>
        <w:tc>
          <w:tcPr>
            <w:tcW w:type="dxa" w:w="2163"/>
            <w:tcMar>
              <w:top w:w="50" w:type="dxa"/>
              <w:bottom w:w="50" w:type="dxa"/>
              <w:left w:w="90" w:type="dxa"/>
              <w:right w:w="90" w:type="dxa"/>
            </w:tcMar>
            <w:shd w:val="clear" w:color="auto" w:fill="E5F5FF"/>
          </w:tcPr>
          <w:p>
            <w:pPr>
              <w:pStyle w:val="BDOITable"/>
            </w:pPr>
            <w:r>
              <w:rPr>
                <w:sz w:val="16"/>
              </w:rPr>
              <w:t>BRID 4.1</w:t>
            </w:r>
          </w:p>
        </w:tc>
        <w:tc>
          <w:tcPr>
            <w:tcW w:type="dxa" w:w="1021"/>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6007"/>
            <w:tcMar>
              <w:top w:w="50" w:type="dxa"/>
              <w:bottom w:w="50" w:type="dxa"/>
              <w:left w:w="90" w:type="dxa"/>
              <w:right w:w="90" w:type="dxa"/>
            </w:tcMar>
          </w:tcPr>
          <w:p>
            <w:pPr>
              <w:pStyle w:val="BDOITable"/>
            </w:pPr>
            <w:r>
              <w:rPr>
                <w:sz w:val="16"/>
              </w:rPr>
              <w:t>BIBS archive record type POLICY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6007"/>
            <w:tcMar>
              <w:top w:w="50" w:type="dxa"/>
              <w:bottom w:w="50" w:type="dxa"/>
              <w:left w:w="90" w:type="dxa"/>
              <w:right w:w="90" w:type="dxa"/>
            </w:tcMar>
            <w:shd w:val="clear" w:color="auto" w:fill="E5F5FF"/>
          </w:tcPr>
          <w:p>
            <w:pPr>
              <w:pStyle w:val="BDOITable"/>
            </w:pPr>
            <w:r>
              <w:rPr>
                <w:sz w:val="16"/>
              </w:rPr>
              <w:t>mig_ra_sent, served to Renewal with the header in the go-live extraction (LegacyPolicySource)</w:t>
            </w:r>
          </w:p>
        </w:tc>
        <w:tc>
          <w:tcPr>
            <w:tcW w:type="dxa" w:w="2163"/>
            <w:tcMar>
              <w:top w:w="50" w:type="dxa"/>
              <w:bottom w:w="50" w:type="dxa"/>
              <w:left w:w="90" w:type="dxa"/>
              <w:right w:w="90" w:type="dxa"/>
            </w:tcMar>
            <w:shd w:val="clear" w:color="auto" w:fill="E5F5FF"/>
          </w:tcPr>
          <w:p>
            <w:pPr>
              <w:pStyle w:val="BDOITable"/>
            </w:pPr>
            <w:r>
              <w:rPr>
                <w:sz w:val="16"/>
              </w:rPr>
              <w:t>BRID 12.1</w:t>
            </w:r>
          </w:p>
        </w:tc>
        <w:tc>
          <w:tcPr>
            <w:tcW w:type="dxa" w:w="1021"/>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6007"/>
            <w:tcMar>
              <w:top w:w="50" w:type="dxa"/>
              <w:bottom w:w="50" w:type="dxa"/>
              <w:left w:w="90" w:type="dxa"/>
              <w:right w:w="90" w:type="dxa"/>
            </w:tcMar>
          </w:tcPr>
          <w:p>
            <w:pPr>
              <w:pStyle w:val="BDOITable"/>
            </w:pPr>
            <w:r>
              <w:rPr>
                <w:sz w:val="16"/>
              </w:rPr>
              <w:t>sbm_policy through SBM_MIGRATION</w:t>
            </w:r>
          </w:p>
        </w:tc>
        <w:tc>
          <w:tcPr>
            <w:tcW w:type="dxa" w:w="2163"/>
            <w:tcMar>
              <w:top w:w="50" w:type="dxa"/>
              <w:bottom w:w="50" w:type="dxa"/>
              <w:left w:w="90" w:type="dxa"/>
              <w:right w:w="90" w:type="dxa"/>
            </w:tcMar>
          </w:tcPr>
          <w:p>
            <w:pPr>
              <w:pStyle w:val="BDOITable"/>
            </w:pPr>
            <w:r>
              <w:rPr>
                <w:sz w:val="16"/>
              </w:rPr>
              <w:t>BRIDSP-33</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6007"/>
            <w:tcMar>
              <w:top w:w="50" w:type="dxa"/>
              <w:bottom w:w="50" w:type="dxa"/>
              <w:left w:w="90" w:type="dxa"/>
              <w:right w:w="90" w:type="dxa"/>
            </w:tcMar>
            <w:shd w:val="clear" w:color="auto" w:fill="E5F5FF"/>
          </w:tcPr>
          <w:p>
            <w:pPr>
              <w:pStyle w:val="BDOITable"/>
            </w:pPr>
            <w:r>
              <w:rPr>
                <w:sz w:val="16"/>
              </w:rPr>
              <w:t>EB programme tables through EB_PROGRAMME_LOAD</w:t>
            </w:r>
          </w:p>
        </w:tc>
        <w:tc>
          <w:tcPr>
            <w:tcW w:type="dxa" w:w="2163"/>
            <w:tcMar>
              <w:top w:w="50" w:type="dxa"/>
              <w:bottom w:w="50" w:type="dxa"/>
              <w:left w:w="90" w:type="dxa"/>
              <w:right w:w="90" w:type="dxa"/>
            </w:tcMar>
            <w:shd w:val="clear" w:color="auto" w:fill="E5F5FF"/>
          </w:tcPr>
          <w:p>
            <w:pPr>
              <w:pStyle w:val="BDOITable"/>
            </w:pPr>
            <w:r>
              <w:rPr>
                <w:sz w:val="16"/>
              </w:rPr>
              <w:t>BRD-8</w:t>
            </w:r>
          </w:p>
        </w:tc>
        <w:tc>
          <w:tcPr>
            <w:tcW w:type="dxa" w:w="1021"/>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6007"/>
            <w:tcMar>
              <w:top w:w="50" w:type="dxa"/>
              <w:bottom w:w="50" w:type="dxa"/>
              <w:left w:w="90" w:type="dxa"/>
              <w:right w:w="90" w:type="dxa"/>
            </w:tcMar>
          </w:tcPr>
          <w:p>
            <w:pPr>
              <w:pStyle w:val="BDOITable"/>
            </w:pPr>
            <w:r>
              <w:rPr>
                <w:sz w:val="16"/>
              </w:rPr>
              <w:t>ops_invoice, ops_invoice_share, ops_invoice_component through LegacyInvoiceIntake (new); opening entry MIG_LEGACY_INVOICE_OPENING</w:t>
            </w:r>
          </w:p>
        </w:tc>
        <w:tc>
          <w:tcPr>
            <w:tcW w:type="dxa" w:w="2163"/>
            <w:tcMar>
              <w:top w:w="50" w:type="dxa"/>
              <w:bottom w:w="50" w:type="dxa"/>
              <w:left w:w="90" w:type="dxa"/>
              <w:right w:w="90" w:type="dxa"/>
            </w:tcMar>
          </w:tcPr>
          <w:p>
            <w:pPr>
              <w:pStyle w:val="BDOITable"/>
            </w:pPr>
            <w:r>
              <w:rPr>
                <w:sz w:val="16"/>
              </w:rPr>
              <w:t>BRID 5.2, 6.1-6.4, 7.1, 7.2, 8.1, 9.1-9.3, 10.1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6007"/>
            <w:tcMar>
              <w:top w:w="50" w:type="dxa"/>
              <w:bottom w:w="50" w:type="dxa"/>
              <w:left w:w="90" w:type="dxa"/>
              <w:right w:w="90" w:type="dxa"/>
            </w:tcMar>
            <w:shd w:val="clear" w:color="auto" w:fill="E5F5FF"/>
          </w:tcPr>
          <w:p>
            <w:pPr>
              <w:pStyle w:val="BDOITable"/>
            </w:pPr>
            <w:r>
              <w:rPr>
                <w:sz w:val="16"/>
              </w:rPr>
              <w:t>csh_unapplied through UnappliedService.createMigrated (new); opening entry MIG_UPP_OPENING</w:t>
            </w:r>
          </w:p>
        </w:tc>
        <w:tc>
          <w:tcPr>
            <w:tcW w:type="dxa" w:w="2163"/>
            <w:tcMar>
              <w:top w:w="50" w:type="dxa"/>
              <w:bottom w:w="50" w:type="dxa"/>
              <w:left w:w="90" w:type="dxa"/>
              <w:right w:w="90" w:type="dxa"/>
            </w:tcMar>
            <w:shd w:val="clear" w:color="auto" w:fill="E5F5FF"/>
          </w:tcPr>
          <w:p>
            <w:pPr>
              <w:pStyle w:val="BDOITable"/>
            </w:pPr>
            <w:r>
              <w:rPr>
                <w:sz w:val="16"/>
              </w:rPr>
              <w:t>BRID 5.1-5.5, 6.3, 6.4</w:t>
            </w:r>
          </w:p>
        </w:tc>
        <w:tc>
          <w:tcPr>
            <w:tcW w:type="dxa" w:w="1021"/>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6007"/>
            <w:tcMar>
              <w:top w:w="50" w:type="dxa"/>
              <w:bottom w:w="50" w:type="dxa"/>
              <w:left w:w="90" w:type="dxa"/>
              <w:right w:w="90" w:type="dxa"/>
            </w:tcMar>
          </w:tcPr>
          <w:p>
            <w:pPr>
              <w:pStyle w:val="BDOITable"/>
            </w:pPr>
            <w:r>
              <w:rPr>
                <w:sz w:val="16"/>
              </w:rPr>
              <w:t>Collections legacy state (CLX_LEGACY_ITEMS, LegacyItemStateService, new)</w:t>
            </w:r>
          </w:p>
        </w:tc>
        <w:tc>
          <w:tcPr>
            <w:tcW w:type="dxa" w:w="2163"/>
            <w:tcMar>
              <w:top w:w="50" w:type="dxa"/>
              <w:bottom w:w="50" w:type="dxa"/>
              <w:left w:w="90" w:type="dxa"/>
              <w:right w:w="90" w:type="dxa"/>
            </w:tcMar>
          </w:tcPr>
          <w:p>
            <w:pPr>
              <w:pStyle w:val="BDOITable"/>
            </w:pPr>
            <w:r>
              <w:rPr>
                <w:sz w:val="16"/>
              </w:rPr>
              <w:t>CQ07</w:t>
            </w:r>
          </w:p>
        </w:tc>
        <w:tc>
          <w:tcPr>
            <w:tcW w:type="dxa" w:w="1021"/>
            <w:tcMar>
              <w:top w:w="50" w:type="dxa"/>
              <w:bottom w:w="50" w:type="dxa"/>
              <w:left w:w="90" w:type="dxa"/>
              <w:right w:w="90" w:type="dxa"/>
            </w:tcMar>
          </w:tcPr>
          <w:p>
            <w:pPr>
              <w:pStyle w:val="BDOITable"/>
            </w:pPr>
            <w:r>
              <w:rPr>
                <w:sz w:val="16"/>
              </w:rPr>
              <w:t>10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6007"/>
            <w:tcMar>
              <w:top w:w="50" w:type="dxa"/>
              <w:bottom w:w="50" w:type="dxa"/>
              <w:left w:w="90" w:type="dxa"/>
              <w:right w:w="90" w:type="dxa"/>
            </w:tcMar>
            <w:shd w:val="clear" w:color="auto" w:fill="E5F5FF"/>
          </w:tcPr>
          <w:p>
            <w:pPr>
              <w:pStyle w:val="BDOITable"/>
            </w:pPr>
            <w:r>
              <w:rPr>
                <w:sz w:val="16"/>
              </w:rPr>
              <w:t>rem_hold_request, rem_special_request (remittance services)</w:t>
            </w:r>
          </w:p>
        </w:tc>
        <w:tc>
          <w:tcPr>
            <w:tcW w:type="dxa" w:w="2163"/>
            <w:tcMar>
              <w:top w:w="50" w:type="dxa"/>
              <w:bottom w:w="50" w:type="dxa"/>
              <w:left w:w="90" w:type="dxa"/>
              <w:right w:w="90" w:type="dxa"/>
            </w:tcMar>
            <w:shd w:val="clear" w:color="auto" w:fill="E5F5FF"/>
          </w:tcPr>
          <w:p>
            <w:pPr>
              <w:pStyle w:val="BDOITable"/>
            </w:pPr>
            <w:r>
              <w:rPr>
                <w:sz w:val="16"/>
              </w:rPr>
              <w:t>BRID 8.1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6007"/>
            <w:tcMar>
              <w:top w:w="50" w:type="dxa"/>
              <w:bottom w:w="50" w:type="dxa"/>
              <w:left w:w="90" w:type="dxa"/>
              <w:right w:w="90" w:type="dxa"/>
            </w:tcMar>
          </w:tcPr>
          <w:p>
            <w:pPr>
              <w:pStyle w:val="BDOITable"/>
            </w:pPr>
            <w:r>
              <w:rPr>
                <w:sz w:val="16"/>
              </w:rPr>
              <w:t>Part of F01; commission DP list service</w:t>
            </w:r>
          </w:p>
        </w:tc>
        <w:tc>
          <w:tcPr>
            <w:tcW w:type="dxa" w:w="2163"/>
            <w:tcMar>
              <w:top w:w="50" w:type="dxa"/>
              <w:bottom w:w="50" w:type="dxa"/>
              <w:left w:w="90" w:type="dxa"/>
              <w:right w:w="90" w:type="dxa"/>
            </w:tcMar>
          </w:tcPr>
          <w:p>
            <w:pPr>
              <w:pStyle w:val="BDOITable"/>
            </w:pPr>
            <w:r>
              <w:rPr>
                <w:sz w:val="16"/>
              </w:rPr>
              <w:t>BRID 7.1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6007"/>
            <w:tcMar>
              <w:top w:w="50" w:type="dxa"/>
              <w:bottom w:w="50" w:type="dxa"/>
              <w:left w:w="90" w:type="dxa"/>
              <w:right w:w="90" w:type="dxa"/>
            </w:tcMar>
            <w:shd w:val="clear" w:color="auto" w:fill="E5F5FF"/>
          </w:tcPr>
          <w:p>
            <w:pPr>
              <w:pStyle w:val="BDOITable"/>
            </w:pPr>
            <w:r>
              <w:rPr>
                <w:sz w:val="16"/>
              </w:rPr>
              <w:t>csh_pdc_item and the cashiering pick-up service</w:t>
            </w:r>
          </w:p>
        </w:tc>
        <w:tc>
          <w:tcPr>
            <w:tcW w:type="dxa" w:w="2163"/>
            <w:tcMar>
              <w:top w:w="50" w:type="dxa"/>
              <w:bottom w:w="50" w:type="dxa"/>
              <w:left w:w="90" w:type="dxa"/>
              <w:right w:w="90" w:type="dxa"/>
            </w:tcMar>
            <w:shd w:val="clear" w:color="auto" w:fill="E5F5FF"/>
          </w:tcPr>
          <w:p>
            <w:pPr>
              <w:pStyle w:val="BDOITable"/>
            </w:pPr>
            <w:r>
              <w:rPr>
                <w:sz w:val="16"/>
              </w:rPr>
              <w:t>BRID 5.1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6007"/>
            <w:tcMar>
              <w:top w:w="50" w:type="dxa"/>
              <w:bottom w:w="50" w:type="dxa"/>
              <w:left w:w="90" w:type="dxa"/>
              <w:right w:w="90" w:type="dxa"/>
            </w:tcMar>
          </w:tcPr>
          <w:p>
            <w:pPr>
              <w:pStyle w:val="BDOITable"/>
            </w:pPr>
            <w:r>
              <w:rPr>
                <w:sz w:val="16"/>
              </w:rPr>
              <w:t>bcl_claim through BCL_CLAIM_MIGRATION</w:t>
            </w:r>
          </w:p>
        </w:tc>
        <w:tc>
          <w:tcPr>
            <w:tcW w:type="dxa" w:w="2163"/>
            <w:tcMar>
              <w:top w:w="50" w:type="dxa"/>
              <w:bottom w:w="50" w:type="dxa"/>
              <w:left w:w="90" w:type="dxa"/>
              <w:right w:w="90" w:type="dxa"/>
            </w:tcMar>
          </w:tcPr>
          <w:p>
            <w:pPr>
              <w:pStyle w:val="BDOITable"/>
            </w:pPr>
            <w:r>
              <w:rPr>
                <w:sz w:val="16"/>
              </w:rPr>
              <w:t>CLQ14</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6007"/>
            <w:tcMar>
              <w:top w:w="50" w:type="dxa"/>
              <w:bottom w:w="50" w:type="dxa"/>
              <w:left w:w="90" w:type="dxa"/>
              <w:right w:w="90" w:type="dxa"/>
            </w:tcMar>
            <w:shd w:val="clear" w:color="auto" w:fill="E5F5FF"/>
          </w:tcPr>
          <w:p>
            <w:pPr>
              <w:pStyle w:val="BDOITable"/>
            </w:pPr>
            <w:r>
              <w:rPr>
                <w:sz w:val="16"/>
              </w:rPr>
              <w:t>jnl_batch, jnl_line (SystemJournalService, journal type OPENING, value date 1-Jan-2028); at a true-up, reconciliation input only</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6007"/>
            <w:tcMar>
              <w:top w:w="50" w:type="dxa"/>
              <w:bottom w:w="50" w:type="dxa"/>
              <w:left w:w="90" w:type="dxa"/>
              <w:right w:w="90" w:type="dxa"/>
            </w:tcMar>
          </w:tcPr>
          <w:p>
            <w:pPr>
              <w:pStyle w:val="BDOITable"/>
            </w:pPr>
            <w:r>
              <w:rPr>
                <w:sz w:val="16"/>
              </w:rPr>
              <w:t>BIBS archive record type GL_JOURNAL</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6007"/>
            <w:tcMar>
              <w:top w:w="50" w:type="dxa"/>
              <w:bottom w:w="50" w:type="dxa"/>
              <w:left w:w="90" w:type="dxa"/>
              <w:right w:w="90" w:type="dxa"/>
            </w:tcMar>
            <w:shd w:val="clear" w:color="auto" w:fill="E5F5FF"/>
          </w:tcPr>
          <w:p>
            <w:pPr>
              <w:pStyle w:val="BDOITable"/>
            </w:pPr>
            <w:r>
              <w:rPr>
                <w:sz w:val="16"/>
              </w:rPr>
              <w:t>jnl_batch, jnl_line (journal type OPENING, reference MIG-TU-&lt;n&gt;); legacy open items through LegacyInvoiceIntake.adjustOpening and UnappliedService.adjustMigratedOpening (new)</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17</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6007"/>
            <w:tcMar>
              <w:top w:w="50" w:type="dxa"/>
              <w:bottom w:w="50" w:type="dxa"/>
              <w:left w:w="90" w:type="dxa"/>
              <w:right w:w="90" w:type="dxa"/>
            </w:tcMar>
          </w:tcPr>
          <w:p>
            <w:pPr>
              <w:pStyle w:val="BDOITable"/>
            </w:pPr>
            <w:r>
              <w:rPr>
                <w:sz w:val="16"/>
              </w:rPr>
              <w:t>mig_archive_record (Legacy Inquiry)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6007"/>
            <w:tcMar>
              <w:top w:w="50" w:type="dxa"/>
              <w:bottom w:w="50" w:type="dxa"/>
              <w:left w:w="90" w:type="dxa"/>
              <w:right w:w="90" w:type="dxa"/>
            </w:tcMar>
            <w:shd w:val="clear" w:color="auto" w:fill="E5F5FF"/>
          </w:tcPr>
          <w:p>
            <w:pPr>
              <w:pStyle w:val="BDOITable"/>
            </w:pPr>
            <w:r>
              <w:rPr>
                <w:sz w:val="16"/>
              </w:rPr>
              <w:t>attachment (type LEGACY_DOCUMENT) linked to mig_archive_record</w:t>
            </w:r>
          </w:p>
        </w:tc>
        <w:tc>
          <w:tcPr>
            <w:tcW w:type="dxa" w:w="2163"/>
            <w:tcMar>
              <w:top w:w="50" w:type="dxa"/>
              <w:bottom w:w="50" w:type="dxa"/>
              <w:left w:w="90" w:type="dxa"/>
              <w:right w:w="90" w:type="dxa"/>
            </w:tcMar>
            <w:shd w:val="clear" w:color="auto" w:fill="E5F5FF"/>
          </w:tcPr>
          <w:p>
            <w:pPr>
              <w:pStyle w:val="BDOITable"/>
            </w:pPr>
            <w:r>
              <w:rPr>
                <w:sz w:val="16"/>
              </w:rPr>
              <w:t>BRID 11.1</w:t>
            </w:r>
          </w:p>
        </w:tc>
        <w:tc>
          <w:tcPr>
            <w:tcW w:type="dxa" w:w="1021"/>
            <w:tcMar>
              <w:top w:w="50" w:type="dxa"/>
              <w:bottom w:w="50" w:type="dxa"/>
              <w:left w:w="90" w:type="dxa"/>
              <w:right w:w="90" w:type="dxa"/>
            </w:tcMar>
            <w:shd w:val="clear" w:color="auto" w:fill="E5F5FF"/>
          </w:tcPr>
          <w:p>
            <w:pPr>
              <w:pStyle w:val="BDOITable"/>
            </w:pPr>
            <w:r>
              <w:rPr>
                <w:sz w:val="16"/>
              </w:rPr>
              <w:t>16</w:t>
            </w:r>
          </w:p>
        </w:tc>
      </w:tr>
    </w:tbl>
    <w:p>
      <w:pPr>
        <w:pStyle w:val="BDOISpacer"/>
      </w:pPr>
    </w:p>
    <w:p>
      <w:pPr>
        <w:pStyle w:val="Heading2"/>
      </w:pPr>
      <w:bookmarkStart w:id="121" w:name="_Toc000121"/>
      <w:r>
        <w:rPr/>
        <w:t>5.2 How migrated records are marked</w:t>
      </w:r>
      <w:bookmarkEnd w:id="121"/>
    </w:p>
    <w:p>
      <w:pPr>
        <w:tabs>
          <w:tab w:pos="312" w:val="left"/>
        </w:tabs>
        <w:spacing w:after="40"/>
        <w:ind w:left="312" w:hanging="283"/>
      </w:pPr>
      <w:r>
        <w:rPr>
          <w:color w:val="004EA8"/>
        </w:rPr>
        <w:t>•</w:t>
        <w:tab/>
      </w:r>
      <w:r>
        <w:rPr>
          <w:b/>
        </w:rPr>
        <w:t>Origin.</w:t>
      </w:r>
      <w:r>
        <w:rPr/>
        <w:t xml:space="preserve"> Migrated clients, accounts and UPP carry origin MIGRATED; legacy invoices carry origin LEGACY and ledger context LEGACY. Screens show a LEGACY badge, the source system and the legacy number.</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Frozen original values.</w:t>
      </w:r>
      <w:r>
        <w:rPr/>
        <w:t xml:space="preserve"> The values of each legacy invoice at load are frozen. The Prod Recon legacy change report compares every later change with them (BRID 10.1).</w:t>
      </w:r>
    </w:p>
    <w:p>
      <w:pPr>
        <w:pStyle w:val="Heading1"/>
        <w:pageBreakBefore/>
        <w:pBdr>
          <w:bottom w:val="single" w:sz="4" w:space="4" w:color="99C1E7"/>
        </w:pBdr>
      </w:pPr>
      <w:bookmarkStart w:id="122" w:name="_Toc000122"/>
      <w:r>
        <w:rPr/>
        <w:t>6 Migration approach</w:t>
      </w:r>
      <w:bookmarkEnd w:id="122"/>
    </w:p>
    <w:p>
      <w:pPr>
        <w:pStyle w:val="Heading2"/>
      </w:pPr>
      <w:bookmarkStart w:id="123" w:name="_Toc000123"/>
      <w:r>
        <w:rPr/>
        <w:t>6.1 End-to-end process</w:t>
      </w:r>
      <w:bookmarkEnd w:id="123"/>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81149" cy="6779520"/>
            <wp:docPr id="3" name="Picture 3"/>
            <wp:cNvGraphicFramePr>
              <a:graphicFrameLocks noChangeAspect="1"/>
            </wp:cNvGraphicFramePr>
            <a:graphic>
              <a:graphicData uri="http://schemas.openxmlformats.org/drawingml/2006/picture">
                <pic:pic>
                  <pic:nvPicPr>
                    <pic:cNvPr id="0" name="dm_pipeline.png"/>
                    <pic:cNvPicPr/>
                  </pic:nvPicPr>
                  <pic:blipFill>
                    <a:blip r:embed="rId15"/>
                    <a:stretch>
                      <a:fillRect/>
                    </a:stretch>
                  </pic:blipFill>
                  <pic:spPr>
                    <a:xfrm>
                      <a:off x="0" y="0"/>
                      <a:ext cx="5381149" cy="6779520"/>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12: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in the Migration Console or dropped on the agreed SFTP folder;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CHECKED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(5b); formats, defaults and mapped values are handled in staging (5a)</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Issue log (MIG-DQ-ISSUES)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MIG-MAP-VERSIONS, MIG-UNMAPPED-CODES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MIG-DQ-ISSUES, MIG-CLIENT-MATCH</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Batch log, MIG-REJECTS</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MIG-RECON-SUMMARY, MIG-GL-CLEARING</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Staging payloads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job</w:t>
            </w:r>
          </w:p>
        </w:tc>
        <w:tc>
          <w:tcPr>
            <w:tcW w:type="dxa" w:w="1862"/>
            <w:tcMar>
              <w:top w:w="50" w:type="dxa"/>
              <w:bottom w:w="50" w:type="dxa"/>
              <w:left w:w="90" w:type="dxa"/>
              <w:right w:w="90" w:type="dxa"/>
            </w:tcMar>
          </w:tcPr>
          <w:p>
            <w:pPr>
              <w:pStyle w:val="BDOITable"/>
            </w:pPr>
            <w:r>
              <w:rPr>
                <w:sz w:val="17"/>
              </w:rPr>
              <w:t>Purge log</w:t>
            </w:r>
          </w:p>
        </w:tc>
      </w:tr>
    </w:tbl>
    <w:p>
      <w:pPr>
        <w:pStyle w:val="BDOISpacer"/>
      </w:pPr>
    </w:p>
    <w:p>
      <w:pPr>
        <w:pStyle w:val="Heading2"/>
      </w:pPr>
      <w:bookmarkStart w:id="124" w:name="_Toc000124"/>
      <w:r>
        <w:rPr/>
        <w:t>6.2 Extract templates</w:t>
      </w:r>
      <w:bookmarkEnd w:id="124"/>
    </w:p>
    <w:p>
      <w:r>
        <w:rPr/>
        <w:t>BDOI extracts each object in the layout of the Data Requirements Workbook. A layout gives, per field: name, description, type, length, mandatory flag, allowed values or code list, format, example, BIBS target field, validation rule and a source system hint. The CSV templates carry the same field names as their header row.</w:t>
      </w:r>
    </w:p>
    <w:p>
      <w:pPr>
        <w:pStyle w:val="Caption"/>
        <w:keepNext/>
        <w:spacing w:after="60"/>
      </w:pPr>
      <w:r>
        <w:rPr>
          <w:b/>
          <w:i w:val="0"/>
        </w:rPr>
        <w:t xml:space="preserve">Table 13: </w:t>
      </w:r>
      <w:r>
        <w:rPr/>
        <w:t>Extract layouts (workbook sheets and CSV templates)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781"/>
        <w:gridCol w:w="720"/>
        <w:gridCol w:w="961"/>
        <w:gridCol w:w="2042"/>
        <w:gridCol w:w="192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Fields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Mandatory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Key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Amount totals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R01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list_type, 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R02</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branch_code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(units and account officers)</w:t>
            </w:r>
          </w:p>
        </w:tc>
        <w:tc>
          <w:tcPr>
            <w:tcW w:type="dxa" w:w="781"/>
            <w:tcMar>
              <w:top w:w="50" w:type="dxa"/>
              <w:bottom w:w="50" w:type="dxa"/>
              <w:left w:w="90" w:type="dxa"/>
              <w:right w:w="90" w:type="dxa"/>
            </w:tcMar>
          </w:tcPr>
          <w:p>
            <w:pPr>
              <w:pStyle w:val="BDOITable"/>
            </w:pPr>
            <w:r>
              <w:rPr>
                <w:sz w:val="16"/>
              </w:rPr>
              <w:t>R03</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3</w:t>
            </w:r>
          </w:p>
        </w:tc>
        <w:tc>
          <w:tcPr>
            <w:tcW w:type="dxa" w:w="2042"/>
            <w:tcMar>
              <w:top w:w="50" w:type="dxa"/>
              <w:bottom w:w="50" w:type="dxa"/>
              <w:left w:w="90" w:type="dxa"/>
              <w:right w:w="90" w:type="dxa"/>
            </w:tcMar>
          </w:tcPr>
          <w:p>
            <w:pPr>
              <w:pStyle w:val="BDOITable"/>
            </w:pPr>
            <w:r>
              <w:rPr>
                <w:sz w:val="16"/>
              </w:rPr>
              <w:t>record_type, unit_code, ao_user_id</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w:t>
            </w:r>
          </w:p>
        </w:tc>
        <w:tc>
          <w:tcPr>
            <w:tcW w:type="dxa" w:w="781"/>
            <w:tcMar>
              <w:top w:w="50" w:type="dxa"/>
              <w:bottom w:w="50" w:type="dxa"/>
              <w:left w:w="90" w:type="dxa"/>
              <w:right w:w="90" w:type="dxa"/>
            </w:tcMar>
            <w:shd w:val="clear" w:color="auto" w:fill="E5F5FF"/>
          </w:tcPr>
          <w:p>
            <w:pPr>
              <w:pStyle w:val="BDOITable"/>
            </w:pPr>
            <w:r>
              <w:rPr>
                <w:sz w:val="16"/>
              </w:rPr>
              <w:t>R04</w:t>
            </w:r>
          </w:p>
        </w:tc>
        <w:tc>
          <w:tcPr>
            <w:tcW w:type="dxa" w:w="721"/>
            <w:tcMar>
              <w:top w:w="50" w:type="dxa"/>
              <w:bottom w:w="50" w:type="dxa"/>
              <w:left w:w="90" w:type="dxa"/>
              <w:right w:w="90" w:type="dxa"/>
            </w:tcMar>
            <w:shd w:val="clear" w:color="auto" w:fill="E5F5FF"/>
          </w:tcPr>
          <w:p>
            <w:pPr>
              <w:pStyle w:val="BDOITable"/>
            </w:pPr>
            <w:r>
              <w:rPr>
                <w:sz w:val="16"/>
              </w:rPr>
              <w:t>10</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insurer_code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2763"/>
            <w:tcMar>
              <w:top w:w="50" w:type="dxa"/>
              <w:bottom w:w="50" w:type="dxa"/>
              <w:left w:w="90" w:type="dxa"/>
              <w:right w:w="90" w:type="dxa"/>
            </w:tcMar>
          </w:tcPr>
          <w:p>
            <w:pPr>
              <w:pStyle w:val="BDOITable"/>
            </w:pPr>
            <w:r>
              <w:rPr>
                <w:sz w:val="16"/>
              </w:rPr>
              <w:t>Insurer branches</w:t>
            </w:r>
          </w:p>
        </w:tc>
        <w:tc>
          <w:tcPr>
            <w:tcW w:type="dxa" w:w="781"/>
            <w:tcMar>
              <w:top w:w="50" w:type="dxa"/>
              <w:bottom w:w="50" w:type="dxa"/>
              <w:left w:w="90" w:type="dxa"/>
              <w:right w:w="90" w:type="dxa"/>
            </w:tcMar>
          </w:tcPr>
          <w:p>
            <w:pPr>
              <w:pStyle w:val="BDOITable"/>
            </w:pPr>
            <w:r>
              <w:rPr>
                <w:sz w:val="16"/>
              </w:rPr>
              <w:t>R04</w:t>
            </w:r>
          </w:p>
        </w:tc>
        <w:tc>
          <w:tcPr>
            <w:tcW w:type="dxa" w:w="721"/>
            <w:tcMar>
              <w:top w:w="50" w:type="dxa"/>
              <w:bottom w:w="50" w:type="dxa"/>
              <w:left w:w="90" w:type="dxa"/>
              <w:right w:w="90" w:type="dxa"/>
            </w:tcMar>
          </w:tcPr>
          <w:p>
            <w:pPr>
              <w:pStyle w:val="BDOITable"/>
            </w:pPr>
            <w:r>
              <w:rPr>
                <w:sz w:val="16"/>
              </w:rPr>
              <w:t>7</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insurer_code, branch_code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2763"/>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781"/>
            <w:tcMar>
              <w:top w:w="50" w:type="dxa"/>
              <w:bottom w:w="50" w:type="dxa"/>
              <w:left w:w="90" w:type="dxa"/>
              <w:right w:w="90" w:type="dxa"/>
            </w:tcMar>
            <w:shd w:val="clear" w:color="auto" w:fill="E5F5FF"/>
          </w:tcPr>
          <w:p>
            <w:pPr>
              <w:pStyle w:val="BDOITable"/>
            </w:pPr>
            <w:r>
              <w:rPr>
                <w:sz w:val="16"/>
              </w:rPr>
              <w:t>R05</w:t>
            </w:r>
          </w:p>
        </w:tc>
        <w:tc>
          <w:tcPr>
            <w:tcW w:type="dxa" w:w="721"/>
            <w:tcMar>
              <w:top w:w="50" w:type="dxa"/>
              <w:bottom w:w="50" w:type="dxa"/>
              <w:left w:w="90" w:type="dxa"/>
              <w:right w:w="90" w:type="dxa"/>
            </w:tcMar>
            <w:shd w:val="clear" w:color="auto" w:fill="E5F5FF"/>
          </w:tcPr>
          <w:p>
            <w:pPr>
              <w:pStyle w:val="BDOITable"/>
            </w:pPr>
            <w:r>
              <w:rPr>
                <w:sz w:val="16"/>
              </w:rPr>
              <w:t>9</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risk_code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2763"/>
            <w:tcMar>
              <w:top w:w="50" w:type="dxa"/>
              <w:bottom w:w="50" w:type="dxa"/>
              <w:left w:w="90" w:type="dxa"/>
              <w:right w:w="90" w:type="dxa"/>
            </w:tcMar>
          </w:tcPr>
          <w:p>
            <w:pPr>
              <w:pStyle w:val="BDOITable"/>
            </w:pPr>
            <w:r>
              <w:rPr>
                <w:sz w:val="16"/>
              </w:rPr>
              <w:t>PACKAGE code map (legacy package to BIBS package version)</w:t>
            </w:r>
          </w:p>
        </w:tc>
        <w:tc>
          <w:tcPr>
            <w:tcW w:type="dxa" w:w="781"/>
            <w:tcMar>
              <w:top w:w="50" w:type="dxa"/>
              <w:bottom w:w="50" w:type="dxa"/>
              <w:left w:w="90" w:type="dxa"/>
              <w:right w:w="90" w:type="dxa"/>
            </w:tcMar>
          </w:tcPr>
          <w:p>
            <w:pPr>
              <w:pStyle w:val="BDOITable"/>
            </w:pPr>
            <w:r>
              <w:rPr>
                <w:sz w:val="16"/>
              </w:rPr>
              <w:t>R06</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legacy_package_code, legacy_package_version, qualifier, qualifier_value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2763"/>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781"/>
            <w:tcMar>
              <w:top w:w="50" w:type="dxa"/>
              <w:bottom w:w="50" w:type="dxa"/>
              <w:left w:w="90" w:type="dxa"/>
              <w:right w:w="90" w:type="dxa"/>
            </w:tcMar>
            <w:shd w:val="clear" w:color="auto" w:fill="E5F5FF"/>
          </w:tcPr>
          <w:p>
            <w:pPr>
              <w:pStyle w:val="BDOITable"/>
            </w:pPr>
            <w:r>
              <w:rPr>
                <w:sz w:val="16"/>
              </w:rPr>
              <w:t>R07</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insurer_code, risk_code, effective_from</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2763"/>
            <w:tcMar>
              <w:top w:w="50" w:type="dxa"/>
              <w:bottom w:w="50" w:type="dxa"/>
              <w:left w:w="90" w:type="dxa"/>
              <w:right w:w="90" w:type="dxa"/>
            </w:tcMar>
          </w:tcPr>
          <w:p>
            <w:pPr>
              <w:pStyle w:val="BDOITable"/>
            </w:pPr>
            <w:r>
              <w:rPr>
                <w:sz w:val="16"/>
              </w:rPr>
              <w:t>Chart of accounts mapping</w:t>
            </w:r>
          </w:p>
        </w:tc>
        <w:tc>
          <w:tcPr>
            <w:tcW w:type="dxa" w:w="781"/>
            <w:tcMar>
              <w:top w:w="50" w:type="dxa"/>
              <w:bottom w:w="50" w:type="dxa"/>
              <w:left w:w="90" w:type="dxa"/>
              <w:right w:w="90" w:type="dxa"/>
            </w:tcMar>
          </w:tcPr>
          <w:p>
            <w:pPr>
              <w:pStyle w:val="BDOITable"/>
            </w:pPr>
            <w:r>
              <w:rPr>
                <w:sz w:val="16"/>
              </w:rPr>
              <w:t>R08</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legacy_account_code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2763"/>
            <w:tcMar>
              <w:top w:w="50" w:type="dxa"/>
              <w:bottom w:w="50" w:type="dxa"/>
              <w:left w:w="90" w:type="dxa"/>
              <w:right w:w="90" w:type="dxa"/>
            </w:tcMar>
            <w:shd w:val="clear" w:color="auto" w:fill="E5F5FF"/>
          </w:tcPr>
          <w:p>
            <w:pPr>
              <w:pStyle w:val="BDOITable"/>
            </w:pPr>
            <w:r>
              <w:rPr>
                <w:sz w:val="16"/>
              </w:rPr>
              <w:t>Payees</w:t>
            </w:r>
          </w:p>
        </w:tc>
        <w:tc>
          <w:tcPr>
            <w:tcW w:type="dxa" w:w="781"/>
            <w:tcMar>
              <w:top w:w="50" w:type="dxa"/>
              <w:bottom w:w="50" w:type="dxa"/>
              <w:left w:w="90" w:type="dxa"/>
              <w:right w:w="90" w:type="dxa"/>
            </w:tcMar>
            <w:shd w:val="clear" w:color="auto" w:fill="E5F5FF"/>
          </w:tcPr>
          <w:p>
            <w:pPr>
              <w:pStyle w:val="BDOITable"/>
            </w:pPr>
            <w:r>
              <w:rPr>
                <w:sz w:val="16"/>
              </w:rPr>
              <w:t>R09</w:t>
            </w:r>
          </w:p>
        </w:tc>
        <w:tc>
          <w:tcPr>
            <w:tcW w:type="dxa" w:w="721"/>
            <w:tcMar>
              <w:top w:w="50" w:type="dxa"/>
              <w:bottom w:w="50" w:type="dxa"/>
              <w:left w:w="90" w:type="dxa"/>
              <w:right w:w="90" w:type="dxa"/>
            </w:tcMar>
            <w:shd w:val="clear" w:color="auto" w:fill="E5F5FF"/>
          </w:tcPr>
          <w:p>
            <w:pPr>
              <w:pStyle w:val="BDOITable"/>
            </w:pPr>
            <w:r>
              <w:rPr>
                <w:sz w:val="16"/>
              </w:rPr>
              <w:t>11</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payee_code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w:t>
            </w:r>
          </w:p>
        </w:tc>
        <w:tc>
          <w:tcPr>
            <w:tcW w:type="dxa" w:w="781"/>
            <w:tcMar>
              <w:top w:w="50" w:type="dxa"/>
              <w:bottom w:w="50" w:type="dxa"/>
              <w:left w:w="90" w:type="dxa"/>
              <w:right w:w="90" w:type="dxa"/>
            </w:tcMar>
          </w:tcPr>
          <w:p>
            <w:pPr>
              <w:pStyle w:val="BDOITable"/>
            </w:pPr>
            <w:r>
              <w:rPr>
                <w:sz w:val="16"/>
              </w:rPr>
              <w:t>R11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7</w:t>
            </w:r>
          </w:p>
        </w:tc>
        <w:tc>
          <w:tcPr>
            <w:tcW w:type="dxa" w:w="2042"/>
            <w:tcMar>
              <w:top w:w="50" w:type="dxa"/>
              <w:bottom w:w="50" w:type="dxa"/>
              <w:left w:w="90" w:type="dxa"/>
              <w:right w:w="90" w:type="dxa"/>
            </w:tcMar>
          </w:tcPr>
          <w:p>
            <w:pPr>
              <w:pStyle w:val="BDOITable"/>
            </w:pPr>
            <w:r>
              <w:rPr>
                <w:sz w:val="16"/>
              </w:rPr>
              <w:t>branch_code, kind, prefix</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w:t>
            </w:r>
          </w:p>
        </w:tc>
        <w:tc>
          <w:tcPr>
            <w:tcW w:type="dxa" w:w="781"/>
            <w:tcMar>
              <w:top w:w="50" w:type="dxa"/>
              <w:bottom w:w="50" w:type="dxa"/>
              <w:left w:w="90" w:type="dxa"/>
              <w:right w:w="90" w:type="dxa"/>
            </w:tcMar>
            <w:shd w:val="clear" w:color="auto" w:fill="E5F5FF"/>
          </w:tcPr>
          <w:p>
            <w:pPr>
              <w:pStyle w:val="BDOITable"/>
            </w:pPr>
            <w:r>
              <w:rPr>
                <w:sz w:val="16"/>
              </w:rPr>
              <w:t>C01</w:t>
            </w:r>
          </w:p>
        </w:tc>
        <w:tc>
          <w:tcPr>
            <w:tcW w:type="dxa" w:w="721"/>
            <w:tcMar>
              <w:top w:w="50" w:type="dxa"/>
              <w:bottom w:w="50" w:type="dxa"/>
              <w:left w:w="90" w:type="dxa"/>
              <w:right w:w="90" w:type="dxa"/>
            </w:tcMar>
            <w:shd w:val="clear" w:color="auto" w:fill="E5F5FF"/>
          </w:tcPr>
          <w:p>
            <w:pPr>
              <w:pStyle w:val="BDOITable"/>
            </w:pPr>
            <w:r>
              <w:rPr>
                <w:sz w:val="16"/>
              </w:rPr>
              <w:t>36</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legacy_client_no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2763"/>
            <w:tcMar>
              <w:top w:w="50" w:type="dxa"/>
              <w:bottom w:w="50" w:type="dxa"/>
              <w:left w:w="90" w:type="dxa"/>
              <w:right w:w="90" w:type="dxa"/>
            </w:tcMar>
          </w:tcPr>
          <w:p>
            <w:pPr>
              <w:pStyle w:val="BDOITable"/>
            </w:pPr>
            <w:r>
              <w:rPr>
                <w:sz w:val="16"/>
              </w:rPr>
              <w:t>Client addresses and contacts</w:t>
            </w:r>
          </w:p>
        </w:tc>
        <w:tc>
          <w:tcPr>
            <w:tcW w:type="dxa" w:w="781"/>
            <w:tcMar>
              <w:top w:w="50" w:type="dxa"/>
              <w:bottom w:w="50" w:type="dxa"/>
              <w:left w:w="90" w:type="dxa"/>
              <w:right w:w="90" w:type="dxa"/>
            </w:tcMar>
          </w:tcPr>
          <w:p>
            <w:pPr>
              <w:pStyle w:val="BDOITable"/>
            </w:pPr>
            <w:r>
              <w:rPr>
                <w:sz w:val="16"/>
              </w:rPr>
              <w:t>C01</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legacy_client_no, record_type, seq_no</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2763"/>
            <w:tcMar>
              <w:top w:w="50" w:type="dxa"/>
              <w:bottom w:w="50" w:type="dxa"/>
              <w:left w:w="90" w:type="dxa"/>
              <w:right w:w="90" w:type="dxa"/>
            </w:tcMar>
            <w:shd w:val="clear" w:color="auto" w:fill="E5F5FF"/>
          </w:tcPr>
          <w:p>
            <w:pPr>
              <w:pStyle w:val="BDOITable"/>
            </w:pPr>
            <w:r>
              <w:rPr>
                <w:sz w:val="16"/>
              </w:rPr>
              <w:t>Client payout accounts</w:t>
            </w:r>
          </w:p>
        </w:tc>
        <w:tc>
          <w:tcPr>
            <w:tcW w:type="dxa" w:w="781"/>
            <w:tcMar>
              <w:top w:w="50" w:type="dxa"/>
              <w:bottom w:w="50" w:type="dxa"/>
              <w:left w:w="90" w:type="dxa"/>
              <w:right w:w="90" w:type="dxa"/>
            </w:tcMar>
            <w:shd w:val="clear" w:color="auto" w:fill="E5F5FF"/>
          </w:tcPr>
          <w:p>
            <w:pPr>
              <w:pStyle w:val="BDOITable"/>
            </w:pPr>
            <w:r>
              <w:rPr>
                <w:sz w:val="16"/>
              </w:rPr>
              <w:t>C03</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legacy_client_no, account_no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2763"/>
            <w:tcMar>
              <w:top w:w="50" w:type="dxa"/>
              <w:bottom w:w="50" w:type="dxa"/>
              <w:left w:w="90" w:type="dxa"/>
              <w:right w:w="90" w:type="dxa"/>
            </w:tcMar>
          </w:tcPr>
          <w:p>
            <w:pPr>
              <w:pStyle w:val="BDOITable"/>
            </w:pPr>
            <w:r>
              <w:rPr>
                <w:sz w:val="16"/>
              </w:rPr>
              <w:t>In-force policy headers</w:t>
            </w:r>
          </w:p>
        </w:tc>
        <w:tc>
          <w:tcPr>
            <w:tcW w:type="dxa" w:w="781"/>
            <w:tcMar>
              <w:top w:w="50" w:type="dxa"/>
              <w:bottom w:w="50" w:type="dxa"/>
              <w:left w:w="90" w:type="dxa"/>
              <w:right w:w="90" w:type="dxa"/>
            </w:tcMar>
          </w:tcPr>
          <w:p>
            <w:pPr>
              <w:pStyle w:val="BDOITable"/>
            </w:pPr>
            <w:r>
              <w:rPr>
                <w:sz w:val="16"/>
              </w:rPr>
              <w:t>P01</w:t>
            </w:r>
          </w:p>
        </w:tc>
        <w:tc>
          <w:tcPr>
            <w:tcW w:type="dxa" w:w="721"/>
            <w:tcMar>
              <w:top w:w="50" w:type="dxa"/>
              <w:bottom w:w="50" w:type="dxa"/>
              <w:left w:w="90" w:type="dxa"/>
              <w:right w:w="90" w:type="dxa"/>
            </w:tcMar>
          </w:tcPr>
          <w:p>
            <w:pPr>
              <w:pStyle w:val="BDOITable"/>
            </w:pPr>
            <w:r>
              <w:rPr>
                <w:sz w:val="16"/>
              </w:rPr>
              <w:t>31</w:t>
            </w:r>
          </w:p>
        </w:tc>
        <w:tc>
          <w:tcPr>
            <w:tcW w:type="dxa" w:w="961"/>
            <w:tcMar>
              <w:top w:w="50" w:type="dxa"/>
              <w:bottom w:w="50" w:type="dxa"/>
              <w:left w:w="90" w:type="dxa"/>
              <w:right w:w="90" w:type="dxa"/>
            </w:tcMar>
          </w:tcPr>
          <w:p>
            <w:pPr>
              <w:pStyle w:val="BDOITable"/>
            </w:pPr>
            <w:r>
              <w:rPr>
                <w:sz w:val="16"/>
              </w:rPr>
              <w:t>20</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2763"/>
            <w:tcMar>
              <w:top w:w="50" w:type="dxa"/>
              <w:bottom w:w="50" w:type="dxa"/>
              <w:left w:w="90" w:type="dxa"/>
              <w:right w:w="90" w:type="dxa"/>
            </w:tcMar>
            <w:shd w:val="clear" w:color="auto" w:fill="E5F5FF"/>
          </w:tcPr>
          <w:p>
            <w:pPr>
              <w:pStyle w:val="BDOITable"/>
            </w:pPr>
            <w:r>
              <w:rPr>
                <w:sz w:val="16"/>
              </w:rPr>
              <w:t>Policy insurer shares</w:t>
            </w:r>
          </w:p>
        </w:tc>
        <w:tc>
          <w:tcPr>
            <w:tcW w:type="dxa" w:w="781"/>
            <w:tcMar>
              <w:top w:w="50" w:type="dxa"/>
              <w:bottom w:w="50" w:type="dxa"/>
              <w:left w:w="90" w:type="dxa"/>
              <w:right w:w="90" w:type="dxa"/>
            </w:tcMar>
            <w:shd w:val="clear" w:color="auto" w:fill="E5F5FF"/>
          </w:tcPr>
          <w:p>
            <w:pPr>
              <w:pStyle w:val="BDOITable"/>
            </w:pPr>
            <w:r>
              <w:rPr>
                <w:sz w:val="16"/>
              </w:rPr>
              <w:t>P01</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5</w:t>
            </w:r>
          </w:p>
        </w:tc>
        <w:tc>
          <w:tcPr>
            <w:tcW w:type="dxa" w:w="2042"/>
            <w:tcMar>
              <w:top w:w="50" w:type="dxa"/>
              <w:bottom w:w="50" w:type="dxa"/>
              <w:left w:w="90" w:type="dxa"/>
              <w:right w:w="90" w:type="dxa"/>
            </w:tcMar>
            <w:shd w:val="clear" w:color="auto" w:fill="E5F5FF"/>
          </w:tcPr>
          <w:p>
            <w:pPr>
              <w:pStyle w:val="BDOITable"/>
            </w:pPr>
            <w:r>
              <w:rPr>
                <w:sz w:val="16"/>
              </w:rPr>
              <w:t>legacy_policy_ref, share_seq</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2763"/>
            <w:tcMar>
              <w:top w:w="50" w:type="dxa"/>
              <w:bottom w:w="50" w:type="dxa"/>
              <w:left w:w="90" w:type="dxa"/>
              <w:right w:w="90" w:type="dxa"/>
            </w:tcMar>
          </w:tcPr>
          <w:p>
            <w:pPr>
              <w:pStyle w:val="BDOITable"/>
            </w:pPr>
            <w:r>
              <w:rPr>
                <w:sz w:val="16"/>
              </w:rPr>
              <w:t>Renewal advices already sent before go-live (RA-sent file)</w:t>
            </w:r>
          </w:p>
        </w:tc>
        <w:tc>
          <w:tcPr>
            <w:tcW w:type="dxa" w:w="781"/>
            <w:tcMar>
              <w:top w:w="50" w:type="dxa"/>
              <w:bottom w:w="50" w:type="dxa"/>
              <w:left w:w="90" w:type="dxa"/>
              <w:right w:w="90" w:type="dxa"/>
            </w:tcMar>
          </w:tcPr>
          <w:p>
            <w:pPr>
              <w:pStyle w:val="BDOITable"/>
            </w:pPr>
            <w:r>
              <w:rPr>
                <w:sz w:val="16"/>
              </w:rPr>
              <w:t>P03</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2763"/>
            <w:tcMar>
              <w:top w:w="50" w:type="dxa"/>
              <w:bottom w:w="50" w:type="dxa"/>
              <w:left w:w="90" w:type="dxa"/>
              <w:right w:w="90" w:type="dxa"/>
            </w:tcMar>
            <w:shd w:val="clear" w:color="auto" w:fill="E5F5FF"/>
          </w:tcPr>
          <w:p>
            <w:pPr>
              <w:pStyle w:val="BDOITable"/>
            </w:pPr>
            <w:r>
              <w:rPr>
                <w:sz w:val="16"/>
              </w:rPr>
              <w:t>Open legacy invoices - header</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38</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2042"/>
            <w:tcMar>
              <w:top w:w="50" w:type="dxa"/>
              <w:bottom w:w="50" w:type="dxa"/>
              <w:left w:w="90" w:type="dxa"/>
              <w:right w:w="90" w:type="dxa"/>
            </w:tcMar>
            <w:shd w:val="clear" w:color="auto" w:fill="E5F5FF"/>
          </w:tcPr>
          <w:p>
            <w:pPr>
              <w:pStyle w:val="BDOITable"/>
            </w:pPr>
            <w:r>
              <w:rPr>
                <w:sz w:val="16"/>
              </w:rPr>
              <w:t>legacy_invoice_no</w:t>
            </w:r>
          </w:p>
        </w:tc>
        <w:tc>
          <w:tcPr>
            <w:tcW w:type="dxa" w:w="1922"/>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2763"/>
            <w:tcMar>
              <w:top w:w="50" w:type="dxa"/>
              <w:bottom w:w="50" w:type="dxa"/>
              <w:left w:w="90" w:type="dxa"/>
              <w:right w:w="90" w:type="dxa"/>
            </w:tcMar>
          </w:tcPr>
          <w:p>
            <w:pPr>
              <w:pStyle w:val="BDOITable"/>
            </w:pPr>
            <w:r>
              <w:rPr>
                <w:sz w:val="16"/>
              </w:rPr>
              <w:t>Open legacy invoices - insurer shares</w:t>
            </w:r>
          </w:p>
        </w:tc>
        <w:tc>
          <w:tcPr>
            <w:tcW w:type="dxa" w:w="781"/>
            <w:tcMar>
              <w:top w:w="50" w:type="dxa"/>
              <w:bottom w:w="50" w:type="dxa"/>
              <w:left w:w="90" w:type="dxa"/>
              <w:right w:w="90" w:type="dxa"/>
            </w:tcMar>
          </w:tcPr>
          <w:p>
            <w:pPr>
              <w:pStyle w:val="BDOITable"/>
            </w:pPr>
            <w:r>
              <w:rPr>
                <w:sz w:val="16"/>
              </w:rPr>
              <w:t>F01</w:t>
            </w:r>
          </w:p>
        </w:tc>
        <w:tc>
          <w:tcPr>
            <w:tcW w:type="dxa" w:w="721"/>
            <w:tcMar>
              <w:top w:w="50" w:type="dxa"/>
              <w:bottom w:w="50" w:type="dxa"/>
              <w:left w:w="90" w:type="dxa"/>
              <w:right w:w="90" w:type="dxa"/>
            </w:tcMar>
          </w:tcPr>
          <w:p>
            <w:pPr>
              <w:pStyle w:val="BDOITable"/>
            </w:pPr>
            <w:r>
              <w:rPr>
                <w:sz w:val="16"/>
              </w:rPr>
              <w:t>5</w:t>
            </w:r>
          </w:p>
        </w:tc>
        <w:tc>
          <w:tcPr>
            <w:tcW w:type="dxa" w:w="961"/>
            <w:tcMar>
              <w:top w:w="50" w:type="dxa"/>
              <w:bottom w:w="50" w:type="dxa"/>
              <w:left w:w="90" w:type="dxa"/>
              <w:right w:w="90" w:type="dxa"/>
            </w:tcMar>
          </w:tcPr>
          <w:p>
            <w:pPr>
              <w:pStyle w:val="BDOITable"/>
            </w:pPr>
            <w:r>
              <w:rPr>
                <w:sz w:val="16"/>
              </w:rPr>
              <w:t>5</w:t>
            </w:r>
          </w:p>
        </w:tc>
        <w:tc>
          <w:tcPr>
            <w:tcW w:type="dxa" w:w="2042"/>
            <w:tcMar>
              <w:top w:w="50" w:type="dxa"/>
              <w:bottom w:w="50" w:type="dxa"/>
              <w:left w:w="90" w:type="dxa"/>
              <w:right w:w="90" w:type="dxa"/>
            </w:tcMar>
          </w:tcPr>
          <w:p>
            <w:pPr>
              <w:pStyle w:val="BDOITable"/>
            </w:pPr>
            <w:r>
              <w:rPr>
                <w:sz w:val="16"/>
              </w:rPr>
              <w:t>legacy_invoice_no, share_seq</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2763"/>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8</w:t>
            </w:r>
          </w:p>
        </w:tc>
        <w:tc>
          <w:tcPr>
            <w:tcW w:type="dxa" w:w="961"/>
            <w:tcMar>
              <w:top w:w="50" w:type="dxa"/>
              <w:bottom w:w="50" w:type="dxa"/>
              <w:left w:w="90" w:type="dxa"/>
              <w:right w:w="90" w:type="dxa"/>
            </w:tcMar>
            <w:shd w:val="clear" w:color="auto" w:fill="E5F5FF"/>
          </w:tcPr>
          <w:p>
            <w:pPr>
              <w:pStyle w:val="BDOITable"/>
            </w:pPr>
            <w:r>
              <w:rPr>
                <w:sz w:val="16"/>
              </w:rPr>
              <w:t>8</w:t>
            </w:r>
          </w:p>
        </w:tc>
        <w:tc>
          <w:tcPr>
            <w:tcW w:type="dxa" w:w="2042"/>
            <w:tcMar>
              <w:top w:w="50" w:type="dxa"/>
              <w:bottom w:w="50" w:type="dxa"/>
              <w:left w:w="90" w:type="dxa"/>
              <w:right w:w="90" w:type="dxa"/>
            </w:tcMar>
            <w:shd w:val="clear" w:color="auto" w:fill="E5F5FF"/>
          </w:tcPr>
          <w:p>
            <w:pPr>
              <w:pStyle w:val="BDOITable"/>
            </w:pPr>
            <w:r>
              <w:rPr>
                <w:sz w:val="16"/>
              </w:rPr>
              <w:t>legacy_invoice_no, component</w:t>
            </w:r>
          </w:p>
        </w:tc>
        <w:tc>
          <w:tcPr>
            <w:tcW w:type="dxa" w:w="1922"/>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2763"/>
            <w:tcMar>
              <w:top w:w="50" w:type="dxa"/>
              <w:bottom w:w="50" w:type="dxa"/>
              <w:left w:w="90" w:type="dxa"/>
              <w:right w:w="90" w:type="dxa"/>
            </w:tcMar>
          </w:tcPr>
          <w:p>
            <w:pPr>
              <w:pStyle w:val="BDOITable"/>
            </w:pPr>
            <w:r>
              <w:rPr>
                <w:sz w:val="16"/>
              </w:rPr>
              <w:t>Unapplied premium payments (UPP)</w:t>
            </w:r>
          </w:p>
        </w:tc>
        <w:tc>
          <w:tcPr>
            <w:tcW w:type="dxa" w:w="781"/>
            <w:tcMar>
              <w:top w:w="50" w:type="dxa"/>
              <w:bottom w:w="50" w:type="dxa"/>
              <w:left w:w="90" w:type="dxa"/>
              <w:right w:w="90" w:type="dxa"/>
            </w:tcMar>
          </w:tcPr>
          <w:p>
            <w:pPr>
              <w:pStyle w:val="BDOITable"/>
            </w:pPr>
            <w:r>
              <w:rPr>
                <w:sz w:val="16"/>
              </w:rPr>
              <w:t>F02</w:t>
            </w:r>
          </w:p>
        </w:tc>
        <w:tc>
          <w:tcPr>
            <w:tcW w:type="dxa" w:w="721"/>
            <w:tcMar>
              <w:top w:w="50" w:type="dxa"/>
              <w:bottom w:w="50" w:type="dxa"/>
              <w:left w:w="90" w:type="dxa"/>
              <w:right w:w="90" w:type="dxa"/>
            </w:tcMar>
          </w:tcPr>
          <w:p>
            <w:pPr>
              <w:pStyle w:val="BDOITable"/>
            </w:pPr>
            <w:r>
              <w:rPr>
                <w:sz w:val="16"/>
              </w:rPr>
              <w:t>21</w:t>
            </w:r>
          </w:p>
        </w:tc>
        <w:tc>
          <w:tcPr>
            <w:tcW w:type="dxa" w:w="961"/>
            <w:tcMar>
              <w:top w:w="50" w:type="dxa"/>
              <w:bottom w:w="50" w:type="dxa"/>
              <w:left w:w="90" w:type="dxa"/>
              <w:right w:w="90" w:type="dxa"/>
            </w:tcMar>
          </w:tcPr>
          <w:p>
            <w:pPr>
              <w:pStyle w:val="BDOITable"/>
            </w:pPr>
            <w:r>
              <w:rPr>
                <w:sz w:val="16"/>
              </w:rPr>
              <w:t>11</w:t>
            </w:r>
          </w:p>
        </w:tc>
        <w:tc>
          <w:tcPr>
            <w:tcW w:type="dxa" w:w="2042"/>
            <w:tcMar>
              <w:top w:w="50" w:type="dxa"/>
              <w:bottom w:w="50" w:type="dxa"/>
              <w:left w:w="90" w:type="dxa"/>
              <w:right w:w="90" w:type="dxa"/>
            </w:tcMar>
          </w:tcPr>
          <w:p>
            <w:pPr>
              <w:pStyle w:val="BDOITable"/>
            </w:pPr>
            <w:r>
              <w:rPr>
                <w:sz w:val="16"/>
              </w:rPr>
              <w:t>legacy_upp_ref</w:t>
            </w:r>
          </w:p>
        </w:tc>
        <w:tc>
          <w:tcPr>
            <w:tcW w:type="dxa" w:w="1922"/>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2763"/>
            <w:tcMar>
              <w:top w:w="50" w:type="dxa"/>
              <w:bottom w:w="50" w:type="dxa"/>
              <w:left w:w="90" w:type="dxa"/>
              <w:right w:w="90" w:type="dxa"/>
            </w:tcMar>
            <w:shd w:val="clear" w:color="auto" w:fill="E5F5FF"/>
          </w:tcPr>
          <w:p>
            <w:pPr>
              <w:pStyle w:val="BDOITable"/>
            </w:pPr>
            <w:r>
              <w:rPr>
                <w:sz w:val="16"/>
              </w:rPr>
              <w:t>Open collection state</w:t>
            </w:r>
          </w:p>
        </w:tc>
        <w:tc>
          <w:tcPr>
            <w:tcW w:type="dxa" w:w="781"/>
            <w:tcMar>
              <w:top w:w="50" w:type="dxa"/>
              <w:bottom w:w="50" w:type="dxa"/>
              <w:left w:w="90" w:type="dxa"/>
              <w:right w:w="90" w:type="dxa"/>
            </w:tcMar>
            <w:shd w:val="clear" w:color="auto" w:fill="E5F5FF"/>
          </w:tcPr>
          <w:p>
            <w:pPr>
              <w:pStyle w:val="BDOITable"/>
            </w:pPr>
            <w:r>
              <w:rPr>
                <w:sz w:val="16"/>
              </w:rPr>
              <w:t>F03</w:t>
            </w:r>
          </w:p>
        </w:tc>
        <w:tc>
          <w:tcPr>
            <w:tcW w:type="dxa" w:w="721"/>
            <w:tcMar>
              <w:top w:w="50" w:type="dxa"/>
              <w:bottom w:w="50" w:type="dxa"/>
              <w:left w:w="90" w:type="dxa"/>
              <w:right w:w="90" w:type="dxa"/>
            </w:tcMar>
            <w:shd w:val="clear" w:color="auto" w:fill="E5F5FF"/>
          </w:tcPr>
          <w:p>
            <w:pPr>
              <w:pStyle w:val="BDOITable"/>
            </w:pPr>
            <w:r>
              <w:rPr>
                <w:sz w:val="16"/>
              </w:rPr>
              <w:t>12</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legacy_invoice_no, record_type, seq_no</w:t>
            </w:r>
          </w:p>
        </w:tc>
        <w:tc>
          <w:tcPr>
            <w:tcW w:type="dxa" w:w="1922"/>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2763"/>
            <w:tcMar>
              <w:top w:w="50" w:type="dxa"/>
              <w:bottom w:w="50" w:type="dxa"/>
              <w:left w:w="90" w:type="dxa"/>
              <w:right w:w="90" w:type="dxa"/>
            </w:tcMar>
          </w:tcPr>
          <w:p>
            <w:pPr>
              <w:pStyle w:val="BDOITable"/>
            </w:pPr>
            <w:r>
              <w:rPr>
                <w:sz w:val="16"/>
              </w:rPr>
              <w:t>Remittance in flight</w:t>
            </w:r>
          </w:p>
        </w:tc>
        <w:tc>
          <w:tcPr>
            <w:tcW w:type="dxa" w:w="781"/>
            <w:tcMar>
              <w:top w:w="50" w:type="dxa"/>
              <w:bottom w:w="50" w:type="dxa"/>
              <w:left w:w="90" w:type="dxa"/>
              <w:right w:w="90" w:type="dxa"/>
            </w:tcMar>
          </w:tcPr>
          <w:p>
            <w:pPr>
              <w:pStyle w:val="BDOITable"/>
            </w:pPr>
            <w:r>
              <w:rPr>
                <w:sz w:val="16"/>
              </w:rPr>
              <w:t>F04</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legacy_batch_no, legacy_invoice_no</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F06</w:t>
            </w:r>
          </w:p>
        </w:tc>
        <w:tc>
          <w:tcPr>
            <w:tcW w:type="dxa" w:w="721"/>
            <w:tcMar>
              <w:top w:w="50" w:type="dxa"/>
              <w:bottom w:w="50" w:type="dxa"/>
              <w:left w:w="90" w:type="dxa"/>
              <w:right w:w="90" w:type="dxa"/>
            </w:tcMar>
            <w:shd w:val="clear" w:color="auto" w:fill="E5F5FF"/>
          </w:tcPr>
          <w:p>
            <w:pPr>
              <w:pStyle w:val="BDOITable"/>
            </w:pPr>
            <w:r>
              <w:rPr>
                <w:sz w:val="16"/>
              </w:rPr>
              <w:t>14</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record_type, reference</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2763"/>
            <w:tcMar>
              <w:top w:w="50" w:type="dxa"/>
              <w:bottom w:w="50" w:type="dxa"/>
              <w:left w:w="90" w:type="dxa"/>
              <w:right w:w="90" w:type="dxa"/>
            </w:tcMar>
          </w:tcPr>
          <w:p>
            <w:pPr>
              <w:pStyle w:val="BDOITable"/>
            </w:pPr>
            <w:r>
              <w:rPr>
                <w:sz w:val="16"/>
              </w:rPr>
              <w:t>GL opening trial balance</w:t>
            </w:r>
          </w:p>
        </w:tc>
        <w:tc>
          <w:tcPr>
            <w:tcW w:type="dxa" w:w="781"/>
            <w:tcMar>
              <w:top w:w="50" w:type="dxa"/>
              <w:bottom w:w="50" w:type="dxa"/>
              <w:left w:w="90" w:type="dxa"/>
              <w:right w:w="90" w:type="dxa"/>
            </w:tcMar>
          </w:tcPr>
          <w:p>
            <w:pPr>
              <w:pStyle w:val="BDOITable"/>
            </w:pPr>
            <w:r>
              <w:rPr>
                <w:sz w:val="16"/>
              </w:rPr>
              <w:t>G01</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9</w:t>
            </w:r>
          </w:p>
        </w:tc>
        <w:tc>
          <w:tcPr>
            <w:tcW w:type="dxa" w:w="2042"/>
            <w:tcMar>
              <w:top w:w="50" w:type="dxa"/>
              <w:bottom w:w="50" w:type="dxa"/>
              <w:left w:w="90" w:type="dxa"/>
              <w:right w:w="90" w:type="dxa"/>
            </w:tcMar>
          </w:tcPr>
          <w:p>
            <w:pPr>
              <w:pStyle w:val="BDOITable"/>
            </w:pPr>
            <w:r>
              <w:rPr>
                <w:sz w:val="16"/>
              </w:rPr>
              <w:t>branch_code, currency, legacy_account_code, cost_center</w:t>
            </w:r>
          </w:p>
        </w:tc>
        <w:tc>
          <w:tcPr>
            <w:tcW w:type="dxa" w:w="1922"/>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2763"/>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781"/>
            <w:tcMar>
              <w:top w:w="50" w:type="dxa"/>
              <w:bottom w:w="50" w:type="dxa"/>
              <w:left w:w="90" w:type="dxa"/>
              <w:right w:w="90" w:type="dxa"/>
            </w:tcMar>
            <w:shd w:val="clear" w:color="auto" w:fill="E5F5FF"/>
          </w:tcPr>
          <w:p>
            <w:pPr>
              <w:pStyle w:val="BDOITable"/>
            </w:pPr>
            <w:r>
              <w:rPr>
                <w:sz w:val="16"/>
              </w:rPr>
              <w:t>G03</w:t>
            </w:r>
          </w:p>
        </w:tc>
        <w:tc>
          <w:tcPr>
            <w:tcW w:type="dxa" w:w="721"/>
            <w:tcMar>
              <w:top w:w="50" w:type="dxa"/>
              <w:bottom w:w="50" w:type="dxa"/>
              <w:left w:w="90" w:type="dxa"/>
              <w:right w:w="90" w:type="dxa"/>
            </w:tcMar>
            <w:shd w:val="clear" w:color="auto" w:fill="E5F5FF"/>
          </w:tcPr>
          <w:p>
            <w:pPr>
              <w:pStyle w:val="BDOITable"/>
            </w:pPr>
            <w:r>
              <w:rPr>
                <w:sz w:val="16"/>
              </w:rPr>
              <w:t>19</w:t>
            </w:r>
          </w:p>
        </w:tc>
        <w:tc>
          <w:tcPr>
            <w:tcW w:type="dxa" w:w="961"/>
            <w:tcMar>
              <w:top w:w="50" w:type="dxa"/>
              <w:bottom w:w="50" w:type="dxa"/>
              <w:left w:w="90" w:type="dxa"/>
              <w:right w:w="90" w:type="dxa"/>
            </w:tcMar>
            <w:shd w:val="clear" w:color="auto" w:fill="E5F5FF"/>
          </w:tcPr>
          <w:p>
            <w:pPr>
              <w:pStyle w:val="BDOITable"/>
            </w:pPr>
            <w:r>
              <w:rPr>
                <w:sz w:val="16"/>
              </w:rPr>
              <w:t>17</w:t>
            </w:r>
          </w:p>
        </w:tc>
        <w:tc>
          <w:tcPr>
            <w:tcW w:type="dxa" w:w="2042"/>
            <w:tcMar>
              <w:top w:w="50" w:type="dxa"/>
              <w:bottom w:w="50" w:type="dxa"/>
              <w:left w:w="90" w:type="dxa"/>
              <w:right w:w="90" w:type="dxa"/>
            </w:tcMar>
            <w:shd w:val="clear" w:color="auto" w:fill="E5F5FF"/>
          </w:tcPr>
          <w:p>
            <w:pPr>
              <w:pStyle w:val="BDOITable"/>
            </w:pPr>
            <w:r>
              <w:rPr>
                <w:sz w:val="16"/>
              </w:rPr>
              <w:t>legacy_journal_no, line_no</w:t>
            </w:r>
          </w:p>
        </w:tc>
        <w:tc>
          <w:tcPr>
            <w:tcW w:type="dxa" w:w="1922"/>
            <w:tcMar>
              <w:top w:w="50" w:type="dxa"/>
              <w:bottom w:w="50" w:type="dxa"/>
              <w:left w:w="90" w:type="dxa"/>
              <w:right w:w="90" w:type="dxa"/>
            </w:tcMar>
            <w:shd w:val="clear" w:color="auto" w:fill="E5F5FF"/>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tcPr>
          <w:p>
            <w:pPr>
              <w:pStyle w:val="BDOITable"/>
            </w:pPr>
            <w:r>
              <w:rPr>
                <w:b/>
                <w:sz w:val="16"/>
              </w:rPr>
              <w:t>G03D</w:t>
            </w:r>
          </w:p>
        </w:tc>
        <w:tc>
          <w:tcPr>
            <w:tcW w:type="dxa" w:w="2763"/>
            <w:tcMar>
              <w:top w:w="50" w:type="dxa"/>
              <w:bottom w:w="50" w:type="dxa"/>
              <w:left w:w="90" w:type="dxa"/>
              <w:right w:w="90" w:type="dxa"/>
            </w:tcMar>
          </w:tcPr>
          <w:p>
            <w:pPr>
              <w:pStyle w:val="BDOITable"/>
            </w:pPr>
            <w:r>
              <w:rPr>
                <w:sz w:val="16"/>
              </w:rPr>
              <w:t>FY2027 true-up - open-item detail of the lines on legacy control accounts</w:t>
            </w:r>
          </w:p>
        </w:tc>
        <w:tc>
          <w:tcPr>
            <w:tcW w:type="dxa" w:w="781"/>
            <w:tcMar>
              <w:top w:w="50" w:type="dxa"/>
              <w:bottom w:w="50" w:type="dxa"/>
              <w:left w:w="90" w:type="dxa"/>
              <w:right w:w="90" w:type="dxa"/>
            </w:tcMar>
          </w:tcPr>
          <w:p>
            <w:pPr>
              <w:pStyle w:val="BDOITable"/>
            </w:pPr>
            <w:r>
              <w:rPr>
                <w:sz w:val="16"/>
              </w:rPr>
              <w:t>G03</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10</w:t>
            </w:r>
          </w:p>
        </w:tc>
        <w:tc>
          <w:tcPr>
            <w:tcW w:type="dxa" w:w="2042"/>
            <w:tcMar>
              <w:top w:w="50" w:type="dxa"/>
              <w:bottom w:w="50" w:type="dxa"/>
              <w:left w:w="90" w:type="dxa"/>
              <w:right w:w="90" w:type="dxa"/>
            </w:tcMar>
          </w:tcPr>
          <w:p>
            <w:pPr>
              <w:pStyle w:val="BDOITable"/>
            </w:pPr>
            <w:r>
              <w:rPr>
                <w:sz w:val="16"/>
              </w:rPr>
              <w:t>legacy_journal_no, line_no, item_ref, component</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2763"/>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781"/>
            <w:tcMar>
              <w:top w:w="50" w:type="dxa"/>
              <w:bottom w:w="50" w:type="dxa"/>
              <w:left w:w="90" w:type="dxa"/>
              <w:right w:w="90" w:type="dxa"/>
            </w:tcMar>
            <w:shd w:val="clear" w:color="auto" w:fill="E5F5FF"/>
          </w:tcPr>
          <w:p>
            <w:pPr>
              <w:pStyle w:val="BDOITable"/>
            </w:pPr>
            <w:r>
              <w:rPr>
                <w:sz w:val="16"/>
              </w:rPr>
              <w:t>H01</w:t>
            </w:r>
          </w:p>
        </w:tc>
        <w:tc>
          <w:tcPr>
            <w:tcW w:type="dxa" w:w="721"/>
            <w:tcMar>
              <w:top w:w="50" w:type="dxa"/>
              <w:bottom w:w="50" w:type="dxa"/>
              <w:left w:w="90" w:type="dxa"/>
              <w:right w:w="90" w:type="dxa"/>
            </w:tcMar>
            <w:shd w:val="clear" w:color="auto" w:fill="E5F5FF"/>
          </w:tcPr>
          <w:p>
            <w:pPr>
              <w:pStyle w:val="BDOITable"/>
            </w:pPr>
            <w:r>
              <w:rPr>
                <w:sz w:val="16"/>
              </w:rPr>
              <w:t>15</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record_type, legacy_key</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2763"/>
            <w:tcMar>
              <w:top w:w="50" w:type="dxa"/>
              <w:bottom w:w="50" w:type="dxa"/>
              <w:left w:w="90" w:type="dxa"/>
              <w:right w:w="90" w:type="dxa"/>
            </w:tcMar>
          </w:tcPr>
          <w:p>
            <w:pPr>
              <w:pStyle w:val="BDOITable"/>
            </w:pPr>
            <w:r>
              <w:rPr>
                <w:sz w:val="16"/>
              </w:rPr>
              <w:t>Archive documents index</w:t>
            </w:r>
          </w:p>
        </w:tc>
        <w:tc>
          <w:tcPr>
            <w:tcW w:type="dxa" w:w="781"/>
            <w:tcMar>
              <w:top w:w="50" w:type="dxa"/>
              <w:bottom w:w="50" w:type="dxa"/>
              <w:left w:w="90" w:type="dxa"/>
              <w:right w:w="90" w:type="dxa"/>
            </w:tcMar>
          </w:tcPr>
          <w:p>
            <w:pPr>
              <w:pStyle w:val="BDOITable"/>
            </w:pPr>
            <w:r>
              <w:rPr>
                <w:sz w:val="16"/>
              </w:rPr>
              <w:t>H02</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record_type, legacy_key, file_name</w:t>
            </w:r>
          </w:p>
        </w:tc>
        <w:tc>
          <w:tcPr>
            <w:tcW w:type="dxa" w:w="1922"/>
            <w:tcMar>
              <w:top w:w="50" w:type="dxa"/>
              <w:bottom w:w="50" w:type="dxa"/>
              <w:left w:w="90" w:type="dxa"/>
              <w:right w:w="90" w:type="dxa"/>
            </w:tcMar>
          </w:tcPr>
          <w:p>
            <w:pPr>
              <w:pStyle w:val="BDOITable"/>
            </w:pPr>
            <w:r>
              <w:rPr>
                <w:sz w:val="16"/>
              </w:rPr>
              <w:t>-</w:t>
            </w:r>
          </w:p>
        </w:tc>
      </w:tr>
    </w:tbl>
    <w:p>
      <w:pPr>
        <w:pStyle w:val="BDOISpacer"/>
      </w:pPr>
    </w:p>
    <w:p>
      <w:r>
        <w:rPr/>
        <w:t>Rules for every file (workbook sheet "File Contract"):</w:t>
      </w:r>
    </w:p>
    <w:p>
      <w:pPr>
        <w:tabs>
          <w:tab w:pos="312" w:val="left"/>
        </w:tabs>
        <w:spacing w:after="40"/>
        <w:ind w:left="312" w:hanging="283"/>
      </w:pPr>
      <w:r>
        <w:rPr>
          <w:color w:val="004EA8"/>
        </w:rPr>
        <w:t>•</w:t>
        <w:tab/>
      </w:r>
      <w:r>
        <w:rPr/>
        <w:t xml:space="preserve">File name </w:t>
      </w:r>
      <w:r>
        <w:rPr>
          <w:rFonts w:ascii="Courier New" w:hAnsi="Courier New" w:cs="Courier New" w:eastAsia="Courier New"/>
          <w:color w:val="2E2E2E"/>
          <w:sz w:val="19"/>
        </w:rPr>
        <w:t>&lt;LAYOUT&gt;_&lt;SOURCE&gt;_&lt;yyyyMMdd&gt;_&lt;nn&gt;.csv</w:t>
      </w:r>
      <w:r>
        <w:rPr/>
        <w:t>, one file per layout, source system and extract: the layout code, not the object code, starts the name. Three objects have sub-layouts sent as separate files with the same as-of date: R04 and R04B (insurers and their branches), P01 and P01S (policy headers and their insurer shares), F01, F01S and F01C (invoice headers, insurer shares and components).</w:t>
      </w:r>
    </w:p>
    <w:p>
      <w:pPr>
        <w:tabs>
          <w:tab w:pos="312" w:val="left"/>
        </w:tabs>
        <w:spacing w:after="40"/>
        <w:ind w:left="312" w:hanging="283"/>
      </w:pPr>
      <w:r>
        <w:rPr>
          <w:color w:val="004EA8"/>
        </w:rPr>
        <w:t>•</w:t>
        <w:tab/>
      </w:r>
      <w:r>
        <w:rPr/>
        <w:t>CSV in UTF-8 without BOM, comma separator, RFC 4180 quoting, one header row; or XLSX with the header in row 1 of the first sheet.</w:t>
      </w:r>
    </w:p>
    <w:p>
      <w:pPr>
        <w:tabs>
          <w:tab w:pos="312" w:val="left"/>
        </w:tabs>
        <w:spacing w:after="40"/>
        <w:ind w:left="312" w:hanging="283"/>
      </w:pPr>
      <w:r>
        <w:rPr>
          <w:color w:val="004EA8"/>
        </w:rPr>
        <w:t>•</w:t>
        <w:tab/>
      </w:r>
      <w:r>
        <w:rPr/>
        <w:t xml:space="preserve">Dates </w:t>
      </w:r>
      <w:r>
        <w:rPr>
          <w:rFonts w:ascii="Courier New" w:hAnsi="Courier New" w:cs="Courier New" w:eastAsia="Courier New"/>
          <w:color w:val="2E2E2E"/>
          <w:sz w:val="19"/>
        </w:rPr>
        <w:t>yyyy-MM-dd</w:t>
      </w:r>
      <w:r>
        <w:rPr/>
        <w:t>; amounts with a dot decimal, 2 decimals, no thousands separator; codes exactly as stored in legacy.</w:t>
      </w:r>
    </w:p>
    <w:p>
      <w:pPr>
        <w:tabs>
          <w:tab w:pos="312" w:val="left"/>
        </w:tabs>
        <w:spacing w:after="120"/>
        <w:ind w:left="312" w:hanging="283"/>
      </w:pPr>
      <w:r>
        <w:rPr>
          <w:color w:val="004EA8"/>
        </w:rPr>
        <w:t>•</w:t>
        <w:tab/>
      </w:r>
      <w:r>
        <w:rPr/>
        <w:t xml:space="preserve">A control file </w:t>
      </w:r>
      <w:r>
        <w:rPr>
          <w:rFonts w:ascii="Courier New" w:hAnsi="Courier New" w:cs="Courier New" w:eastAsia="Courier New"/>
          <w:color w:val="2E2E2E"/>
          <w:sz w:val="19"/>
        </w:rPr>
        <w:t>&lt;data file&gt;.ctl.csv</w:t>
      </w:r>
      <w:r>
        <w:rPr/>
        <w:t xml:space="preserve"> with the row count, the hash total of the key, the amount totals per column and currency, and the SHA-256 of the data file.</w:t>
      </w:r>
    </w:p>
    <w:p>
      <w:r>
        <w:rPr/>
        <w:t>What BDOI provides per object:</w:t>
      </w:r>
    </w:p>
    <w:p>
      <w:pPr>
        <w:pStyle w:val="Caption"/>
        <w:keepNext/>
        <w:spacing w:after="60"/>
      </w:pPr>
      <w:r>
        <w:rPr>
          <w:b/>
          <w:i w:val="0"/>
        </w:rPr>
        <w:t xml:space="preserve">Table 14: </w:t>
      </w:r>
      <w:r>
        <w:rPr/>
        <w:t>What BDOI provides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1081"/>
        <w:gridCol w:w="1201"/>
        <w:gridCol w:w="2403"/>
        <w:gridCol w:w="15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Templates</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Control totals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081"/>
            <w:tcMar>
              <w:top w:w="50" w:type="dxa"/>
              <w:bottom w:w="50" w:type="dxa"/>
              <w:left w:w="90" w:type="dxa"/>
              <w:right w:w="90" w:type="dxa"/>
            </w:tcMar>
          </w:tcPr>
          <w:p>
            <w:pPr>
              <w:pStyle w:val="BDOITable"/>
            </w:pPr>
            <w:r>
              <w:rPr>
                <w:sz w:val="16"/>
              </w:rPr>
              <w:t>R01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count of distinct (list_type, code)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081"/>
            <w:tcMar>
              <w:top w:w="50" w:type="dxa"/>
              <w:bottom w:w="50" w:type="dxa"/>
              <w:left w:w="90" w:type="dxa"/>
              <w:right w:w="90" w:type="dxa"/>
            </w:tcMar>
            <w:shd w:val="clear" w:color="auto" w:fill="E5F5FF"/>
          </w:tcPr>
          <w:p>
            <w:pPr>
              <w:pStyle w:val="BDOITable"/>
            </w:pPr>
            <w:r>
              <w:rPr>
                <w:sz w:val="16"/>
              </w:rPr>
              <w:t>R02</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081"/>
            <w:tcMar>
              <w:top w:w="50" w:type="dxa"/>
              <w:bottom w:w="50" w:type="dxa"/>
              <w:left w:w="90" w:type="dxa"/>
              <w:right w:w="90" w:type="dxa"/>
            </w:tcMar>
          </w:tcPr>
          <w:p>
            <w:pPr>
              <w:pStyle w:val="BDOITable"/>
            </w:pPr>
            <w:r>
              <w:rPr>
                <w:sz w:val="16"/>
              </w:rPr>
              <w:t>R03</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per record type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081"/>
            <w:tcMar>
              <w:top w:w="50" w:type="dxa"/>
              <w:bottom w:w="50" w:type="dxa"/>
              <w:left w:w="90" w:type="dxa"/>
              <w:right w:w="90" w:type="dxa"/>
            </w:tcMar>
            <w:shd w:val="clear" w:color="auto" w:fill="E5F5FF"/>
          </w:tcPr>
          <w:p>
            <w:pPr>
              <w:pStyle w:val="BDOITable"/>
            </w:pPr>
            <w:r>
              <w:rPr>
                <w:sz w:val="16"/>
              </w:rPr>
              <w:t>R04, R04B</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per file</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081"/>
            <w:tcMar>
              <w:top w:w="50" w:type="dxa"/>
              <w:bottom w:w="50" w:type="dxa"/>
              <w:left w:w="90" w:type="dxa"/>
              <w:right w:w="90" w:type="dxa"/>
            </w:tcMar>
          </w:tcPr>
          <w:p>
            <w:pPr>
              <w:pStyle w:val="BDOITable"/>
            </w:pPr>
            <w:r>
              <w:rPr>
                <w:sz w:val="16"/>
              </w:rPr>
              <w:t>R05</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081"/>
            <w:tcMar>
              <w:top w:w="50" w:type="dxa"/>
              <w:bottom w:w="50" w:type="dxa"/>
              <w:left w:w="90" w:type="dxa"/>
              <w:right w:w="90" w:type="dxa"/>
            </w:tcMar>
            <w:shd w:val="clear" w:color="auto" w:fill="E5F5FF"/>
          </w:tcPr>
          <w:p>
            <w:pPr>
              <w:pStyle w:val="BDOITable"/>
            </w:pPr>
            <w:r>
              <w:rPr>
                <w:sz w:val="16"/>
              </w:rPr>
              <w:t>R06</w:t>
            </w:r>
          </w:p>
        </w:tc>
        <w:tc>
          <w:tcPr>
            <w:tcW w:type="dxa" w:w="1201"/>
            <w:tcMar>
              <w:top w:w="50" w:type="dxa"/>
              <w:bottom w:w="50" w:type="dxa"/>
              <w:left w:w="90" w:type="dxa"/>
              <w:right w:w="90" w:type="dxa"/>
            </w:tcMar>
            <w:shd w:val="clear" w:color="auto" w:fill="E5F5FF"/>
          </w:tcPr>
          <w:p>
            <w:pPr>
              <w:pStyle w:val="BDOITable"/>
            </w:pPr>
            <w:r>
              <w:rPr>
                <w:sz w:val="16"/>
              </w:rPr>
              <w:t>QPS (legacy packages); TSU (BIBS package versions)</w:t>
            </w:r>
          </w:p>
        </w:tc>
        <w:tc>
          <w:tcPr>
            <w:tcW w:type="dxa" w:w="2403"/>
            <w:tcMar>
              <w:top w:w="50" w:type="dxa"/>
              <w:bottom w:w="50" w:type="dxa"/>
              <w:left w:w="90" w:type="dxa"/>
              <w:right w:w="90" w:type="dxa"/>
            </w:tcMar>
            <w:shd w:val="clear" w:color="auto" w:fill="E5F5FF"/>
          </w:tcPr>
          <w:p>
            <w:pPr>
              <w:pStyle w:val="BDOITable"/>
            </w:pPr>
            <w:r>
              <w:rPr>
                <w:sz w:val="16"/>
              </w:rPr>
              <w:t>Row count; count of distinct (legacy_package_code, legacy_package_version)</w:t>
            </w:r>
          </w:p>
        </w:tc>
        <w:tc>
          <w:tcPr>
            <w:tcW w:type="dxa" w:w="1562"/>
            <w:tcMar>
              <w:top w:w="50" w:type="dxa"/>
              <w:bottom w:w="50" w:type="dxa"/>
              <w:left w:w="90" w:type="dxa"/>
              <w:right w:w="90" w:type="dxa"/>
            </w:tcMar>
            <w:shd w:val="clear" w:color="auto" w:fill="E5F5FF"/>
          </w:tcPr>
          <w:p>
            <w:pPr>
              <w:pStyle w:val="BDOITable"/>
            </w:pPr>
            <w:r>
              <w:rPr>
                <w:sz w:val="16"/>
              </w:rPr>
              <w:t>M5 (18 Jun 2027); final at T-7</w:t>
            </w:r>
          </w:p>
        </w:tc>
      </w:tr>
      <w:tr>
        <w:trPr>
          <w:cantSplit w:val="true"/>
        </w:trPr>
        <w:tc>
          <w:tcPr>
            <w:tcW w:type="dxa" w:w="72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081"/>
            <w:tcMar>
              <w:top w:w="50" w:type="dxa"/>
              <w:bottom w:w="50" w:type="dxa"/>
              <w:left w:w="90" w:type="dxa"/>
              <w:right w:w="90" w:type="dxa"/>
            </w:tcMar>
          </w:tcPr>
          <w:p>
            <w:pPr>
              <w:pStyle w:val="BDOITable"/>
            </w:pPr>
            <w:r>
              <w:rPr>
                <w:sz w:val="16"/>
              </w:rPr>
              <w:t>R07</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081"/>
            <w:tcMar>
              <w:top w:w="50" w:type="dxa"/>
              <w:bottom w:w="50" w:type="dxa"/>
              <w:left w:w="90" w:type="dxa"/>
              <w:right w:w="90" w:type="dxa"/>
            </w:tcMar>
            <w:shd w:val="clear" w:color="auto" w:fill="E5F5FF"/>
          </w:tcPr>
          <w:p>
            <w:pPr>
              <w:pStyle w:val="BDOITable"/>
            </w:pPr>
            <w:r>
              <w:rPr>
                <w:sz w:val="16"/>
              </w:rPr>
              <w:t>R08</w:t>
            </w:r>
          </w:p>
        </w:tc>
        <w:tc>
          <w:tcPr>
            <w:tcW w:type="dxa" w:w="1201"/>
            <w:tcMar>
              <w:top w:w="50" w:type="dxa"/>
              <w:bottom w:w="50" w:type="dxa"/>
              <w:left w:w="90" w:type="dxa"/>
              <w:right w:w="90" w:type="dxa"/>
            </w:tcMar>
            <w:shd w:val="clear" w:color="auto" w:fill="E5F5FF"/>
          </w:tcPr>
          <w:p>
            <w:pPr>
              <w:pStyle w:val="BDOITable"/>
            </w:pPr>
            <w:r>
              <w:rPr>
                <w:sz w:val="16"/>
              </w:rPr>
              <w:t>EBIX, ISYS GL</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081"/>
            <w:tcMar>
              <w:top w:w="50" w:type="dxa"/>
              <w:bottom w:w="50" w:type="dxa"/>
              <w:left w:w="90" w:type="dxa"/>
              <w:right w:w="90" w:type="dxa"/>
            </w:tcMar>
          </w:tcPr>
          <w:p>
            <w:pPr>
              <w:pStyle w:val="BDOITable"/>
            </w:pPr>
            <w:r>
              <w:rPr>
                <w:sz w:val="16"/>
              </w:rPr>
              <w:t>R09</w:t>
            </w:r>
          </w:p>
        </w:tc>
        <w:tc>
          <w:tcPr>
            <w:tcW w:type="dxa" w:w="1201"/>
            <w:tcMar>
              <w:top w:w="50" w:type="dxa"/>
              <w:bottom w:w="50" w:type="dxa"/>
              <w:left w:w="90" w:type="dxa"/>
              <w:right w:w="90" w:type="dxa"/>
            </w:tcMar>
          </w:tcPr>
          <w:p>
            <w:pPr>
              <w:pStyle w:val="BDOITable"/>
            </w:pPr>
            <w:r>
              <w:rPr>
                <w:sz w:val="16"/>
              </w:rPr>
              <w:t>EBIX, Disbursement files</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R11</w:t>
            </w:r>
          </w:p>
        </w:tc>
        <w:tc>
          <w:tcPr>
            <w:tcW w:type="dxa" w:w="300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1081"/>
            <w:tcMar>
              <w:top w:w="50" w:type="dxa"/>
              <w:bottom w:w="50" w:type="dxa"/>
              <w:left w:w="90" w:type="dxa"/>
              <w:right w:w="90" w:type="dxa"/>
            </w:tcMar>
            <w:shd w:val="clear" w:color="auto" w:fill="E5F5FF"/>
          </w:tcPr>
          <w:p>
            <w:pPr>
              <w:pStyle w:val="BDOITable"/>
            </w:pPr>
            <w:r>
              <w:rPr>
                <w:sz w:val="16"/>
              </w:rPr>
              <w:t>R11</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21"/>
            <w:tcMar>
              <w:top w:w="50" w:type="dxa"/>
              <w:bottom w:w="50" w:type="dxa"/>
              <w:left w:w="90" w:type="dxa"/>
              <w:right w:w="90" w:type="dxa"/>
            </w:tcMar>
          </w:tcPr>
          <w:p>
            <w:pPr>
              <w:pStyle w:val="BDOITable"/>
            </w:pPr>
            <w:r>
              <w:rPr>
                <w:b/>
                <w:sz w:val="16"/>
              </w:rPr>
              <w:t>C01</w:t>
            </w:r>
          </w:p>
        </w:tc>
        <w:tc>
          <w:tcPr>
            <w:tcW w:type="dxa" w:w="3004"/>
            <w:tcMar>
              <w:top w:w="50" w:type="dxa"/>
              <w:bottom w:w="50" w:type="dxa"/>
              <w:left w:w="90" w:type="dxa"/>
              <w:right w:w="90" w:type="dxa"/>
            </w:tcMar>
          </w:tcPr>
          <w:p>
            <w:pPr>
              <w:pStyle w:val="BDOITable"/>
            </w:pPr>
            <w:r>
              <w:rPr>
                <w:sz w:val="16"/>
              </w:rPr>
              <w:t>Client master (individual and corporate)</w:t>
            </w:r>
          </w:p>
        </w:tc>
        <w:tc>
          <w:tcPr>
            <w:tcW w:type="dxa" w:w="1081"/>
            <w:tcMar>
              <w:top w:w="50" w:type="dxa"/>
              <w:bottom w:w="50" w:type="dxa"/>
              <w:left w:w="90" w:type="dxa"/>
              <w:right w:w="90" w:type="dxa"/>
            </w:tcMar>
          </w:tcPr>
          <w:p>
            <w:pPr>
              <w:pStyle w:val="BDOITable"/>
            </w:pPr>
            <w:r>
              <w:rPr>
                <w:sz w:val="16"/>
              </w:rPr>
              <w:t>C01, C02</w:t>
            </w:r>
          </w:p>
        </w:tc>
        <w:tc>
          <w:tcPr>
            <w:tcW w:type="dxa" w:w="1201"/>
            <w:tcMar>
              <w:top w:w="50" w:type="dxa"/>
              <w:bottom w:w="50" w:type="dxa"/>
              <w:left w:w="90" w:type="dxa"/>
              <w:right w:w="90" w:type="dxa"/>
            </w:tcMar>
          </w:tcPr>
          <w:p>
            <w:pPr>
              <w:pStyle w:val="BDOITable"/>
            </w:pPr>
            <w:r>
              <w:rPr>
                <w:sz w:val="16"/>
              </w:rPr>
              <w:t>QPS, EBIX, CMS</w:t>
            </w:r>
          </w:p>
        </w:tc>
        <w:tc>
          <w:tcPr>
            <w:tcW w:type="dxa" w:w="2403"/>
            <w:tcMar>
              <w:top w:w="50" w:type="dxa"/>
              <w:bottom w:w="50" w:type="dxa"/>
              <w:left w:w="90" w:type="dxa"/>
              <w:right w:w="90" w:type="dxa"/>
            </w:tcMar>
          </w:tcPr>
          <w:p>
            <w:pPr>
              <w:pStyle w:val="BDOITable"/>
            </w:pPr>
            <w:r>
              <w:rPr>
                <w:sz w:val="16"/>
              </w:rPr>
              <w:t>Row count; count of distinct legacy_client_no</w:t>
            </w:r>
          </w:p>
        </w:tc>
        <w:tc>
          <w:tcPr>
            <w:tcW w:type="dxa" w:w="15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 (for refunds)</w:t>
            </w:r>
          </w:p>
        </w:tc>
        <w:tc>
          <w:tcPr>
            <w:tcW w:type="dxa" w:w="1081"/>
            <w:tcMar>
              <w:top w:w="50" w:type="dxa"/>
              <w:bottom w:w="50" w:type="dxa"/>
              <w:left w:w="90" w:type="dxa"/>
              <w:right w:w="90" w:type="dxa"/>
            </w:tcMar>
            <w:shd w:val="clear" w:color="auto" w:fill="E5F5FF"/>
          </w:tcPr>
          <w:p>
            <w:pPr>
              <w:pStyle w:val="BDOITable"/>
            </w:pPr>
            <w:r>
              <w:rPr>
                <w:sz w:val="16"/>
              </w:rPr>
              <w:t>C03</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C04</w:t>
            </w:r>
          </w:p>
        </w:tc>
        <w:tc>
          <w:tcPr>
            <w:tcW w:type="dxa" w:w="3004"/>
            <w:tcMar>
              <w:top w:w="50" w:type="dxa"/>
              <w:bottom w:w="50" w:type="dxa"/>
              <w:left w:w="90" w:type="dxa"/>
              <w:right w:w="90" w:type="dxa"/>
            </w:tcMar>
          </w:tcPr>
          <w:p>
            <w:pPr>
              <w:pStyle w:val="BDOITable"/>
            </w:pPr>
            <w:r>
              <w:rPr>
                <w:sz w:val="16"/>
              </w:rPr>
              <w:t>KYC documents and IDs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QPS, file shares</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081"/>
            <w:tcMar>
              <w:top w:w="50" w:type="dxa"/>
              <w:bottom w:w="50" w:type="dxa"/>
              <w:left w:w="90" w:type="dxa"/>
              <w:right w:w="90" w:type="dxa"/>
            </w:tcMar>
            <w:shd w:val="clear" w:color="auto" w:fill="E5F5FF"/>
          </w:tcPr>
          <w:p>
            <w:pPr>
              <w:pStyle w:val="BDOITable"/>
            </w:pPr>
            <w:r>
              <w:rPr>
                <w:sz w:val="16"/>
              </w:rPr>
              <w:t>P01, P01S</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sum of sum_insured and gross_premium per currency; count of distinct legacy_policy_ref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081"/>
            <w:tcMar>
              <w:top w:w="50" w:type="dxa"/>
              <w:bottom w:w="50" w:type="dxa"/>
              <w:left w:w="90" w:type="dxa"/>
              <w:right w:w="90" w:type="dxa"/>
            </w:tcMar>
            <w:shd w:val="clear" w:color="auto" w:fill="E5F5FF"/>
          </w:tcPr>
          <w:p>
            <w:pPr>
              <w:pStyle w:val="BDOITable"/>
            </w:pPr>
            <w:r>
              <w:rPr>
                <w:sz w:val="16"/>
              </w:rPr>
              <w:t>P03</w:t>
            </w:r>
          </w:p>
        </w:tc>
        <w:tc>
          <w:tcPr>
            <w:tcW w:type="dxa" w:w="1201"/>
            <w:tcMar>
              <w:top w:w="50" w:type="dxa"/>
              <w:bottom w:w="50" w:type="dxa"/>
              <w:left w:w="90" w:type="dxa"/>
              <w:right w:w="90" w:type="dxa"/>
            </w:tcMar>
            <w:shd w:val="clear" w:color="auto" w:fill="E5F5FF"/>
          </w:tcPr>
          <w:p>
            <w:pPr>
              <w:pStyle w:val="BDOITable"/>
            </w:pPr>
            <w:r>
              <w:rPr>
                <w:sz w:val="16"/>
              </w:rPr>
              <w:t>Excel RA trackers of the Renewal processing team</w:t>
            </w:r>
          </w:p>
        </w:tc>
        <w:tc>
          <w:tcPr>
            <w:tcW w:type="dxa" w:w="2403"/>
            <w:tcMar>
              <w:top w:w="50" w:type="dxa"/>
              <w:bottom w:w="50" w:type="dxa"/>
              <w:left w:w="90" w:type="dxa"/>
              <w:right w:w="90" w:type="dxa"/>
            </w:tcMar>
            <w:shd w:val="clear" w:color="auto" w:fill="E5F5FF"/>
          </w:tcPr>
          <w:p>
            <w:pPr>
              <w:pStyle w:val="BDOITable"/>
            </w:pPr>
            <w:r>
              <w:rPr>
                <w:sz w:val="16"/>
              </w:rPr>
              <w:t>Row count; count of distinct legacy_policy_ref; sum of proposed_premium per currency</w:t>
            </w:r>
          </w:p>
        </w:tc>
        <w:tc>
          <w:tcPr>
            <w:tcW w:type="dxa" w:w="1562"/>
            <w:tcMar>
              <w:top w:w="50" w:type="dxa"/>
              <w:bottom w:w="50" w:type="dxa"/>
              <w:left w:w="90" w:type="dxa"/>
              <w:right w:w="90" w:type="dxa"/>
            </w:tcMar>
            <w:shd w:val="clear" w:color="auto" w:fill="E5F5FF"/>
          </w:tcPr>
          <w:p>
            <w:pPr>
              <w:pStyle w:val="BDOITable"/>
            </w:pPr>
            <w:r>
              <w:rPr>
                <w:sz w:val="16"/>
              </w:rPr>
              <w:t>M4 (9 Apr 2027) (Trial migration 1); final at T-5</w:t>
            </w:r>
          </w:p>
        </w:tc>
      </w:tr>
      <w:tr>
        <w:trPr>
          <w:cantSplit w:val="true"/>
        </w:trPr>
        <w:tc>
          <w:tcPr>
            <w:tcW w:type="dxa" w:w="72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081"/>
            <w:tcMar>
              <w:top w:w="50" w:type="dxa"/>
              <w:bottom w:w="50" w:type="dxa"/>
              <w:left w:w="90" w:type="dxa"/>
              <w:right w:w="90" w:type="dxa"/>
            </w:tcMar>
          </w:tcPr>
          <w:p>
            <w:pPr>
              <w:pStyle w:val="BDOITable"/>
            </w:pPr>
            <w:r>
              <w:rPr>
                <w:sz w:val="16"/>
              </w:rPr>
              <w:t>F01, F01S, F01C</w:t>
            </w:r>
          </w:p>
        </w:tc>
        <w:tc>
          <w:tcPr>
            <w:tcW w:type="dxa" w:w="1201"/>
            <w:tcMar>
              <w:top w:w="50" w:type="dxa"/>
              <w:bottom w:w="50" w:type="dxa"/>
              <w:left w:w="90" w:type="dxa"/>
              <w:right w:w="90" w:type="dxa"/>
            </w:tcMar>
          </w:tcPr>
          <w:p>
            <w:pPr>
              <w:pStyle w:val="BDOITable"/>
            </w:pPr>
            <w:r>
              <w:rPr>
                <w:sz w:val="16"/>
              </w:rPr>
              <w:t>EBIX, QPS</w:t>
            </w:r>
          </w:p>
        </w:tc>
        <w:tc>
          <w:tcPr>
            <w:tcW w:type="dxa" w:w="2403"/>
            <w:tcMar>
              <w:top w:w="50" w:type="dxa"/>
              <w:bottom w:w="50" w:type="dxa"/>
              <w:left w:w="90" w:type="dxa"/>
              <w:right w:w="90" w:type="dxa"/>
            </w:tcMar>
          </w:tcPr>
          <w:p>
            <w:pPr>
              <w:pStyle w:val="BDOITable"/>
            </w:pPr>
            <w:r>
              <w:rPr>
                <w:sz w:val="16"/>
              </w:rPr>
              <w:t>Row count per file; sums per component, bucket and currency; count of distinct legacy_invoice_no</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081"/>
            <w:tcMar>
              <w:top w:w="50" w:type="dxa"/>
              <w:bottom w:w="50" w:type="dxa"/>
              <w:left w:w="90" w:type="dxa"/>
              <w:right w:w="90" w:type="dxa"/>
            </w:tcMar>
            <w:shd w:val="clear" w:color="auto" w:fill="E5F5FF"/>
          </w:tcPr>
          <w:p>
            <w:pPr>
              <w:pStyle w:val="BDOITable"/>
            </w:pPr>
            <w:r>
              <w:rPr>
                <w:sz w:val="16"/>
              </w:rPr>
              <w:t>F02</w:t>
            </w:r>
          </w:p>
        </w:tc>
        <w:tc>
          <w:tcPr>
            <w:tcW w:type="dxa" w:w="1201"/>
            <w:tcMar>
              <w:top w:w="50" w:type="dxa"/>
              <w:bottom w:w="50" w:type="dxa"/>
              <w:left w:w="90" w:type="dxa"/>
              <w:right w:w="90" w:type="dxa"/>
            </w:tcMar>
            <w:shd w:val="clear" w:color="auto" w:fill="E5F5FF"/>
          </w:tcPr>
          <w:p>
            <w:pPr>
              <w:pStyle w:val="BDOITable"/>
            </w:pPr>
            <w:r>
              <w:rPr>
                <w:sz w:val="16"/>
              </w:rPr>
              <w:t>EBIX, CMS</w:t>
            </w:r>
          </w:p>
        </w:tc>
        <w:tc>
          <w:tcPr>
            <w:tcW w:type="dxa" w:w="2403"/>
            <w:tcMar>
              <w:top w:w="50" w:type="dxa"/>
              <w:bottom w:w="50" w:type="dxa"/>
              <w:left w:w="90" w:type="dxa"/>
              <w:right w:w="90" w:type="dxa"/>
            </w:tcMar>
            <w:shd w:val="clear" w:color="auto" w:fill="E5F5FF"/>
          </w:tcPr>
          <w:p>
            <w:pPr>
              <w:pStyle w:val="BDOITable"/>
            </w:pPr>
            <w:r>
              <w:rPr>
                <w:sz w:val="16"/>
              </w:rPr>
              <w:t>Row count; sums of amount and balance per currency; count of distinct legacy_upp_ref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081"/>
            <w:tcMar>
              <w:top w:w="50" w:type="dxa"/>
              <w:bottom w:w="50" w:type="dxa"/>
              <w:left w:w="90" w:type="dxa"/>
              <w:right w:w="90" w:type="dxa"/>
            </w:tcMar>
          </w:tcPr>
          <w:p>
            <w:pPr>
              <w:pStyle w:val="BDOITable"/>
            </w:pPr>
            <w:r>
              <w:rPr>
                <w:sz w:val="16"/>
              </w:rPr>
              <w:t>F03</w:t>
            </w:r>
          </w:p>
        </w:tc>
        <w:tc>
          <w:tcPr>
            <w:tcW w:type="dxa" w:w="1201"/>
            <w:tcMar>
              <w:top w:w="50" w:type="dxa"/>
              <w:bottom w:w="50" w:type="dxa"/>
              <w:left w:w="90" w:type="dxa"/>
              <w:right w:w="90" w:type="dxa"/>
            </w:tcMar>
          </w:tcPr>
          <w:p>
            <w:pPr>
              <w:pStyle w:val="BDOITable"/>
            </w:pPr>
            <w:r>
              <w:rPr>
                <w:sz w:val="16"/>
              </w:rPr>
              <w:t>CMS</w:t>
            </w:r>
          </w:p>
        </w:tc>
        <w:tc>
          <w:tcPr>
            <w:tcW w:type="dxa" w:w="2403"/>
            <w:tcMar>
              <w:top w:w="50" w:type="dxa"/>
              <w:bottom w:w="50" w:type="dxa"/>
              <w:left w:w="90" w:type="dxa"/>
              <w:right w:w="90" w:type="dxa"/>
            </w:tcMar>
          </w:tcPr>
          <w:p>
            <w:pPr>
              <w:pStyle w:val="BDOITable"/>
            </w:pPr>
            <w:r>
              <w:rPr>
                <w:sz w:val="16"/>
              </w:rPr>
              <w:t>Row count; sum of promise_amount per currency</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081"/>
            <w:tcMar>
              <w:top w:w="50" w:type="dxa"/>
              <w:bottom w:w="50" w:type="dxa"/>
              <w:left w:w="90" w:type="dxa"/>
              <w:right w:w="90" w:type="dxa"/>
            </w:tcMar>
            <w:shd w:val="clear" w:color="auto" w:fill="E5F5FF"/>
          </w:tcPr>
          <w:p>
            <w:pPr>
              <w:pStyle w:val="BDOITable"/>
            </w:pPr>
            <w:r>
              <w:rPr>
                <w:sz w:val="16"/>
              </w:rPr>
              <w:t>F04</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 sum of amount per currency</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F06</w:t>
            </w:r>
          </w:p>
        </w:tc>
        <w:tc>
          <w:tcPr>
            <w:tcW w:type="dxa" w:w="3004"/>
            <w:tcMar>
              <w:top w:w="50" w:type="dxa"/>
              <w:bottom w:w="50" w:type="dxa"/>
              <w:left w:w="90" w:type="dxa"/>
              <w:right w:w="90" w:type="dxa"/>
            </w:tcMar>
          </w:tcPr>
          <w:p>
            <w:pPr>
              <w:pStyle w:val="BDOITable"/>
            </w:pPr>
            <w:r>
              <w:rPr>
                <w:sz w:val="16"/>
              </w:rPr>
              <w:t>PDCs in the warehouse, check pick-ups and refunds in process</w:t>
            </w:r>
          </w:p>
        </w:tc>
        <w:tc>
          <w:tcPr>
            <w:tcW w:type="dxa" w:w="1081"/>
            <w:tcMar>
              <w:top w:w="50" w:type="dxa"/>
              <w:bottom w:w="50" w:type="dxa"/>
              <w:left w:w="90" w:type="dxa"/>
              <w:right w:w="90" w:type="dxa"/>
            </w:tcMar>
          </w:tcPr>
          <w:p>
            <w:pPr>
              <w:pStyle w:val="BDOITable"/>
            </w:pPr>
            <w:r>
              <w:rPr>
                <w:sz w:val="16"/>
              </w:rPr>
              <w:t>F06</w:t>
            </w:r>
          </w:p>
        </w:tc>
        <w:tc>
          <w:tcPr>
            <w:tcW w:type="dxa" w:w="1201"/>
            <w:tcMar>
              <w:top w:w="50" w:type="dxa"/>
              <w:bottom w:w="50" w:type="dxa"/>
              <w:left w:w="90" w:type="dxa"/>
              <w:right w:w="90" w:type="dxa"/>
            </w:tcMar>
          </w:tcPr>
          <w:p>
            <w:pPr>
              <w:pStyle w:val="BDOITable"/>
            </w:pPr>
            <w:r>
              <w:rPr>
                <w:sz w:val="16"/>
              </w:rPr>
              <w:t>EBIX</w:t>
            </w:r>
          </w:p>
        </w:tc>
        <w:tc>
          <w:tcPr>
            <w:tcW w:type="dxa" w:w="2403"/>
            <w:tcMar>
              <w:top w:w="50" w:type="dxa"/>
              <w:bottom w:w="50" w:type="dxa"/>
              <w:left w:w="90" w:type="dxa"/>
              <w:right w:w="90" w:type="dxa"/>
            </w:tcMar>
          </w:tcPr>
          <w:p>
            <w:pPr>
              <w:pStyle w:val="BDOITable"/>
            </w:pPr>
            <w:r>
              <w:rPr>
                <w:sz w:val="16"/>
              </w:rPr>
              <w:t>Row count; sum of amount per currency and record type</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081"/>
            <w:tcMar>
              <w:top w:w="50" w:type="dxa"/>
              <w:bottom w:w="50" w:type="dxa"/>
              <w:left w:w="90" w:type="dxa"/>
              <w:right w:w="90" w:type="dxa"/>
            </w:tcMar>
            <w:shd w:val="clear" w:color="auto" w:fill="E5F5FF"/>
          </w:tcPr>
          <w:p>
            <w:pPr>
              <w:pStyle w:val="BDOITable"/>
            </w:pPr>
            <w:r>
              <w:rPr>
                <w:sz w:val="16"/>
              </w:rPr>
              <w:t>G01</w:t>
            </w:r>
          </w:p>
        </w:tc>
        <w:tc>
          <w:tcPr>
            <w:tcW w:type="dxa" w:w="1201"/>
            <w:tcMar>
              <w:top w:w="50" w:type="dxa"/>
              <w:bottom w:w="50" w:type="dxa"/>
              <w:left w:w="90" w:type="dxa"/>
              <w:right w:w="90" w:type="dxa"/>
            </w:tcMar>
            <w:shd w:val="clear" w:color="auto" w:fill="E5F5FF"/>
          </w:tcPr>
          <w:p>
            <w:pPr>
              <w:pStyle w:val="BDOITable"/>
            </w:pPr>
            <w:r>
              <w:rPr>
                <w:sz w:val="16"/>
              </w:rPr>
              <w:t>EBIX GL, ISYS GL</w:t>
            </w:r>
          </w:p>
        </w:tc>
        <w:tc>
          <w:tcPr>
            <w:tcW w:type="dxa" w:w="2403"/>
            <w:tcMar>
              <w:top w:w="50" w:type="dxa"/>
              <w:bottom w:w="50" w:type="dxa"/>
              <w:left w:w="90" w:type="dxa"/>
              <w:right w:w="90" w:type="dxa"/>
            </w:tcMar>
            <w:shd w:val="clear" w:color="auto" w:fill="E5F5FF"/>
          </w:tcPr>
          <w:p>
            <w:pPr>
              <w:pStyle w:val="BDOITable"/>
            </w:pPr>
            <w:r>
              <w:rPr>
                <w:sz w:val="16"/>
              </w:rPr>
              <w:t>Row count; total debit and total credit per branch and currency (must be equal)</w:t>
            </w:r>
          </w:p>
        </w:tc>
        <w:tc>
          <w:tcPr>
            <w:tcW w:type="dxa" w:w="1562"/>
            <w:tcMar>
              <w:top w:w="50" w:type="dxa"/>
              <w:bottom w:w="50" w:type="dxa"/>
              <w:left w:w="90" w:type="dxa"/>
              <w:right w:w="90" w:type="dxa"/>
            </w:tcMar>
            <w:shd w:val="clear" w:color="auto" w:fill="E5F5FF"/>
          </w:tcPr>
          <w:p>
            <w:pPr>
              <w:pStyle w:val="BDOITable"/>
            </w:pPr>
            <w:r>
              <w:rPr>
                <w:sz w:val="16"/>
              </w:rPr>
              <w:t>M3 (29 Jan 2027); final at T-2; at each true-up</w:t>
            </w:r>
          </w:p>
        </w:tc>
      </w:tr>
      <w:tr>
        <w:trPr>
          <w:cantSplit w:val="true"/>
        </w:trPr>
        <w:tc>
          <w:tcPr>
            <w:tcW w:type="dxa" w:w="72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GL, ISYS GL</w:t>
            </w:r>
          </w:p>
        </w:tc>
        <w:tc>
          <w:tcPr>
            <w:tcW w:type="dxa" w:w="2403"/>
            <w:tcMar>
              <w:top w:w="50" w:type="dxa"/>
              <w:bottom w:w="50" w:type="dxa"/>
              <w:left w:w="90" w:type="dxa"/>
              <w:right w:w="90" w:type="dxa"/>
            </w:tcMar>
          </w:tcPr>
          <w:p>
            <w:pPr>
              <w:pStyle w:val="BDOITable"/>
            </w:pPr>
            <w:r>
              <w:rPr>
                <w:sz w:val="16"/>
              </w:rPr>
              <w:t>Row count and debit / credit totals per period</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081"/>
            <w:tcMar>
              <w:top w:w="50" w:type="dxa"/>
              <w:bottom w:w="50" w:type="dxa"/>
              <w:left w:w="90" w:type="dxa"/>
              <w:right w:w="90" w:type="dxa"/>
            </w:tcMar>
            <w:shd w:val="clear" w:color="auto" w:fill="E5F5FF"/>
          </w:tcPr>
          <w:p>
            <w:pPr>
              <w:pStyle w:val="BDOITable"/>
            </w:pPr>
            <w:r>
              <w:rPr>
                <w:sz w:val="16"/>
              </w:rPr>
              <w:t>G03, G03D</w:t>
            </w:r>
          </w:p>
        </w:tc>
        <w:tc>
          <w:tcPr>
            <w:tcW w:type="dxa" w:w="1201"/>
            <w:tcMar>
              <w:top w:w="50" w:type="dxa"/>
              <w:bottom w:w="50" w:type="dxa"/>
              <w:left w:w="90" w:type="dxa"/>
              <w:right w:w="90" w:type="dxa"/>
            </w:tcMar>
            <w:shd w:val="clear" w:color="auto" w:fill="E5F5FF"/>
          </w:tcPr>
          <w:p>
            <w:pPr>
              <w:pStyle w:val="BDOITable"/>
            </w:pPr>
            <w:r>
              <w:rPr>
                <w:sz w:val="16"/>
              </w:rPr>
              <w:t>EBIX GL, ISYS GL; FY2027 adjustment register of Comptrollership</w:t>
            </w:r>
          </w:p>
        </w:tc>
        <w:tc>
          <w:tcPr>
            <w:tcW w:type="dxa" w:w="2403"/>
            <w:tcMar>
              <w:top w:w="50" w:type="dxa"/>
              <w:bottom w:w="50" w:type="dxa"/>
              <w:left w:w="90" w:type="dxa"/>
              <w:right w:w="90" w:type="dxa"/>
            </w:tcMar>
            <w:shd w:val="clear" w:color="auto" w:fill="E5F5FF"/>
          </w:tcPr>
          <w:p>
            <w:pPr>
              <w:pStyle w:val="BDOITable"/>
            </w:pPr>
            <w:r>
              <w:rPr>
                <w:sz w:val="16"/>
              </w:rPr>
              <w:t>Row count; debit and credit totals per branch and currency; count of distinct legacy_journal_no</w:t>
            </w:r>
          </w:p>
        </w:tc>
        <w:tc>
          <w:tcPr>
            <w:tcW w:type="dxa" w:w="1562"/>
            <w:tcMar>
              <w:top w:w="50" w:type="dxa"/>
              <w:bottom w:w="50" w:type="dxa"/>
              <w:left w:w="90" w:type="dxa"/>
              <w:right w:w="90" w:type="dxa"/>
            </w:tcMar>
            <w:shd w:val="clear" w:color="auto" w:fill="E5F5FF"/>
          </w:tcPr>
          <w:p>
            <w:pPr>
              <w:pStyle w:val="BDOITable"/>
            </w:pPr>
            <w:r>
              <w:rPr>
                <w:sz w:val="16"/>
              </w:rPr>
              <w:t>T+16 (true-up 1); T+92 (final)</w:t>
            </w:r>
          </w:p>
        </w:tc>
      </w:tr>
      <w:tr>
        <w:trPr>
          <w:cantSplit w:val="true"/>
        </w:trPr>
        <w:tc>
          <w:tcPr>
            <w:tcW w:type="dxa" w:w="721"/>
            <w:tcMar>
              <w:top w:w="50" w:type="dxa"/>
              <w:bottom w:w="50" w:type="dxa"/>
              <w:left w:w="90" w:type="dxa"/>
              <w:right w:w="90" w:type="dxa"/>
            </w:tcMar>
          </w:tcPr>
          <w:p>
            <w:pPr>
              <w:pStyle w:val="BDOITable"/>
            </w:pPr>
            <w:r>
              <w:rPr>
                <w:b/>
                <w:sz w:val="16"/>
              </w:rPr>
              <w:t>H01</w:t>
            </w:r>
          </w:p>
        </w:tc>
        <w:tc>
          <w:tcPr>
            <w:tcW w:type="dxa" w:w="300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QPS, ISYS</w:t>
            </w:r>
          </w:p>
        </w:tc>
        <w:tc>
          <w:tcPr>
            <w:tcW w:type="dxa" w:w="2403"/>
            <w:tcMar>
              <w:top w:w="50" w:type="dxa"/>
              <w:bottom w:w="50" w:type="dxa"/>
              <w:left w:w="90" w:type="dxa"/>
              <w:right w:w="90" w:type="dxa"/>
            </w:tcMar>
          </w:tcPr>
          <w:p>
            <w:pPr>
              <w:pStyle w:val="BDOITable"/>
            </w:pPr>
            <w:r>
              <w:rPr>
                <w:sz w:val="16"/>
              </w:rPr>
              <w:t>Row count, amount totals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H02</w:t>
            </w:r>
          </w:p>
        </w:tc>
        <w:tc>
          <w:tcPr>
            <w:tcW w:type="dxa" w:w="300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081"/>
            <w:tcMar>
              <w:top w:w="50" w:type="dxa"/>
              <w:bottom w:w="50" w:type="dxa"/>
              <w:left w:w="90" w:type="dxa"/>
              <w:right w:w="90" w:type="dxa"/>
            </w:tcMar>
            <w:shd w:val="clear" w:color="auto" w:fill="E5F5FF"/>
          </w:tcPr>
          <w:p>
            <w:pPr>
              <w:pStyle w:val="BDOITable"/>
            </w:pPr>
            <w:r>
              <w:rPr>
                <w:sz w:val="16"/>
              </w:rPr>
              <w:t>H02</w:t>
            </w:r>
          </w:p>
        </w:tc>
        <w:tc>
          <w:tcPr>
            <w:tcW w:type="dxa" w:w="1201"/>
            <w:tcMar>
              <w:top w:w="50" w:type="dxa"/>
              <w:bottom w:w="50" w:type="dxa"/>
              <w:left w:w="90" w:type="dxa"/>
              <w:right w:w="90" w:type="dxa"/>
            </w:tcMar>
            <w:shd w:val="clear" w:color="auto" w:fill="E5F5FF"/>
          </w:tcPr>
          <w:p>
            <w:pPr>
              <w:pStyle w:val="BDOITable"/>
            </w:pPr>
            <w:r>
              <w:rPr>
                <w:sz w:val="16"/>
              </w:rPr>
              <w:t>File shares, EBIX</w:t>
            </w:r>
          </w:p>
        </w:tc>
        <w:tc>
          <w:tcPr>
            <w:tcW w:type="dxa" w:w="2403"/>
            <w:tcMar>
              <w:top w:w="50" w:type="dxa"/>
              <w:bottom w:w="50" w:type="dxa"/>
              <w:left w:w="90" w:type="dxa"/>
              <w:right w:w="90" w:type="dxa"/>
            </w:tcMar>
            <w:shd w:val="clear" w:color="auto" w:fill="E5F5FF"/>
          </w:tcPr>
          <w:p>
            <w:pPr>
              <w:pStyle w:val="BDOITable"/>
            </w:pPr>
            <w:r>
              <w:rPr>
                <w:sz w:val="16"/>
              </w:rPr>
              <w:t>Row count; SHA-256 per file</w:t>
            </w:r>
          </w:p>
        </w:tc>
        <w:tc>
          <w:tcPr>
            <w:tcW w:type="dxa" w:w="156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pPr>
        <w:pStyle w:val="Heading2"/>
      </w:pPr>
      <w:bookmarkStart w:id="125" w:name="_Toc000125"/>
      <w:r>
        <w:rPr/>
        <w:t>6.3 Secure transfer and staging</w:t>
      </w:r>
      <w:bookmarkEnd w:id="125"/>
    </w:p>
    <w:p>
      <w:pPr>
        <w:tabs>
          <w:tab w:pos="312" w:val="left"/>
        </w:tabs>
        <w:spacing w:after="40"/>
        <w:ind w:left="312" w:hanging="283"/>
      </w:pPr>
      <w:r>
        <w:rPr>
          <w:color w:val="004EA8"/>
        </w:rPr>
        <w:t>•</w:t>
        <w:tab/>
      </w:r>
      <w:r>
        <w:rPr/>
        <w:t>Files are received through the Migration Console upload, or through an SFTP drop that BDOI IT and iorta TechNXT set up (a seam of the intake; DMQ28).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with the reason and the difference, and BDOI IT re-sends it.</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6" w:name="_Toc000126"/>
      <w:r>
        <w:rPr/>
        <w:t>6.4 Profiling</w:t>
      </w:r>
      <w:bookmarkEnd w:id="126"/>
    </w:p>
    <w:p>
      <w:r>
        <w:rPr/>
        <w:t>After the first full extract (M3, 29 January 2027) and after each trial migration,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27" w:name="_Toc000127"/>
      <w:r>
        <w:rPr/>
        <w:t>6.5 Cleansing: who fixes what</w:t>
      </w:r>
      <w:bookmarkEnd w:id="127"/>
    </w:p>
    <w:p>
      <w:r>
        <w:rPr/>
        <w:t>Cleansing is shared. BDOI owns the data and fixes it where it lives; iorta TechNXT fixes what is a matter of format or mapping.</w:t>
      </w:r>
    </w:p>
    <w:p>
      <w:pPr>
        <w:pStyle w:val="Caption"/>
        <w:keepNext/>
        <w:spacing w:after="60"/>
      </w:pPr>
      <w:r>
        <w:rPr>
          <w:b/>
          <w:i w:val="0"/>
        </w:rPr>
        <w:t xml:space="preserve">Table 15: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iorta TechNXT (extract layout or staging rule)</w:t>
            </w:r>
          </w:p>
        </w:tc>
        <w:tc>
          <w:tcPr>
            <w:tcW w:type="dxa" w:w="2042"/>
            <w:tcMar>
              <w:top w:w="50" w:type="dxa"/>
              <w:bottom w:w="50" w:type="dxa"/>
              <w:left w:w="90" w:type="dxa"/>
              <w:right w:w="90" w:type="dxa"/>
            </w:tcMar>
            <w:shd w:val="clear" w:color="auto" w:fill="E5F5FF"/>
          </w:tcPr>
          <w:p>
            <w:pPr>
              <w:pStyle w:val="BDOITable"/>
            </w:pPr>
            <w:r>
              <w:rPr>
                <w:sz w:val="17"/>
              </w:rPr>
              <w:t>Extract job or staging</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 (R3 section 8).</w:t>
      </w:r>
    </w:p>
    <w:p>
      <w:pPr>
        <w:pStyle w:val="Heading2"/>
      </w:pPr>
      <w:bookmarkStart w:id="128" w:name="_Toc000128"/>
      <w:r>
        <w:rPr/>
        <w:t>6.6 Mapping and code maps</w:t>
      </w:r>
      <w:bookmarkEnd w:id="128"/>
    </w:p>
    <w:p>
      <w:r>
        <w:rPr/>
        <w:t>Legacy codes are mapped to BIBS codes through code map sets, one per domain. Each set has versions: DRAFT, SUBMITTED, APPROVED, SUPERSEDED. The data steward prepares a version in the console or in the Excel template of the workbook and submits it; the business owner approves it (maker-checker). Each batch records the map versions it used, so every loaded value can be traced to the entry that produced it (BRID 3.1).</w:t>
      </w:r>
    </w:p>
    <w:p>
      <w:r>
        <w:rPr/>
        <w:t>An entry maps a legacy code to a BIBS code (MAP), to the default of the set (DEFAULT), rejects the rows that carry it (REJECT), or creates a new BIBS value (CREATE). CREATE values are created through the owning master (for example the LOV master or the insurer master) and authorised there before any dependent object loads.</w:t>
      </w:r>
    </w:p>
    <w:p>
      <w:pPr>
        <w:pStyle w:val="Caption"/>
        <w:keepNext/>
        <w:spacing w:after="60"/>
      </w:pPr>
      <w:r>
        <w:rPr>
          <w:b/>
          <w:i w:val="0"/>
        </w:rPr>
        <w:t xml:space="preserve">Table 16: </w:t>
      </w:r>
      <w:r>
        <w:rPr/>
        <w:t>Code map sets (BRID 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205"/>
        <w:gridCol w:w="204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Map set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What is mapped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BIBS master</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Approves</w:t>
            </w:r>
          </w:p>
        </w:tc>
      </w:tr>
      <w:tr>
        <w:trPr>
          <w:cantSplit w:val="true"/>
        </w:trPr>
        <w:tc>
          <w:tcPr>
            <w:tcW w:type="dxa" w:w="1682"/>
            <w:tcMar>
              <w:top w:w="50" w:type="dxa"/>
              <w:bottom w:w="50" w:type="dxa"/>
              <w:left w:w="90" w:type="dxa"/>
              <w:right w:w="90" w:type="dxa"/>
            </w:tcMar>
          </w:tcPr>
          <w:p>
            <w:pPr>
              <w:pStyle w:val="BDOITable"/>
            </w:pPr>
            <w:r>
              <w:rPr>
                <w:b/>
                <w:sz w:val="16"/>
              </w:rPr>
              <w:t>LOV:&lt;list&gt;</w:t>
            </w:r>
          </w:p>
        </w:tc>
        <w:tc>
          <w:tcPr>
            <w:tcW w:type="dxa" w:w="4205"/>
            <w:tcMar>
              <w:top w:w="50" w:type="dxa"/>
              <w:bottom w:w="50" w:type="dxa"/>
              <w:left w:w="90" w:type="dxa"/>
              <w:right w:w="90" w:type="dxa"/>
            </w:tcMar>
          </w:tcPr>
          <w:p>
            <w:pPr>
              <w:pStyle w:val="BDOITable"/>
            </w:pPr>
            <w:r>
              <w:rPr>
                <w:sz w:val="16"/>
              </w:rPr>
              <w:t>One set per legacy list (market segment, ID type, nationality, source of funds, KYC risk rating, account type, ...)</w:t>
            </w:r>
          </w:p>
        </w:tc>
        <w:tc>
          <w:tcPr>
            <w:tcW w:type="dxa" w:w="2042"/>
            <w:tcMar>
              <w:top w:w="50" w:type="dxa"/>
              <w:bottom w:w="50" w:type="dxa"/>
              <w:left w:w="90" w:type="dxa"/>
              <w:right w:w="90" w:type="dxa"/>
            </w:tcMar>
          </w:tcPr>
          <w:p>
            <w:pPr>
              <w:pStyle w:val="BDOITable"/>
            </w:pPr>
            <w:r>
              <w:rPr>
                <w:sz w:val="16"/>
              </w:rPr>
              <w:t>lov_value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MIS:&lt;field&gt;</w:t>
            </w:r>
          </w:p>
        </w:tc>
        <w:tc>
          <w:tcPr>
            <w:tcW w:type="dxa" w:w="4205"/>
            <w:tcMar>
              <w:top w:w="50" w:type="dxa"/>
              <w:bottom w:w="50" w:type="dxa"/>
              <w:left w:w="90" w:type="dxa"/>
              <w:right w:w="90" w:type="dxa"/>
            </w:tcMar>
            <w:shd w:val="clear" w:color="auto" w:fill="E5F5FF"/>
          </w:tcPr>
          <w:p>
            <w:pPr>
              <w:pStyle w:val="BDOITable"/>
            </w:pPr>
            <w:r>
              <w:rPr>
                <w:sz w:val="16"/>
              </w:rPr>
              <w:t>One set per MIS field (market segment, department, unit head, AO, region, area, branch, business origin, customer segment; umbrella p.40)</w:t>
            </w:r>
          </w:p>
        </w:tc>
        <w:tc>
          <w:tcPr>
            <w:tcW w:type="dxa" w:w="2042"/>
            <w:tcMar>
              <w:top w:w="50" w:type="dxa"/>
              <w:bottom w:w="50" w:type="dxa"/>
              <w:left w:w="90" w:type="dxa"/>
              <w:right w:w="90" w:type="dxa"/>
            </w:tcMar>
            <w:shd w:val="clear" w:color="auto" w:fill="E5F5FF"/>
          </w:tcPr>
          <w:p>
            <w:pPr>
              <w:pStyle w:val="BDOITable"/>
            </w:pPr>
            <w:r>
              <w:rPr>
                <w:sz w:val="16"/>
              </w:rPr>
              <w:t>MIS field catalogue (CR-W1)</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INSURER</w:t>
            </w:r>
          </w:p>
        </w:tc>
        <w:tc>
          <w:tcPr>
            <w:tcW w:type="dxa" w:w="4205"/>
            <w:tcMar>
              <w:top w:w="50" w:type="dxa"/>
              <w:bottom w:w="50" w:type="dxa"/>
              <w:left w:w="90" w:type="dxa"/>
              <w:right w:w="90" w:type="dxa"/>
            </w:tcMar>
          </w:tcPr>
          <w:p>
            <w:pPr>
              <w:pStyle w:val="BDOITable"/>
            </w:pPr>
            <w:r>
              <w:rPr>
                <w:sz w:val="16"/>
              </w:rPr>
              <w:t>Legacy insurer code to BIBS insurer</w:t>
            </w:r>
          </w:p>
        </w:tc>
        <w:tc>
          <w:tcPr>
            <w:tcW w:type="dxa" w:w="2042"/>
            <w:tcMar>
              <w:top w:w="50" w:type="dxa"/>
              <w:bottom w:w="50" w:type="dxa"/>
              <w:left w:w="90" w:type="dxa"/>
              <w:right w:w="90" w:type="dxa"/>
            </w:tcMar>
          </w:tcPr>
          <w:p>
            <w:pPr>
              <w:pStyle w:val="BDOITable"/>
            </w:pPr>
            <w:r>
              <w:rPr>
                <w:sz w:val="16"/>
              </w:rPr>
              <w:t>cat_insurer</w:t>
            </w:r>
          </w:p>
        </w:tc>
        <w:tc>
          <w:tcPr>
            <w:tcW w:type="dxa" w:w="2042"/>
            <w:tcMar>
              <w:top w:w="50" w:type="dxa"/>
              <w:bottom w:w="50" w:type="dxa"/>
              <w:left w:w="90" w:type="dxa"/>
              <w:right w:w="90" w:type="dxa"/>
            </w:tcMar>
          </w:tcPr>
          <w:p>
            <w:pPr>
              <w:pStyle w:val="BDOITable"/>
            </w:pPr>
            <w:r>
              <w:rPr>
                <w:sz w:val="16"/>
              </w:rPr>
              <w:t>Head, Operations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INSURER_BRANCH</w:t>
            </w:r>
          </w:p>
        </w:tc>
        <w:tc>
          <w:tcPr>
            <w:tcW w:type="dxa" w:w="4205"/>
            <w:tcMar>
              <w:top w:w="50" w:type="dxa"/>
              <w:bottom w:w="50" w:type="dxa"/>
              <w:left w:w="90" w:type="dxa"/>
              <w:right w:w="90" w:type="dxa"/>
            </w:tcMar>
            <w:shd w:val="clear" w:color="auto" w:fill="E5F5FF"/>
          </w:tcPr>
          <w:p>
            <w:pPr>
              <w:pStyle w:val="BDOITable"/>
            </w:pPr>
            <w:r>
              <w:rPr>
                <w:sz w:val="16"/>
              </w:rPr>
              <w:t>Legacy insurer branch to BIBS insurer branch</w:t>
            </w:r>
          </w:p>
        </w:tc>
        <w:tc>
          <w:tcPr>
            <w:tcW w:type="dxa" w:w="2042"/>
            <w:tcMar>
              <w:top w:w="50" w:type="dxa"/>
              <w:bottom w:w="50" w:type="dxa"/>
              <w:left w:w="90" w:type="dxa"/>
              <w:right w:w="90" w:type="dxa"/>
            </w:tcMar>
            <w:shd w:val="clear" w:color="auto" w:fill="E5F5FF"/>
          </w:tcPr>
          <w:p>
            <w:pPr>
              <w:pStyle w:val="BDOITable"/>
            </w:pPr>
            <w:r>
              <w:rPr>
                <w:sz w:val="16"/>
              </w:rPr>
              <w:t>cat_insurer_branch</w:t>
            </w:r>
          </w:p>
        </w:tc>
        <w:tc>
          <w:tcPr>
            <w:tcW w:type="dxa" w:w="204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1682"/>
            <w:tcMar>
              <w:top w:w="50" w:type="dxa"/>
              <w:bottom w:w="50" w:type="dxa"/>
              <w:left w:w="90" w:type="dxa"/>
              <w:right w:w="90" w:type="dxa"/>
            </w:tcMar>
          </w:tcPr>
          <w:p>
            <w:pPr>
              <w:pStyle w:val="BDOITable"/>
            </w:pPr>
            <w:r>
              <w:rPr>
                <w:b/>
                <w:sz w:val="16"/>
              </w:rPr>
              <w:t>LINE</w:t>
            </w:r>
          </w:p>
        </w:tc>
        <w:tc>
          <w:tcPr>
            <w:tcW w:type="dxa" w:w="4205"/>
            <w:tcMar>
              <w:top w:w="50" w:type="dxa"/>
              <w:bottom w:w="50" w:type="dxa"/>
              <w:left w:w="90" w:type="dxa"/>
              <w:right w:w="90" w:type="dxa"/>
            </w:tcMar>
          </w:tcPr>
          <w:p>
            <w:pPr>
              <w:pStyle w:val="BDOITable"/>
            </w:pPr>
            <w:r>
              <w:rPr>
                <w:sz w:val="16"/>
              </w:rPr>
              <w:t>Legacy line of business to BIBS product line</w:t>
            </w:r>
          </w:p>
        </w:tc>
        <w:tc>
          <w:tcPr>
            <w:tcW w:type="dxa" w:w="2042"/>
            <w:tcMar>
              <w:top w:w="50" w:type="dxa"/>
              <w:bottom w:w="50" w:type="dxa"/>
              <w:left w:w="90" w:type="dxa"/>
              <w:right w:w="90" w:type="dxa"/>
            </w:tcMar>
          </w:tcPr>
          <w:p>
            <w:pPr>
              <w:pStyle w:val="BDOITable"/>
            </w:pPr>
            <w:r>
              <w:rPr>
                <w:sz w:val="16"/>
              </w:rPr>
              <w:t>cat_product_line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COVER_TYPE</w:t>
            </w:r>
          </w:p>
        </w:tc>
        <w:tc>
          <w:tcPr>
            <w:tcW w:type="dxa" w:w="4205"/>
            <w:tcMar>
              <w:top w:w="50" w:type="dxa"/>
              <w:bottom w:w="50" w:type="dxa"/>
              <w:left w:w="90" w:type="dxa"/>
              <w:right w:w="90" w:type="dxa"/>
            </w:tcMar>
            <w:shd w:val="clear" w:color="auto" w:fill="E5F5FF"/>
          </w:tcPr>
          <w:p>
            <w:pPr>
              <w:pStyle w:val="BDOITable"/>
            </w:pPr>
            <w:r>
              <w:rPr>
                <w:sz w:val="16"/>
              </w:rPr>
              <w:t>Legacy cover type to BIBS cover type</w:t>
            </w:r>
          </w:p>
        </w:tc>
        <w:tc>
          <w:tcPr>
            <w:tcW w:type="dxa" w:w="2042"/>
            <w:tcMar>
              <w:top w:w="50" w:type="dxa"/>
              <w:bottom w:w="50" w:type="dxa"/>
              <w:left w:w="90" w:type="dxa"/>
              <w:right w:w="90" w:type="dxa"/>
            </w:tcMar>
            <w:shd w:val="clear" w:color="auto" w:fill="E5F5FF"/>
          </w:tcPr>
          <w:p>
            <w:pPr>
              <w:pStyle w:val="BDOITable"/>
            </w:pPr>
            <w:r>
              <w:rPr>
                <w:sz w:val="16"/>
              </w:rPr>
              <w:t>cat_cover_type</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PRODUCT</w:t>
            </w:r>
          </w:p>
        </w:tc>
        <w:tc>
          <w:tcPr>
            <w:tcW w:type="dxa" w:w="4205"/>
            <w:tcMar>
              <w:top w:w="50" w:type="dxa"/>
              <w:bottom w:w="50" w:type="dxa"/>
              <w:left w:w="90" w:type="dxa"/>
              <w:right w:w="90" w:type="dxa"/>
            </w:tcMar>
          </w:tcPr>
          <w:p>
            <w:pPr>
              <w:pStyle w:val="BDOITable"/>
            </w:pPr>
            <w:r>
              <w:rPr>
                <w:sz w:val="16"/>
              </w:rPr>
              <w:t>Legacy product / risk code to BIBS product code</w:t>
            </w:r>
          </w:p>
        </w:tc>
        <w:tc>
          <w:tcPr>
            <w:tcW w:type="dxa" w:w="2042"/>
            <w:tcMar>
              <w:top w:w="50" w:type="dxa"/>
              <w:bottom w:w="50" w:type="dxa"/>
              <w:left w:w="90" w:type="dxa"/>
              <w:right w:w="90" w:type="dxa"/>
            </w:tcMar>
          </w:tcPr>
          <w:p>
            <w:pPr>
              <w:pStyle w:val="BDOITable"/>
            </w:pPr>
            <w:r>
              <w:rPr>
                <w:sz w:val="16"/>
              </w:rPr>
              <w:t>cat_product</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PACKAGE</w:t>
            </w:r>
          </w:p>
        </w:tc>
        <w:tc>
          <w:tcPr>
            <w:tcW w:type="dxa" w:w="4205"/>
            <w:tcMar>
              <w:top w:w="50" w:type="dxa"/>
              <w:bottom w:w="50" w:type="dxa"/>
              <w:left w:w="90" w:type="dxa"/>
              <w:right w:w="90" w:type="dxa"/>
            </w:tcMar>
            <w:shd w:val="clear" w:color="auto" w:fill="E5F5FF"/>
          </w:tcPr>
          <w:p>
            <w:pPr>
              <w:pStyle w:val="BDOITable"/>
            </w:pPr>
            <w:r>
              <w:rPr>
                <w:sz w:val="16"/>
              </w:rPr>
              <w:t>Legacy package and version to the BIBS package version maintained by TSU; conditional entries (risk code, insurer, sum-insured band) where one legacy package splits. Loaded as reference data (R06) for the Renewal sanitation check PACKAGE_REMAP; not applied at intake (DMQ36)</w:t>
            </w:r>
          </w:p>
        </w:tc>
        <w:tc>
          <w:tcPr>
            <w:tcW w:type="dxa" w:w="2042"/>
            <w:tcMar>
              <w:top w:w="50" w:type="dxa"/>
              <w:bottom w:w="50" w:type="dxa"/>
              <w:left w:w="90" w:type="dxa"/>
              <w:right w:w="90" w:type="dxa"/>
            </w:tcMar>
            <w:shd w:val="clear" w:color="auto" w:fill="E5F5FF"/>
          </w:tcPr>
          <w:p>
            <w:pPr>
              <w:pStyle w:val="BDOITable"/>
            </w:pPr>
            <w:r>
              <w:rPr>
                <w:sz w:val="16"/>
              </w:rPr>
              <w:t>Renewal package map (cat_product_version)</w:t>
            </w:r>
          </w:p>
        </w:tc>
        <w:tc>
          <w:tcPr>
            <w:tcW w:type="dxa" w:w="2042"/>
            <w:tcMar>
              <w:top w:w="50" w:type="dxa"/>
              <w:bottom w:w="50" w:type="dxa"/>
              <w:left w:w="90" w:type="dxa"/>
              <w:right w:w="90" w:type="dxa"/>
            </w:tcMar>
            <w:shd w:val="clear" w:color="auto" w:fill="E5F5FF"/>
          </w:tcPr>
          <w:p>
            <w:pPr>
              <w:pStyle w:val="BDOITable"/>
            </w:pPr>
            <w:r>
              <w:rPr>
                <w:sz w:val="16"/>
              </w:rPr>
              <w:t>Product Owner, MBS (approves)</w:t>
            </w:r>
          </w:p>
        </w:tc>
      </w:tr>
      <w:tr>
        <w:trPr>
          <w:cantSplit w:val="true"/>
        </w:trPr>
        <w:tc>
          <w:tcPr>
            <w:tcW w:type="dxa" w:w="1682"/>
            <w:tcMar>
              <w:top w:w="50" w:type="dxa"/>
              <w:bottom w:w="50" w:type="dxa"/>
              <w:left w:w="90" w:type="dxa"/>
              <w:right w:w="90" w:type="dxa"/>
            </w:tcMar>
          </w:tcPr>
          <w:p>
            <w:pPr>
              <w:pStyle w:val="BDOITable"/>
            </w:pPr>
            <w:r>
              <w:rPr>
                <w:b/>
                <w:sz w:val="16"/>
              </w:rPr>
              <w:t>BRANCH</w:t>
            </w:r>
          </w:p>
        </w:tc>
        <w:tc>
          <w:tcPr>
            <w:tcW w:type="dxa" w:w="4205"/>
            <w:tcMar>
              <w:top w:w="50" w:type="dxa"/>
              <w:bottom w:w="50" w:type="dxa"/>
              <w:left w:w="90" w:type="dxa"/>
              <w:right w:w="90" w:type="dxa"/>
            </w:tcMar>
          </w:tcPr>
          <w:p>
            <w:pPr>
              <w:pStyle w:val="BDOITable"/>
            </w:pPr>
            <w:r>
              <w:rPr>
                <w:sz w:val="16"/>
              </w:rPr>
              <w:t>Legacy branch to BIBS branch</w:t>
            </w:r>
          </w:p>
        </w:tc>
        <w:tc>
          <w:tcPr>
            <w:tcW w:type="dxa" w:w="2042"/>
            <w:tcMar>
              <w:top w:w="50" w:type="dxa"/>
              <w:bottom w:w="50" w:type="dxa"/>
              <w:left w:w="90" w:type="dxa"/>
              <w:right w:w="90" w:type="dxa"/>
            </w:tcMar>
          </w:tcPr>
          <w:p>
            <w:pPr>
              <w:pStyle w:val="BDOITable"/>
            </w:pPr>
            <w:r>
              <w:rPr>
                <w:sz w:val="16"/>
              </w:rPr>
              <w:t>org_branch</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SALES_UNIT</w:t>
            </w:r>
          </w:p>
        </w:tc>
        <w:tc>
          <w:tcPr>
            <w:tcW w:type="dxa" w:w="4205"/>
            <w:tcMar>
              <w:top w:w="50" w:type="dxa"/>
              <w:bottom w:w="50" w:type="dxa"/>
              <w:left w:w="90" w:type="dxa"/>
              <w:right w:w="90" w:type="dxa"/>
            </w:tcMar>
            <w:shd w:val="clear" w:color="auto" w:fill="E5F5FF"/>
          </w:tcPr>
          <w:p>
            <w:pPr>
              <w:pStyle w:val="BDOITable"/>
            </w:pPr>
            <w:r>
              <w:rPr>
                <w:sz w:val="16"/>
              </w:rPr>
              <w:t>Legacy region, department and team to BIBS sales unit</w:t>
            </w:r>
          </w:p>
        </w:tc>
        <w:tc>
          <w:tcPr>
            <w:tcW w:type="dxa" w:w="2042"/>
            <w:tcMar>
              <w:top w:w="50" w:type="dxa"/>
              <w:bottom w:w="50" w:type="dxa"/>
              <w:left w:w="90" w:type="dxa"/>
              <w:right w:w="90" w:type="dxa"/>
            </w:tcMar>
            <w:shd w:val="clear" w:color="auto" w:fill="E5F5FF"/>
          </w:tcPr>
          <w:p>
            <w:pPr>
              <w:pStyle w:val="BDOITable"/>
            </w:pPr>
            <w:r>
              <w:rPr>
                <w:sz w:val="16"/>
              </w:rPr>
              <w:t>cat_sales_unit</w:t>
            </w:r>
          </w:p>
        </w:tc>
        <w:tc>
          <w:tcPr>
            <w:tcW w:type="dxa" w:w="204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tcPr>
          <w:p>
            <w:pPr>
              <w:pStyle w:val="BDOITable"/>
            </w:pPr>
            <w:r>
              <w:rPr>
                <w:b/>
                <w:sz w:val="16"/>
              </w:rPr>
              <w:t>AO</w:t>
            </w:r>
          </w:p>
        </w:tc>
        <w:tc>
          <w:tcPr>
            <w:tcW w:type="dxa" w:w="4205"/>
            <w:tcMar>
              <w:top w:w="50" w:type="dxa"/>
              <w:bottom w:w="50" w:type="dxa"/>
              <w:left w:w="90" w:type="dxa"/>
              <w:right w:w="90" w:type="dxa"/>
            </w:tcMar>
          </w:tcPr>
          <w:p>
            <w:pPr>
              <w:pStyle w:val="BDOITable"/>
            </w:pPr>
            <w:r>
              <w:rPr>
                <w:sz w:val="16"/>
              </w:rPr>
              <w:t>Legacy AO code to BIBS account officer</w:t>
            </w:r>
          </w:p>
        </w:tc>
        <w:tc>
          <w:tcPr>
            <w:tcW w:type="dxa" w:w="2042"/>
            <w:tcMar>
              <w:top w:w="50" w:type="dxa"/>
              <w:bottom w:w="50" w:type="dxa"/>
              <w:left w:w="90" w:type="dxa"/>
              <w:right w:w="90" w:type="dxa"/>
            </w:tcMar>
          </w:tcPr>
          <w:p>
            <w:pPr>
              <w:pStyle w:val="BDOITable"/>
            </w:pPr>
            <w:r>
              <w:rPr>
                <w:sz w:val="16"/>
              </w:rPr>
              <w:t>cat_sales_officer</w:t>
            </w:r>
          </w:p>
        </w:tc>
        <w:tc>
          <w:tcPr>
            <w:tcW w:type="dxa" w:w="2042"/>
            <w:tcMar>
              <w:top w:w="50" w:type="dxa"/>
              <w:bottom w:w="50" w:type="dxa"/>
              <w:left w:w="90" w:type="dxa"/>
              <w:right w:w="90" w:type="dxa"/>
            </w:tcMar>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USER</w:t>
            </w:r>
          </w:p>
        </w:tc>
        <w:tc>
          <w:tcPr>
            <w:tcW w:type="dxa" w:w="4205"/>
            <w:tcMar>
              <w:top w:w="50" w:type="dxa"/>
              <w:bottom w:w="50" w:type="dxa"/>
              <w:left w:w="90" w:type="dxa"/>
              <w:right w:w="90" w:type="dxa"/>
            </w:tcMar>
            <w:shd w:val="clear" w:color="auto" w:fill="E5F5FF"/>
          </w:tcPr>
          <w:p>
            <w:pPr>
              <w:pStyle w:val="BDOITable"/>
            </w:pPr>
            <w:r>
              <w:rPr>
                <w:sz w:val="16"/>
              </w:rPr>
              <w:t>Legacy user ID to BIBS username (AO, handler, collector, requester)</w:t>
            </w:r>
          </w:p>
        </w:tc>
        <w:tc>
          <w:tcPr>
            <w:tcW w:type="dxa" w:w="2042"/>
            <w:tcMar>
              <w:top w:w="50" w:type="dxa"/>
              <w:bottom w:w="50" w:type="dxa"/>
              <w:left w:w="90" w:type="dxa"/>
              <w:right w:w="90" w:type="dxa"/>
            </w:tcMar>
            <w:shd w:val="clear" w:color="auto" w:fill="E5F5FF"/>
          </w:tcPr>
          <w:p>
            <w:pPr>
              <w:pStyle w:val="BDOITable"/>
            </w:pPr>
            <w:r>
              <w:rPr>
                <w:sz w:val="16"/>
              </w:rPr>
              <w:t>BIBS users (User Access)</w:t>
            </w:r>
          </w:p>
        </w:tc>
        <w:tc>
          <w:tcPr>
            <w:tcW w:type="dxa" w:w="2042"/>
            <w:tcMar>
              <w:top w:w="50" w:type="dxa"/>
              <w:bottom w:w="50" w:type="dxa"/>
              <w:left w:w="90" w:type="dxa"/>
              <w:right w:w="90" w:type="dxa"/>
            </w:tcMar>
            <w:shd w:val="clear" w:color="auto" w:fill="E5F5FF"/>
          </w:tcPr>
          <w:p>
            <w:pPr>
              <w:pStyle w:val="BDOITable"/>
            </w:pPr>
            <w:r>
              <w:rPr>
                <w:sz w:val="16"/>
              </w:rPr>
              <w:t>Unit Head, Analytics and Risk Management</w:t>
            </w:r>
          </w:p>
        </w:tc>
      </w:tr>
      <w:tr>
        <w:trPr>
          <w:cantSplit w:val="true"/>
        </w:trPr>
        <w:tc>
          <w:tcPr>
            <w:tcW w:type="dxa" w:w="1682"/>
            <w:tcMar>
              <w:top w:w="50" w:type="dxa"/>
              <w:bottom w:w="50" w:type="dxa"/>
              <w:left w:w="90" w:type="dxa"/>
              <w:right w:w="90" w:type="dxa"/>
            </w:tcMar>
          </w:tcPr>
          <w:p>
            <w:pPr>
              <w:pStyle w:val="BDOITable"/>
            </w:pPr>
            <w:r>
              <w:rPr>
                <w:b/>
                <w:sz w:val="16"/>
              </w:rPr>
              <w:t>COST_CENTER</w:t>
            </w:r>
          </w:p>
        </w:tc>
        <w:tc>
          <w:tcPr>
            <w:tcW w:type="dxa" w:w="4205"/>
            <w:tcMar>
              <w:top w:w="50" w:type="dxa"/>
              <w:bottom w:w="50" w:type="dxa"/>
              <w:left w:w="90" w:type="dxa"/>
              <w:right w:w="90" w:type="dxa"/>
            </w:tcMar>
          </w:tcPr>
          <w:p>
            <w:pPr>
              <w:pStyle w:val="BDOITable"/>
            </w:pPr>
            <w:r>
              <w:rPr>
                <w:sz w:val="16"/>
              </w:rPr>
              <w:t>Legacy cost centre to BIBS cost centre</w:t>
            </w:r>
          </w:p>
        </w:tc>
        <w:tc>
          <w:tcPr>
            <w:tcW w:type="dxa" w:w="2042"/>
            <w:tcMar>
              <w:top w:w="50" w:type="dxa"/>
              <w:bottom w:w="50" w:type="dxa"/>
              <w:left w:w="90" w:type="dxa"/>
              <w:right w:w="90" w:type="dxa"/>
            </w:tcMar>
          </w:tcPr>
          <w:p>
            <w:pPr>
              <w:pStyle w:val="BDOITable"/>
            </w:pPr>
            <w:r>
              <w:rPr>
                <w:sz w:val="16"/>
              </w:rPr>
              <w:t>Cost centre master</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GL_ACCOUNT</w:t>
            </w:r>
          </w:p>
        </w:tc>
        <w:tc>
          <w:tcPr>
            <w:tcW w:type="dxa" w:w="4205"/>
            <w:tcMar>
              <w:top w:w="50" w:type="dxa"/>
              <w:bottom w:w="50" w:type="dxa"/>
              <w:left w:w="90" w:type="dxa"/>
              <w:right w:w="90" w:type="dxa"/>
            </w:tcMar>
            <w:shd w:val="clear" w:color="auto" w:fill="E5F5FF"/>
          </w:tcPr>
          <w:p>
            <w:pPr>
              <w:pStyle w:val="BDOITable"/>
            </w:pPr>
            <w:r>
              <w:rPr>
                <w:sz w:val="16"/>
              </w:rPr>
              <w:t>Legacy GL account to BIBS account (legacy control accounts to Migration Clearing; lines on P&amp;L accounts post to retained earnings in the opening and the true-ups)</w:t>
            </w:r>
          </w:p>
        </w:tc>
        <w:tc>
          <w:tcPr>
            <w:tcW w:type="dxa" w:w="2042"/>
            <w:tcMar>
              <w:top w:w="50" w:type="dxa"/>
              <w:bottom w:w="50" w:type="dxa"/>
              <w:left w:w="90" w:type="dxa"/>
              <w:right w:w="90" w:type="dxa"/>
            </w:tcMar>
            <w:shd w:val="clear" w:color="auto" w:fill="E5F5FF"/>
          </w:tcPr>
          <w:p>
            <w:pPr>
              <w:pStyle w:val="BDOITable"/>
            </w:pPr>
            <w:r>
              <w:rPr>
                <w:sz w:val="16"/>
              </w:rPr>
              <w:t>coa_account</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BANK</w:t>
            </w:r>
          </w:p>
        </w:tc>
        <w:tc>
          <w:tcPr>
            <w:tcW w:type="dxa" w:w="4205"/>
            <w:tcMar>
              <w:top w:w="50" w:type="dxa"/>
              <w:bottom w:w="50" w:type="dxa"/>
              <w:left w:w="90" w:type="dxa"/>
              <w:right w:w="90" w:type="dxa"/>
            </w:tcMar>
          </w:tcPr>
          <w:p>
            <w:pPr>
              <w:pStyle w:val="BDOITable"/>
            </w:pPr>
            <w:r>
              <w:rPr>
                <w:sz w:val="16"/>
              </w:rPr>
              <w:t>Legacy bank code to BIBS bank list</w:t>
            </w:r>
          </w:p>
        </w:tc>
        <w:tc>
          <w:tcPr>
            <w:tcW w:type="dxa" w:w="2042"/>
            <w:tcMar>
              <w:top w:w="50" w:type="dxa"/>
              <w:bottom w:w="50" w:type="dxa"/>
              <w:left w:w="90" w:type="dxa"/>
              <w:right w:w="90" w:type="dxa"/>
            </w:tcMar>
          </w:tcPr>
          <w:p>
            <w:pPr>
              <w:pStyle w:val="BDOITable"/>
            </w:pPr>
            <w:r>
              <w:rPr>
                <w:sz w:val="16"/>
              </w:rPr>
              <w:t>Bank list (LOV)</w:t>
            </w:r>
          </w:p>
        </w:tc>
        <w:tc>
          <w:tcPr>
            <w:tcW w:type="dxa" w:w="2042"/>
            <w:tcMar>
              <w:top w:w="50" w:type="dxa"/>
              <w:bottom w:w="50" w:type="dxa"/>
              <w:left w:w="90" w:type="dxa"/>
              <w:right w:w="90" w:type="dxa"/>
            </w:tcMar>
          </w:tcPr>
          <w:p>
            <w:pPr>
              <w:pStyle w:val="BDOITable"/>
            </w:pPr>
            <w:r>
              <w:rPr>
                <w:sz w:val="16"/>
              </w:rPr>
              <w:t>Product Owner, Comptrollership - Disbursement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CURRENCY</w:t>
            </w:r>
          </w:p>
        </w:tc>
        <w:tc>
          <w:tcPr>
            <w:tcW w:type="dxa" w:w="4205"/>
            <w:tcMar>
              <w:top w:w="50" w:type="dxa"/>
              <w:bottom w:w="50" w:type="dxa"/>
              <w:left w:w="90" w:type="dxa"/>
              <w:right w:w="90" w:type="dxa"/>
            </w:tcMar>
            <w:shd w:val="clear" w:color="auto" w:fill="E5F5FF"/>
          </w:tcPr>
          <w:p>
            <w:pPr>
              <w:pStyle w:val="BDOITable"/>
            </w:pPr>
            <w:r>
              <w:rPr>
                <w:sz w:val="16"/>
              </w:rPr>
              <w:t>Legacy currency code to ISO 4217</w:t>
            </w:r>
          </w:p>
        </w:tc>
        <w:tc>
          <w:tcPr>
            <w:tcW w:type="dxa" w:w="2042"/>
            <w:tcMar>
              <w:top w:w="50" w:type="dxa"/>
              <w:bottom w:w="50" w:type="dxa"/>
              <w:left w:w="90" w:type="dxa"/>
              <w:right w:w="90" w:type="dxa"/>
            </w:tcMar>
            <w:shd w:val="clear" w:color="auto" w:fill="E5F5FF"/>
          </w:tcPr>
          <w:p>
            <w:pPr>
              <w:pStyle w:val="BDOITable"/>
            </w:pPr>
            <w:r>
              <w:rPr>
                <w:sz w:val="16"/>
              </w:rPr>
              <w:t>Currency master</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STATUS:&lt;object&gt;</w:t>
            </w:r>
          </w:p>
        </w:tc>
        <w:tc>
          <w:tcPr>
            <w:tcW w:type="dxa" w:w="4205"/>
            <w:tcMar>
              <w:top w:w="50" w:type="dxa"/>
              <w:bottom w:w="50" w:type="dxa"/>
              <w:left w:w="90" w:type="dxa"/>
              <w:right w:w="90" w:type="dxa"/>
            </w:tcMar>
          </w:tcPr>
          <w:p>
            <w:pPr>
              <w:pStyle w:val="BDOITable"/>
            </w:pPr>
            <w:r>
              <w:rPr>
                <w:sz w:val="16"/>
              </w:rPr>
              <w:t>Legacy statuses per object to BIBS statuses (CLIENT, KYC, INSURER, PRODUCT, POLICY, UPP, REMITTANCE, PDC)</w:t>
            </w:r>
          </w:p>
        </w:tc>
        <w:tc>
          <w:tcPr>
            <w:tcW w:type="dxa" w:w="2042"/>
            <w:tcMar>
              <w:top w:w="50" w:type="dxa"/>
              <w:bottom w:w="50" w:type="dxa"/>
              <w:left w:w="90" w:type="dxa"/>
              <w:right w:w="90" w:type="dxa"/>
            </w:tcMar>
          </w:tcPr>
          <w:p>
            <w:pPr>
              <w:pStyle w:val="BDOITable"/>
            </w:pPr>
            <w:r>
              <w:rPr>
                <w:sz w:val="16"/>
              </w:rPr>
              <w:t>Status of the target record</w:t>
            </w:r>
          </w:p>
        </w:tc>
        <w:tc>
          <w:tcPr>
            <w:tcW w:type="dxa" w:w="2042"/>
            <w:tcMar>
              <w:top w:w="50" w:type="dxa"/>
              <w:bottom w:w="50" w:type="dxa"/>
              <w:left w:w="90" w:type="dxa"/>
              <w:right w:w="90" w:type="dxa"/>
            </w:tcMar>
          </w:tcPr>
          <w:p>
            <w:pPr>
              <w:pStyle w:val="BDOITable"/>
            </w:pPr>
            <w:r>
              <w:rPr>
                <w:sz w:val="16"/>
              </w:rPr>
              <w:t>Owner of the object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DISPOSITION_TYPE</w:t>
            </w:r>
          </w:p>
        </w:tc>
        <w:tc>
          <w:tcPr>
            <w:tcW w:type="dxa" w:w="4205"/>
            <w:tcMar>
              <w:top w:w="50" w:type="dxa"/>
              <w:bottom w:w="50" w:type="dxa"/>
              <w:left w:w="90" w:type="dxa"/>
              <w:right w:w="90" w:type="dxa"/>
            </w:tcMar>
            <w:shd w:val="clear" w:color="auto" w:fill="E5F5FF"/>
          </w:tcPr>
          <w:p>
            <w:pPr>
              <w:pStyle w:val="BDOITable"/>
            </w:pPr>
            <w:r>
              <w:rPr>
                <w:sz w:val="16"/>
              </w:rPr>
              <w:t>Legacy UPP disposition types to BIBS disposition types</w:t>
            </w:r>
          </w:p>
        </w:tc>
        <w:tc>
          <w:tcPr>
            <w:tcW w:type="dxa" w:w="2042"/>
            <w:tcMar>
              <w:top w:w="50" w:type="dxa"/>
              <w:bottom w:w="50" w:type="dxa"/>
              <w:left w:w="90" w:type="dxa"/>
              <w:right w:w="90" w:type="dxa"/>
            </w:tcMar>
            <w:shd w:val="clear" w:color="auto" w:fill="E5F5FF"/>
          </w:tcPr>
          <w:p>
            <w:pPr>
              <w:pStyle w:val="BDOITable"/>
            </w:pPr>
            <w:r>
              <w:rPr>
                <w:sz w:val="16"/>
              </w:rPr>
              <w:t>csh_disposition_type_rule</w:t>
            </w:r>
          </w:p>
        </w:tc>
        <w:tc>
          <w:tcPr>
            <w:tcW w:type="dxa" w:w="204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682"/>
            <w:tcMar>
              <w:top w:w="50" w:type="dxa"/>
              <w:bottom w:w="50" w:type="dxa"/>
              <w:left w:w="90" w:type="dxa"/>
              <w:right w:w="90" w:type="dxa"/>
            </w:tcMar>
          </w:tcPr>
          <w:p>
            <w:pPr>
              <w:pStyle w:val="BDOITable"/>
            </w:pPr>
            <w:r>
              <w:rPr>
                <w:b/>
                <w:sz w:val="16"/>
              </w:rPr>
              <w:t>DISPOSITION_CLX</w:t>
            </w:r>
          </w:p>
        </w:tc>
        <w:tc>
          <w:tcPr>
            <w:tcW w:type="dxa" w:w="4205"/>
            <w:tcMar>
              <w:top w:w="50" w:type="dxa"/>
              <w:bottom w:w="50" w:type="dxa"/>
              <w:left w:w="90" w:type="dxa"/>
              <w:right w:w="90" w:type="dxa"/>
            </w:tcMar>
          </w:tcPr>
          <w:p>
            <w:pPr>
              <w:pStyle w:val="BDOITable"/>
            </w:pPr>
            <w:r>
              <w:rPr>
                <w:sz w:val="16"/>
              </w:rPr>
              <w:t>Legacy collection dispositions to BIBS collection dispositions</w:t>
            </w:r>
          </w:p>
        </w:tc>
        <w:tc>
          <w:tcPr>
            <w:tcW w:type="dxa" w:w="2042"/>
            <w:tcMar>
              <w:top w:w="50" w:type="dxa"/>
              <w:bottom w:w="50" w:type="dxa"/>
              <w:left w:w="90" w:type="dxa"/>
              <w:right w:w="90" w:type="dxa"/>
            </w:tcMar>
          </w:tcPr>
          <w:p>
            <w:pPr>
              <w:pStyle w:val="BDOITable"/>
            </w:pPr>
            <w:r>
              <w:rPr>
                <w:sz w:val="16"/>
              </w:rPr>
              <w:t>Collections disposition list</w:t>
            </w:r>
          </w:p>
        </w:tc>
        <w:tc>
          <w:tcPr>
            <w:tcW w:type="dxa" w:w="2042"/>
            <w:tcMar>
              <w:top w:w="50" w:type="dxa"/>
              <w:bottom w:w="50" w:type="dxa"/>
              <w:left w:w="90" w:type="dxa"/>
              <w:right w:w="90" w:type="dxa"/>
            </w:tcMar>
          </w:tcPr>
          <w:p>
            <w:pPr>
              <w:pStyle w:val="BDOITable"/>
            </w:pPr>
            <w:r>
              <w:rPr>
                <w:sz w:val="16"/>
              </w:rPr>
              <w:t>Head, Operations (Collections)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DOCUMENT_TYPE</w:t>
            </w:r>
          </w:p>
        </w:tc>
        <w:tc>
          <w:tcPr>
            <w:tcW w:type="dxa" w:w="4205"/>
            <w:tcMar>
              <w:top w:w="50" w:type="dxa"/>
              <w:bottom w:w="50" w:type="dxa"/>
              <w:left w:w="90" w:type="dxa"/>
              <w:right w:w="90" w:type="dxa"/>
            </w:tcMar>
            <w:shd w:val="clear" w:color="auto" w:fill="E5F5FF"/>
          </w:tcPr>
          <w:p>
            <w:pPr>
              <w:pStyle w:val="BDOITable"/>
            </w:pPr>
            <w:r>
              <w:rPr>
                <w:sz w:val="16"/>
              </w:rPr>
              <w:t>Legacy document types to archive document types</w:t>
            </w:r>
          </w:p>
        </w:tc>
        <w:tc>
          <w:tcPr>
            <w:tcW w:type="dxa" w:w="2042"/>
            <w:tcMar>
              <w:top w:w="50" w:type="dxa"/>
              <w:bottom w:w="50" w:type="dxa"/>
              <w:left w:w="90" w:type="dxa"/>
              <w:right w:w="90" w:type="dxa"/>
            </w:tcMar>
            <w:shd w:val="clear" w:color="auto" w:fill="E5F5FF"/>
          </w:tcPr>
          <w:p>
            <w:pPr>
              <w:pStyle w:val="BDOITable"/>
            </w:pPr>
            <w:r>
              <w:rPr>
                <w:sz w:val="16"/>
              </w:rPr>
              <w:t>attachment document types</w:t>
            </w:r>
          </w:p>
        </w:tc>
        <w:tc>
          <w:tcPr>
            <w:tcW w:type="dxa" w:w="2042"/>
            <w:tcMar>
              <w:top w:w="50" w:type="dxa"/>
              <w:bottom w:w="50" w:type="dxa"/>
              <w:left w:w="90" w:type="dxa"/>
              <w:right w:w="90" w:type="dxa"/>
            </w:tcMar>
            <w:shd w:val="clear" w:color="auto" w:fill="E5F5FF"/>
          </w:tcPr>
          <w:p>
            <w:pPr>
              <w:pStyle w:val="BDOITable"/>
            </w:pPr>
            <w:r>
              <w:rPr>
                <w:sz w:val="16"/>
              </w:rPr>
              <w:t>Compliance</w:t>
            </w:r>
          </w:p>
        </w:tc>
      </w:tr>
    </w:tbl>
    <w:p>
      <w:pPr>
        <w:pStyle w:val="BDOISpacer"/>
      </w:pPr>
    </w:p>
    <w:p>
      <w:pPr>
        <w:pStyle w:val="Heading3"/>
      </w:pPr>
      <w:bookmarkStart w:id="129" w:name="_Toc000129"/>
      <w:r>
        <w:rPr/>
        <w:t>6.6.1 Package remapping</w:t>
      </w:r>
      <w:bookmarkEnd w:id="129"/>
    </w:p>
    <w:p>
      <w:r>
        <w:rPr/>
        <w:t xml:space="preserve">Legacy packages (QPS package code and version) must map to the package names that TSU maintains in BIBS (BRD-3). BDOI decided on 26 September 2026 that the remapping happens </w:t>
      </w:r>
      <w:r>
        <w:rPr>
          <w:b/>
        </w:rPr>
        <w:t>at sanitation in Renewal</w:t>
      </w:r>
      <w:r>
        <w:rPr/>
        <w:t>, per renewal candidate, and not in the migration intake (DMQ36, register DCR-241). The concept paper had left "during upload processing or during sanitation" open (R10 p.2, Annex B, Annex C).</w:t>
      </w:r>
    </w:p>
    <w:p>
      <w:pPr>
        <w:pStyle w:val="Caption"/>
        <w:keepNext/>
        <w:spacing w:after="60"/>
      </w:pPr>
      <w:r>
        <w:rPr>
          <w:b/>
          <w:i w:val="0"/>
        </w:rPr>
        <w:t xml:space="preserve">Table 17: </w:t>
      </w:r>
      <w:r>
        <w:rPr/>
        <w:t>Package remapping (DMQ36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Where</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What happens</w:t>
            </w:r>
          </w:p>
        </w:tc>
      </w:tr>
      <w:tr>
        <w:trPr>
          <w:cantSplit w:val="true"/>
        </w:trPr>
        <w:tc>
          <w:tcPr>
            <w:tcW w:type="dxa" w:w="1922"/>
            <w:tcMar>
              <w:top w:w="50" w:type="dxa"/>
              <w:bottom w:w="50" w:type="dxa"/>
              <w:left w:w="90" w:type="dxa"/>
              <w:right w:w="90" w:type="dxa"/>
            </w:tcMar>
          </w:tcPr>
          <w:p>
            <w:pPr>
              <w:pStyle w:val="BDOITable"/>
            </w:pPr>
            <w:r>
              <w:rPr>
                <w:sz w:val="17"/>
              </w:rPr>
              <w:t>Migration</w:t>
            </w:r>
          </w:p>
        </w:tc>
        <w:tc>
          <w:tcPr>
            <w:tcW w:type="dxa" w:w="8050"/>
            <w:tcMar>
              <w:top w:w="50" w:type="dxa"/>
              <w:bottom w:w="50" w:type="dxa"/>
              <w:left w:w="90" w:type="dxa"/>
              <w:right w:w="90" w:type="dxa"/>
            </w:tcMar>
          </w:tcPr>
          <w:p>
            <w:pPr>
              <w:pStyle w:val="BDOITable"/>
            </w:pPr>
            <w:r>
              <w:rPr>
                <w:sz w:val="17"/>
              </w:rPr>
              <w:t>Loads the PACKAGE code map as reference data (object R06): entries from a legacy package and version to a BIBS package version, with conditional entries where one legacy package splits (by risk code, insurer or sum-insured band). TSU prepares each version and the Product Owner of Marketing Business System approves it (G2). Policy headers (P01) and the RA-sent file (P03) keep the legacy package as given; no package is resolved, rejected or warned at intake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Renewal sanitation</w:t>
            </w:r>
          </w:p>
        </w:tc>
        <w:tc>
          <w:tcPr>
            <w:tcW w:type="dxa" w:w="8050"/>
            <w:tcMar>
              <w:top w:w="50" w:type="dxa"/>
              <w:bottom w:w="50" w:type="dxa"/>
              <w:left w:w="90" w:type="dxa"/>
              <w:right w:w="90" w:type="dxa"/>
            </w:tcMar>
            <w:shd w:val="clear" w:color="auto" w:fill="E5F5FF"/>
          </w:tcPr>
          <w:p>
            <w:pPr>
              <w:pStyle w:val="BDOITable"/>
            </w:pPr>
            <w:r>
              <w:rPr>
                <w:sz w:val="17"/>
              </w:rPr>
              <w:t>The Renewal check PACKAGE_REMAP resolves the BIBS package of each candidate through the map. A package without an entry, with a REJECT entry or with no matching qualifier sends the candidate to the Exception bucket</w:t>
            </w:r>
          </w:p>
        </w:tc>
      </w:tr>
      <w:tr>
        <w:trPr>
          <w:cantSplit w:val="true"/>
        </w:trPr>
        <w:tc>
          <w:tcPr>
            <w:tcW w:type="dxa" w:w="1922"/>
            <w:tcMar>
              <w:top w:w="50" w:type="dxa"/>
              <w:bottom w:w="50" w:type="dxa"/>
              <w:left w:w="90" w:type="dxa"/>
              <w:right w:w="90" w:type="dxa"/>
            </w:tcMar>
          </w:tcPr>
          <w:p>
            <w:pPr>
              <w:pStyle w:val="BDOITable"/>
            </w:pPr>
            <w:r>
              <w:rPr>
                <w:sz w:val="17"/>
              </w:rPr>
              <w:t>Exception bucket</w:t>
            </w:r>
          </w:p>
        </w:tc>
        <w:tc>
          <w:tcPr>
            <w:tcW w:type="dxa" w:w="8050"/>
            <w:tcMar>
              <w:top w:w="50" w:type="dxa"/>
              <w:bottom w:w="50" w:type="dxa"/>
              <w:left w:w="90" w:type="dxa"/>
              <w:right w:w="90" w:type="dxa"/>
            </w:tcMar>
          </w:tcPr>
          <w:p>
            <w:pPr>
              <w:pStyle w:val="BDOITable"/>
            </w:pPr>
            <w:r>
              <w:rPr>
                <w:sz w:val="17"/>
              </w:rPr>
              <w:t>Worked by the Renewal processing team: the processor chooses the BIBS package (or the new-business path) and records the reason; each choice goes to TSU for the next map version</w:t>
            </w:r>
          </w:p>
        </w:tc>
      </w:tr>
    </w:tbl>
    <w:p>
      <w:pPr>
        <w:pStyle w:val="BDOISpacer"/>
      </w:pPr>
    </w:p>
    <w:p>
      <w:r>
        <w:rPr>
          <w:b/>
        </w:rPr>
        <w:t>Testing.</w:t>
      </w:r>
      <w:r>
        <w:rPr/>
        <w:t xml:space="preserve"> The PACKAGE map is loaded in every trial migration. Profiling lists the legacy packages of the headers expiring up to 31 May 2028 that have no entry: this is the expected Exception-bucket volume at go-live, and TSU closes the gaps before the map freeze. Business verification samples cover every legacy package with more than one BIBS target.</w:t>
      </w:r>
    </w:p>
    <w:p>
      <w:pPr>
        <w:pStyle w:val="Heading2"/>
      </w:pPr>
      <w:bookmarkStart w:id="130" w:name="_Toc000130"/>
      <w:r>
        <w:rPr/>
        <w:t>6.7 Validation</w:t>
      </w:r>
      <w:bookmarkEnd w:id="130"/>
    </w:p>
    <w:p>
      <w:r>
        <w:rPr/>
        <w:t>Every staged row is checked against the data-quality rules of its layout before a batch can be approved for load. An ERROR stops the row; a WARNING loads it and reports it. The catalogue (workbook sheet "DQ Rules") has 54 rules:</w:t>
      </w:r>
    </w:p>
    <w:p>
      <w:pPr>
        <w:pStyle w:val="Caption"/>
        <w:keepNext/>
        <w:spacing w:after="60"/>
      </w:pPr>
      <w:r>
        <w:rPr>
          <w:b/>
          <w:i w:val="0"/>
        </w:rPr>
        <w:t xml:space="preserve">Table 18: </w:t>
      </w:r>
      <w:r>
        <w:rPr/>
        <w:t>Data-quality rules by kind (full catalogue in the workbook, sheet DQ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841"/>
        <w:gridCol w:w="7089"/>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rPr>
          <w:cantSplit w:val="true"/>
        </w:trPr>
        <w:tc>
          <w:tcPr>
            <w:tcW w:type="dxa" w:w="204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DQ-001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089"/>
            <w:tcMar>
              <w:top w:w="50" w:type="dxa"/>
              <w:bottom w:w="50" w:type="dxa"/>
              <w:left w:w="90" w:type="dxa"/>
              <w:right w:w="90" w:type="dxa"/>
            </w:tcMar>
            <w:shd w:val="clear" w:color="auto" w:fill="E5F5FF"/>
          </w:tcPr>
          <w:p>
            <w:pPr>
              <w:pStyle w:val="BDOITable"/>
            </w:pPr>
            <w:r>
              <w:rPr>
                <w:sz w:val="17"/>
              </w:rPr>
              <w:t>DQ-002, DQ-005, DQ-006, DQ-007, DQ-045, DQ-046</w:t>
            </w:r>
          </w:p>
        </w:tc>
      </w:tr>
      <w:tr>
        <w:trPr>
          <w:cantSplit w:val="true"/>
        </w:trPr>
        <w:tc>
          <w:tcPr>
            <w:tcW w:type="dxa" w:w="2042"/>
            <w:tcMar>
              <w:top w:w="50" w:type="dxa"/>
              <w:bottom w:w="50" w:type="dxa"/>
              <w:left w:w="90" w:type="dxa"/>
              <w:right w:w="90" w:type="dxa"/>
            </w:tcMar>
          </w:tcPr>
          <w:p>
            <w:pPr>
              <w:pStyle w:val="BDOITable"/>
            </w:pPr>
            <w:r>
              <w:rPr>
                <w:b/>
                <w:sz w:val="17"/>
              </w:rPr>
              <w:t>LOOKUP</w:t>
            </w:r>
          </w:p>
        </w:tc>
        <w:tc>
          <w:tcPr>
            <w:tcW w:type="dxa" w:w="841"/>
            <w:tcMar>
              <w:top w:w="50" w:type="dxa"/>
              <w:bottom w:w="50" w:type="dxa"/>
              <w:left w:w="90" w:type="dxa"/>
              <w:right w:w="90" w:type="dxa"/>
            </w:tcMar>
          </w:tcPr>
          <w:p>
            <w:pPr>
              <w:pStyle w:val="BDOITable"/>
            </w:pPr>
            <w:r>
              <w:rPr>
                <w:sz w:val="17"/>
              </w:rPr>
              <w:t>2</w:t>
            </w:r>
          </w:p>
        </w:tc>
        <w:tc>
          <w:tcPr>
            <w:tcW w:type="dxa" w:w="7089"/>
            <w:tcMar>
              <w:top w:w="50" w:type="dxa"/>
              <w:bottom w:w="50" w:type="dxa"/>
              <w:left w:w="90" w:type="dxa"/>
              <w:right w:w="90" w:type="dxa"/>
            </w:tcMar>
          </w:tcPr>
          <w:p>
            <w:pPr>
              <w:pStyle w:val="BDOITable"/>
            </w:pPr>
            <w:r>
              <w:rPr>
                <w:sz w:val="17"/>
              </w:rPr>
              <w:t>DQ-003, DQ-039</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089"/>
            <w:tcMar>
              <w:top w:w="50" w:type="dxa"/>
              <w:bottom w:w="50" w:type="dxa"/>
              <w:left w:w="90" w:type="dxa"/>
              <w:right w:w="90" w:type="dxa"/>
            </w:tcMar>
            <w:shd w:val="clear" w:color="auto" w:fill="E5F5FF"/>
          </w:tcPr>
          <w:p>
            <w:pPr>
              <w:pStyle w:val="BDOITable"/>
            </w:pPr>
            <w:r>
              <w:rPr>
                <w:sz w:val="17"/>
              </w:rPr>
              <w:t>DQ-004, DQ-020, DQ-036, DQ-044</w:t>
            </w:r>
          </w:p>
        </w:tc>
      </w:tr>
      <w:tr>
        <w:trPr>
          <w:cantSplit w:val="true"/>
        </w:trPr>
        <w:tc>
          <w:tcPr>
            <w:tcW w:type="dxa" w:w="204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6</w:t>
            </w:r>
          </w:p>
        </w:tc>
        <w:tc>
          <w:tcPr>
            <w:tcW w:type="dxa" w:w="7089"/>
            <w:tcMar>
              <w:top w:w="50" w:type="dxa"/>
              <w:bottom w:w="50" w:type="dxa"/>
              <w:left w:w="90" w:type="dxa"/>
              <w:right w:w="90" w:type="dxa"/>
            </w:tcMar>
          </w:tcPr>
          <w:p>
            <w:pPr>
              <w:pStyle w:val="BDOITable"/>
            </w:pPr>
            <w:r>
              <w:rPr>
                <w:sz w:val="17"/>
              </w:rPr>
              <w:t>DQ-008, DQ-011, DQ-028, DQ-031, DQ-032, DQ-048</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CROSS_FIELD</w:t>
            </w:r>
          </w:p>
        </w:tc>
        <w:tc>
          <w:tcPr>
            <w:tcW w:type="dxa" w:w="841"/>
            <w:tcMar>
              <w:top w:w="50" w:type="dxa"/>
              <w:bottom w:w="50" w:type="dxa"/>
              <w:left w:w="90" w:type="dxa"/>
              <w:right w:w="90" w:type="dxa"/>
            </w:tcMar>
            <w:shd w:val="clear" w:color="auto" w:fill="E5F5FF"/>
          </w:tcPr>
          <w:p>
            <w:pPr>
              <w:pStyle w:val="BDOITable"/>
            </w:pPr>
            <w:r>
              <w:rPr>
                <w:sz w:val="17"/>
              </w:rPr>
              <w:t>16</w:t>
            </w:r>
          </w:p>
        </w:tc>
        <w:tc>
          <w:tcPr>
            <w:tcW w:type="dxa" w:w="708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 DQ-047, DQ-053</w:t>
            </w:r>
          </w:p>
        </w:tc>
      </w:tr>
      <w:tr>
        <w:trPr>
          <w:cantSplit w:val="true"/>
        </w:trPr>
        <w:tc>
          <w:tcPr>
            <w:tcW w:type="dxa" w:w="2042"/>
            <w:tcMar>
              <w:top w:w="50" w:type="dxa"/>
              <w:bottom w:w="50" w:type="dxa"/>
              <w:left w:w="90" w:type="dxa"/>
              <w:right w:w="90" w:type="dxa"/>
            </w:tcMar>
          </w:tcPr>
          <w:p>
            <w:pPr>
              <w:pStyle w:val="BDOITable"/>
            </w:pPr>
            <w:r>
              <w:rPr>
                <w:b/>
                <w:sz w:val="17"/>
              </w:rPr>
              <w:t>DUPLICATE_CLIENT</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DQ-010</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REFERENTIAL</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7089"/>
            <w:tcMar>
              <w:top w:w="50" w:type="dxa"/>
              <w:bottom w:w="50" w:type="dxa"/>
              <w:left w:w="90" w:type="dxa"/>
              <w:right w:w="90" w:type="dxa"/>
            </w:tcMar>
            <w:shd w:val="clear" w:color="auto" w:fill="E5F5FF"/>
          </w:tcPr>
          <w:p>
            <w:pPr>
              <w:pStyle w:val="BDOITable"/>
            </w:pPr>
            <w:r>
              <w:rPr>
                <w:sz w:val="17"/>
              </w:rPr>
              <w:t>DQ-012, DQ-016, DQ-018, DQ-026, DQ-033, DQ-049, DQ-054, DQ-056</w:t>
            </w:r>
          </w:p>
        </w:tc>
      </w:tr>
      <w:tr>
        <w:trPr>
          <w:cantSplit w:val="true"/>
        </w:trPr>
        <w:tc>
          <w:tcPr>
            <w:tcW w:type="dxa" w:w="204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10</w:t>
            </w:r>
          </w:p>
        </w:tc>
        <w:tc>
          <w:tcPr>
            <w:tcW w:type="dxa" w:w="7089"/>
            <w:tcMar>
              <w:top w:w="50" w:type="dxa"/>
              <w:bottom w:w="50" w:type="dxa"/>
              <w:left w:w="90" w:type="dxa"/>
              <w:right w:w="90" w:type="dxa"/>
            </w:tcMar>
          </w:tcPr>
          <w:p>
            <w:pPr>
              <w:pStyle w:val="BDOITable"/>
            </w:pPr>
            <w:r>
              <w:rPr>
                <w:sz w:val="17"/>
              </w:rPr>
              <w:t>DQ-022, DQ-023, DQ-027, DQ-030, DQ-034, DQ-035, DQ-037, DQ-040, DQ-052, DQ-055</w:t>
            </w:r>
          </w:p>
        </w:tc>
      </w:tr>
    </w:tbl>
    <w:p>
      <w:pPr>
        <w:pStyle w:val="BDOISpacer"/>
      </w:pPr>
    </w:p>
    <w:p>
      <w:pPr>
        <w:pStyle w:val="Heading2"/>
      </w:pPr>
      <w:bookmarkStart w:id="131" w:name="_Toc000131"/>
      <w:r>
        <w:rPr/>
        <w:t>6.8 Client matching and survivorship</w:t>
      </w:r>
      <w:bookmarkEnd w:id="131"/>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19: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(report MIG-CLIENT-MATCH).</w:t>
      </w:r>
    </w:p>
    <w:p>
      <w:pPr>
        <w:pStyle w:val="Heading2"/>
      </w:pPr>
      <w:bookmarkStart w:id="132" w:name="_Toc000132"/>
      <w:r>
        <w:rPr/>
        <w:t>6.9 Load through the BIBS services</w:t>
      </w:r>
      <w:bookmarkEnd w:id="132"/>
    </w:p>
    <w:p>
      <w:r>
        <w:rPr/>
        <w:t>An approved batch is loaded in chunks of 500 rows, four partitions in parallel, one transaction per chunk;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(when its loader can undo the records and nothing has changed them since the load). In the production cutover the rollback point is a database snapshot (section 11.5).</w:t>
      </w:r>
    </w:p>
    <w:p>
      <w:pPr>
        <w:pStyle w:val="Heading2"/>
      </w:pPr>
      <w:bookmarkStart w:id="133" w:name="_Toc000133"/>
      <w:r>
        <w:rPr/>
        <w:t>6.10 Reconciliation and sign-off</w:t>
      </w:r>
      <w:bookmarkEnd w:id="133"/>
    </w:p>
    <w:p>
      <w:r>
        <w:rPr/>
        <w:t>Every object is reconciled at up to five levels. The Reconciliation Approach and Sign-off document gives the measures per object, the sample plan for business verification and the sign-off forms.</w:t>
      </w:r>
    </w:p>
    <w:p>
      <w:pPr>
        <w:pStyle w:val="Caption"/>
        <w:keepNext/>
        <w:spacing w:after="60"/>
      </w:pPr>
      <w:r>
        <w:rPr>
          <w:b/>
          <w:i w:val="0"/>
        </w:rPr>
        <w:t xml:space="preserve">Table 20: </w:t>
      </w:r>
      <w:r>
        <w:rPr/>
        <w:t>Reconciliation levels (BRID 1.1b)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4" w:name="_Toc000134"/>
      <w:r>
        <w:rPr/>
        <w:t>7 Legacy invoices after go-live</w:t>
      </w:r>
      <w:bookmarkEnd w:id="134"/>
    </w:p>
    <w:p>
      <w:r>
        <w:rPr/>
        <w:t>This chapter is for the Cashiering, Remittance, Collections, Accounting and Operations users who will process legacy items in BIBS.</w:t>
      </w:r>
    </w:p>
    <w:p>
      <w:pPr>
        <w:pStyle w:val="Heading2"/>
      </w:pPr>
      <w:bookmarkStart w:id="135" w:name="_Toc000135"/>
      <w:r>
        <w:rPr/>
        <w:t>7.1 What a legacy invoice is</w:t>
      </w:r>
      <w:bookmarkEnd w:id="135"/>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4320000" cy="3253537"/>
            <wp:docPr id="4" name="Picture 4"/>
            <wp:cNvGraphicFramePr>
              <a:graphicFrameLocks noChangeAspect="1"/>
            </wp:cNvGraphicFramePr>
            <a:graphic>
              <a:graphicData uri="http://schemas.openxmlformats.org/drawingml/2006/picture">
                <pic:pic>
                  <pic:nvPicPr>
                    <pic:cNvPr id="0" name="dm_legacy_invoice_flows.png"/>
                    <pic:cNvPicPr/>
                  </pic:nvPicPr>
                  <pic:blipFill>
                    <a:blip r:embed="rId16"/>
                    <a:stretch>
                      <a:fillRect/>
                    </a:stretch>
                  </pic:blipFill>
                  <pic:spPr>
                    <a:xfrm>
                      <a:off x="0" y="0"/>
                      <a:ext cx="4320000" cy="3253537"/>
                    </a:xfrm>
                    <a:prstGeom prst="rect"/>
                  </pic:spPr>
                </pic:pic>
              </a:graphicData>
            </a:graphic>
          </wp:inline>
        </w:drawing>
      </w:r>
    </w:p>
    <w:p>
      <w:pPr>
        <w:pStyle w:val="Caption"/>
        <w:jc w:val="center"/>
      </w:pPr>
      <w:r>
        <w:rPr>
          <w:b/>
          <w:i w:val="0"/>
        </w:rPr>
        <w:t xml:space="preserve">Figure 2: </w:t>
      </w:r>
      <w:r>
        <w:rPr/>
        <w:t>A legacy invoice and the processes that act on it after go-live (BRID 5.1-10.1)</w:t>
      </w:r>
    </w:p>
    <w:p>
      <w:pPr>
        <w:pStyle w:val="Heading2"/>
      </w:pPr>
      <w:bookmarkStart w:id="136" w:name="_Toc000136"/>
      <w:r>
        <w:rPr/>
        <w:t>7.2 Legacy sub-ledgers</w:t>
      </w:r>
      <w:bookmarkEnd w:id="136"/>
    </w:p>
    <w:p>
      <w:r>
        <w:rPr/>
        <w:t>The BRD asks for legacy Premium Receivable, Commission Receivable, DTIP and UPP sub-ledgers (BRID 5.2, 6.1, 6.3, 6.4, 7.1, 7.2, 8.1). Comptrollership assigns the account codes of the legacy control accounts and of the Migration Clearing account (DMQ18, DCR-197); this document names the accounts only.</w:t>
      </w:r>
    </w:p>
    <w:p>
      <w:pPr>
        <w:pStyle w:val="Caption"/>
        <w:keepNext/>
        <w:spacing w:after="60"/>
      </w:pPr>
      <w:r>
        <w:rPr>
          <w:b/>
          <w:i w:val="0"/>
        </w:rPr>
        <w:t xml:space="preserve">Table 21: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37" w:name="_Toc000137"/>
      <w:r>
        <w:rPr/>
        <w:t>7.3 Worked example: one legacy invoice from load to remittance</w:t>
      </w:r>
      <w:bookmarkEnd w:id="137"/>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22: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23: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origin LEGACY;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ledger context LEGACY;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Prod Recon legacy change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 10.1)</w:t>
            </w:r>
          </w:p>
        </w:tc>
      </w:tr>
    </w:tbl>
    <w:p>
      <w:pPr>
        <w:pStyle w:val="BDOISpacer"/>
      </w:pPr>
    </w:p>
    <w:p>
      <w:pPr>
        <w:pStyle w:val="Heading2"/>
      </w:pPr>
      <w:bookmarkStart w:id="138" w:name="_Toc000138"/>
      <w:r>
        <w:rPr/>
        <w:t>7.4 Unapplied premium payments (UPP)</w:t>
      </w:r>
      <w:bookmarkEnd w:id="138"/>
    </w:p>
    <w:p>
      <w:r>
        <w:rPr/>
        <w:t>Every legacy UPP item with a balance at the freeze is created in the BIBS Unapplied Payments workbench with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24: </w:t>
      </w:r>
      <w:r>
        <w:rPr/>
        <w:t>Processing legacy UPP in BIBS (BRID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BI-2028-000150 (2,000.00 open). The job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TL and then top management (DMQ16)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39" w:name="_Toc000139"/>
      <w:r>
        <w:rPr/>
        <w:t>7.5 Payments, reversals, remittance, endorsements and Prod Recon</w:t>
      </w:r>
      <w:bookmarkEnd w:id="139"/>
    </w:p>
    <w:p>
      <w:pPr>
        <w:pStyle w:val="Caption"/>
        <w:keepNext/>
        <w:spacing w:after="60"/>
      </w:pPr>
      <w:r>
        <w:rPr>
          <w:b/>
          <w:i w:val="0"/>
        </w:rPr>
        <w:t xml:space="preserve">Table 25: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DPPR batch reversal (7.1)</w:t>
            </w:r>
          </w:p>
        </w:tc>
        <w:tc>
          <w:tcPr>
            <w:tcW w:type="dxa" w:w="3845"/>
            <w:tcMar>
              <w:top w:w="50" w:type="dxa"/>
              <w:bottom w:w="50" w:type="dxa"/>
              <w:left w:w="90" w:type="dxa"/>
              <w:right w:w="90" w:type="dxa"/>
            </w:tcMar>
          </w:tcPr>
          <w:p>
            <w:pPr>
              <w:pStyle w:val="BDOITable"/>
            </w:pPr>
            <w:r>
              <w:rPr>
                <w:sz w:val="17"/>
              </w:rPr>
              <w:t>Uploads or selects the approved list of direct-payment legacy invoices; a checker approves</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PR2307 batch reversal (7.2)</w:t>
            </w:r>
          </w:p>
        </w:tc>
        <w:tc>
          <w:tcPr>
            <w:tcW w:type="dxa" w:w="3845"/>
            <w:tcMar>
              <w:top w:w="50" w:type="dxa"/>
              <w:bottom w:w="50" w:type="dxa"/>
              <w:left w:w="90" w:type="dxa"/>
              <w:right w:w="90" w:type="dxa"/>
            </w:tcMar>
            <w:shd w:val="clear" w:color="auto" w:fill="E5F5FF"/>
          </w:tcPr>
          <w:p>
            <w:pPr>
              <w:pStyle w:val="BDOITable"/>
            </w:pPr>
            <w:r>
              <w:rPr>
                <w:sz w:val="17"/>
              </w:rPr>
              <w:t>Selects legacy invoices with PR2307 balances; approval</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context LEGACY;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Runs the legacy change report</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legacy invoices are not part of the production register extract</w:t>
            </w:r>
          </w:p>
        </w:tc>
      </w:tr>
    </w:tbl>
    <w:p>
      <w:pPr>
        <w:pStyle w:val="BDOISpacer"/>
      </w:pPr>
    </w:p>
    <w:p>
      <w:pPr>
        <w:pStyle w:val="Heading2"/>
      </w:pPr>
      <w:bookmarkStart w:id="140" w:name="_Toc000140"/>
      <w:r>
        <w:rPr/>
        <w:t>7.6 When the legacy context closes</w:t>
      </w:r>
      <w:bookmarkEnd w:id="140"/>
    </w:p>
    <w:p>
      <w:r>
        <w:rPr/>
        <w:t>The legacy sub-ledgers run off as legacy invoices are paid, remitted, reversed or written off and as legacy UPP is applied, refunded or reclassified. The report MIG-LEGACY-POSITIONS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1" w:name="_Toc000141"/>
      <w:r>
        <w:rPr/>
        <w:t>8 In-force policies and the renewal-driven transition</w:t>
      </w:r>
      <w:bookmarkEnd w:id="141"/>
    </w:p>
    <w:p>
      <w:pPr>
        <w:pStyle w:val="Heading2"/>
      </w:pPr>
      <w:bookmarkStart w:id="142" w:name="_Toc000142"/>
      <w:r>
        <w:rPr/>
        <w:t>8.1 In-force policy headers</w:t>
      </w:r>
      <w:bookmarkEnd w:id="142"/>
    </w:p>
    <w:p>
      <w:r>
        <w:rPr/>
        <w:t xml:space="preserve">BRID 4.1 asks for a minimal header of in-force policies "when operationally required" (p.8); capability 4 is conditional (p.6). BIBS needs the header for three things: to locate active coverage for servicing, to endorse a legacy invoice (BRID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origin MIGRATED and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3" w:name="_Toc000143"/>
      <w:r>
        <w:rPr/>
        <w:t>8.2 Renewal by RMEL cohort</w:t>
      </w:r>
      <w:bookmarkEnd w:id="143"/>
    </w:p>
    <w:p>
      <w:r>
        <w:rPr/>
        <w:t xml:space="preserve">The transition follows the renewal expiry month (RMEL, BRID 12.1). BDOI answered on 26 September 2026 that the renewals of the January-May 2028 expiries are </w:t>
      </w:r>
      <w:r>
        <w:rPr>
          <w:b/>
        </w:rPr>
        <w:t>processed in BIBS after go-live</w:t>
      </w:r>
      <w:r>
        <w:rPr/>
        <w:t>, and that no renewal candidate is carried from legacy (DMQ37, register DCR-240). BIBS Renewal normally extracts policies 140 days before expiry; at go-live it runs one extraction of every expiry from go-live to 31 May 2028 instead.</w:t>
      </w:r>
    </w:p>
    <w:p>
      <w:pPr>
        <w:keepNext/>
        <w:spacing w:before="80" w:after="0"/>
        <w:jc w:val="center"/>
      </w:pPr>
      <w:r>
        <w:drawing>
          <wp:inline xmlns:a="http://schemas.openxmlformats.org/drawingml/2006/main" xmlns:pic="http://schemas.openxmlformats.org/drawingml/2006/picture">
            <wp:extent cx="5760000" cy="1158783"/>
            <wp:docPr id="5" name="Picture 5"/>
            <wp:cNvGraphicFramePr>
              <a:graphicFrameLocks noChangeAspect="1"/>
            </wp:cNvGraphicFramePr>
            <a:graphic>
              <a:graphicData uri="http://schemas.openxmlformats.org/drawingml/2006/picture">
                <pic:pic>
                  <pic:nvPicPr>
                    <pic:cNvPr id="0" name="dm_rmel_cohorts.png"/>
                    <pic:cNvPicPr/>
                  </pic:nvPicPr>
                  <pic:blipFill>
                    <a:blip r:embed="rId17"/>
                    <a:stretch>
                      <a:fillRect/>
                    </a:stretch>
                  </pic:blipFill>
                  <pic:spPr>
                    <a:xfrm>
                      <a:off x="0" y="0"/>
                      <a:ext cx="5760000" cy="1158783"/>
                    </a:xfrm>
                    <a:prstGeom prst="rect"/>
                  </pic:spPr>
                </pic:pic>
              </a:graphicData>
            </a:graphic>
          </wp:inline>
        </w:drawing>
      </w:r>
    </w:p>
    <w:p>
      <w:pPr>
        <w:pStyle w:val="Caption"/>
        <w:jc w:val="center"/>
      </w:pPr>
      <w:r>
        <w:rPr>
          <w:b/>
          <w:i w:val="0"/>
        </w:rPr>
        <w:t xml:space="preserve">Figure 3: </w:t>
      </w:r>
      <w:r>
        <w:rPr/>
        <w:t>Transition by expiry month (go-live 3 January 2028, recommended)</w:t>
      </w:r>
    </w:p>
    <w:p>
      <w:pPr>
        <w:pStyle w:val="Caption"/>
        <w:keepNext/>
        <w:spacing w:after="60"/>
      </w:pPr>
      <w:r>
        <w:rPr>
          <w:b/>
          <w:i w:val="0"/>
        </w:rPr>
        <w:t xml:space="preserve">Table 26: </w:t>
      </w:r>
      <w:r>
        <w:rPr/>
        <w:t>Treatment of each cohort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 (up to 2 January 2028)</w:t>
            </w:r>
          </w:p>
        </w:tc>
        <w:tc>
          <w:tcPr>
            <w:tcW w:type="dxa" w:w="7569"/>
            <w:tcMar>
              <w:top w:w="50" w:type="dxa"/>
              <w:bottom w:w="50" w:type="dxa"/>
              <w:left w:w="90" w:type="dxa"/>
              <w:right w:w="90" w:type="dxa"/>
            </w:tcMar>
          </w:tcPr>
          <w:p>
            <w:pPr>
              <w:pStyle w:val="BDOITable"/>
            </w:pPr>
            <w:r>
              <w:rPr>
                <w:sz w:val="18"/>
              </w:rPr>
              <w:t>Renewed or lapsed in legacy; a renewal whose new term starts before go-live is placed and booked in legacy before the freeze and migrates as an in-force header with its open invoice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Go-live to 31 May 2028</w:t>
            </w:r>
          </w:p>
        </w:tc>
        <w:tc>
          <w:tcPr>
            <w:tcW w:type="dxa" w:w="7569"/>
            <w:tcMar>
              <w:top w:w="50" w:type="dxa"/>
              <w:bottom w:w="50" w:type="dxa"/>
              <w:left w:w="90" w:type="dxa"/>
              <w:right w:w="90" w:type="dxa"/>
            </w:tcMar>
            <w:shd w:val="clear" w:color="auto" w:fill="E5F5FF"/>
          </w:tcPr>
          <w:p>
            <w:pPr>
              <w:pStyle w:val="BDOITable"/>
            </w:pPr>
            <w:r>
              <w:rPr>
                <w:sz w:val="18"/>
              </w:rPr>
              <w:t>Processed in BIBS after go-live. At 04:00 on go-live day BIBS extracts every migrated policy header expiring in this window that was not renewed in legacy, prioritised by expiry date, with the January expiries flagged urgent. A renewal advice already sent by hand before go-live is recorded on the candidate and is not sent again</w:t>
            </w:r>
          </w:p>
        </w:tc>
      </w:tr>
      <w:tr>
        <w:trPr>
          <w:cantSplit w:val="true"/>
        </w:trPr>
        <w:tc>
          <w:tcPr>
            <w:tcW w:type="dxa" w:w="2403"/>
            <w:tcMar>
              <w:top w:w="50" w:type="dxa"/>
              <w:bottom w:w="50" w:type="dxa"/>
              <w:left w:w="90" w:type="dxa"/>
              <w:right w:w="90" w:type="dxa"/>
            </w:tcMar>
          </w:tcPr>
          <w:p>
            <w:pPr>
              <w:pStyle w:val="BDOITable"/>
            </w:pPr>
            <w:r>
              <w:rPr>
                <w:sz w:val="18"/>
              </w:rPr>
              <w:t>From 1 June 2028</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 of 140 days; 1 June 2028 is extracted on 13 January 2028</w:t>
            </w:r>
          </w:p>
        </w:tc>
      </w:tr>
    </w:tbl>
    <w:p>
      <w:pPr>
        <w:pStyle w:val="BDOISpacer"/>
      </w:pPr>
    </w:p>
    <w:p>
      <w:r>
        <w:rPr>
          <w:b/>
        </w:rPr>
        <w:t>What this needs from the migration.</w:t>
      </w:r>
    </w:p>
    <w:p>
      <w:pPr>
        <w:tabs>
          <w:tab w:pos="312" w:val="left"/>
        </w:tabs>
        <w:spacing w:after="40"/>
        <w:ind w:left="312" w:hanging="283"/>
      </w:pPr>
      <w:r>
        <w:rPr>
          <w:color w:val="004EA8"/>
        </w:rPr>
        <w:t>•</w:t>
        <w:tab/>
      </w:r>
      <w:r>
        <w:rPr>
          <w:b/>
        </w:rPr>
        <w:t>Policy headers (P01).</w:t>
      </w:r>
      <w:r>
        <w:rPr/>
        <w:t xml:space="preserve"> The go-live extraction works only from the migrated headers, so P01 must hold every policy in force at go-live that expires up to 31 May 2028, and every renewal term booked in legacy that starts on or after go-live (so that the expiring term is recognised as renewed). The P01 reconciliation against the legacy in-force list and the extraction check (report MIG-RENEWAL-GOLIVE: per expiry month, headers = candidates + renewals booked in legacy) prove that no expiry is missed.</w:t>
      </w:r>
    </w:p>
    <w:p>
      <w:pPr>
        <w:tabs>
          <w:tab w:pos="312" w:val="left"/>
        </w:tabs>
        <w:spacing w:after="120"/>
        <w:ind w:left="312" w:hanging="283"/>
      </w:pPr>
      <w:r>
        <w:rPr>
          <w:color w:val="004EA8"/>
        </w:rPr>
        <w:t>•</w:t>
        <w:tab/>
      </w:r>
      <w:r>
        <w:rPr>
          <w:b/>
        </w:rPr>
        <w:t>Renewal advices already sent (P03).</w:t>
      </w:r>
      <w:r>
        <w:rPr/>
        <w:t xml:space="preserve"> The RMEL and the dispositions are kept in Excel trackers today (DMQ38, register DCR-243). The migration takes only the RAs already sent from them, in a small reference file: one row per expiring term with the legacy policy reference, cover, expiry, RA date and reference, channel, recipient, proposed insurer and premium quoted, sender, and the tracker and sheet it comes from.</w:t>
      </w:r>
    </w:p>
    <w:p>
      <w:pPr>
        <w:pStyle w:val="Caption"/>
        <w:keepNext/>
        <w:spacing w:after="60"/>
      </w:pPr>
      <w:r>
        <w:rPr>
          <w:b/>
          <w:i w:val="0"/>
        </w:rPr>
        <w:t xml:space="preserve">Table 27: </w:t>
      </w:r>
      <w:r>
        <w:rPr/>
        <w:t>Excel intake of the RA-sent file (DMQ38)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5767"/>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Who</w:t>
            </w:r>
          </w:p>
        </w:tc>
      </w:tr>
      <w:tr>
        <w:trPr>
          <w:cantSplit w:val="true"/>
        </w:trPr>
        <w:tc>
          <w:tcPr>
            <w:tcW w:type="dxa" w:w="1922"/>
            <w:tcMar>
              <w:top w:w="50" w:type="dxa"/>
              <w:bottom w:w="50" w:type="dxa"/>
              <w:left w:w="90" w:type="dxa"/>
              <w:right w:w="90" w:type="dxa"/>
            </w:tcMar>
          </w:tcPr>
          <w:p>
            <w:pPr>
              <w:pStyle w:val="BDOITable"/>
            </w:pPr>
            <w:r>
              <w:rPr>
                <w:sz w:val="17"/>
              </w:rPr>
              <w:t>Template</w:t>
            </w:r>
          </w:p>
        </w:tc>
        <w:tc>
          <w:tcPr>
            <w:tcW w:type="dxa" w:w="5767"/>
            <w:tcMar>
              <w:top w:w="50" w:type="dxa"/>
              <w:bottom w:w="50" w:type="dxa"/>
              <w:left w:w="90" w:type="dxa"/>
              <w:right w:w="90" w:type="dxa"/>
            </w:tcMar>
          </w:tcPr>
          <w:p>
            <w:pPr>
              <w:pStyle w:val="BDOITable"/>
            </w:pPr>
            <w:r>
              <w:rPr>
                <w:sz w:val="17"/>
              </w:rPr>
              <w:t xml:space="preserve">Excel template </w:t>
            </w:r>
            <w:r>
              <w:rPr>
                <w:rFonts w:ascii="Courier New" w:hAnsi="Courier New" w:cs="Courier New" w:eastAsia="Courier New"/>
                <w:color w:val="2E2E2E"/>
                <w:sz w:val="15"/>
              </w:rPr>
              <w:t>P03_template.xlsx</w:t>
            </w:r>
            <w:r>
              <w:rPr>
                <w:sz w:val="17"/>
              </w:rPr>
              <w:t xml:space="preserve"> (sheet RA_SENT, header in row 1, list on the channel, instructions sheet); the CSV template is also accepted</w:t>
            </w:r>
          </w:p>
        </w:tc>
        <w:tc>
          <w:tcPr>
            <w:tcW w:type="dxa" w:w="2283"/>
            <w:tcMar>
              <w:top w:w="50" w:type="dxa"/>
              <w:bottom w:w="50" w:type="dxa"/>
              <w:left w:w="90" w:type="dxa"/>
              <w:right w:w="90" w:type="dxa"/>
            </w:tcMar>
          </w:tcPr>
          <w:p>
            <w:pPr>
              <w:pStyle w:val="BDOITable"/>
            </w:pPr>
            <w:r>
              <w:rPr>
                <w:sz w:val="17"/>
              </w:rPr>
              <w:t>iorta TechNXT issues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Compilation and check</w:t>
            </w:r>
          </w:p>
        </w:tc>
        <w:tc>
          <w:tcPr>
            <w:tcW w:type="dxa" w:w="5767"/>
            <w:tcMar>
              <w:top w:w="50" w:type="dxa"/>
              <w:bottom w:w="50" w:type="dxa"/>
              <w:left w:w="90" w:type="dxa"/>
              <w:right w:w="90" w:type="dxa"/>
            </w:tcMar>
            <w:shd w:val="clear" w:color="auto" w:fill="E5F5FF"/>
          </w:tcPr>
          <w:p>
            <w:pPr>
              <w:pStyle w:val="BDOITable"/>
            </w:pPr>
            <w:r>
              <w:rPr>
                <w:sz w:val="17"/>
              </w:rPr>
              <w:t>The maker copies the RA rows of the Retail and Corporate trackers into the template; the checker compares the file with the trackers (counts per tracker, 10 sample rows) and releases it</w:t>
            </w:r>
          </w:p>
        </w:tc>
        <w:tc>
          <w:tcPr>
            <w:tcW w:type="dxa" w:w="2283"/>
            <w:tcMar>
              <w:top w:w="50" w:type="dxa"/>
              <w:bottom w:w="50" w:type="dxa"/>
              <w:left w:w="90" w:type="dxa"/>
              <w:right w:w="90" w:type="dxa"/>
            </w:tcMar>
            <w:shd w:val="clear" w:color="auto" w:fill="E5F5FF"/>
          </w:tcPr>
          <w:p>
            <w:pPr>
              <w:pStyle w:val="BDOITable"/>
            </w:pPr>
            <w:r>
              <w:rPr>
                <w:sz w:val="17"/>
              </w:rPr>
              <w:t>Renewal processing team - maker, checker</w:t>
            </w:r>
          </w:p>
        </w:tc>
      </w:tr>
      <w:tr>
        <w:trPr>
          <w:cantSplit w:val="true"/>
        </w:trPr>
        <w:tc>
          <w:tcPr>
            <w:tcW w:type="dxa" w:w="1922"/>
            <w:tcMar>
              <w:top w:w="50" w:type="dxa"/>
              <w:bottom w:w="50" w:type="dxa"/>
              <w:left w:w="90" w:type="dxa"/>
              <w:right w:w="90" w:type="dxa"/>
            </w:tcMar>
          </w:tcPr>
          <w:p>
            <w:pPr>
              <w:pStyle w:val="BDOITable"/>
            </w:pPr>
            <w:r>
              <w:rPr>
                <w:sz w:val="17"/>
              </w:rPr>
              <w:t>Validation</w:t>
            </w:r>
          </w:p>
        </w:tc>
        <w:tc>
          <w:tcPr>
            <w:tcW w:type="dxa" w:w="5767"/>
            <w:tcMar>
              <w:top w:w="50" w:type="dxa"/>
              <w:bottom w:w="50" w:type="dxa"/>
              <w:left w:w="90" w:type="dxa"/>
              <w:right w:w="90" w:type="dxa"/>
            </w:tcMar>
          </w:tcPr>
          <w:p>
            <w:pPr>
              <w:pStyle w:val="BDOITable"/>
            </w:pPr>
            <w:r>
              <w:rPr>
                <w:sz w:val="17"/>
              </w:rPr>
              <w:t>Header in P01; expiry equal to the header and from go-live to 31 May 2028; RA date not after the last legacy business day (warning when more than 140 days before expiry); cover not already renewed in legacy; one row per expiring term</w:t>
            </w:r>
          </w:p>
        </w:tc>
        <w:tc>
          <w:tcPr>
            <w:tcW w:type="dxa" w:w="2283"/>
            <w:tcMar>
              <w:top w:w="50" w:type="dxa"/>
              <w:bottom w:w="50" w:type="dxa"/>
              <w:left w:w="90" w:type="dxa"/>
              <w:right w:w="90" w:type="dxa"/>
            </w:tcMar>
          </w:tcPr>
          <w:p>
            <w:pPr>
              <w:pStyle w:val="BDOITable"/>
            </w:pPr>
            <w:r>
              <w:rPr>
                <w:sz w:val="17"/>
              </w:rPr>
              <w:t>BIBS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Rejection report</w:t>
            </w:r>
          </w:p>
        </w:tc>
        <w:tc>
          <w:tcPr>
            <w:tcW w:type="dxa" w:w="5767"/>
            <w:tcMar>
              <w:top w:w="50" w:type="dxa"/>
              <w:bottom w:w="50" w:type="dxa"/>
              <w:left w:w="90" w:type="dxa"/>
              <w:right w:w="90" w:type="dxa"/>
            </w:tcMar>
            <w:shd w:val="clear" w:color="auto" w:fill="E5F5FF"/>
          </w:tcPr>
          <w:p>
            <w:pPr>
              <w:pStyle w:val="BDOITable"/>
            </w:pPr>
            <w:r>
              <w:rPr>
                <w:sz w:val="17"/>
              </w:rPr>
              <w:t>MIG-REJECTS of P03 in Excel with the row, column, value and message, and columns for the maker's correction and the checker's review</w:t>
            </w:r>
          </w:p>
        </w:tc>
        <w:tc>
          <w:tcPr>
            <w:tcW w:type="dxa" w:w="2283"/>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1922"/>
            <w:tcMar>
              <w:top w:w="50" w:type="dxa"/>
              <w:bottom w:w="50" w:type="dxa"/>
              <w:left w:w="90" w:type="dxa"/>
              <w:right w:w="90" w:type="dxa"/>
            </w:tcMar>
          </w:tcPr>
          <w:p>
            <w:pPr>
              <w:pStyle w:val="BDOITable"/>
            </w:pPr>
            <w:r>
              <w:rPr>
                <w:sz w:val="17"/>
              </w:rPr>
              <w:t>Resubmission</w:t>
            </w:r>
          </w:p>
        </w:tc>
        <w:tc>
          <w:tcPr>
            <w:tcW w:type="dxa" w:w="5767"/>
            <w:tcMar>
              <w:top w:w="50" w:type="dxa"/>
              <w:bottom w:w="50" w:type="dxa"/>
              <w:left w:w="90" w:type="dxa"/>
              <w:right w:w="90" w:type="dxa"/>
            </w:tcMar>
          </w:tcPr>
          <w:p>
            <w:pPr>
              <w:pStyle w:val="BDOITable"/>
            </w:pPr>
            <w:r>
              <w:rPr>
                <w:sz w:val="17"/>
              </w:rPr>
              <w:t>The maker corrects the rows and sends a resubmission file with the corrected rows only; the checker reviews each correction against the tracker and approves it in the Migration Console (never the same person); it loads as a rerun batch. In production resubmissions close at 12:00 on the day before go-live; rows still rejected are checked against the tracker before any RA is sent</w:t>
            </w:r>
          </w:p>
        </w:tc>
        <w:tc>
          <w:tcPr>
            <w:tcW w:type="dxa" w:w="2283"/>
            <w:tcMar>
              <w:top w:w="50" w:type="dxa"/>
              <w:bottom w:w="50" w:type="dxa"/>
              <w:left w:w="90" w:type="dxa"/>
              <w:right w:w="90" w:type="dxa"/>
            </w:tcMar>
          </w:tcPr>
          <w:p>
            <w:pPr>
              <w:pStyle w:val="BDOITable"/>
            </w:pPr>
            <w:r>
              <w:rPr>
                <w:sz w:val="17"/>
              </w:rPr>
              <w:t>Maker, checker; Migration Operator</w:t>
            </w:r>
          </w:p>
        </w:tc>
      </w:tr>
    </w:tbl>
    <w:p>
      <w:pPr>
        <w:pStyle w:val="BDOISpacer"/>
      </w:pPr>
    </w:p>
    <w:p>
      <w:r>
        <w:rPr/>
        <w:t>The Head of the Renewal processing team owns the object (signs G1, G2 and G6). In the trial migrations the file is sent from Trial migration 1; in production once, with the RAs sent up to the last legacy business day.</w:t>
      </w:r>
    </w:p>
    <w:p>
      <w:r>
        <w:rPr>
          <w:b/>
        </w:rPr>
        <w:t>The January lead time.</w:t>
      </w:r>
      <w:r>
        <w:rPr/>
        <w:t xml:space="preserve"> The January expiries get days to four weeks instead of 140 days for insurer requests and RAs (risk 16). The mitigation: the day-1 priority queue (go-live extraction at 04:00, January expiries flagged urgent, earliest expiry first); a staffing plan for January signed by the Head of the Renewal processing team; and a Renewal team that is trained and has worked the day-1 queue on the Trial migration 4 and dress-rehearsal data before go-live.</w:t>
      </w:r>
    </w:p>
    <w:p>
      <w:r>
        <w:rPr/>
        <w:t>A legacy policy renews on the new-business path pre-filled from its header, or as is when the Renewal sanitation resolves its package. The renewal account refers to the legacy reference, so the run-off tracker can link them. The tracker (report MIG-RUNOFF) shows, per expiry month, the legacy policies in force at go-live, renewed in BIBS, not renewed, lapsed and still open. Legacy systems are decommissioned when their last cohort has run off and the other checklist criteria are met (section 11.8).</w:t>
      </w:r>
    </w:p>
    <w:p>
      <w:pPr>
        <w:pStyle w:val="Heading1"/>
        <w:pageBreakBefore/>
        <w:pBdr>
          <w:bottom w:val="single" w:sz="4" w:space="4" w:color="99C1E7"/>
        </w:pBdr>
      </w:pPr>
      <w:bookmarkStart w:id="144" w:name="_Toc000144"/>
      <w:r>
        <w:rPr/>
        <w:t>9 History, archive and read-only access</w:t>
      </w:r>
      <w:bookmarkEnd w:id="144"/>
    </w:p>
    <w:p>
      <w:r>
        <w:rPr/>
        <w:t>History is not migrated into BIBS business tables. For each legacy system BDOI chooses how history stays available (DMQ24, DCR-209):</w:t>
      </w:r>
    </w:p>
    <w:p>
      <w:pPr>
        <w:pStyle w:val="Caption"/>
        <w:keepNext/>
        <w:spacing w:after="60"/>
      </w:pPr>
      <w:r>
        <w:rPr>
          <w:b/>
          <w:i w:val="0"/>
        </w:rPr>
        <w:t xml:space="preserve">Table 28: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BIBS shows the legacy reference and a link</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5" w:name="_Toc000145"/>
      <w:r>
        <w:rPr/>
        <w:t>10 Migration cycles</w:t>
      </w:r>
      <w:bookmarkEnd w:id="145"/>
    </w:p>
    <w:p>
      <w:pPr>
        <w:pStyle w:val="Heading2"/>
      </w:pPr>
      <w:bookmarkStart w:id="146" w:name="_Toc000146"/>
      <w:r>
        <w:rPr/>
        <w:t>10.1 Trial migrations, dress rehearsal and production</w:t>
      </w:r>
      <w:bookmarkEnd w:id="146"/>
    </w:p>
    <w:p>
      <w:r>
        <w:rPr/>
        <w:t>The migration is run five times before it counts, inside the SIT and UAT migration windows of the BDOI timeline and the full migration and cut-over window. Each run follows the same plan in the Migration Console, so timings and defects are measured and the production cutover repeats a rehearsed plan.</w:t>
      </w:r>
    </w:p>
    <w:p>
      <w:r>
        <w:rPr>
          <w:b/>
        </w:rPr>
        <w:t>Trial-migration load order.</w:t>
      </w:r>
      <w:r>
        <w:rPr/>
        <w:t xml:space="preserve"> In every run, reference data (R01-R07) and the client master (C01-C03) are loaded and accepted first, before any policy header, RA-sent file or open item. This follows the load order, and it gives the SIT and UAT of the Drop 1 modules, Renewal first, migrated clients and reference data to test with from the first trial migration: the prerequisite the concept paper sets for renewal (R10 section VI).</w:t>
      </w:r>
    </w:p>
    <w:p>
      <w:pPr>
        <w:keepNext/>
        <w:spacing w:before="80" w:after="0"/>
        <w:jc w:val="center"/>
      </w:pPr>
      <w:r>
        <w:drawing>
          <wp:inline xmlns:a="http://schemas.openxmlformats.org/drawingml/2006/main" xmlns:pic="http://schemas.openxmlformats.org/drawingml/2006/picture">
            <wp:extent cx="5400000" cy="5738213"/>
            <wp:docPr id="6" name="Picture 6"/>
            <wp:cNvGraphicFramePr>
              <a:graphicFrameLocks noChangeAspect="1"/>
            </wp:cNvGraphicFramePr>
            <a:graphic>
              <a:graphicData uri="http://schemas.openxmlformats.org/drawingml/2006/picture">
                <pic:pic>
                  <pic:nvPicPr>
                    <pic:cNvPr id="0" name="dm_cycles.png"/>
                    <pic:cNvPicPr/>
                  </pic:nvPicPr>
                  <pic:blipFill>
                    <a:blip r:embed="rId18"/>
                    <a:stretch>
                      <a:fillRect/>
                    </a:stretch>
                  </pic:blipFill>
                  <pic:spPr>
                    <a:xfrm>
                      <a:off x="0" y="0"/>
                      <a:ext cx="5400000" cy="5738213"/>
                    </a:xfrm>
                    <a:prstGeom prst="rect"/>
                  </pic:spPr>
                </pic:pic>
              </a:graphicData>
            </a:graphic>
          </wp:inline>
        </w:drawing>
      </w:r>
    </w:p>
    <w:p>
      <w:pPr>
        <w:pStyle w:val="Caption"/>
        <w:jc w:val="center"/>
      </w:pPr>
      <w:r>
        <w:rPr>
          <w:b/>
          <w:i w:val="0"/>
        </w:rPr>
        <w:t xml:space="preserve">Figure 4: </w:t>
      </w:r>
      <w:r>
        <w:rPr/>
        <w:t>Migration cycles on the BDOI timeline (go-live January 2028)</w:t>
      </w:r>
    </w:p>
    <w:p>
      <w:pPr>
        <w:pStyle w:val="Caption"/>
        <w:keepNext/>
        <w:spacing w:after="60"/>
      </w:pPr>
      <w:r>
        <w:rPr>
          <w:b/>
          <w:i w:val="0"/>
        </w:rPr>
        <w:t xml:space="preserve">Table 29: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441"/>
        <w:gridCol w:w="1562"/>
        <w:gridCol w:w="2823"/>
        <w:gridCol w:w="282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19-30 Apr 2027; SIT</w:t>
            </w:r>
          </w:p>
        </w:tc>
        <w:tc>
          <w:tcPr>
            <w:tcW w:type="dxa" w:w="1562"/>
            <w:tcMar>
              <w:top w:w="50" w:type="dxa"/>
              <w:bottom w:w="50" w:type="dxa"/>
              <w:left w:w="90" w:type="dxa"/>
              <w:right w:w="90" w:type="dxa"/>
            </w:tcMar>
          </w:tcPr>
          <w:p>
            <w:pPr>
              <w:pStyle w:val="BDOITable"/>
            </w:pPr>
            <w:r>
              <w:rPr>
                <w:sz w:val="16"/>
              </w:rPr>
              <w:t>Masked full extracts; reference data and clients first, then policy headers and the RA-sent file (P03)</w:t>
            </w:r>
          </w:p>
        </w:tc>
        <w:tc>
          <w:tcPr>
            <w:tcW w:type="dxa" w:w="2823"/>
            <w:tcMar>
              <w:top w:w="50" w:type="dxa"/>
              <w:bottom w:w="50" w:type="dxa"/>
              <w:left w:w="90" w:type="dxa"/>
              <w:right w:w="90" w:type="dxa"/>
            </w:tcMar>
          </w:tcPr>
          <w:p>
            <w:pPr>
              <w:pStyle w:val="BDOITable"/>
            </w:pPr>
            <w:r>
              <w:rPr>
                <w:sz w:val="16"/>
              </w:rPr>
              <w:t>Build waves DM0 and DM1-C deployed on SIT by 9 Apr 2027; layouts frozen (M2); draft code maps; extracts for Trial migration 1 received (M4)</w:t>
            </w:r>
          </w:p>
        </w:tc>
        <w:tc>
          <w:tcPr>
            <w:tcW w:type="dxa" w:w="2823"/>
            <w:tcMar>
              <w:top w:w="50" w:type="dxa"/>
              <w:bottom w:w="50" w:type="dxa"/>
              <w:left w:w="90" w:type="dxa"/>
              <w:right w:w="90" w:type="dxa"/>
            </w:tcMar>
          </w:tcPr>
          <w:p>
            <w:pPr>
              <w:pStyle w:val="BDOITable"/>
            </w:pPr>
            <w:r>
              <w:rPr>
                <w:sz w:val="16"/>
              </w:rPr>
              <w:t>Objects loaded; L1-L4 run; defects logged; timing per object recorded; profiling report to the owners; P03 rejects reviewed by the Renewal processing team (maker-checker)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2</w:t>
            </w:r>
          </w:p>
        </w:tc>
        <w:tc>
          <w:tcPr>
            <w:tcW w:type="dxa" w:w="1442"/>
            <w:tcMar>
              <w:top w:w="50" w:type="dxa"/>
              <w:bottom w:w="50" w:type="dxa"/>
              <w:left w:w="90" w:type="dxa"/>
              <w:right w:w="90" w:type="dxa"/>
            </w:tcMar>
            <w:shd w:val="clear" w:color="auto" w:fill="E5F5FF"/>
          </w:tcPr>
          <w:p>
            <w:pPr>
              <w:pStyle w:val="BDOITable"/>
            </w:pPr>
            <w:r>
              <w:rPr>
                <w:sz w:val="16"/>
              </w:rPr>
              <w:t>5-16 Jul 2027;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23"/>
            <w:tcMar>
              <w:top w:w="50" w:type="dxa"/>
              <w:bottom w:w="50" w:type="dxa"/>
              <w:left w:w="90" w:type="dxa"/>
              <w:right w:w="90" w:type="dxa"/>
            </w:tcMar>
            <w:shd w:val="clear" w:color="auto" w:fill="E5F5FF"/>
          </w:tcPr>
          <w:p>
            <w:pPr>
              <w:pStyle w:val="BDOITable"/>
            </w:pPr>
            <w:r>
              <w:rPr>
                <w:sz w:val="16"/>
              </w:rPr>
              <w:t>Trial migration 1 exit met; build waves DM1-A, DM1-B, DM2-A, DM2-B deployed by 18 Jun 2027; code maps approved (M5); legacy accounts and rules configured on SIT</w:t>
            </w:r>
          </w:p>
        </w:tc>
        <w:tc>
          <w:tcPr>
            <w:tcW w:type="dxa" w:w="282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defect</w:t>
            </w:r>
          </w:p>
        </w:tc>
      </w:tr>
      <w:tr>
        <w:trPr>
          <w:cantSplit w:val="true"/>
        </w:trPr>
        <w:tc>
          <w:tcPr>
            <w:tcW w:type="dxa" w:w="1322"/>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2-13 Aug 2027;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23"/>
            <w:tcMar>
              <w:top w:w="50" w:type="dxa"/>
              <w:bottom w:w="50" w:type="dxa"/>
              <w:left w:w="90" w:type="dxa"/>
              <w:right w:w="90" w:type="dxa"/>
            </w:tcMar>
          </w:tcPr>
          <w:p>
            <w:pPr>
              <w:pStyle w:val="BDOITable"/>
            </w:pPr>
            <w:r>
              <w:rPr>
                <w:sz w:val="16"/>
              </w:rPr>
              <w:t>Trial migration 2 exit met; UAT readiness statement issued (R7, programme item 11)</w:t>
            </w:r>
          </w:p>
        </w:tc>
        <w:tc>
          <w:tcPr>
            <w:tcW w:type="dxa" w:w="2823"/>
            <w:tcMar>
              <w:top w:w="50" w:type="dxa"/>
              <w:bottom w:w="50" w:type="dxa"/>
              <w:left w:w="90" w:type="dxa"/>
              <w:right w:w="90" w:type="dxa"/>
            </w:tcMar>
          </w:tcPr>
          <w:p>
            <w:pPr>
              <w:pStyle w:val="BDOITable"/>
            </w:pPr>
            <w:r>
              <w:rPr>
                <w:sz w:val="16"/>
              </w:rPr>
              <w:t>Business owners verify samples on screen (G6 rehearsal); the Drop 1 end-to-end UAT (Aug-Dec 2027)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4 (UAT refresh)</w:t>
            </w:r>
          </w:p>
        </w:tc>
        <w:tc>
          <w:tcPr>
            <w:tcW w:type="dxa" w:w="1442"/>
            <w:tcMar>
              <w:top w:w="50" w:type="dxa"/>
              <w:bottom w:w="50" w:type="dxa"/>
              <w:left w:w="90" w:type="dxa"/>
              <w:right w:w="90" w:type="dxa"/>
            </w:tcMar>
            <w:shd w:val="clear" w:color="auto" w:fill="E5F5FF"/>
          </w:tcPr>
          <w:p>
            <w:pPr>
              <w:pStyle w:val="BDOITable"/>
            </w:pPr>
            <w:r>
              <w:rPr>
                <w:sz w:val="16"/>
              </w:rPr>
              <w:t>4-15 Oct 2027; UAT</w:t>
            </w:r>
          </w:p>
        </w:tc>
        <w:tc>
          <w:tcPr>
            <w:tcW w:type="dxa" w:w="1562"/>
            <w:tcMar>
              <w:top w:w="50" w:type="dxa"/>
              <w:bottom w:w="50" w:type="dxa"/>
              <w:left w:w="90" w:type="dxa"/>
              <w:right w:w="90" w:type="dxa"/>
            </w:tcMar>
            <w:shd w:val="clear" w:color="auto" w:fill="E5F5FF"/>
          </w:tcPr>
          <w:p>
            <w:pPr>
              <w:pStyle w:val="BDOITable"/>
            </w:pPr>
            <w:r>
              <w:rPr>
                <w:sz w:val="16"/>
              </w:rPr>
              <w:t>Fresh masked extracts; all objects; go-live renewal extraction of the January-May 2028 expiries; a test true-up</w:t>
            </w:r>
          </w:p>
        </w:tc>
        <w:tc>
          <w:tcPr>
            <w:tcW w:type="dxa" w:w="2823"/>
            <w:tcMar>
              <w:top w:w="50" w:type="dxa"/>
              <w:bottom w:w="50" w:type="dxa"/>
              <w:left w:w="90" w:type="dxa"/>
              <w:right w:w="90" w:type="dxa"/>
            </w:tcMar>
            <w:shd w:val="clear" w:color="auto" w:fill="E5F5FF"/>
          </w:tcPr>
          <w:p>
            <w:pPr>
              <w:pStyle w:val="BDOITable"/>
            </w:pPr>
            <w:r>
              <w:rPr>
                <w:sz w:val="16"/>
              </w:rPr>
              <w:t>Trial migration 3 exit met; cut-over date, year-end option, fallback and decommissioning criteria agreed (M6)</w:t>
            </w:r>
          </w:p>
        </w:tc>
        <w:tc>
          <w:tcPr>
            <w:tcW w:type="dxa" w:w="2823"/>
            <w:tcMar>
              <w:top w:w="50" w:type="dxa"/>
              <w:bottom w:w="50" w:type="dxa"/>
              <w:left w:w="90" w:type="dxa"/>
              <w:right w:w="90" w:type="dxa"/>
            </w:tcMar>
            <w:shd w:val="clear" w:color="auto" w:fill="E5F5FF"/>
          </w:tcPr>
          <w:p>
            <w:pPr>
              <w:pStyle w:val="BDOITable"/>
            </w:pPr>
            <w:r>
              <w:rPr>
                <w:sz w:val="16"/>
              </w:rPr>
              <w:t>Run as a timed cut-over; go-live extraction check balanced and the day-1 queue worked by the Renewal team; test true-up reconciled; UAT continues on the refreshed data</w:t>
            </w:r>
          </w:p>
        </w:tc>
      </w:tr>
      <w:tr>
        <w:trPr>
          <w:cantSplit w:val="true"/>
        </w:trPr>
        <w:tc>
          <w:tcPr>
            <w:tcW w:type="dxa" w:w="1322"/>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15-26 Nov 2027 (reserve 6-10 Dec 2027); production-sized environment</w:t>
            </w:r>
          </w:p>
        </w:tc>
        <w:tc>
          <w:tcPr>
            <w:tcW w:type="dxa" w:w="1562"/>
            <w:tcMar>
              <w:top w:w="50" w:type="dxa"/>
              <w:bottom w:w="50" w:type="dxa"/>
              <w:left w:w="90" w:type="dxa"/>
              <w:right w:w="90" w:type="dxa"/>
            </w:tcMar>
          </w:tcPr>
          <w:p>
            <w:pPr>
              <w:pStyle w:val="BDOITable"/>
            </w:pPr>
            <w:r>
              <w:rPr>
                <w:sz w:val="16"/>
              </w:rPr>
              <w:t>Masked full-volume extracts taken after a legacy EOD</w:t>
            </w:r>
          </w:p>
        </w:tc>
        <w:tc>
          <w:tcPr>
            <w:tcW w:type="dxa" w:w="2823"/>
            <w:tcMar>
              <w:top w:w="50" w:type="dxa"/>
              <w:bottom w:w="50" w:type="dxa"/>
              <w:left w:w="90" w:type="dxa"/>
              <w:right w:w="90" w:type="dxa"/>
            </w:tcMar>
          </w:tcPr>
          <w:p>
            <w:pPr>
              <w:pStyle w:val="BDOITable"/>
            </w:pPr>
            <w:r>
              <w:rPr>
                <w:sz w:val="16"/>
              </w:rPr>
              <w:t>Trial migration 4 exit met; production-sized environment (performance test window); cutover plan frozen</w:t>
            </w:r>
          </w:p>
        </w:tc>
        <w:tc>
          <w:tcPr>
            <w:tcW w:type="dxa" w:w="2823"/>
            <w:tcMar>
              <w:top w:w="50" w:type="dxa"/>
              <w:bottom w:w="50" w:type="dxa"/>
              <w:left w:w="90" w:type="dxa"/>
              <w:right w:w="90" w:type="dxa"/>
            </w:tcMar>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Production</w:t>
            </w:r>
          </w:p>
        </w:tc>
        <w:tc>
          <w:tcPr>
            <w:tcW w:type="dxa" w:w="1442"/>
            <w:tcMar>
              <w:top w:w="50" w:type="dxa"/>
              <w:bottom w:w="50" w:type="dxa"/>
              <w:left w:w="90" w:type="dxa"/>
              <w:right w:w="90" w:type="dxa"/>
            </w:tcMar>
            <w:shd w:val="clear" w:color="auto" w:fill="E5F5FF"/>
          </w:tcPr>
          <w:p>
            <w:pPr>
              <w:pStyle w:val="BDOITable"/>
            </w:pPr>
            <w:r>
              <w:rPr>
                <w:sz w:val="16"/>
              </w:rPr>
              <w:t>20 Dec 2027 (T-14) to 3 Jan 2028 (T)</w:t>
            </w:r>
          </w:p>
        </w:tc>
        <w:tc>
          <w:tcPr>
            <w:tcW w:type="dxa" w:w="1562"/>
            <w:tcMar>
              <w:top w:w="50" w:type="dxa"/>
              <w:bottom w:w="50" w:type="dxa"/>
              <w:left w:w="90" w:type="dxa"/>
              <w:right w:w="90" w:type="dxa"/>
            </w:tcMar>
            <w:shd w:val="clear" w:color="auto" w:fill="E5F5FF"/>
          </w:tcPr>
          <w:p>
            <w:pPr>
              <w:pStyle w:val="BDOITable"/>
            </w:pPr>
            <w:r>
              <w:rPr>
                <w:sz w:val="16"/>
              </w:rPr>
              <w:t>Real data in production only</w:t>
            </w:r>
          </w:p>
        </w:tc>
        <w:tc>
          <w:tcPr>
            <w:tcW w:type="dxa" w:w="2823"/>
            <w:tcMar>
              <w:top w:w="50" w:type="dxa"/>
              <w:bottom w:w="50" w:type="dxa"/>
              <w:left w:w="90" w:type="dxa"/>
              <w:right w:w="90" w:type="dxa"/>
            </w:tcMar>
            <w:shd w:val="clear" w:color="auto" w:fill="E5F5FF"/>
          </w:tcPr>
          <w:p>
            <w:pPr>
              <w:pStyle w:val="BDOITable"/>
            </w:pPr>
            <w:r>
              <w:rPr>
                <w:sz w:val="16"/>
              </w:rPr>
              <w:t>GNG-1 passed (Cutover Runbook)</w:t>
            </w:r>
          </w:p>
        </w:tc>
        <w:tc>
          <w:tcPr>
            <w:tcW w:type="dxa" w:w="2823"/>
            <w:tcMar>
              <w:top w:w="50" w:type="dxa"/>
              <w:bottom w:w="50" w:type="dxa"/>
              <w:left w:w="90" w:type="dxa"/>
              <w:right w:w="90" w:type="dxa"/>
            </w:tcMar>
            <w:shd w:val="clear" w:color="auto" w:fill="E5F5FF"/>
          </w:tcPr>
          <w:p>
            <w:pPr>
              <w:pStyle w:val="BDOITable"/>
            </w:pPr>
            <w:r>
              <w:rPr>
                <w:sz w:val="16"/>
              </w:rPr>
              <w:t>GNG-3 GO; hypercare exit criteria (Cutover Runbook)</w:t>
            </w:r>
          </w:p>
        </w:tc>
      </w:tr>
    </w:tbl>
    <w:p>
      <w:pPr>
        <w:pStyle w:val="BDOISpacer"/>
      </w:pPr>
    </w:p>
    <w:p>
      <w:r>
        <w:rPr/>
        <w:t>Defects found in a cycle are fixed before the next one: in legacy (cleansing), in the code maps, in the layouts or in the loaders. The next cycle uses fresh extracts, so every fix is proven with new data.</w:t>
      </w:r>
    </w:p>
    <w:p>
      <w:pPr>
        <w:pStyle w:val="Heading2"/>
      </w:pPr>
      <w:bookmarkStart w:id="147" w:name="_Toc000147"/>
      <w:r>
        <w:rPr/>
        <w:t>10.2 Test data and masking</w:t>
      </w:r>
      <w:bookmarkEnd w:id="147"/>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48" w:name="_Toc000148"/>
      <w:r>
        <w:rPr/>
        <w:t>11 Cutover strategy</w:t>
      </w:r>
      <w:bookmarkEnd w:id="148"/>
    </w:p>
    <w:p>
      <w:pPr>
        <w:pStyle w:val="Heading2"/>
      </w:pPr>
      <w:bookmarkStart w:id="149" w:name="_Toc000149"/>
      <w:r>
        <w:rPr/>
        <w:t>11.1 Approach</w:t>
      </w:r>
      <w:bookmarkEnd w:id="149"/>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RA-sent file and the provisional GL opening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Year-end cut-over.</w:t>
      </w:r>
      <w:r>
        <w:rPr/>
        <w:t xml:space="preserve"> The BDOI timeline sets go-live in January 2028 (DMQ25). The recommendation below (DMQ39, register DCR-242) awaits Comptrollership confirmation at M6 (1 October 2027).</w:t>
      </w:r>
    </w:p>
    <w:p>
      <w:pPr>
        <w:pStyle w:val="Caption"/>
        <w:keepNext/>
        <w:spacing w:after="60"/>
      </w:pPr>
      <w:r>
        <w:rPr>
          <w:b/>
          <w:i w:val="0"/>
        </w:rPr>
        <w:t xml:space="preserve">Table 30: </w:t>
      </w:r>
      <w:r>
        <w:rPr/>
        <w:t>Year-end cut-over options (DMQ39)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Assessment</w:t>
            </w:r>
          </w:p>
        </w:tc>
      </w:tr>
      <w:tr>
        <w:trPr>
          <w:cantSplit w:val="true"/>
        </w:trPr>
        <w:tc>
          <w:tcPr>
            <w:tcW w:type="dxa" w:w="2163"/>
            <w:tcMar>
              <w:top w:w="50" w:type="dxa"/>
              <w:bottom w:w="50" w:type="dxa"/>
              <w:left w:w="90" w:type="dxa"/>
              <w:right w:w="90" w:type="dxa"/>
            </w:tcMar>
          </w:tcPr>
          <w:p>
            <w:pPr>
              <w:pStyle w:val="BDOITable"/>
            </w:pPr>
            <w:r>
              <w:rPr>
                <w:b/>
                <w:sz w:val="17"/>
              </w:rPr>
              <w:t>A. Go-live at the year-end boundary (recommended)</w:t>
            </w:r>
          </w:p>
        </w:tc>
        <w:tc>
          <w:tcPr>
            <w:tcW w:type="dxa" w:w="3965"/>
            <w:tcMar>
              <w:top w:w="50" w:type="dxa"/>
              <w:bottom w:w="50" w:type="dxa"/>
              <w:left w:w="90" w:type="dxa"/>
              <w:right w:w="90" w:type="dxa"/>
            </w:tcMar>
          </w:tcPr>
          <w:p>
            <w:pPr>
              <w:pStyle w:val="BDOITable"/>
            </w:pPr>
            <w:r>
              <w:rPr>
                <w:sz w:val="17"/>
              </w:rPr>
              <w:t>Go-live Monday 3 January 2028. Legacy processes to 31 December 2027 and closes FY2027. BIBS opens with the open items at 31 December and a provisional GL opening trial balance from the preliminary December TB: balance sheet only, the FY2027 result in retained earnings, P&amp;L at zero in FY2028. The legacy GL stays open only for FY2027 closing and audit adjustments, restricted to Comptrollership, with no new business. Each adjustment reaches BIBS as a controlled opening-balance adjustment journal in the opening period: true-up 1 after the legacy year-end close (about mid to late January 2028), the final true-up after the audited financial statements (about March-April 2028). December soft close by about 20 December 2027. FY2027 BIR annual returns and the FY2027 audit from legacy; FY2028 from BIBS</w:t>
            </w:r>
          </w:p>
        </w:tc>
        <w:tc>
          <w:tcPr>
            <w:tcW w:type="dxa" w:w="3845"/>
            <w:tcMar>
              <w:top w:w="50" w:type="dxa"/>
              <w:bottom w:w="50" w:type="dxa"/>
              <w:left w:w="90" w:type="dxa"/>
              <w:right w:w="90" w:type="dxa"/>
            </w:tcMar>
          </w:tcPr>
          <w:p>
            <w:pPr>
              <w:pStyle w:val="BDOITable"/>
            </w:pPr>
            <w:r>
              <w:rPr>
                <w:sz w:val="17"/>
              </w:rPr>
              <w:t>Recommended. One fiscal year per system; no P&amp;L migration; books of accounts and BIR returns never split inside a year; the late adjustments are few, approved and reconciled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 Go-live after the first-quarter close (April 2028)</w:t>
            </w:r>
          </w:p>
        </w:tc>
        <w:tc>
          <w:tcPr>
            <w:tcW w:type="dxa" w:w="3965"/>
            <w:tcMar>
              <w:top w:w="50" w:type="dxa"/>
              <w:bottom w:w="50" w:type="dxa"/>
              <w:left w:w="90" w:type="dxa"/>
              <w:right w:w="90" w:type="dxa"/>
            </w:tcMar>
            <w:shd w:val="clear" w:color="auto" w:fill="E5F5FF"/>
          </w:tcPr>
          <w:p>
            <w:pPr>
              <w:pStyle w:val="BDOITable"/>
            </w:pPr>
            <w:r>
              <w:rPr>
                <w:sz w:val="17"/>
              </w:rPr>
              <w:t>Legacy runs January-March 2028; BIBS opens in April with the open items and the TB at 31 March, including the year-to-date P&amp;L by account, branch and month</w:t>
            </w:r>
          </w:p>
        </w:tc>
        <w:tc>
          <w:tcPr>
            <w:tcW w:type="dxa" w:w="3845"/>
            <w:tcMar>
              <w:top w:w="50" w:type="dxa"/>
              <w:bottom w:w="50" w:type="dxa"/>
              <w:left w:w="90" w:type="dxa"/>
              <w:right w:w="90" w:type="dxa"/>
            </w:tcMar>
            <w:shd w:val="clear" w:color="auto" w:fill="E5F5FF"/>
          </w:tcPr>
          <w:p>
            <w:pPr>
              <w:pStyle w:val="BDOITable"/>
            </w:pPr>
            <w:r>
              <w:rPr>
                <w:sz w:val="17"/>
              </w:rPr>
              <w:t>Not recommended. Go-live moves three months off the BDOI timeline; FY2028 is split across two systems (first-quarter books and returns from legacy, the rest and the annual returns from BIBS); the year-to-date P&amp;L must be migrated and reconciled month by month; the FY2027 audit and the renewal peak fall in the cut-over period</w:t>
            </w:r>
          </w:p>
        </w:tc>
      </w:tr>
      <w:tr>
        <w:trPr>
          <w:cantSplit w:val="true"/>
        </w:trPr>
        <w:tc>
          <w:tcPr>
            <w:tcW w:type="dxa" w:w="2163"/>
            <w:tcMar>
              <w:top w:w="50" w:type="dxa"/>
              <w:bottom w:w="50" w:type="dxa"/>
              <w:left w:w="90" w:type="dxa"/>
              <w:right w:w="90" w:type="dxa"/>
            </w:tcMar>
          </w:tcPr>
          <w:p>
            <w:pPr>
              <w:pStyle w:val="BDOITable"/>
            </w:pPr>
            <w:r>
              <w:rPr>
                <w:sz w:val="17"/>
              </w:rPr>
              <w:t>C. Two books in parallel for the first quarter of 2028</w:t>
            </w:r>
          </w:p>
        </w:tc>
        <w:tc>
          <w:tcPr>
            <w:tcW w:type="dxa" w:w="3965"/>
            <w:tcMar>
              <w:top w:w="50" w:type="dxa"/>
              <w:bottom w:w="50" w:type="dxa"/>
              <w:left w:w="90" w:type="dxa"/>
              <w:right w:w="90" w:type="dxa"/>
            </w:tcMar>
          </w:tcPr>
          <w:p>
            <w:pPr>
              <w:pStyle w:val="BDOITable"/>
            </w:pPr>
            <w:r>
              <w:rPr>
                <w:sz w:val="17"/>
              </w:rPr>
              <w:t>BIBS goes live in January and legacy also keeps the books for January-March</w:t>
            </w:r>
          </w:p>
        </w:tc>
        <w:tc>
          <w:tcPr>
            <w:tcW w:type="dxa" w:w="3845"/>
            <w:tcMar>
              <w:top w:w="50" w:type="dxa"/>
              <w:bottom w:w="50" w:type="dxa"/>
              <w:left w:w="90" w:type="dxa"/>
              <w:right w:w="90" w:type="dxa"/>
            </w:tcMar>
          </w:tcPr>
          <w:p>
            <w:pPr>
              <w:pStyle w:val="BDOITable"/>
            </w:pPr>
            <w:r>
              <w:rPr>
                <w:sz w:val="17"/>
              </w:rPr>
              <w:t>Not recommended. Every transaction is keyed twice for three months; two ledgers must be reconciled every day and diverge on every rule difference; it breaks the rule of one processing system per item (BRD p.5); the book of record for BIR is unclear; the extra work falls in the January renewal peak</w:t>
            </w:r>
          </w:p>
        </w:tc>
      </w:tr>
    </w:tbl>
    <w:p>
      <w:pPr>
        <w:pStyle w:val="BDOISpacer"/>
      </w:pPr>
    </w:p>
    <w:p>
      <w:r>
        <w:rPr/>
        <w:t xml:space="preserve">If BDOI wants more assurance in January, Comptrollership </w:t>
      </w:r>
      <w:r>
        <w:rPr>
          <w:b/>
        </w:rPr>
        <w:t>compares reports instead of keeping two books</w:t>
      </w:r>
      <w:r>
        <w:rPr/>
        <w:t>: the BIBS opening reports against their legacy counterparts at 31 December (trial balance; premium receivable, DTIP, commission receivable and UPP by insurer and age), and the January month-end reports of BIBS (trial balance, GL schedules, Cash Receipts and Cash Disbursements Books, remittance schedules) against the opening position and the January activity.</w:t>
      </w:r>
    </w:p>
    <w:p>
      <w:r>
        <w:rPr>
          <w:b/>
        </w:rPr>
        <w:t>True-ups and their controls.</w:t>
      </w:r>
      <w:r>
        <w:rPr/>
        <w:t xml:space="preserve"> The last legacy business day is Wednesday 29 December 2027 (30 and 31 December are holidays); the last legacy EOD runs on 31 December and the business freeze follows. From then on:</w:t>
      </w:r>
    </w:p>
    <w:p>
      <w:pPr>
        <w:pStyle w:val="Caption"/>
        <w:keepNext/>
        <w:spacing w:after="60"/>
      </w:pPr>
      <w:r>
        <w:rPr>
          <w:b/>
          <w:i w:val="0"/>
        </w:rPr>
        <w:t xml:space="preserve">Table 31: </w:t>
      </w:r>
      <w:r>
        <w:rPr/>
        <w:t>FY2027 true-up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527"/>
        <w:gridCol w:w="3965"/>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Control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527"/>
            <w:tcMar>
              <w:top w:w="50" w:type="dxa"/>
              <w:bottom w:w="50" w:type="dxa"/>
              <w:left w:w="90" w:type="dxa"/>
              <w:right w:w="90" w:type="dxa"/>
            </w:tcMar>
          </w:tcPr>
          <w:p>
            <w:pPr>
              <w:pStyle w:val="BDOITable"/>
            </w:pPr>
            <w:r>
              <w:rPr>
                <w:sz w:val="17"/>
              </w:rPr>
              <w:t>Legacy business modules read-only from the freeze; no new business in legacy</w:t>
            </w:r>
          </w:p>
        </w:tc>
        <w:tc>
          <w:tcPr>
            <w:tcW w:type="dxa" w:w="3965"/>
            <w:tcMar>
              <w:top w:w="50" w:type="dxa"/>
              <w:bottom w:w="50" w:type="dxa"/>
              <w:left w:w="90" w:type="dxa"/>
              <w:right w:w="90" w:type="dxa"/>
            </w:tcMar>
          </w:tcPr>
          <w:p>
            <w:pPr>
              <w:pStyle w:val="BDOITable"/>
            </w:pPr>
            <w:r>
              <w:rPr>
                <w:sz w:val="17"/>
              </w:rPr>
              <w:t>Freeze test in the runbook</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527"/>
            <w:tcMar>
              <w:top w:w="50" w:type="dxa"/>
              <w:bottom w:w="50" w:type="dxa"/>
              <w:left w:w="90" w:type="dxa"/>
              <w:right w:w="90" w:type="dxa"/>
            </w:tcMar>
            <w:shd w:val="clear" w:color="auto" w:fill="E5F5FF"/>
          </w:tcPr>
          <w:p>
            <w:pPr>
              <w:pStyle w:val="BDOITable"/>
            </w:pPr>
            <w:r>
              <w:rPr>
                <w:sz w:val="17"/>
              </w:rPr>
              <w:t>Legacy GL open only for FY2027 periods and only for the Comptrollership users named on a signed access list; FY2028 periods never opened in legacy</w:t>
            </w:r>
          </w:p>
        </w:tc>
        <w:tc>
          <w:tcPr>
            <w:tcW w:type="dxa" w:w="3965"/>
            <w:tcMar>
              <w:top w:w="50" w:type="dxa"/>
              <w:bottom w:w="50" w:type="dxa"/>
              <w:left w:w="90" w:type="dxa"/>
              <w:right w:w="90" w:type="dxa"/>
            </w:tcMar>
            <w:shd w:val="clear" w:color="auto" w:fill="E5F5FF"/>
          </w:tcPr>
          <w:p>
            <w:pPr>
              <w:pStyle w:val="BDOITable"/>
            </w:pPr>
            <w:r>
              <w:rPr>
                <w:sz w:val="17"/>
              </w:rPr>
              <w:t>Access list; legacy period status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527"/>
            <w:tcMar>
              <w:top w:w="50" w:type="dxa"/>
              <w:bottom w:w="50" w:type="dxa"/>
              <w:left w:w="90" w:type="dxa"/>
              <w:right w:w="90" w:type="dxa"/>
            </w:tcMar>
          </w:tcPr>
          <w:p>
            <w:pPr>
              <w:pStyle w:val="BDOITable"/>
            </w:pPr>
            <w:r>
              <w:rPr>
                <w:sz w:val="17"/>
              </w:rPr>
              <w:t>Every legacy journal after the freeze entered in the FY2027 adjustment register (kind closing or audit, reason, preparer, approver)</w:t>
            </w:r>
          </w:p>
        </w:tc>
        <w:tc>
          <w:tcPr>
            <w:tcW w:type="dxa" w:w="3965"/>
            <w:tcMar>
              <w:top w:w="50" w:type="dxa"/>
              <w:bottom w:w="50" w:type="dxa"/>
              <w:left w:w="90" w:type="dxa"/>
              <w:right w:w="90" w:type="dxa"/>
            </w:tcMar>
          </w:tcPr>
          <w:p>
            <w:pPr>
              <w:pStyle w:val="BDOITable"/>
            </w:pPr>
            <w:r>
              <w:rPr>
                <w:sz w:val="17"/>
              </w:rPr>
              <w:t>Register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527"/>
            <w:tcMar>
              <w:top w:w="50" w:type="dxa"/>
              <w:bottom w:w="50" w:type="dxa"/>
              <w:left w:w="90" w:type="dxa"/>
              <w:right w:w="90" w:type="dxa"/>
            </w:tcMar>
            <w:shd w:val="clear" w:color="auto" w:fill="E5F5FF"/>
          </w:tcPr>
          <w:p>
            <w:pPr>
              <w:pStyle w:val="BDOITable"/>
            </w:pPr>
            <w:r>
              <w:rPr>
                <w:sz w:val="17"/>
              </w:rPr>
              <w:t>Each true-up is prepared by the Comptrollership GL lead and approved by the Head of Comptrollership (never the same person); it posts as an opening-balance adjustment journal dated 1 January 2028; FY2027 P&amp;L effects go to retained earnings; adjustments on the legacy control accounts come with their invoice or UPP detail</w:t>
            </w:r>
          </w:p>
        </w:tc>
        <w:tc>
          <w:tcPr>
            <w:tcW w:type="dxa" w:w="3965"/>
            <w:tcMar>
              <w:top w:w="50" w:type="dxa"/>
              <w:bottom w:w="50" w:type="dxa"/>
              <w:left w:w="90" w:type="dxa"/>
              <w:right w:w="90" w:type="dxa"/>
            </w:tcMar>
            <w:shd w:val="clear" w:color="auto" w:fill="E5F5FF"/>
          </w:tcPr>
          <w:p>
            <w:pPr>
              <w:pStyle w:val="BDOITable"/>
            </w:pPr>
            <w:r>
              <w:rPr>
                <w:sz w:val="17"/>
              </w:rPr>
              <w:t>True-up record in the Migration Console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527"/>
            <w:tcMar>
              <w:top w:w="50" w:type="dxa"/>
              <w:bottom w:w="50" w:type="dxa"/>
              <w:left w:w="90" w:type="dxa"/>
              <w:right w:w="90" w:type="dxa"/>
            </w:tcMar>
          </w:tcPr>
          <w:p>
            <w:pPr>
              <w:pStyle w:val="BDOITable"/>
            </w:pPr>
            <w:r>
              <w:rPr>
                <w:sz w:val="17"/>
              </w:rPr>
              <w:t>Each true-up is reconciled before sign-off: cut-off (legacy journal listing = register = true-up), movement (true-up = change of the legacy TB), balance (BIBS opening = legacy TB), Migration Clearing 0.00</w:t>
            </w:r>
          </w:p>
        </w:tc>
        <w:tc>
          <w:tcPr>
            <w:tcW w:type="dxa" w:w="3965"/>
            <w:tcMar>
              <w:top w:w="50" w:type="dxa"/>
              <w:bottom w:w="50" w:type="dxa"/>
              <w:left w:w="90" w:type="dxa"/>
              <w:right w:w="90" w:type="dxa"/>
            </w:tcMar>
          </w:tcPr>
          <w:p>
            <w:pPr>
              <w:pStyle w:val="BDOITable"/>
            </w:pPr>
            <w:r>
              <w:rPr>
                <w:sz w:val="17"/>
              </w:rPr>
              <w:t>MIG-TRUEUP-RECON, signed (Reconciliation Approach)</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527"/>
            <w:tcMar>
              <w:top w:w="50" w:type="dxa"/>
              <w:bottom w:w="50" w:type="dxa"/>
              <w:left w:w="90" w:type="dxa"/>
              <w:right w:w="90" w:type="dxa"/>
            </w:tcMar>
            <w:shd w:val="clear" w:color="auto" w:fill="E5F5FF"/>
          </w:tcPr>
          <w:p>
            <w:pPr>
              <w:pStyle w:val="BDOITable"/>
            </w:pPr>
            <w:r>
              <w:rPr>
                <w:sz w:val="17"/>
              </w:rPr>
              <w:t>When January 2028 is already closed, it is reopened for the posting only and closed again the same day; no other journal may post in the window</w:t>
            </w:r>
          </w:p>
        </w:tc>
        <w:tc>
          <w:tcPr>
            <w:tcW w:type="dxa" w:w="3965"/>
            <w:tcMar>
              <w:top w:w="50" w:type="dxa"/>
              <w:bottom w:w="50" w:type="dxa"/>
              <w:left w:w="90" w:type="dxa"/>
              <w:right w:w="90" w:type="dxa"/>
            </w:tcMar>
            <w:shd w:val="clear" w:color="auto" w:fill="E5F5FF"/>
          </w:tcPr>
          <w:p>
            <w:pPr>
              <w:pStyle w:val="BDOITable"/>
            </w:pPr>
            <w:r>
              <w:rPr>
                <w:sz w:val="17"/>
              </w:rPr>
              <w:t>Period audit trail</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527"/>
            <w:tcMar>
              <w:top w:w="50" w:type="dxa"/>
              <w:bottom w:w="50" w:type="dxa"/>
              <w:left w:w="90" w:type="dxa"/>
              <w:right w:w="90" w:type="dxa"/>
            </w:tcMar>
          </w:tcPr>
          <w:p>
            <w:pPr>
              <w:pStyle w:val="BDOITable"/>
            </w:pPr>
            <w:r>
              <w:rPr>
                <w:sz w:val="17"/>
              </w:rPr>
              <w:t>After the final true-up the legacy GL is locked and the true-ups are closed (about 2 May 2028); a later FY2027 finding is a prior-period adjustment in BIBS outside the migration</w:t>
            </w:r>
          </w:p>
        </w:tc>
        <w:tc>
          <w:tcPr>
            <w:tcW w:type="dxa" w:w="3965"/>
            <w:tcMar>
              <w:top w:w="50" w:type="dxa"/>
              <w:bottom w:w="50" w:type="dxa"/>
              <w:left w:w="90" w:type="dxa"/>
              <w:right w:w="90" w:type="dxa"/>
            </w:tcMar>
          </w:tcPr>
          <w:p>
            <w:pPr>
              <w:pStyle w:val="BDOITable"/>
            </w:pPr>
            <w:r>
              <w:rPr>
                <w:sz w:val="17"/>
              </w:rPr>
              <w:t>Closure sign-off</w:t>
            </w:r>
          </w:p>
        </w:tc>
      </w:tr>
    </w:tbl>
    <w:p>
      <w:pPr>
        <w:pStyle w:val="BDOISpacer"/>
      </w:pPr>
    </w:p>
    <w:p>
      <w:pPr>
        <w:pStyle w:val="Heading2"/>
      </w:pPr>
      <w:bookmarkStart w:id="150" w:name="_Toc000150"/>
      <w:r>
        <w:rPr/>
        <w:t>11.2 Freeze windows</w:t>
      </w:r>
      <w:bookmarkEnd w:id="150"/>
    </w:p>
    <w:p>
      <w:pPr>
        <w:pStyle w:val="Caption"/>
        <w:keepNext/>
        <w:spacing w:after="60"/>
      </w:pPr>
      <w:r>
        <w:rPr>
          <w:b/>
          <w:i w:val="0"/>
        </w:rPr>
        <w:t xml:space="preserve">Table 32: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rPr>
          <w:cantSplit w:val="true"/>
        </w:trP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defect approved by the go / no-go board</w:t>
            </w:r>
          </w:p>
        </w:tc>
      </w:tr>
    </w:tbl>
    <w:p>
      <w:pPr>
        <w:pStyle w:val="BDOISpacer"/>
      </w:pPr>
    </w:p>
    <w:p>
      <w:pPr>
        <w:pStyle w:val="Heading2"/>
      </w:pPr>
      <w:bookmarkStart w:id="151" w:name="_Toc000151"/>
      <w:r>
        <w:rPr/>
        <w:t>11.3 Parallel run</w:t>
      </w:r>
      <w:bookmarkEnd w:id="151"/>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four trial migrations and the dress rehearsal on full extracts, the go / no-go criteria measured on production data, the rollback point until the go / no-go, and the daily hypercare reconciliation after go-live.</w:t>
      </w:r>
    </w:p>
    <w:p>
      <w:pPr>
        <w:pStyle w:val="Heading2"/>
      </w:pPr>
      <w:bookmarkStart w:id="152" w:name="_Toc000152"/>
      <w:r>
        <w:rPr/>
        <w:t>11.4 Go / no-go</w:t>
      </w:r>
      <w:bookmarkEnd w:id="152"/>
    </w:p>
    <w:p>
      <w:r>
        <w:rPr/>
        <w:t>Three checkpoints decide the cutover. The criteria are measured by BIBS and recorded with their values (FR-DM-121). GNG-3 is the go-live decision on the Sunday before go-live at 18:00 (2 January 2028 for the recommended date):</w:t>
      </w:r>
    </w:p>
    <w:p>
      <w:pPr>
        <w:pStyle w:val="Caption"/>
        <w:keepNext/>
        <w:spacing w:after="60"/>
      </w:pPr>
      <w:r>
        <w:rPr>
          <w:b/>
          <w:i w:val="0"/>
        </w:rPr>
        <w:t xml:space="preserve">Table 33: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r>
        <w:trPr>
          <w:cantSplit w:val="true"/>
        </w:trPr>
        <w:tc>
          <w:tcPr>
            <w:tcW w:type="dxa" w:w="481"/>
            <w:tcMar>
              <w:top w:w="50" w:type="dxa"/>
              <w:bottom w:w="50" w:type="dxa"/>
              <w:left w:w="90" w:type="dxa"/>
              <w:right w:w="90" w:type="dxa"/>
            </w:tcMar>
          </w:tcPr>
          <w:p>
            <w:pPr>
              <w:pStyle w:val="BDOITable"/>
            </w:pPr>
            <w:r>
              <w:rPr>
                <w:sz w:val="18"/>
              </w:rPr>
              <w:t>11</w:t>
            </w:r>
          </w:p>
        </w:tc>
        <w:tc>
          <w:tcPr>
            <w:tcW w:type="dxa" w:w="5767"/>
            <w:tcMar>
              <w:top w:w="50" w:type="dxa"/>
              <w:bottom w:w="50" w:type="dxa"/>
              <w:left w:w="90" w:type="dxa"/>
              <w:right w:w="90" w:type="dxa"/>
            </w:tcMar>
          </w:tcPr>
          <w:p>
            <w:pPr>
              <w:pStyle w:val="BDOITable"/>
            </w:pPr>
            <w:r>
              <w:rPr>
                <w:sz w:val="18"/>
              </w:rPr>
              <w:t>Preliminary December TB signed as the provisional opening; legacy GL restricted to the named FY2027 adjustment users</w:t>
            </w:r>
          </w:p>
        </w:tc>
        <w:tc>
          <w:tcPr>
            <w:tcW w:type="dxa" w:w="3724"/>
            <w:tcMar>
              <w:top w:w="50" w:type="dxa"/>
              <w:bottom w:w="50" w:type="dxa"/>
              <w:left w:w="90" w:type="dxa"/>
              <w:right w:w="90" w:type="dxa"/>
            </w:tcMar>
          </w:tcPr>
          <w:p>
            <w:pPr>
              <w:pStyle w:val="BDOITable"/>
            </w:pPr>
            <w:r>
              <w:rPr>
                <w:sz w:val="18"/>
              </w:rPr>
              <w:t>Signed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12</w:t>
            </w:r>
          </w:p>
        </w:tc>
        <w:tc>
          <w:tcPr>
            <w:tcW w:type="dxa" w:w="5767"/>
            <w:tcMar>
              <w:top w:w="50" w:type="dxa"/>
              <w:bottom w:w="50" w:type="dxa"/>
              <w:left w:w="90" w:type="dxa"/>
              <w:right w:w="90" w:type="dxa"/>
            </w:tcMar>
            <w:shd w:val="clear" w:color="auto" w:fill="E5F5FF"/>
          </w:tcPr>
          <w:p>
            <w:pPr>
              <w:pStyle w:val="BDOITable"/>
            </w:pPr>
            <w:r>
              <w:rPr>
                <w:sz w:val="18"/>
              </w:rPr>
              <w:t>Headers of every expiry up to 31 May 2028 loaded; RA-sent file loaded; Renewal January staffing plan</w:t>
            </w:r>
          </w:p>
        </w:tc>
        <w:tc>
          <w:tcPr>
            <w:tcW w:type="dxa" w:w="3724"/>
            <w:tcMar>
              <w:top w:w="50" w:type="dxa"/>
              <w:bottom w:w="50" w:type="dxa"/>
              <w:left w:w="90" w:type="dxa"/>
              <w:right w:w="90" w:type="dxa"/>
            </w:tcMar>
            <w:shd w:val="clear" w:color="auto" w:fill="E5F5FF"/>
          </w:tcPr>
          <w:p>
            <w:pPr>
              <w:pStyle w:val="BDOITable"/>
            </w:pPr>
            <w:r>
              <w:rPr>
                <w:sz w:val="18"/>
              </w:rPr>
              <w:t>Complete; confirmed</w:t>
            </w:r>
          </w:p>
        </w:tc>
      </w:tr>
    </w:tbl>
    <w:p>
      <w:pPr>
        <w:pStyle w:val="BDOISpacer"/>
      </w:pPr>
    </w:p>
    <w:p>
      <w:r>
        <w:rPr/>
        <w:t>GNG-1 (T-15, start the pre-load) and GNG-2 (T-5, enter the freeze) are in the Cutover Runbook.</w:t>
      </w:r>
    </w:p>
    <w:p>
      <w:pPr>
        <w:pStyle w:val="Heading2"/>
      </w:pPr>
      <w:bookmarkStart w:id="153" w:name="_Toc000153"/>
      <w:r>
        <w:rPr/>
        <w:t>11.5 Rollback</w:t>
      </w:r>
      <w:bookmarkEnd w:id="153"/>
    </w:p>
    <w:p>
      <w:r>
        <w:rPr/>
        <w:t>Until the go / no-go decision the rollback is a restore of the production database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the Cutover Runbook.</w:t>
      </w:r>
    </w:p>
    <w:p>
      <w:pPr>
        <w:pStyle w:val="Heading2"/>
      </w:pPr>
      <w:bookmarkStart w:id="154" w:name="_Toc000154"/>
      <w:r>
        <w:rPr/>
        <w:t>11.6 Hypercare</w:t>
      </w:r>
      <w:bookmarkEnd w:id="154"/>
    </w:p>
    <w:p>
      <w:r>
        <w:rPr/>
        <w:t>Hypercare runs from go-live to the first month-end close. Every day: Migration Clearing 0.00, legacy control accounts against their sub-ledgers, automatch results, the urgent January renewals, exception queues and failed jobs; defect triage twice a day. True-up 1 is posted and reconciled before the January close. Exit requires no open Critical or High defect, 10 consecutive business days of clean daily checks, true-up 1 signed, and the first month-end close with the ACSL GL-SL reconciliation (context LEGACY) without difference.</w:t>
      </w:r>
    </w:p>
    <w:p>
      <w:pPr>
        <w:pStyle w:val="Heading2"/>
      </w:pPr>
      <w:bookmarkStart w:id="155" w:name="_Toc000155"/>
      <w:r>
        <w:rPr/>
        <w:t>11.7 In-flight items at the freeze</w:t>
      </w:r>
      <w:bookmarkEnd w:id="155"/>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A renewal placed or bound in legacy but not booked is such an item: it is booked in legacy before the freeze so that its new term migrates as a header. The runbook schedules the completion drives from T-12.</w:t>
      </w:r>
    </w:p>
    <w:p>
      <w:pPr>
        <w:pStyle w:val="Heading2"/>
      </w:pPr>
      <w:bookmarkStart w:id="156" w:name="_Toc000156"/>
      <w:r>
        <w:rPr/>
        <w:t>11.8 Decommissioning</w:t>
      </w:r>
      <w:bookmarkEnd w:id="156"/>
    </w:p>
    <w:p>
      <w:r>
        <w:rPr/>
        <w:t>Each legacy system is decommissioned only against a signed checklist (FR-DM-123): final extracts reconciled, for EBIX and ISYS the final true-up reconciled and the legacy GL locked,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the Cutover Runbook.</w:t>
      </w:r>
    </w:p>
    <w:p>
      <w:pPr>
        <w:pStyle w:val="Heading1"/>
        <w:pageBreakBefore/>
        <w:pBdr>
          <w:bottom w:val="single" w:sz="4" w:space="4" w:color="99C1E7"/>
        </w:pBdr>
      </w:pPr>
      <w:bookmarkStart w:id="157" w:name="_Toc000157"/>
      <w:r>
        <w:rPr/>
        <w:t>12 Data security</w:t>
      </w:r>
      <w:bookmarkEnd w:id="157"/>
    </w:p>
    <w:p>
      <w:r>
        <w:rPr/>
        <w:t>The migration follows the hosting appendix (R7) and the security controls of BIBS.</w:t>
      </w:r>
    </w:p>
    <w:p>
      <w:pPr>
        <w:pStyle w:val="Caption"/>
        <w:keepNext/>
        <w:spacing w:after="60"/>
      </w:pPr>
      <w:r>
        <w:rPr>
          <w:b/>
          <w:i w:val="0"/>
        </w:rPr>
        <w:t xml:space="preserve">Table 34: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Staging payloads and extract files are deleted within 5 days of the batch sign-off or rollback, or of an extract rejection (job MIG_STAGING_PURGE and a lifecycle rule on the intake bucket); an alert is raised when a signed-off batch still has payloads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staging and the intake bucket are reachable only by migration roles and only from the Philippines (network allow-list and VPN at the infrastructure layer)</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(TLS) or SFTP; at rest they are encrypted with KMS keys;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append-only legacy access log</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58" w:name="_Toc000158"/>
      <w:r>
        <w:rPr/>
        <w:t>13 Roles and responsibilities</w:t>
      </w:r>
      <w:bookmarkEnd w:id="158"/>
    </w:p>
    <w:p>
      <w:pPr>
        <w:pStyle w:val="Heading2"/>
      </w:pPr>
      <w:bookmarkStart w:id="159" w:name="_Toc000159"/>
      <w:r>
        <w:rPr/>
        <w:t>13.1 Migration organisation</w:t>
      </w:r>
      <w:bookmarkEnd w:id="159"/>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(loaders, reconciliation, profiling, console); Migration Operator (intake, validation, loads); DevOps (environments, snapshots, access); QA (smoke tests, migration test plan).</w:t>
      </w:r>
    </w:p>
    <w:p>
      <w:pPr>
        <w:pStyle w:val="Heading2"/>
      </w:pPr>
      <w:bookmarkStart w:id="160" w:name="_Toc000160"/>
      <w:r>
        <w:rPr/>
        <w:t>13.2 RACI</w:t>
      </w:r>
      <w:bookmarkEnd w:id="160"/>
    </w:p>
    <w:p>
      <w:r>
        <w:rPr/>
        <w:t>R = responsible, A = accountable, C = consulted, I = informed.</w:t>
      </w:r>
    </w:p>
    <w:p>
      <w:pPr>
        <w:pStyle w:val="Caption"/>
        <w:keepNext/>
        <w:spacing w:after="60"/>
      </w:pPr>
      <w:r>
        <w:rPr>
          <w:b/>
          <w:i w:val="0"/>
        </w:rPr>
        <w:t xml:space="preserve">Table 35: </w:t>
      </w:r>
      <w:r>
        <w:rPr/>
        <w:t>RACI. PM = BDOI Program Manager; DML = Data Migration Lead; OWN = data owners; STW = data stewards; BIT = BDOI IT; COMP = Comptrollership; CMP = Compliance; IPM = iorta Project Manager; IML = iorta Migration Lead; IOP = iorta Operator / DevOps;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strategy and this document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Trial migrations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RA-sent file (P03) - template, rejects review, resubmission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Provisional GL opening and FY2027 true-ups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1" w:name="_Toc000161"/>
      <w:r>
        <w:rPr/>
        <w:t>14 Risks and mitigations</w:t>
      </w:r>
      <w:bookmarkEnd w:id="161"/>
    </w:p>
    <w:p>
      <w:pPr>
        <w:pStyle w:val="Caption"/>
        <w:keepNext/>
        <w:spacing w:after="60"/>
      </w:pPr>
      <w:r>
        <w:rPr>
          <w:b/>
          <w:i w:val="0"/>
        </w:rPr>
        <w:t xml:space="preserve">Table 36: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244"/>
            <w:tcMar>
              <w:top w:w="50" w:type="dxa"/>
              <w:bottom w:w="50" w:type="dxa"/>
              <w:left w:w="90" w:type="dxa"/>
              <w:right w:w="90" w:type="dxa"/>
            </w:tcMar>
          </w:tcPr>
          <w:p>
            <w:pPr>
              <w:pStyle w:val="BDOITable"/>
            </w:pPr>
            <w:r>
              <w:rPr>
                <w:sz w:val="16"/>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Profiling of the first full extracts (29 January 2027); "open-balance mode" (open balance loaded as booked, original values in the snapshot);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244"/>
            <w:tcMar>
              <w:top w:w="50" w:type="dxa"/>
              <w:bottom w:w="50" w:type="dxa"/>
              <w:left w:w="90" w:type="dxa"/>
              <w:right w:w="90" w:type="dxa"/>
            </w:tcMar>
            <w:shd w:val="clear" w:color="auto" w:fill="E5F5FF"/>
          </w:tcPr>
          <w:p>
            <w:pPr>
              <w:pStyle w:val="BDOITable"/>
            </w:pPr>
            <w:r>
              <w:rPr>
                <w:sz w:val="16"/>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Reconciliation in every trial migration from Trial migration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244"/>
            <w:tcMar>
              <w:top w:w="50" w:type="dxa"/>
              <w:bottom w:w="50" w:type="dxa"/>
              <w:left w:w="90" w:type="dxa"/>
              <w:right w:w="90" w:type="dxa"/>
            </w:tcMar>
          </w:tcPr>
          <w:p>
            <w:pPr>
              <w:pStyle w:val="BDOITable"/>
            </w:pPr>
            <w:r>
              <w:rPr>
                <w:sz w:val="16"/>
              </w:rPr>
              <w:t>Duplicate clients merged wrongly, or not merged</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244"/>
            <w:tcMar>
              <w:top w:w="50" w:type="dxa"/>
              <w:bottom w:w="50" w:type="dxa"/>
              <w:left w:w="90" w:type="dxa"/>
              <w:right w:w="90" w:type="dxa"/>
            </w:tcMar>
            <w:shd w:val="clear" w:color="auto" w:fill="E5F5FF"/>
          </w:tcPr>
          <w:p>
            <w:pPr>
              <w:pStyle w:val="BDOITable"/>
            </w:pPr>
            <w:r>
              <w:rPr>
                <w:sz w:val="16"/>
              </w:rPr>
              <w:t>Answers to the build-shaping decisions arrive late (M1)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Decisions listed with dates (chapter 15); defaults in configuration where possible; build waves sequenced so late answers change configuration, not code</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244"/>
            <w:tcMar>
              <w:top w:w="50" w:type="dxa"/>
              <w:bottom w:w="50" w:type="dxa"/>
              <w:left w:w="90" w:type="dxa"/>
              <w:right w:w="90" w:type="dxa"/>
            </w:tcMar>
          </w:tcPr>
          <w:p>
            <w:pPr>
              <w:pStyle w:val="BDOITable"/>
            </w:pPr>
            <w:r>
              <w:rPr>
                <w:sz w:val="16"/>
              </w:rPr>
              <w:t>Load time exceeds the cutover window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244"/>
            <w:tcMar>
              <w:top w:w="50" w:type="dxa"/>
              <w:bottom w:w="50" w:type="dxa"/>
              <w:left w:w="90" w:type="dxa"/>
              <w:right w:w="90" w:type="dxa"/>
            </w:tcMar>
            <w:shd w:val="clear" w:color="auto" w:fill="E5F5FF"/>
          </w:tcPr>
          <w:p>
            <w:pPr>
              <w:pStyle w:val="BDOITable"/>
            </w:pPr>
            <w:r>
              <w:rPr>
                <w:sz w:val="16"/>
              </w:rPr>
              <w:t>Endorsements of legacy invoices without policy headers (BRID 9 depends on BRID 4.1)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244"/>
            <w:tcMar>
              <w:top w:w="50" w:type="dxa"/>
              <w:bottom w:w="50" w:type="dxa"/>
              <w:left w:w="90" w:type="dxa"/>
              <w:right w:w="90" w:type="dxa"/>
            </w:tcMar>
          </w:tcPr>
          <w:p>
            <w:pPr>
              <w:pStyle w:val="BDOITable"/>
            </w:pPr>
            <w:r>
              <w:rPr>
                <w:sz w:val="16"/>
              </w:rPr>
              <w:t>Real personal data in a test environment</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244"/>
            <w:tcMar>
              <w:top w:w="50" w:type="dxa"/>
              <w:bottom w:w="50" w:type="dxa"/>
              <w:left w:w="90" w:type="dxa"/>
              <w:right w:w="90" w:type="dxa"/>
            </w:tcMar>
            <w:shd w:val="clear" w:color="auto" w:fill="E5F5FF"/>
          </w:tcPr>
          <w:p>
            <w:pPr>
              <w:pStyle w:val="BDOITable"/>
            </w:pPr>
            <w:r>
              <w:rPr>
                <w:sz w:val="16"/>
              </w:rPr>
              <w:t>Legacy postings after the freeze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244"/>
            <w:tcMar>
              <w:top w:w="50" w:type="dxa"/>
              <w:bottom w:w="50" w:type="dxa"/>
              <w:left w:w="90" w:type="dxa"/>
              <w:right w:w="90" w:type="dxa"/>
            </w:tcMar>
          </w:tcPr>
          <w:p>
            <w:pPr>
              <w:pStyle w:val="BDOITable"/>
            </w:pPr>
            <w:r>
              <w:rPr>
                <w:sz w:val="16"/>
              </w:rPr>
              <w:t>In-flight items forgotten at the freeze</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w:t>
            </w:r>
          </w:p>
        </w:tc>
        <w:tc>
          <w:tcPr>
            <w:tcW w:type="dxa" w:w="3244"/>
            <w:tcMar>
              <w:top w:w="50" w:type="dxa"/>
              <w:bottom w:w="50" w:type="dxa"/>
              <w:left w:w="90" w:type="dxa"/>
              <w:right w:w="90" w:type="dxa"/>
            </w:tcMar>
            <w:shd w:val="clear" w:color="auto" w:fill="E5F5FF"/>
          </w:tcPr>
          <w:p>
            <w:pPr>
              <w:pStyle w:val="BDOITable"/>
            </w:pPr>
            <w:r>
              <w:rPr>
                <w:sz w:val="16"/>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6"/>
              </w:rPr>
              <w:t>11</w:t>
            </w:r>
          </w:p>
        </w:tc>
        <w:tc>
          <w:tcPr>
            <w:tcW w:type="dxa" w:w="3244"/>
            <w:tcMar>
              <w:top w:w="50" w:type="dxa"/>
              <w:bottom w:w="50" w:type="dxa"/>
              <w:left w:w="90" w:type="dxa"/>
              <w:right w:w="90" w:type="dxa"/>
            </w:tcMar>
          </w:tcPr>
          <w:p>
            <w:pPr>
              <w:pStyle w:val="BDOITable"/>
            </w:pPr>
            <w:r>
              <w:rPr>
                <w:sz w:val="16"/>
              </w:rPr>
              <w:t>BDOI steward capacity for cleansing and review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Named stewards per object by M2; profiling report per trial migration with the top issues; review queue sized from Trial migration 1</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12</w:t>
            </w:r>
          </w:p>
        </w:tc>
        <w:tc>
          <w:tcPr>
            <w:tcW w:type="dxa" w:w="3244"/>
            <w:tcMar>
              <w:top w:w="50" w:type="dxa"/>
              <w:bottom w:w="50" w:type="dxa"/>
              <w:left w:w="90" w:type="dxa"/>
              <w:right w:w="90" w:type="dxa"/>
            </w:tcMar>
            <w:shd w:val="clear" w:color="auto" w:fill="E5F5FF"/>
          </w:tcPr>
          <w:p>
            <w:pPr>
              <w:pStyle w:val="BDOITable"/>
            </w:pPr>
            <w:r>
              <w:rPr>
                <w:sz w:val="16"/>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6"/>
              </w:rPr>
              <w:t>13</w:t>
            </w:r>
          </w:p>
        </w:tc>
        <w:tc>
          <w:tcPr>
            <w:tcW w:type="dxa" w:w="3244"/>
            <w:tcMar>
              <w:top w:w="50" w:type="dxa"/>
              <w:bottom w:w="50" w:type="dxa"/>
              <w:left w:w="90" w:type="dxa"/>
              <w:right w:w="90" w:type="dxa"/>
            </w:tcMar>
          </w:tcPr>
          <w:p>
            <w:pPr>
              <w:pStyle w:val="BDOITable"/>
            </w:pPr>
            <w:r>
              <w:rPr>
                <w:sz w:val="16"/>
              </w:rPr>
              <w:t>Foreign-currency openings at the wrong rate (DMQ35)</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14</w:t>
            </w:r>
          </w:p>
        </w:tc>
        <w:tc>
          <w:tcPr>
            <w:tcW w:type="dxa" w:w="3244"/>
            <w:tcMar>
              <w:top w:w="50" w:type="dxa"/>
              <w:bottom w:w="50" w:type="dxa"/>
              <w:left w:w="90" w:type="dxa"/>
              <w:right w:w="90" w:type="dxa"/>
            </w:tcMar>
            <w:shd w:val="clear" w:color="auto" w:fill="E5F5FF"/>
          </w:tcPr>
          <w:p>
            <w:pPr>
              <w:pStyle w:val="BDOITable"/>
            </w:pPr>
            <w:r>
              <w:rPr>
                <w:sz w:val="16"/>
              </w:rPr>
              <w:t>The draft BRD changes when it is signed (DCR-189)</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This document and the FRS are re-issued; decisions are configuration where possible</w:t>
            </w:r>
          </w:p>
        </w:tc>
      </w:tr>
      <w:tr>
        <w:trPr>
          <w:cantSplit w:val="true"/>
        </w:trPr>
        <w:tc>
          <w:tcPr>
            <w:tcW w:type="dxa" w:w="541"/>
            <w:tcMar>
              <w:top w:w="50" w:type="dxa"/>
              <w:bottom w:w="50" w:type="dxa"/>
              <w:left w:w="90" w:type="dxa"/>
              <w:right w:w="90" w:type="dxa"/>
            </w:tcMar>
          </w:tcPr>
          <w:p>
            <w:pPr>
              <w:pStyle w:val="BDOITable"/>
            </w:pPr>
            <w:r>
              <w:rPr>
                <w:sz w:val="16"/>
              </w:rPr>
              <w:t>15</w:t>
            </w:r>
          </w:p>
        </w:tc>
        <w:tc>
          <w:tcPr>
            <w:tcW w:type="dxa" w:w="3244"/>
            <w:tcMar>
              <w:top w:w="50" w:type="dxa"/>
              <w:bottom w:w="50" w:type="dxa"/>
              <w:left w:w="90" w:type="dxa"/>
              <w:right w:w="90" w:type="dxa"/>
            </w:tcMar>
          </w:tcPr>
          <w:p>
            <w:pPr>
              <w:pStyle w:val="BDOITable"/>
            </w:pPr>
            <w:r>
              <w:rPr>
                <w:sz w:val="16"/>
              </w:rPr>
              <w:t>Cut-over over the year-end holidays (24 December 2027 to 1 January 2028)</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Year-end option confirmed by Comptrollership at M6 (DMQ39); tasks moved off holidays in the runbook; roster confirmed at T-29</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16</w:t>
            </w:r>
          </w:p>
        </w:tc>
        <w:tc>
          <w:tcPr>
            <w:tcW w:type="dxa" w:w="3244"/>
            <w:tcMar>
              <w:top w:w="50" w:type="dxa"/>
              <w:bottom w:w="50" w:type="dxa"/>
              <w:left w:w="90" w:type="dxa"/>
              <w:right w:w="90" w:type="dxa"/>
            </w:tcMar>
            <w:shd w:val="clear" w:color="auto" w:fill="E5F5FF"/>
          </w:tcPr>
          <w:p>
            <w:pPr>
              <w:pStyle w:val="BDOITable"/>
            </w:pPr>
            <w:r>
              <w:rPr>
                <w:sz w:val="16"/>
              </w:rPr>
              <w:t>Tight lead time for the January 2028 expiries, processed in BIBS after go-live (DMQ37)</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Day-1 priority queue (go-live extraction at 04:00, January expiries urgent, earliest first); January staffing plan signed at T-20; Renewal team trained and rehearsed on the Trial migration 4 and dress-rehearsal data; RAs already sent loaded so none is re-sent</w:t>
            </w:r>
          </w:p>
        </w:tc>
      </w:tr>
      <w:tr>
        <w:trPr>
          <w:cantSplit w:val="true"/>
        </w:trPr>
        <w:tc>
          <w:tcPr>
            <w:tcW w:type="dxa" w:w="541"/>
            <w:tcMar>
              <w:top w:w="50" w:type="dxa"/>
              <w:bottom w:w="50" w:type="dxa"/>
              <w:left w:w="90" w:type="dxa"/>
              <w:right w:w="90" w:type="dxa"/>
            </w:tcMar>
          </w:tcPr>
          <w:p>
            <w:pPr>
              <w:pStyle w:val="BDOITable"/>
            </w:pPr>
            <w:r>
              <w:rPr>
                <w:sz w:val="16"/>
              </w:rPr>
              <w:t>17</w:t>
            </w:r>
          </w:p>
        </w:tc>
        <w:tc>
          <w:tcPr>
            <w:tcW w:type="dxa" w:w="3244"/>
            <w:tcMar>
              <w:top w:w="50" w:type="dxa"/>
              <w:bottom w:w="50" w:type="dxa"/>
              <w:left w:w="90" w:type="dxa"/>
              <w:right w:w="90" w:type="dxa"/>
            </w:tcMar>
          </w:tcPr>
          <w:p>
            <w:pPr>
              <w:pStyle w:val="BDOITable"/>
            </w:pPr>
            <w:r>
              <w:rPr>
                <w:sz w:val="16"/>
              </w:rPr>
              <w:t>Many candidates in the Renewal Exception bucket because packages are remapped at sanitation (DMQ36)</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PACKAGE map loaded and tested in every trial migration; profiling of the legacy packages of the headers expiring up to 31 May 2028 without an entry, closed by TSU before the map freeze; each Exception-bucket choice fed into the next map version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18</w:t>
            </w:r>
          </w:p>
        </w:tc>
        <w:tc>
          <w:tcPr>
            <w:tcW w:type="dxa" w:w="3244"/>
            <w:tcMar>
              <w:top w:w="50" w:type="dxa"/>
              <w:bottom w:w="50" w:type="dxa"/>
              <w:left w:w="90" w:type="dxa"/>
              <w:right w:w="90" w:type="dxa"/>
            </w:tcMar>
            <w:shd w:val="clear" w:color="auto" w:fill="E5F5FF"/>
          </w:tcPr>
          <w:p>
            <w:pPr>
              <w:pStyle w:val="BDOITable"/>
            </w:pPr>
            <w:r>
              <w:rPr>
                <w:sz w:val="16"/>
              </w:rPr>
              <w:t>A header missing from P01 means a renewal never extracted</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P01 scope includes every expiry up to 31 May 2028 and every booked renewal term starting on or after go-live; P01 reconciled to the legacy in-force list; extraction check at go-live; go / no-go criterion</w:t>
            </w:r>
          </w:p>
        </w:tc>
      </w:tr>
      <w:tr>
        <w:trPr>
          <w:cantSplit w:val="true"/>
        </w:trPr>
        <w:tc>
          <w:tcPr>
            <w:tcW w:type="dxa" w:w="541"/>
            <w:tcMar>
              <w:top w:w="50" w:type="dxa"/>
              <w:bottom w:w="50" w:type="dxa"/>
              <w:left w:w="90" w:type="dxa"/>
              <w:right w:w="90" w:type="dxa"/>
            </w:tcMar>
          </w:tcPr>
          <w:p>
            <w:pPr>
              <w:pStyle w:val="BDOITable"/>
            </w:pPr>
            <w:r>
              <w:rPr>
                <w:sz w:val="16"/>
              </w:rPr>
              <w:t>19</w:t>
            </w:r>
          </w:p>
        </w:tc>
        <w:tc>
          <w:tcPr>
            <w:tcW w:type="dxa" w:w="3244"/>
            <w:tcMar>
              <w:top w:w="50" w:type="dxa"/>
              <w:bottom w:w="50" w:type="dxa"/>
              <w:left w:w="90" w:type="dxa"/>
              <w:right w:w="90" w:type="dxa"/>
            </w:tcMar>
          </w:tcPr>
          <w:p>
            <w:pPr>
              <w:pStyle w:val="BDOITable"/>
            </w:pPr>
            <w:r>
              <w:rPr>
                <w:sz w:val="16"/>
              </w:rPr>
              <w:t>Late or large FY2027 adjustments after go-live (provisional opening, DMQ39)</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December soft close by 20 December 2027; legacy GL restricted to named users and FY2027 periods; adjustment register; cut-off checks and reconciliation at every true-up; true-ups closed about 2 May 2028</w:t>
            </w:r>
          </w:p>
        </w:tc>
      </w:tr>
    </w:tbl>
    <w:p>
      <w:pPr>
        <w:pStyle w:val="BDOISpacer"/>
      </w:pPr>
    </w:p>
    <w:p>
      <w:pPr>
        <w:pStyle w:val="Heading1"/>
        <w:pageBreakBefore/>
        <w:pBdr>
          <w:bottom w:val="single" w:sz="4" w:space="4" w:color="99C1E7"/>
        </w:pBdr>
      </w:pPr>
      <w:bookmarkStart w:id="162" w:name="_Toc000162"/>
      <w:r>
        <w:rPr/>
        <w:t>15 Dependencies and open decisions</w:t>
      </w:r>
      <w:bookmarkEnd w:id="162"/>
    </w:p>
    <w:p>
      <w:pPr>
        <w:pStyle w:val="Heading2"/>
      </w:pPr>
      <w:bookmarkStart w:id="163" w:name="_Toc000163"/>
      <w:r>
        <w:rPr/>
        <w:t>15.1 Dependencies</w:t>
      </w:r>
      <w:bookmarkEnd w:id="163"/>
    </w:p>
    <w:p>
      <w:pPr>
        <w:pStyle w:val="Caption"/>
        <w:keepNext/>
        <w:spacing w:after="60"/>
      </w:pPr>
      <w:r>
        <w:rPr>
          <w:b/>
          <w:i w:val="0"/>
        </w:rPr>
        <w:t xml:space="preserve">Table 37: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Build waves DM0 and DM1-C of the migration module (reference data, clients, headers, RA-sent file, PACKAGE map) deployed on SIT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1 (deployed by 9 Apr 2027)</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Build waves DM1-A, DM1-B, DM2-A, DM2-B (legacy invoices, UPP, reversals, remittance, endorsements, Prod Recon, cutover plan, run-off) deployed on SIT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2 (deployed by 18 Jun 2027)</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Build wave DM3 (end-to-end test, performance harness)</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2 (end-to-end test); dress rehearsal (performance harness)</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in SIT for Trial migration 1 and live at go-live, with the legacy policy source, the go-live extraction (priority, urgent flag, RAs already sent) and the sanitation check PACKAGE_REMAP with the Exception bucket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1; 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legacy rule lines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Trial migration 2 (SIT); T-25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M3 (29 Jan 2027), M4 (9 Apr 2027) and every trial migration</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SFTP drop</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D10</w:t>
            </w:r>
          </w:p>
        </w:tc>
        <w:tc>
          <w:tcPr>
            <w:tcW w:type="dxa" w:w="5647"/>
            <w:tcMar>
              <w:top w:w="50" w:type="dxa"/>
              <w:bottom w:w="50" w:type="dxa"/>
              <w:left w:w="90" w:type="dxa"/>
              <w:right w:w="90" w:type="dxa"/>
            </w:tcMar>
            <w:shd w:val="clear" w:color="auto" w:fill="E5F5FF"/>
          </w:tcPr>
          <w:p>
            <w:pPr>
              <w:pStyle w:val="BDOITable"/>
            </w:pPr>
            <w:r>
              <w:rPr>
                <w:sz w:val="17"/>
              </w:rPr>
              <w:t>Renewal processing team - RA-sent file from the trackers, maker-checker review of rejects, January staffing plan and training</w:t>
            </w:r>
          </w:p>
        </w:tc>
        <w:tc>
          <w:tcPr>
            <w:tcW w:type="dxa" w:w="1922"/>
            <w:tcMar>
              <w:top w:w="50" w:type="dxa"/>
              <w:bottom w:w="50" w:type="dxa"/>
              <w:left w:w="90" w:type="dxa"/>
              <w:right w:w="90" w:type="dxa"/>
            </w:tcMar>
            <w:shd w:val="clear" w:color="auto" w:fill="E5F5FF"/>
          </w:tcPr>
          <w:p>
            <w:pPr>
              <w:pStyle w:val="BDOITable"/>
            </w:pPr>
            <w:r>
              <w:rPr>
                <w:sz w:val="17"/>
              </w:rPr>
              <w:t>BDOI Renewal processing team</w:t>
            </w:r>
          </w:p>
        </w:tc>
        <w:tc>
          <w:tcPr>
            <w:tcW w:type="dxa" w:w="1682"/>
            <w:tcMar>
              <w:top w:w="50" w:type="dxa"/>
              <w:bottom w:w="50" w:type="dxa"/>
              <w:left w:w="90" w:type="dxa"/>
              <w:right w:w="90" w:type="dxa"/>
            </w:tcMar>
            <w:shd w:val="clear" w:color="auto" w:fill="E5F5FF"/>
          </w:tcPr>
          <w:p>
            <w:pPr>
              <w:pStyle w:val="BDOITable"/>
            </w:pPr>
            <w:r>
              <w:rPr>
                <w:sz w:val="17"/>
              </w:rPr>
              <w:t>Trial migration 1 (first file); T-20 (readiness); T-5 (final file)</w:t>
            </w:r>
          </w:p>
        </w:tc>
      </w:tr>
      <w:tr>
        <w:trPr>
          <w:cantSplit w:val="true"/>
        </w:trPr>
        <w:tc>
          <w:tcPr>
            <w:tcW w:type="dxa" w:w="721"/>
            <w:tcMar>
              <w:top w:w="50" w:type="dxa"/>
              <w:bottom w:w="50" w:type="dxa"/>
              <w:left w:w="90" w:type="dxa"/>
              <w:right w:w="90" w:type="dxa"/>
            </w:tcMar>
          </w:tcPr>
          <w:p>
            <w:pPr>
              <w:pStyle w:val="BDOITable"/>
            </w:pPr>
            <w:r>
              <w:rPr>
                <w:sz w:val="17"/>
              </w:rPr>
              <w:t>D11</w:t>
            </w:r>
          </w:p>
        </w:tc>
        <w:tc>
          <w:tcPr>
            <w:tcW w:type="dxa" w:w="5647"/>
            <w:tcMar>
              <w:top w:w="50" w:type="dxa"/>
              <w:bottom w:w="50" w:type="dxa"/>
              <w:left w:w="90" w:type="dxa"/>
              <w:right w:w="90" w:type="dxa"/>
            </w:tcMar>
          </w:tcPr>
          <w:p>
            <w:pPr>
              <w:pStyle w:val="BDOITable"/>
            </w:pPr>
            <w:r>
              <w:rPr>
                <w:sz w:val="17"/>
              </w:rPr>
              <w:t>Comptrollership - confirmation of option A, December soft close, legacy GL access list and FY2027 adjustment register, true-up preparation and approval</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M6; 20 Dec 2027; T-5; T+15 to T+120</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D12</w:t>
            </w:r>
          </w:p>
        </w:tc>
        <w:tc>
          <w:tcPr>
            <w:tcW w:type="dxa" w:w="5647"/>
            <w:tcMar>
              <w:top w:w="50" w:type="dxa"/>
              <w:bottom w:w="50" w:type="dxa"/>
              <w:left w:w="90" w:type="dxa"/>
              <w:right w:w="90" w:type="dxa"/>
            </w:tcMar>
            <w:shd w:val="clear" w:color="auto" w:fill="E5F5FF"/>
          </w:tcPr>
          <w:p>
            <w:pPr>
              <w:pStyle w:val="BDOITable"/>
            </w:pPr>
            <w:r>
              <w:rPr>
                <w:sz w:val="17"/>
              </w:rPr>
              <w:t>External audit of FY2027 timed so that the audited financial statements are available by about April 2028</w:t>
            </w:r>
          </w:p>
        </w:tc>
        <w:tc>
          <w:tcPr>
            <w:tcW w:type="dxa" w:w="1922"/>
            <w:tcMar>
              <w:top w:w="50" w:type="dxa"/>
              <w:bottom w:w="50" w:type="dxa"/>
              <w:left w:w="90" w:type="dxa"/>
              <w:right w:w="90" w:type="dxa"/>
            </w:tcMar>
            <w:shd w:val="clear" w:color="auto" w:fill="E5F5FF"/>
          </w:tcPr>
          <w:p>
            <w:pPr>
              <w:pStyle w:val="BDOITable"/>
            </w:pPr>
            <w:r>
              <w:rPr>
                <w:sz w:val="17"/>
              </w:rPr>
              <w:t>BDOI Comptrollership</w:t>
            </w:r>
          </w:p>
        </w:tc>
        <w:tc>
          <w:tcPr>
            <w:tcW w:type="dxa" w:w="1682"/>
            <w:tcMar>
              <w:top w:w="50" w:type="dxa"/>
              <w:bottom w:w="50" w:type="dxa"/>
              <w:left w:w="90" w:type="dxa"/>
              <w:right w:w="90" w:type="dxa"/>
            </w:tcMar>
            <w:shd w:val="clear" w:color="auto" w:fill="E5F5FF"/>
          </w:tcPr>
          <w:p>
            <w:pPr>
              <w:pStyle w:val="BDOITable"/>
            </w:pPr>
            <w:r>
              <w:rPr>
                <w:sz w:val="17"/>
              </w:rPr>
              <w:t>Final true-up (T+92)</w:t>
            </w:r>
          </w:p>
        </w:tc>
      </w:tr>
    </w:tbl>
    <w:p>
      <w:pPr>
        <w:pStyle w:val="BDOISpacer"/>
      </w:pPr>
    </w:p>
    <w:p>
      <w:pPr>
        <w:pStyle w:val="Heading2"/>
      </w:pPr>
      <w:bookmarkStart w:id="164" w:name="_Toc000164"/>
      <w:r>
        <w:rPr/>
        <w:t>15.2 Open decisions and the date each is needed by</w:t>
      </w:r>
      <w:bookmarkEnd w:id="164"/>
    </w:p>
    <w:p>
      <w:r>
        <w:rPr/>
        <w:t xml:space="preserve">Decisions marked M1 change what is built and are needed by </w:t>
      </w:r>
      <w:r>
        <w:rPr>
          <w:b/>
        </w:rPr>
        <w:t>16 October 2026</w:t>
      </w:r>
      <w:r>
        <w:rPr/>
        <w:t xml:space="preserve">; M2 decisions are needed by </w:t>
      </w:r>
      <w:r>
        <w:rPr>
          <w:b/>
        </w:rPr>
        <w:t>30 October 2026</w:t>
      </w:r>
      <w:r>
        <w:rPr/>
        <w:t>. Both dates are inside the requirements and mapping window of the BDOI timeline (September-October 2026), so the build can start in November 2026 on agreed layouts. The others are tied to the migration calendar. The register column refers to the BRD discrepancy and clarification register (R6). BDOI answered DMQ36, DMQ37 and DMQ38 on 26 September 2026 and answered DMQ39 with a recommendation that Comptrollership confirms at M6; DMQ26 is answered by DMQ37.</w:t>
      </w:r>
    </w:p>
    <w:p>
      <w:pPr>
        <w:pStyle w:val="Caption"/>
        <w:keepNext/>
        <w:spacing w:after="60"/>
      </w:pPr>
      <w:r>
        <w:rPr>
          <w:b/>
          <w:i w:val="0"/>
        </w:rPr>
        <w:t xml:space="preserve">Table 38: </w:t>
      </w:r>
      <w:r>
        <w:rPr/>
        <w:t>Decisions, register items (v1.2)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9"/>
        <w:gridCol w:w="906"/>
        <w:gridCol w:w="1699"/>
        <w:gridCol w:w="1926"/>
        <w:gridCol w:w="1529"/>
        <w:gridCol w:w="1473"/>
        <w:gridCol w:w="1586"/>
      </w:tblGrid>
      <w:tr>
        <w:trPr>
          <w:tblHeader w:val="true"/>
          <w:cantSplit w:val="true"/>
        </w:trPr>
        <w:tc>
          <w:tcPr>
            <w:tcW w:type="dxa" w:w="85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Register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Blocks</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BDOI owner</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50"/>
            <w:tcMar>
              <w:top w:w="50" w:type="dxa"/>
              <w:bottom w:w="50" w:type="dxa"/>
              <w:left w:w="90" w:type="dxa"/>
              <w:right w:w="90" w:type="dxa"/>
            </w:tcMar>
          </w:tcPr>
          <w:p>
            <w:pPr>
              <w:pStyle w:val="BDOITable"/>
            </w:pPr>
            <w:r>
              <w:rPr>
                <w:b/>
                <w:sz w:val="16"/>
              </w:rPr>
              <w:t>DCR-189</w:t>
            </w:r>
          </w:p>
        </w:tc>
        <w:tc>
          <w:tcPr>
            <w:tcW w:type="dxa" w:w="907"/>
            <w:tcMar>
              <w:top w:w="50" w:type="dxa"/>
              <w:bottom w:w="50" w:type="dxa"/>
              <w:left w:w="90" w:type="dxa"/>
              <w:right w:w="90" w:type="dxa"/>
            </w:tcMar>
          </w:tcPr>
          <w:p>
            <w:pPr>
              <w:pStyle w:val="BDOITable"/>
            </w:pPr>
            <w:r>
              <w:rPr>
                <w:sz w:val="16"/>
              </w:rPr>
              <w:t>DCR-189</w:t>
            </w:r>
          </w:p>
        </w:tc>
        <w:tc>
          <w:tcPr>
            <w:tcW w:type="dxa" w:w="1700"/>
            <w:tcMar>
              <w:top w:w="50" w:type="dxa"/>
              <w:bottom w:w="50" w:type="dxa"/>
              <w:left w:w="90" w:type="dxa"/>
              <w:right w:w="90" w:type="dxa"/>
            </w:tcMar>
          </w:tcPr>
          <w:p>
            <w:pPr>
              <w:pStyle w:val="BDOITable"/>
            </w:pPr>
            <w:r>
              <w:rPr>
                <w:sz w:val="16"/>
              </w:rPr>
              <w:t>BRD sign-off</w:t>
            </w:r>
          </w:p>
        </w:tc>
        <w:tc>
          <w:tcPr>
            <w:tcW w:type="dxa" w:w="1926"/>
            <w:tcMar>
              <w:top w:w="50" w:type="dxa"/>
              <w:bottom w:w="50" w:type="dxa"/>
              <w:left w:w="90" w:type="dxa"/>
              <w:right w:w="90" w:type="dxa"/>
            </w:tcMar>
          </w:tcPr>
          <w:p>
            <w:pPr>
              <w:pStyle w:val="BDOITable"/>
            </w:pPr>
            <w:r>
              <w:rPr>
                <w:sz w:val="16"/>
              </w:rPr>
              <w:t>Baseline of this document set; FRS re-issue</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DCR-173</w:t>
            </w:r>
          </w:p>
        </w:tc>
        <w:tc>
          <w:tcPr>
            <w:tcW w:type="dxa" w:w="907"/>
            <w:tcMar>
              <w:top w:w="50" w:type="dxa"/>
              <w:bottom w:w="50" w:type="dxa"/>
              <w:left w:w="90" w:type="dxa"/>
              <w:right w:w="90" w:type="dxa"/>
            </w:tcMar>
            <w:shd w:val="clear" w:color="auto" w:fill="E5F5FF"/>
          </w:tcPr>
          <w:p>
            <w:pPr>
              <w:pStyle w:val="BDOITable"/>
            </w:pPr>
            <w:r>
              <w:rPr>
                <w:sz w:val="16"/>
              </w:rPr>
              <w:t>DCR-173</w:t>
            </w:r>
          </w:p>
        </w:tc>
        <w:tc>
          <w:tcPr>
            <w:tcW w:type="dxa" w:w="1700"/>
            <w:tcMar>
              <w:top w:w="50" w:type="dxa"/>
              <w:bottom w:w="50" w:type="dxa"/>
              <w:left w:w="90" w:type="dxa"/>
              <w:right w:w="90" w:type="dxa"/>
            </w:tcMar>
            <w:shd w:val="clear" w:color="auto" w:fill="E5F5FF"/>
          </w:tcPr>
          <w:p>
            <w:pPr>
              <w:pStyle w:val="BDOITable"/>
            </w:pPr>
            <w:r>
              <w:rPr>
                <w:sz w:val="16"/>
              </w:rPr>
              <w:t>Client migration period and daily client batches</w:t>
            </w:r>
          </w:p>
        </w:tc>
        <w:tc>
          <w:tcPr>
            <w:tcW w:type="dxa" w:w="1926"/>
            <w:tcMar>
              <w:top w:w="50" w:type="dxa"/>
              <w:bottom w:w="50" w:type="dxa"/>
              <w:left w:w="90" w:type="dxa"/>
              <w:right w:w="90" w:type="dxa"/>
            </w:tcMar>
            <w:shd w:val="clear" w:color="auto" w:fill="E5F5FF"/>
          </w:tcPr>
          <w:p>
            <w:pPr>
              <w:pStyle w:val="BDOITable"/>
            </w:pPr>
            <w:r>
              <w:rPr>
                <w:sz w:val="16"/>
              </w:rPr>
              <w:t>C01 scope and delta design; build wave DM1-C</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DMQ01</w:t>
            </w:r>
          </w:p>
        </w:tc>
        <w:tc>
          <w:tcPr>
            <w:tcW w:type="dxa" w:w="907"/>
            <w:tcMar>
              <w:top w:w="50" w:type="dxa"/>
              <w:bottom w:w="50" w:type="dxa"/>
              <w:left w:w="90" w:type="dxa"/>
              <w:right w:w="90" w:type="dxa"/>
            </w:tcMar>
          </w:tcPr>
          <w:p>
            <w:pPr>
              <w:pStyle w:val="BDOITable"/>
            </w:pPr>
            <w:r>
              <w:rPr>
                <w:sz w:val="16"/>
              </w:rPr>
              <w:t>DCR-195</w:t>
            </w:r>
          </w:p>
        </w:tc>
        <w:tc>
          <w:tcPr>
            <w:tcW w:type="dxa" w:w="1700"/>
            <w:tcMar>
              <w:top w:w="50" w:type="dxa"/>
              <w:bottom w:w="50" w:type="dxa"/>
              <w:left w:w="90" w:type="dxa"/>
              <w:right w:w="90" w:type="dxa"/>
            </w:tcMar>
          </w:tcPr>
          <w:p>
            <w:pPr>
              <w:pStyle w:val="BDOITable"/>
            </w:pPr>
            <w:r>
              <w:rPr>
                <w:sz w:val="16"/>
              </w:rPr>
              <w:t>Data object inventory</w:t>
            </w:r>
          </w:p>
        </w:tc>
        <w:tc>
          <w:tcPr>
            <w:tcW w:type="dxa" w:w="1926"/>
            <w:tcMar>
              <w:top w:w="50" w:type="dxa"/>
              <w:bottom w:w="50" w:type="dxa"/>
              <w:left w:w="90" w:type="dxa"/>
              <w:right w:w="90" w:type="dxa"/>
            </w:tcMar>
          </w:tcPr>
          <w:p>
            <w:pPr>
              <w:pStyle w:val="BDOITable"/>
            </w:pPr>
            <w:r>
              <w:rPr>
                <w:sz w:val="16"/>
              </w:rPr>
              <w:t>All objects; gate G1</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DMQ02</w:t>
            </w:r>
          </w:p>
        </w:tc>
        <w:tc>
          <w:tcPr>
            <w:tcW w:type="dxa" w:w="907"/>
            <w:tcMar>
              <w:top w:w="50" w:type="dxa"/>
              <w:bottom w:w="50" w:type="dxa"/>
              <w:left w:w="90" w:type="dxa"/>
              <w:right w:w="90" w:type="dxa"/>
            </w:tcMar>
            <w:shd w:val="clear" w:color="auto" w:fill="E5F5FF"/>
          </w:tcPr>
          <w:p>
            <w:pPr>
              <w:pStyle w:val="BDOITable"/>
            </w:pPr>
            <w:r>
              <w:rPr>
                <w:sz w:val="16"/>
              </w:rPr>
              <w:t>DCR-192</w:t>
            </w:r>
          </w:p>
        </w:tc>
        <w:tc>
          <w:tcPr>
            <w:tcW w:type="dxa" w:w="1700"/>
            <w:tcMar>
              <w:top w:w="50" w:type="dxa"/>
              <w:bottom w:w="50" w:type="dxa"/>
              <w:left w:w="90" w:type="dxa"/>
              <w:right w:w="90" w:type="dxa"/>
            </w:tcMar>
            <w:shd w:val="clear" w:color="auto" w:fill="E5F5FF"/>
          </w:tcPr>
          <w:p>
            <w:pPr>
              <w:pStyle w:val="BDOITable"/>
            </w:pPr>
            <w:r>
              <w:rPr>
                <w:sz w:val="16"/>
              </w:rPr>
              <w:t>Decision rule</w:t>
            </w:r>
          </w:p>
        </w:tc>
        <w:tc>
          <w:tcPr>
            <w:tcW w:type="dxa" w:w="1926"/>
            <w:tcMar>
              <w:top w:w="50" w:type="dxa"/>
              <w:bottom w:w="50" w:type="dxa"/>
              <w:left w:w="90" w:type="dxa"/>
              <w:right w:w="90" w:type="dxa"/>
            </w:tcMar>
            <w:shd w:val="clear" w:color="auto" w:fill="E5F5FF"/>
          </w:tcPr>
          <w:p>
            <w:pPr>
              <w:pStyle w:val="BDOITable"/>
            </w:pPr>
            <w:r>
              <w:rPr>
                <w:sz w:val="16"/>
              </w:rPr>
              <w:t>Gate G1</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DMQ03</w:t>
            </w:r>
          </w:p>
        </w:tc>
        <w:tc>
          <w:tcPr>
            <w:tcW w:type="dxa" w:w="907"/>
            <w:tcMar>
              <w:top w:w="50" w:type="dxa"/>
              <w:bottom w:w="50" w:type="dxa"/>
              <w:left w:w="90" w:type="dxa"/>
              <w:right w:w="90" w:type="dxa"/>
            </w:tcMar>
          </w:tcPr>
          <w:p>
            <w:pPr>
              <w:pStyle w:val="BDOITable"/>
            </w:pPr>
            <w:r>
              <w:rPr>
                <w:sz w:val="16"/>
              </w:rPr>
              <w:t>DCR-195</w:t>
            </w:r>
          </w:p>
        </w:tc>
        <w:tc>
          <w:tcPr>
            <w:tcW w:type="dxa" w:w="1700"/>
            <w:tcMar>
              <w:top w:w="50" w:type="dxa"/>
              <w:bottom w:w="50" w:type="dxa"/>
              <w:left w:w="90" w:type="dxa"/>
              <w:right w:w="90" w:type="dxa"/>
            </w:tcMar>
          </w:tcPr>
          <w:p>
            <w:pPr>
              <w:pStyle w:val="BDOITable"/>
            </w:pPr>
            <w:r>
              <w:rPr>
                <w:sz w:val="16"/>
              </w:rPr>
              <w:t>Source systems</w:t>
            </w:r>
          </w:p>
        </w:tc>
        <w:tc>
          <w:tcPr>
            <w:tcW w:type="dxa" w:w="1926"/>
            <w:tcMar>
              <w:top w:w="50" w:type="dxa"/>
              <w:bottom w:w="50" w:type="dxa"/>
              <w:left w:w="90" w:type="dxa"/>
              <w:right w:w="90" w:type="dxa"/>
            </w:tcMar>
          </w:tcPr>
          <w:p>
            <w:pPr>
              <w:pStyle w:val="BDOITable"/>
            </w:pPr>
            <w:r>
              <w:rPr>
                <w:sz w:val="16"/>
              </w:rPr>
              <w:t>All layouts</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DMQ04</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Client dedupe keys</w:t>
            </w:r>
          </w:p>
        </w:tc>
        <w:tc>
          <w:tcPr>
            <w:tcW w:type="dxa" w:w="1926"/>
            <w:tcMar>
              <w:top w:w="50" w:type="dxa"/>
              <w:bottom w:w="50" w:type="dxa"/>
              <w:left w:w="90" w:type="dxa"/>
              <w:right w:w="90" w:type="dxa"/>
            </w:tcMar>
            <w:shd w:val="clear" w:color="auto" w:fill="E5F5FF"/>
          </w:tcPr>
          <w:p>
            <w:pPr>
              <w:pStyle w:val="BDOITable"/>
            </w:pPr>
            <w:r>
              <w:rPr>
                <w:sz w:val="16"/>
              </w:rPr>
              <w:t>C01 matching; DM1-C</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DMQ05</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Client scope</w:t>
            </w:r>
          </w:p>
        </w:tc>
        <w:tc>
          <w:tcPr>
            <w:tcW w:type="dxa" w:w="1926"/>
            <w:tcMar>
              <w:top w:w="50" w:type="dxa"/>
              <w:bottom w:w="50" w:type="dxa"/>
              <w:left w:w="90" w:type="dxa"/>
              <w:right w:w="90" w:type="dxa"/>
            </w:tcMar>
          </w:tcPr>
          <w:p>
            <w:pPr>
              <w:pStyle w:val="BDOITable"/>
            </w:pPr>
            <w:r>
              <w:rPr>
                <w:sz w:val="16"/>
              </w:rPr>
              <w:t>C01 volumes; filter</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DMQ06</w:t>
            </w:r>
          </w:p>
        </w:tc>
        <w:tc>
          <w:tcPr>
            <w:tcW w:type="dxa" w:w="907"/>
            <w:tcMar>
              <w:top w:w="50" w:type="dxa"/>
              <w:bottom w:w="50" w:type="dxa"/>
              <w:left w:w="90" w:type="dxa"/>
              <w:right w:w="90" w:type="dxa"/>
            </w:tcMar>
            <w:shd w:val="clear" w:color="auto" w:fill="E5F5FF"/>
          </w:tcPr>
          <w:p>
            <w:pPr>
              <w:pStyle w:val="BDOITable"/>
            </w:pPr>
            <w:r>
              <w:rPr>
                <w:sz w:val="16"/>
              </w:rPr>
              <w:t>DCR-208</w:t>
            </w:r>
          </w:p>
        </w:tc>
        <w:tc>
          <w:tcPr>
            <w:tcW w:type="dxa" w:w="1700"/>
            <w:tcMar>
              <w:top w:w="50" w:type="dxa"/>
              <w:bottom w:w="50" w:type="dxa"/>
              <w:left w:w="90" w:type="dxa"/>
              <w:right w:w="90" w:type="dxa"/>
            </w:tcMar>
            <w:shd w:val="clear" w:color="auto" w:fill="E5F5FF"/>
          </w:tcPr>
          <w:p>
            <w:pPr>
              <w:pStyle w:val="BDOITable"/>
            </w:pPr>
            <w:r>
              <w:rPr>
                <w:sz w:val="16"/>
              </w:rPr>
              <w:t>Screening of migrated clients</w:t>
            </w:r>
          </w:p>
        </w:tc>
        <w:tc>
          <w:tcPr>
            <w:tcW w:type="dxa" w:w="1926"/>
            <w:tcMar>
              <w:top w:w="50" w:type="dxa"/>
              <w:bottom w:w="50" w:type="dxa"/>
              <w:left w:w="90" w:type="dxa"/>
              <w:right w:w="90" w:type="dxa"/>
            </w:tcMar>
            <w:shd w:val="clear" w:color="auto" w:fill="E5F5FF"/>
          </w:tcPr>
          <w:p>
            <w:pPr>
              <w:pStyle w:val="BDOITable"/>
            </w:pPr>
            <w:r>
              <w:rPr>
                <w:sz w:val="16"/>
              </w:rPr>
              <w:t>C01 load; cutover task CT-050</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KYC documents</w:t>
            </w:r>
          </w:p>
        </w:tc>
        <w:tc>
          <w:tcPr>
            <w:tcW w:type="dxa" w:w="1926"/>
            <w:tcMar>
              <w:top w:w="50" w:type="dxa"/>
              <w:bottom w:w="50" w:type="dxa"/>
              <w:left w:w="90" w:type="dxa"/>
              <w:right w:w="90" w:type="dxa"/>
            </w:tcMar>
          </w:tcPr>
          <w:p>
            <w:pPr>
              <w:pStyle w:val="BDOITable"/>
            </w:pPr>
            <w:r>
              <w:rPr>
                <w:sz w:val="16"/>
              </w:rPr>
              <w:t>C04, H02</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DMQ08</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Code map owners</w:t>
            </w:r>
          </w:p>
        </w:tc>
        <w:tc>
          <w:tcPr>
            <w:tcW w:type="dxa" w:w="1926"/>
            <w:tcMar>
              <w:top w:w="50" w:type="dxa"/>
              <w:bottom w:w="50" w:type="dxa"/>
              <w:left w:w="90" w:type="dxa"/>
              <w:right w:w="90" w:type="dxa"/>
            </w:tcMar>
            <w:shd w:val="clear" w:color="auto" w:fill="E5F5FF"/>
          </w:tcPr>
          <w:p>
            <w:pPr>
              <w:pStyle w:val="BDOITable"/>
            </w:pPr>
            <w:r>
              <w:rPr>
                <w:sz w:val="16"/>
              </w:rPr>
              <w:t>Gate G2; all map sets</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DMQ09</w:t>
            </w:r>
          </w:p>
        </w:tc>
        <w:tc>
          <w:tcPr>
            <w:tcW w:type="dxa" w:w="907"/>
            <w:tcMar>
              <w:top w:w="50" w:type="dxa"/>
              <w:bottom w:w="50" w:type="dxa"/>
              <w:left w:w="90" w:type="dxa"/>
              <w:right w:w="90" w:type="dxa"/>
            </w:tcMar>
          </w:tcPr>
          <w:p>
            <w:pPr>
              <w:pStyle w:val="BDOITable"/>
            </w:pPr>
            <w:r>
              <w:rPr>
                <w:sz w:val="16"/>
              </w:rPr>
              <w:t>DCR-194</w:t>
            </w:r>
          </w:p>
        </w:tc>
        <w:tc>
          <w:tcPr>
            <w:tcW w:type="dxa" w:w="1700"/>
            <w:tcMar>
              <w:top w:w="50" w:type="dxa"/>
              <w:bottom w:w="50" w:type="dxa"/>
              <w:left w:w="90" w:type="dxa"/>
              <w:right w:w="90" w:type="dxa"/>
            </w:tcMar>
          </w:tcPr>
          <w:p>
            <w:pPr>
              <w:pStyle w:val="BDOITable"/>
            </w:pPr>
            <w:r>
              <w:rPr>
                <w:sz w:val="16"/>
              </w:rPr>
              <w:t>In-force header condition</w:t>
            </w:r>
          </w:p>
        </w:tc>
        <w:tc>
          <w:tcPr>
            <w:tcW w:type="dxa" w:w="1926"/>
            <w:tcMar>
              <w:top w:w="50" w:type="dxa"/>
              <w:bottom w:w="50" w:type="dxa"/>
              <w:left w:w="90" w:type="dxa"/>
              <w:right w:w="90" w:type="dxa"/>
            </w:tcMar>
          </w:tcPr>
          <w:p>
            <w:pPr>
              <w:pStyle w:val="BDOITable"/>
            </w:pPr>
            <w:r>
              <w:rPr>
                <w:sz w:val="16"/>
              </w:rPr>
              <w:t>P01, P01S; endorsements BRID 9; DM1-C</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DMQ10</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Legacy invoice scope</w:t>
            </w:r>
          </w:p>
        </w:tc>
        <w:tc>
          <w:tcPr>
            <w:tcW w:type="dxa" w:w="1926"/>
            <w:tcMar>
              <w:top w:w="50" w:type="dxa"/>
              <w:bottom w:w="50" w:type="dxa"/>
              <w:left w:w="90" w:type="dxa"/>
              <w:right w:w="90" w:type="dxa"/>
            </w:tcMar>
            <w:shd w:val="clear" w:color="auto" w:fill="E5F5FF"/>
          </w:tcPr>
          <w:p>
            <w:pPr>
              <w:pStyle w:val="BDOITable"/>
            </w:pPr>
            <w:r>
              <w:rPr>
                <w:sz w:val="16"/>
              </w:rPr>
              <w:t>F01; DM1-A</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DMQ11</w:t>
            </w:r>
          </w:p>
        </w:tc>
        <w:tc>
          <w:tcPr>
            <w:tcW w:type="dxa" w:w="907"/>
            <w:tcMar>
              <w:top w:w="50" w:type="dxa"/>
              <w:bottom w:w="50" w:type="dxa"/>
              <w:left w:w="90" w:type="dxa"/>
              <w:right w:w="90" w:type="dxa"/>
            </w:tcMar>
          </w:tcPr>
          <w:p>
            <w:pPr>
              <w:pStyle w:val="BDOITable"/>
            </w:pPr>
            <w:r>
              <w:rPr>
                <w:sz w:val="16"/>
              </w:rPr>
              <w:t>DCR-207</w:t>
            </w:r>
          </w:p>
        </w:tc>
        <w:tc>
          <w:tcPr>
            <w:tcW w:type="dxa" w:w="1700"/>
            <w:tcMar>
              <w:top w:w="50" w:type="dxa"/>
              <w:bottom w:w="50" w:type="dxa"/>
              <w:left w:w="90" w:type="dxa"/>
              <w:right w:w="90" w:type="dxa"/>
            </w:tcMar>
          </w:tcPr>
          <w:p>
            <w:pPr>
              <w:pStyle w:val="BDOITable"/>
            </w:pPr>
            <w:r>
              <w:rPr>
                <w:sz w:val="16"/>
              </w:rPr>
              <w:t>Invoice numbers</w:t>
            </w:r>
          </w:p>
        </w:tc>
        <w:tc>
          <w:tcPr>
            <w:tcW w:type="dxa" w:w="1926"/>
            <w:tcMar>
              <w:top w:w="50" w:type="dxa"/>
              <w:bottom w:w="50" w:type="dxa"/>
              <w:left w:w="90" w:type="dxa"/>
              <w:right w:w="90" w:type="dxa"/>
            </w:tcMar>
          </w:tcPr>
          <w:p>
            <w:pPr>
              <w:pStyle w:val="BDOITable"/>
            </w:pPr>
            <w:r>
              <w:rPr>
                <w:sz w:val="16"/>
              </w:rPr>
              <w:t>F01 keys; payment matching</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DMQ12</w:t>
            </w:r>
          </w:p>
        </w:tc>
        <w:tc>
          <w:tcPr>
            <w:tcW w:type="dxa" w:w="907"/>
            <w:tcMar>
              <w:top w:w="50" w:type="dxa"/>
              <w:bottom w:w="50" w:type="dxa"/>
              <w:left w:w="90" w:type="dxa"/>
              <w:right w:w="90" w:type="dxa"/>
            </w:tcMar>
            <w:shd w:val="clear" w:color="auto" w:fill="E5F5FF"/>
          </w:tcPr>
          <w:p>
            <w:pPr>
              <w:pStyle w:val="BDOITable"/>
            </w:pPr>
            <w:r>
              <w:rPr>
                <w:sz w:val="16"/>
              </w:rPr>
              <w:t>DCR-207</w:t>
            </w:r>
          </w:p>
        </w:tc>
        <w:tc>
          <w:tcPr>
            <w:tcW w:type="dxa" w:w="1700"/>
            <w:tcMar>
              <w:top w:w="50" w:type="dxa"/>
              <w:bottom w:w="50" w:type="dxa"/>
              <w:left w:w="90" w:type="dxa"/>
              <w:right w:w="90" w:type="dxa"/>
            </w:tcMar>
            <w:shd w:val="clear" w:color="auto" w:fill="E5F5FF"/>
          </w:tcPr>
          <w:p>
            <w:pPr>
              <w:pStyle w:val="BDOITable"/>
            </w:pPr>
            <w:r>
              <w:rPr>
                <w:sz w:val="16"/>
              </w:rPr>
              <w:t>Components and shares</w:t>
            </w:r>
          </w:p>
        </w:tc>
        <w:tc>
          <w:tcPr>
            <w:tcW w:type="dxa" w:w="1926"/>
            <w:tcMar>
              <w:top w:w="50" w:type="dxa"/>
              <w:bottom w:w="50" w:type="dxa"/>
              <w:left w:w="90" w:type="dxa"/>
              <w:right w:w="90" w:type="dxa"/>
            </w:tcMar>
            <w:shd w:val="clear" w:color="auto" w:fill="E5F5FF"/>
          </w:tcPr>
          <w:p>
            <w:pPr>
              <w:pStyle w:val="BDOITable"/>
            </w:pPr>
            <w:r>
              <w:rPr>
                <w:sz w:val="16"/>
              </w:rPr>
              <w:t>F01C; DM1-A</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BDOI IT;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DMQ13</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Commission state</w:t>
            </w:r>
          </w:p>
        </w:tc>
        <w:tc>
          <w:tcPr>
            <w:tcW w:type="dxa" w:w="1926"/>
            <w:tcMar>
              <w:top w:w="50" w:type="dxa"/>
              <w:bottom w:w="50" w:type="dxa"/>
              <w:left w:w="90" w:type="dxa"/>
              <w:right w:w="90" w:type="dxa"/>
            </w:tcMar>
          </w:tcPr>
          <w:p>
            <w:pPr>
              <w:pStyle w:val="BDOITable"/>
            </w:pPr>
            <w:r>
              <w:rPr>
                <w:sz w:val="16"/>
              </w:rPr>
              <w:t>F01 opening entry</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DMQ14</w:t>
            </w:r>
          </w:p>
        </w:tc>
        <w:tc>
          <w:tcPr>
            <w:tcW w:type="dxa" w:w="907"/>
            <w:tcMar>
              <w:top w:w="50" w:type="dxa"/>
              <w:bottom w:w="50" w:type="dxa"/>
              <w:left w:w="90" w:type="dxa"/>
              <w:right w:w="90" w:type="dxa"/>
            </w:tcMar>
            <w:shd w:val="clear" w:color="auto" w:fill="E5F5FF"/>
          </w:tcPr>
          <w:p>
            <w:pPr>
              <w:pStyle w:val="BDOITable"/>
            </w:pPr>
            <w:r>
              <w:rPr>
                <w:sz w:val="16"/>
              </w:rPr>
              <w:t>DCR-204</w:t>
            </w:r>
          </w:p>
        </w:tc>
        <w:tc>
          <w:tcPr>
            <w:tcW w:type="dxa" w:w="1700"/>
            <w:tcMar>
              <w:top w:w="50" w:type="dxa"/>
              <w:bottom w:w="50" w:type="dxa"/>
              <w:left w:w="90" w:type="dxa"/>
              <w:right w:w="90" w:type="dxa"/>
            </w:tcMar>
            <w:shd w:val="clear" w:color="auto" w:fill="E5F5FF"/>
          </w:tcPr>
          <w:p>
            <w:pPr>
              <w:pStyle w:val="BDOITable"/>
            </w:pPr>
            <w:r>
              <w:rPr>
                <w:sz w:val="16"/>
              </w:rPr>
              <w:t>UPP receipt and statuses</w:t>
            </w:r>
          </w:p>
        </w:tc>
        <w:tc>
          <w:tcPr>
            <w:tcW w:type="dxa" w:w="1926"/>
            <w:tcMar>
              <w:top w:w="50" w:type="dxa"/>
              <w:bottom w:w="50" w:type="dxa"/>
              <w:left w:w="90" w:type="dxa"/>
              <w:right w:w="90" w:type="dxa"/>
            </w:tcMar>
            <w:shd w:val="clear" w:color="auto" w:fill="E5F5FF"/>
          </w:tcPr>
          <w:p>
            <w:pPr>
              <w:pStyle w:val="BDOITable"/>
            </w:pPr>
            <w:r>
              <w:rPr>
                <w:sz w:val="16"/>
              </w:rPr>
              <w:t>F02; DM1-B</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DMQ15</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UPP matching references</w:t>
            </w:r>
          </w:p>
        </w:tc>
        <w:tc>
          <w:tcPr>
            <w:tcW w:type="dxa" w:w="1926"/>
            <w:tcMar>
              <w:top w:w="50" w:type="dxa"/>
              <w:bottom w:w="50" w:type="dxa"/>
              <w:left w:w="90" w:type="dxa"/>
              <w:right w:w="90" w:type="dxa"/>
            </w:tcMar>
          </w:tcPr>
          <w:p>
            <w:pPr>
              <w:pStyle w:val="BDOITable"/>
            </w:pPr>
            <w:r>
              <w:rPr>
                <w:sz w:val="16"/>
              </w:rPr>
              <w:t>F02 ref_ columns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DMQ16</w:t>
            </w:r>
          </w:p>
        </w:tc>
        <w:tc>
          <w:tcPr>
            <w:tcW w:type="dxa" w:w="907"/>
            <w:tcMar>
              <w:top w:w="50" w:type="dxa"/>
              <w:bottom w:w="50" w:type="dxa"/>
              <w:left w:w="90" w:type="dxa"/>
              <w:right w:w="90" w:type="dxa"/>
            </w:tcMar>
            <w:shd w:val="clear" w:color="auto" w:fill="E5F5FF"/>
          </w:tcPr>
          <w:p>
            <w:pPr>
              <w:pStyle w:val="BDOITable"/>
            </w:pPr>
            <w:r>
              <w:rPr>
                <w:sz w:val="16"/>
              </w:rPr>
              <w:t>DCR-198, DCR-205</w:t>
            </w:r>
          </w:p>
        </w:tc>
        <w:tc>
          <w:tcPr>
            <w:tcW w:type="dxa" w:w="1700"/>
            <w:tcMar>
              <w:top w:w="50" w:type="dxa"/>
              <w:bottom w:w="50" w:type="dxa"/>
              <w:left w:w="90" w:type="dxa"/>
              <w:right w:w="90" w:type="dxa"/>
            </w:tcMar>
            <w:shd w:val="clear" w:color="auto" w:fill="E5F5FF"/>
          </w:tcPr>
          <w:p>
            <w:pPr>
              <w:pStyle w:val="BDOITable"/>
            </w:pPr>
            <w:r>
              <w:rPr>
                <w:sz w:val="16"/>
              </w:rPr>
              <w:t>Reclassification to income</w:t>
            </w:r>
          </w:p>
        </w:tc>
        <w:tc>
          <w:tcPr>
            <w:tcW w:type="dxa" w:w="1926"/>
            <w:tcMar>
              <w:top w:w="50" w:type="dxa"/>
              <w:bottom w:w="50" w:type="dxa"/>
              <w:left w:w="90" w:type="dxa"/>
              <w:right w:w="90" w:type="dxa"/>
            </w:tcMar>
            <w:shd w:val="clear" w:color="auto" w:fill="E5F5FF"/>
          </w:tcPr>
          <w:p>
            <w:pPr>
              <w:pStyle w:val="BDOITable"/>
            </w:pPr>
            <w:r>
              <w:rPr>
                <w:sz w:val="16"/>
              </w:rPr>
              <w:t>FR-DM-055 configuration</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Legacy UPP refunds</w:t>
            </w:r>
          </w:p>
        </w:tc>
        <w:tc>
          <w:tcPr>
            <w:tcW w:type="dxa" w:w="1926"/>
            <w:tcMar>
              <w:top w:w="50" w:type="dxa"/>
              <w:bottom w:w="50" w:type="dxa"/>
              <w:left w:w="90" w:type="dxa"/>
              <w:right w:w="90" w:type="dxa"/>
            </w:tcMar>
          </w:tcPr>
          <w:p>
            <w:pPr>
              <w:pStyle w:val="BDOITable"/>
            </w:pPr>
            <w:r>
              <w:rPr>
                <w:sz w:val="16"/>
              </w:rPr>
              <w:t>FR-DM-054 configuration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DMQ18</w:t>
            </w:r>
          </w:p>
        </w:tc>
        <w:tc>
          <w:tcPr>
            <w:tcW w:type="dxa" w:w="907"/>
            <w:tcMar>
              <w:top w:w="50" w:type="dxa"/>
              <w:bottom w:w="50" w:type="dxa"/>
              <w:left w:w="90" w:type="dxa"/>
              <w:right w:w="90" w:type="dxa"/>
            </w:tcMar>
            <w:shd w:val="clear" w:color="auto" w:fill="E5F5FF"/>
          </w:tcPr>
          <w:p>
            <w:pPr>
              <w:pStyle w:val="BDOITable"/>
            </w:pPr>
            <w:r>
              <w:rPr>
                <w:sz w:val="16"/>
              </w:rPr>
              <w:t>DCR-197</w:t>
            </w:r>
          </w:p>
        </w:tc>
        <w:tc>
          <w:tcPr>
            <w:tcW w:type="dxa" w:w="1700"/>
            <w:tcMar>
              <w:top w:w="50" w:type="dxa"/>
              <w:bottom w:w="50" w:type="dxa"/>
              <w:left w:w="90" w:type="dxa"/>
              <w:right w:w="90" w:type="dxa"/>
            </w:tcMar>
            <w:shd w:val="clear" w:color="auto" w:fill="E5F5FF"/>
          </w:tcPr>
          <w:p>
            <w:pPr>
              <w:pStyle w:val="BDOITable"/>
            </w:pPr>
            <w:r>
              <w:rPr>
                <w:sz w:val="16"/>
              </w:rPr>
              <w:t>Legacy sub-ledgers and GL</w:t>
            </w:r>
          </w:p>
        </w:tc>
        <w:tc>
          <w:tcPr>
            <w:tcW w:type="dxa" w:w="1926"/>
            <w:tcMar>
              <w:top w:w="50" w:type="dxa"/>
              <w:bottom w:w="50" w:type="dxa"/>
              <w:left w:w="90" w:type="dxa"/>
              <w:right w:w="90" w:type="dxa"/>
            </w:tcMar>
            <w:shd w:val="clear" w:color="auto" w:fill="E5F5FF"/>
          </w:tcPr>
          <w:p>
            <w:pPr>
              <w:pStyle w:val="BDOITable"/>
            </w:pPr>
            <w:r>
              <w:rPr>
                <w:sz w:val="16"/>
              </w:rPr>
              <w:t>R08, G01; DM1-A; accounting rules</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DMQ19</w:t>
            </w:r>
          </w:p>
        </w:tc>
        <w:tc>
          <w:tcPr>
            <w:tcW w:type="dxa" w:w="907"/>
            <w:tcMar>
              <w:top w:w="50" w:type="dxa"/>
              <w:bottom w:w="50" w:type="dxa"/>
              <w:left w:w="90" w:type="dxa"/>
              <w:right w:w="90" w:type="dxa"/>
            </w:tcMar>
          </w:tcPr>
          <w:p>
            <w:pPr>
              <w:pStyle w:val="BDOITable"/>
            </w:pPr>
            <w:r>
              <w:rPr>
                <w:sz w:val="16"/>
              </w:rPr>
              <w:t>DCR-198, DCR-206</w:t>
            </w:r>
          </w:p>
        </w:tc>
        <w:tc>
          <w:tcPr>
            <w:tcW w:type="dxa" w:w="1700"/>
            <w:tcMar>
              <w:top w:w="50" w:type="dxa"/>
              <w:bottom w:w="50" w:type="dxa"/>
              <w:left w:w="90" w:type="dxa"/>
              <w:right w:w="90" w:type="dxa"/>
            </w:tcMar>
          </w:tcPr>
          <w:p>
            <w:pPr>
              <w:pStyle w:val="BDOITable"/>
            </w:pPr>
            <w:r>
              <w:rPr>
                <w:sz w:val="16"/>
              </w:rPr>
              <w:t>DPPR</w:t>
            </w:r>
          </w:p>
        </w:tc>
        <w:tc>
          <w:tcPr>
            <w:tcW w:type="dxa" w:w="1926"/>
            <w:tcMar>
              <w:top w:w="50" w:type="dxa"/>
              <w:bottom w:w="50" w:type="dxa"/>
              <w:left w:w="90" w:type="dxa"/>
              <w:right w:w="90" w:type="dxa"/>
            </w:tcMar>
          </w:tcPr>
          <w:p>
            <w:pPr>
              <w:pStyle w:val="BDOITable"/>
            </w:pPr>
            <w:r>
              <w:rPr>
                <w:sz w:val="16"/>
              </w:rPr>
              <w:t>FR-DM-070 rules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DMQ20</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PR2307 reversal</w:t>
            </w:r>
          </w:p>
        </w:tc>
        <w:tc>
          <w:tcPr>
            <w:tcW w:type="dxa" w:w="1926"/>
            <w:tcMar>
              <w:top w:w="50" w:type="dxa"/>
              <w:bottom w:w="50" w:type="dxa"/>
              <w:left w:w="90" w:type="dxa"/>
              <w:right w:w="90" w:type="dxa"/>
            </w:tcMar>
            <w:shd w:val="clear" w:color="auto" w:fill="E5F5FF"/>
          </w:tcPr>
          <w:p>
            <w:pPr>
              <w:pStyle w:val="BDOITable"/>
            </w:pPr>
            <w:r>
              <w:rPr>
                <w:sz w:val="16"/>
              </w:rPr>
              <w:t>FR-DM-071 rules</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DMQ21</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Remittance positions</w:t>
            </w:r>
          </w:p>
        </w:tc>
        <w:tc>
          <w:tcPr>
            <w:tcW w:type="dxa" w:w="1926"/>
            <w:tcMar>
              <w:top w:w="50" w:type="dxa"/>
              <w:bottom w:w="50" w:type="dxa"/>
              <w:left w:w="90" w:type="dxa"/>
              <w:right w:w="90" w:type="dxa"/>
            </w:tcMar>
          </w:tcPr>
          <w:p>
            <w:pPr>
              <w:pStyle w:val="BDOITable"/>
            </w:pPr>
            <w:r>
              <w:rPr>
                <w:sz w:val="16"/>
              </w:rPr>
              <w:t>F04 decision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Remittance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DMQ22</w:t>
            </w:r>
          </w:p>
        </w:tc>
        <w:tc>
          <w:tcPr>
            <w:tcW w:type="dxa" w:w="907"/>
            <w:tcMar>
              <w:top w:w="50" w:type="dxa"/>
              <w:bottom w:w="50" w:type="dxa"/>
              <w:left w:w="90" w:type="dxa"/>
              <w:right w:w="90" w:type="dxa"/>
            </w:tcMar>
            <w:shd w:val="clear" w:color="auto" w:fill="E5F5FF"/>
          </w:tcPr>
          <w:p>
            <w:pPr>
              <w:pStyle w:val="BDOITable"/>
            </w:pPr>
            <w:r>
              <w:rPr>
                <w:sz w:val="16"/>
              </w:rPr>
              <w:t>DCR-194</w:t>
            </w:r>
          </w:p>
        </w:tc>
        <w:tc>
          <w:tcPr>
            <w:tcW w:type="dxa" w:w="1700"/>
            <w:tcMar>
              <w:top w:w="50" w:type="dxa"/>
              <w:bottom w:w="50" w:type="dxa"/>
              <w:left w:w="90" w:type="dxa"/>
              <w:right w:w="90" w:type="dxa"/>
            </w:tcMar>
            <w:shd w:val="clear" w:color="auto" w:fill="E5F5FF"/>
          </w:tcPr>
          <w:p>
            <w:pPr>
              <w:pStyle w:val="BDOITable"/>
            </w:pPr>
            <w:r>
              <w:rPr>
                <w:sz w:val="16"/>
              </w:rPr>
              <w:t>Endorsement coexistence</w:t>
            </w:r>
          </w:p>
        </w:tc>
        <w:tc>
          <w:tcPr>
            <w:tcW w:type="dxa" w:w="1926"/>
            <w:tcMar>
              <w:top w:w="50" w:type="dxa"/>
              <w:bottom w:w="50" w:type="dxa"/>
              <w:left w:w="90" w:type="dxa"/>
              <w:right w:w="90" w:type="dxa"/>
            </w:tcMar>
            <w:shd w:val="clear" w:color="auto" w:fill="E5F5FF"/>
          </w:tcPr>
          <w:p>
            <w:pPr>
              <w:pStyle w:val="BDOITable"/>
            </w:pPr>
            <w:r>
              <w:rPr>
                <w:sz w:val="16"/>
              </w:rPr>
              <w:t>P01 condition; DM2-A</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DMQ23</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Legacy change report</w:t>
            </w:r>
          </w:p>
        </w:tc>
        <w:tc>
          <w:tcPr>
            <w:tcW w:type="dxa" w:w="1926"/>
            <w:tcMar>
              <w:top w:w="50" w:type="dxa"/>
              <w:bottom w:w="50" w:type="dxa"/>
              <w:left w:w="90" w:type="dxa"/>
              <w:right w:w="90" w:type="dxa"/>
            </w:tcMar>
          </w:tcPr>
          <w:p>
            <w:pPr>
              <w:pStyle w:val="BDOITable"/>
            </w:pPr>
            <w:r>
              <w:rPr>
                <w:sz w:val="16"/>
              </w:rPr>
              <w:t>FR-DM-100 report</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Prod Recon</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DMQ24</w:t>
            </w:r>
          </w:p>
        </w:tc>
        <w:tc>
          <w:tcPr>
            <w:tcW w:type="dxa" w:w="907"/>
            <w:tcMar>
              <w:top w:w="50" w:type="dxa"/>
              <w:bottom w:w="50" w:type="dxa"/>
              <w:left w:w="90" w:type="dxa"/>
              <w:right w:w="90" w:type="dxa"/>
            </w:tcMar>
            <w:shd w:val="clear" w:color="auto" w:fill="E5F5FF"/>
          </w:tcPr>
          <w:p>
            <w:pPr>
              <w:pStyle w:val="BDOITable"/>
            </w:pPr>
            <w:r>
              <w:rPr>
                <w:sz w:val="16"/>
              </w:rPr>
              <w:t>DCR-209</w:t>
            </w:r>
          </w:p>
        </w:tc>
        <w:tc>
          <w:tcPr>
            <w:tcW w:type="dxa" w:w="1700"/>
            <w:tcMar>
              <w:top w:w="50" w:type="dxa"/>
              <w:bottom w:w="50" w:type="dxa"/>
              <w:left w:w="90" w:type="dxa"/>
              <w:right w:w="90" w:type="dxa"/>
            </w:tcMar>
            <w:shd w:val="clear" w:color="auto" w:fill="E5F5FF"/>
          </w:tcPr>
          <w:p>
            <w:pPr>
              <w:pStyle w:val="BDOITable"/>
            </w:pPr>
            <w:r>
              <w:rPr>
                <w:sz w:val="16"/>
              </w:rPr>
              <w:t>Read-only legacy or archive</w:t>
            </w:r>
          </w:p>
        </w:tc>
        <w:tc>
          <w:tcPr>
            <w:tcW w:type="dxa" w:w="1926"/>
            <w:tcMar>
              <w:top w:w="50" w:type="dxa"/>
              <w:bottom w:w="50" w:type="dxa"/>
              <w:left w:w="90" w:type="dxa"/>
              <w:right w:w="90" w:type="dxa"/>
            </w:tcMar>
            <w:shd w:val="clear" w:color="auto" w:fill="E5F5FF"/>
          </w:tcPr>
          <w:p>
            <w:pPr>
              <w:pStyle w:val="BDOITable"/>
            </w:pPr>
            <w:r>
              <w:rPr>
                <w:sz w:val="16"/>
              </w:rPr>
              <w:t>H01, H02, C04; DM2-B</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Audit / Compliance; 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DMQ25</w:t>
            </w:r>
          </w:p>
        </w:tc>
        <w:tc>
          <w:tcPr>
            <w:tcW w:type="dxa" w:w="907"/>
            <w:tcMar>
              <w:top w:w="50" w:type="dxa"/>
              <w:bottom w:w="50" w:type="dxa"/>
              <w:left w:w="90" w:type="dxa"/>
              <w:right w:w="90" w:type="dxa"/>
            </w:tcMar>
          </w:tcPr>
          <w:p>
            <w:pPr>
              <w:pStyle w:val="BDOITable"/>
            </w:pPr>
            <w:r>
              <w:rPr>
                <w:sz w:val="16"/>
              </w:rPr>
              <w:t>DCR-200, DCR-242</w:t>
            </w:r>
          </w:p>
        </w:tc>
        <w:tc>
          <w:tcPr>
            <w:tcW w:type="dxa" w:w="1700"/>
            <w:tcMar>
              <w:top w:w="50" w:type="dxa"/>
              <w:bottom w:w="50" w:type="dxa"/>
              <w:left w:w="90" w:type="dxa"/>
              <w:right w:w="90" w:type="dxa"/>
            </w:tcMar>
          </w:tcPr>
          <w:p>
            <w:pPr>
              <w:pStyle w:val="BDOITable"/>
            </w:pPr>
            <w:r>
              <w:rPr>
                <w:sz w:val="16"/>
              </w:rPr>
              <w:t>Cutover date and window</w:t>
            </w:r>
          </w:p>
        </w:tc>
        <w:tc>
          <w:tcPr>
            <w:tcW w:type="dxa" w:w="1926"/>
            <w:tcMar>
              <w:top w:w="50" w:type="dxa"/>
              <w:bottom w:w="50" w:type="dxa"/>
              <w:left w:w="90" w:type="dxa"/>
              <w:right w:w="90" w:type="dxa"/>
            </w:tcMar>
          </w:tcPr>
          <w:p>
            <w:pPr>
              <w:pStyle w:val="BDOITable"/>
            </w:pPr>
            <w:r>
              <w:rPr>
                <w:sz w:val="16"/>
              </w:rPr>
              <w:t>Whole calendar; runbook</w:t>
            </w:r>
          </w:p>
        </w:tc>
        <w:tc>
          <w:tcPr>
            <w:tcW w:type="dxa" w:w="1530"/>
            <w:tcMar>
              <w:top w:w="50" w:type="dxa"/>
              <w:bottom w:w="50" w:type="dxa"/>
              <w:left w:w="90" w:type="dxa"/>
              <w:right w:w="90" w:type="dxa"/>
            </w:tcMar>
          </w:tcPr>
          <w:p>
            <w:pPr>
              <w:pStyle w:val="BDOITable"/>
            </w:pPr>
            <w:r>
              <w:rPr>
                <w:sz w:val="16"/>
              </w:rPr>
              <w:t>M1 (16 Oct 2026) (month), M6 (1 Oct 2027) (date)</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DMQ26</w:t>
            </w:r>
          </w:p>
        </w:tc>
        <w:tc>
          <w:tcPr>
            <w:tcW w:type="dxa" w:w="907"/>
            <w:tcMar>
              <w:top w:w="50" w:type="dxa"/>
              <w:bottom w:w="50" w:type="dxa"/>
              <w:left w:w="90" w:type="dxa"/>
              <w:right w:w="90" w:type="dxa"/>
            </w:tcMar>
            <w:shd w:val="clear" w:color="auto" w:fill="E5F5FF"/>
          </w:tcPr>
          <w:p>
            <w:pPr>
              <w:pStyle w:val="BDOITable"/>
            </w:pPr>
            <w:r>
              <w:rPr>
                <w:sz w:val="16"/>
              </w:rPr>
              <w:t>DCR-199, DCR-240</w:t>
            </w:r>
          </w:p>
        </w:tc>
        <w:tc>
          <w:tcPr>
            <w:tcW w:type="dxa" w:w="1700"/>
            <w:tcMar>
              <w:top w:w="50" w:type="dxa"/>
              <w:bottom w:w="50" w:type="dxa"/>
              <w:left w:w="90" w:type="dxa"/>
              <w:right w:w="90" w:type="dxa"/>
            </w:tcMar>
            <w:shd w:val="clear" w:color="auto" w:fill="E5F5FF"/>
          </w:tcPr>
          <w:p>
            <w:pPr>
              <w:pStyle w:val="BDOITable"/>
            </w:pPr>
            <w:r>
              <w:rPr>
                <w:sz w:val="16"/>
              </w:rPr>
              <w:t>RMEL transition</w:t>
            </w:r>
          </w:p>
        </w:tc>
        <w:tc>
          <w:tcPr>
            <w:tcW w:type="dxa" w:w="1926"/>
            <w:tcMar>
              <w:top w:w="50" w:type="dxa"/>
              <w:bottom w:w="50" w:type="dxa"/>
              <w:left w:w="90" w:type="dxa"/>
              <w:right w:w="90" w:type="dxa"/>
            </w:tcMar>
            <w:shd w:val="clear" w:color="auto" w:fill="E5F5FF"/>
          </w:tcPr>
          <w:p>
            <w:pPr>
              <w:pStyle w:val="BDOITable"/>
            </w:pPr>
            <w:r>
              <w:rPr>
                <w:sz w:val="16"/>
              </w:rPr>
              <w:t>P01 scope; Renewal build</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Heads, Retail and Corporate Marketing</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tcPr>
          <w:p>
            <w:pPr>
              <w:pStyle w:val="BDOITable"/>
            </w:pPr>
            <w:r>
              <w:rPr>
                <w:b/>
                <w:sz w:val="16"/>
              </w:rPr>
              <w:t>DMQ27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Decommissioning criteria</w:t>
            </w:r>
          </w:p>
        </w:tc>
        <w:tc>
          <w:tcPr>
            <w:tcW w:type="dxa" w:w="1926"/>
            <w:tcMar>
              <w:top w:w="50" w:type="dxa"/>
              <w:bottom w:w="50" w:type="dxa"/>
              <w:left w:w="90" w:type="dxa"/>
              <w:right w:w="90" w:type="dxa"/>
            </w:tcMar>
          </w:tcPr>
          <w:p>
            <w:pPr>
              <w:pStyle w:val="BDOITable"/>
            </w:pPr>
            <w:r>
              <w:rPr>
                <w:sz w:val="16"/>
              </w:rPr>
              <w:t>Decommissioning checklists</w:t>
            </w:r>
          </w:p>
        </w:tc>
        <w:tc>
          <w:tcPr>
            <w:tcW w:type="dxa" w:w="1530"/>
            <w:tcMar>
              <w:top w:w="50" w:type="dxa"/>
              <w:bottom w:w="50" w:type="dxa"/>
              <w:left w:w="90" w:type="dxa"/>
              <w:right w:w="90" w:type="dxa"/>
            </w:tcMar>
          </w:tcPr>
          <w:p>
            <w:pPr>
              <w:pStyle w:val="BDOITable"/>
            </w:pPr>
            <w:r>
              <w:rPr>
                <w:sz w:val="16"/>
              </w:rPr>
              <w:t>M6 (1 Oct 2027)</w:t>
            </w:r>
          </w:p>
        </w:tc>
        <w:tc>
          <w:tcPr>
            <w:tcW w:type="dxa" w:w="1473"/>
            <w:tcMar>
              <w:top w:w="50" w:type="dxa"/>
              <w:bottom w:w="50" w:type="dxa"/>
              <w:left w:w="90" w:type="dxa"/>
              <w:right w:w="90" w:type="dxa"/>
            </w:tcMar>
          </w:tcPr>
          <w:p>
            <w:pPr>
              <w:pStyle w:val="BDOITable"/>
            </w:pPr>
            <w:r>
              <w:rPr>
                <w:sz w:val="16"/>
              </w:rPr>
              <w:t>Program Manager; 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DMQ28</w:t>
            </w:r>
          </w:p>
        </w:tc>
        <w:tc>
          <w:tcPr>
            <w:tcW w:type="dxa" w:w="907"/>
            <w:tcMar>
              <w:top w:w="50" w:type="dxa"/>
              <w:bottom w:w="50" w:type="dxa"/>
              <w:left w:w="90" w:type="dxa"/>
              <w:right w:w="90" w:type="dxa"/>
            </w:tcMar>
            <w:shd w:val="clear" w:color="auto" w:fill="E5F5FF"/>
          </w:tcPr>
          <w:p>
            <w:pPr>
              <w:pStyle w:val="BDOITable"/>
            </w:pPr>
            <w:r>
              <w:rPr>
                <w:sz w:val="16"/>
              </w:rPr>
              <w:t>DCR-193</w:t>
            </w:r>
          </w:p>
        </w:tc>
        <w:tc>
          <w:tcPr>
            <w:tcW w:type="dxa" w:w="1700"/>
            <w:tcMar>
              <w:top w:w="50" w:type="dxa"/>
              <w:bottom w:w="50" w:type="dxa"/>
              <w:left w:w="90" w:type="dxa"/>
              <w:right w:w="90" w:type="dxa"/>
            </w:tcMar>
            <w:shd w:val="clear" w:color="auto" w:fill="E5F5FF"/>
          </w:tcPr>
          <w:p>
            <w:pPr>
              <w:pStyle w:val="BDOITable"/>
            </w:pPr>
            <w:r>
              <w:rPr>
                <w:sz w:val="16"/>
              </w:rPr>
              <w:t>Volumes and quality</w:t>
            </w:r>
          </w:p>
        </w:tc>
        <w:tc>
          <w:tcPr>
            <w:tcW w:type="dxa" w:w="1926"/>
            <w:tcMar>
              <w:top w:w="50" w:type="dxa"/>
              <w:bottom w:w="50" w:type="dxa"/>
              <w:left w:w="90" w:type="dxa"/>
              <w:right w:w="90" w:type="dxa"/>
            </w:tcMar>
            <w:shd w:val="clear" w:color="auto" w:fill="E5F5FF"/>
          </w:tcPr>
          <w:p>
            <w:pPr>
              <w:pStyle w:val="BDOITable"/>
            </w:pPr>
            <w:r>
              <w:rPr>
                <w:sz w:val="16"/>
              </w:rPr>
              <w:t>Register volumes; performance test</w:t>
            </w:r>
          </w:p>
        </w:tc>
        <w:tc>
          <w:tcPr>
            <w:tcW w:type="dxa" w:w="1530"/>
            <w:tcMar>
              <w:top w:w="50" w:type="dxa"/>
              <w:bottom w:w="50" w:type="dxa"/>
              <w:left w:w="90" w:type="dxa"/>
              <w:right w:w="90" w:type="dxa"/>
            </w:tcMar>
            <w:shd w:val="clear" w:color="auto" w:fill="E5F5FF"/>
          </w:tcPr>
          <w:p>
            <w:pPr>
              <w:pStyle w:val="BDOITable"/>
            </w:pPr>
            <w:r>
              <w:rPr>
                <w:sz w:val="16"/>
              </w:rPr>
              <w:t>M3 (29 Jan 2027)</w:t>
            </w:r>
          </w:p>
        </w:tc>
        <w:tc>
          <w:tcPr>
            <w:tcW w:type="dxa" w:w="1473"/>
            <w:tcMar>
              <w:top w:w="50" w:type="dxa"/>
              <w:bottom w:w="50" w:type="dxa"/>
              <w:left w:w="90" w:type="dxa"/>
              <w:right w:w="90" w:type="dxa"/>
            </w:tcMar>
            <w:shd w:val="clear" w:color="auto" w:fill="E5F5FF"/>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DMQ29</w:t>
            </w:r>
          </w:p>
        </w:tc>
        <w:tc>
          <w:tcPr>
            <w:tcW w:type="dxa" w:w="907"/>
            <w:tcMar>
              <w:top w:w="50" w:type="dxa"/>
              <w:bottom w:w="50" w:type="dxa"/>
              <w:left w:w="90" w:type="dxa"/>
              <w:right w:w="90" w:type="dxa"/>
            </w:tcMar>
          </w:tcPr>
          <w:p>
            <w:pPr>
              <w:pStyle w:val="BDOITable"/>
            </w:pPr>
            <w:r>
              <w:rPr>
                <w:sz w:val="16"/>
              </w:rPr>
              <w:t>DCR-193</w:t>
            </w:r>
          </w:p>
        </w:tc>
        <w:tc>
          <w:tcPr>
            <w:tcW w:type="dxa" w:w="1700"/>
            <w:tcMar>
              <w:top w:w="50" w:type="dxa"/>
              <w:bottom w:w="50" w:type="dxa"/>
              <w:left w:w="90" w:type="dxa"/>
              <w:right w:w="90" w:type="dxa"/>
            </w:tcMar>
          </w:tcPr>
          <w:p>
            <w:pPr>
              <w:pStyle w:val="BDOITable"/>
            </w:pPr>
            <w:r>
              <w:rPr>
                <w:sz w:val="16"/>
              </w:rPr>
              <w:t>Consolidated NFR</w:t>
            </w:r>
          </w:p>
        </w:tc>
        <w:tc>
          <w:tcPr>
            <w:tcW w:type="dxa" w:w="1926"/>
            <w:tcMar>
              <w:top w:w="50" w:type="dxa"/>
              <w:bottom w:w="50" w:type="dxa"/>
              <w:left w:w="90" w:type="dxa"/>
              <w:right w:w="90" w:type="dxa"/>
            </w:tcMar>
          </w:tcPr>
          <w:p>
            <w:pPr>
              <w:pStyle w:val="BDOITable"/>
            </w:pPr>
            <w:r>
              <w:rPr>
                <w:sz w:val="16"/>
              </w:rPr>
              <w:t>NFR targets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DMQ30</w:t>
            </w:r>
          </w:p>
        </w:tc>
        <w:tc>
          <w:tcPr>
            <w:tcW w:type="dxa" w:w="907"/>
            <w:tcMar>
              <w:top w:w="50" w:type="dxa"/>
              <w:bottom w:w="50" w:type="dxa"/>
              <w:left w:w="90" w:type="dxa"/>
              <w:right w:w="90" w:type="dxa"/>
            </w:tcMar>
            <w:shd w:val="clear" w:color="auto" w:fill="E5F5FF"/>
          </w:tcPr>
          <w:p>
            <w:pPr>
              <w:pStyle w:val="BDOITable"/>
            </w:pPr>
            <w:r>
              <w:rPr>
                <w:sz w:val="16"/>
              </w:rPr>
              <w:t>DCR-196</w:t>
            </w:r>
          </w:p>
        </w:tc>
        <w:tc>
          <w:tcPr>
            <w:tcW w:type="dxa" w:w="1700"/>
            <w:tcMar>
              <w:top w:w="50" w:type="dxa"/>
              <w:bottom w:w="50" w:type="dxa"/>
              <w:left w:w="90" w:type="dxa"/>
              <w:right w:w="90" w:type="dxa"/>
            </w:tcMar>
            <w:shd w:val="clear" w:color="auto" w:fill="E5F5FF"/>
          </w:tcPr>
          <w:p>
            <w:pPr>
              <w:pStyle w:val="BDOITable"/>
            </w:pPr>
            <w:r>
              <w:rPr>
                <w:sz w:val="16"/>
              </w:rPr>
              <w:t>Objects not in the BRD</w:t>
            </w:r>
          </w:p>
        </w:tc>
        <w:tc>
          <w:tcPr>
            <w:tcW w:type="dxa" w:w="1926"/>
            <w:tcMar>
              <w:top w:w="50" w:type="dxa"/>
              <w:bottom w:w="50" w:type="dxa"/>
              <w:left w:w="90" w:type="dxa"/>
              <w:right w:w="90" w:type="dxa"/>
            </w:tcMar>
            <w:shd w:val="clear" w:color="auto" w:fill="E5F5FF"/>
          </w:tcPr>
          <w:p>
            <w:pPr>
              <w:pStyle w:val="BDOITable"/>
            </w:pPr>
            <w:r>
              <w:rPr>
                <w:sz w:val="16"/>
              </w:rPr>
              <w:t>R09, P04, P05, F06, F07</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DMQ31</w:t>
            </w:r>
          </w:p>
        </w:tc>
        <w:tc>
          <w:tcPr>
            <w:tcW w:type="dxa" w:w="907"/>
            <w:tcMar>
              <w:top w:w="50" w:type="dxa"/>
              <w:bottom w:w="50" w:type="dxa"/>
              <w:left w:w="90" w:type="dxa"/>
              <w:right w:w="90" w:type="dxa"/>
            </w:tcMar>
          </w:tcPr>
          <w:p>
            <w:pPr>
              <w:pStyle w:val="BDOITable"/>
            </w:pPr>
            <w:r>
              <w:rPr>
                <w:sz w:val="16"/>
              </w:rPr>
              <w:t>DCR-200</w:t>
            </w:r>
          </w:p>
        </w:tc>
        <w:tc>
          <w:tcPr>
            <w:tcW w:type="dxa" w:w="1700"/>
            <w:tcMar>
              <w:top w:w="50" w:type="dxa"/>
              <w:bottom w:w="50" w:type="dxa"/>
              <w:left w:w="90" w:type="dxa"/>
              <w:right w:w="90" w:type="dxa"/>
            </w:tcMar>
          </w:tcPr>
          <w:p>
            <w:pPr>
              <w:pStyle w:val="BDOITable"/>
            </w:pPr>
            <w:r>
              <w:rPr>
                <w:sz w:val="16"/>
              </w:rPr>
              <w:t>Rehearsals and test data</w:t>
            </w:r>
          </w:p>
        </w:tc>
        <w:tc>
          <w:tcPr>
            <w:tcW w:type="dxa" w:w="1926"/>
            <w:tcMar>
              <w:top w:w="50" w:type="dxa"/>
              <w:bottom w:w="50" w:type="dxa"/>
              <w:left w:w="90" w:type="dxa"/>
              <w:right w:w="90" w:type="dxa"/>
            </w:tcMar>
          </w:tcPr>
          <w:p>
            <w:pPr>
              <w:pStyle w:val="BDOITable"/>
            </w:pPr>
            <w:r>
              <w:rPr>
                <w:sz w:val="16"/>
              </w:rPr>
              <w:t>Migration cycles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 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DMQ32</w:t>
            </w:r>
          </w:p>
        </w:tc>
        <w:tc>
          <w:tcPr>
            <w:tcW w:type="dxa" w:w="907"/>
            <w:tcMar>
              <w:top w:w="50" w:type="dxa"/>
              <w:bottom w:w="50" w:type="dxa"/>
              <w:left w:w="90" w:type="dxa"/>
              <w:right w:w="90" w:type="dxa"/>
            </w:tcMar>
            <w:shd w:val="clear" w:color="auto" w:fill="E5F5FF"/>
          </w:tcPr>
          <w:p>
            <w:pPr>
              <w:pStyle w:val="BDOITable"/>
            </w:pPr>
            <w:r>
              <w:rPr>
                <w:sz w:val="16"/>
              </w:rPr>
              <w:t>DCR-200</w:t>
            </w:r>
          </w:p>
        </w:tc>
        <w:tc>
          <w:tcPr>
            <w:tcW w:type="dxa" w:w="1700"/>
            <w:tcMar>
              <w:top w:w="50" w:type="dxa"/>
              <w:bottom w:w="50" w:type="dxa"/>
              <w:left w:w="90" w:type="dxa"/>
              <w:right w:w="90" w:type="dxa"/>
            </w:tcMar>
            <w:shd w:val="clear" w:color="auto" w:fill="E5F5FF"/>
          </w:tcPr>
          <w:p>
            <w:pPr>
              <w:pStyle w:val="BDOITable"/>
            </w:pPr>
            <w:r>
              <w:rPr>
                <w:sz w:val="16"/>
              </w:rPr>
              <w:t>Fallback</w:t>
            </w:r>
          </w:p>
        </w:tc>
        <w:tc>
          <w:tcPr>
            <w:tcW w:type="dxa" w:w="1926"/>
            <w:tcMar>
              <w:top w:w="50" w:type="dxa"/>
              <w:bottom w:w="50" w:type="dxa"/>
              <w:left w:w="90" w:type="dxa"/>
              <w:right w:w="90" w:type="dxa"/>
            </w:tcMar>
            <w:shd w:val="clear" w:color="auto" w:fill="E5F5FF"/>
          </w:tcPr>
          <w:p>
            <w:pPr>
              <w:pStyle w:val="BDOITable"/>
            </w:pPr>
            <w:r>
              <w:rPr>
                <w:sz w:val="16"/>
              </w:rPr>
              <w:t>Runbook rollback</w:t>
            </w:r>
          </w:p>
        </w:tc>
        <w:tc>
          <w:tcPr>
            <w:tcW w:type="dxa" w:w="1530"/>
            <w:tcMar>
              <w:top w:w="50" w:type="dxa"/>
              <w:bottom w:w="50" w:type="dxa"/>
              <w:left w:w="90" w:type="dxa"/>
              <w:right w:w="90" w:type="dxa"/>
            </w:tcMar>
            <w:shd w:val="clear" w:color="auto" w:fill="E5F5FF"/>
          </w:tcPr>
          <w:p>
            <w:pPr>
              <w:pStyle w:val="BDOITable"/>
            </w:pPr>
            <w:r>
              <w:rPr>
                <w:sz w:val="16"/>
              </w:rPr>
              <w:t>M6 (1 Oct 2027)</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DMQ33</w:t>
            </w:r>
          </w:p>
        </w:tc>
        <w:tc>
          <w:tcPr>
            <w:tcW w:type="dxa" w:w="907"/>
            <w:tcMar>
              <w:top w:w="50" w:type="dxa"/>
              <w:bottom w:w="50" w:type="dxa"/>
              <w:left w:w="90" w:type="dxa"/>
              <w:right w:w="90" w:type="dxa"/>
            </w:tcMar>
          </w:tcPr>
          <w:p>
            <w:pPr>
              <w:pStyle w:val="BDOITable"/>
            </w:pPr>
            <w:r>
              <w:rPr>
                <w:sz w:val="16"/>
              </w:rPr>
              <w:t>DCR-200</w:t>
            </w:r>
          </w:p>
        </w:tc>
        <w:tc>
          <w:tcPr>
            <w:tcW w:type="dxa" w:w="1700"/>
            <w:tcMar>
              <w:top w:w="50" w:type="dxa"/>
              <w:bottom w:w="50" w:type="dxa"/>
              <w:left w:w="90" w:type="dxa"/>
              <w:right w:w="90" w:type="dxa"/>
            </w:tcMar>
          </w:tcPr>
          <w:p>
            <w:pPr>
              <w:pStyle w:val="BDOITable"/>
            </w:pPr>
            <w:r>
              <w:rPr>
                <w:sz w:val="16"/>
              </w:rPr>
              <w:t>In-flight items at the freeze</w:t>
            </w:r>
          </w:p>
        </w:tc>
        <w:tc>
          <w:tcPr>
            <w:tcW w:type="dxa" w:w="1926"/>
            <w:tcMar>
              <w:top w:w="50" w:type="dxa"/>
              <w:bottom w:w="50" w:type="dxa"/>
              <w:left w:w="90" w:type="dxa"/>
              <w:right w:w="90" w:type="dxa"/>
            </w:tcMar>
          </w:tcPr>
          <w:p>
            <w:pPr>
              <w:pStyle w:val="BDOITable"/>
            </w:pPr>
            <w:r>
              <w:rPr>
                <w:sz w:val="16"/>
              </w:rPr>
              <w:t>F06; freeze plan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DMQ34</w:t>
            </w:r>
          </w:p>
        </w:tc>
        <w:tc>
          <w:tcPr>
            <w:tcW w:type="dxa" w:w="907"/>
            <w:tcMar>
              <w:top w:w="50" w:type="dxa"/>
              <w:bottom w:w="50" w:type="dxa"/>
              <w:left w:w="90" w:type="dxa"/>
              <w:right w:w="90" w:type="dxa"/>
            </w:tcMar>
            <w:shd w:val="clear" w:color="auto" w:fill="E5F5FF"/>
          </w:tcPr>
          <w:p>
            <w:pPr>
              <w:pStyle w:val="BDOITable"/>
            </w:pPr>
            <w:r>
              <w:rPr>
                <w:sz w:val="16"/>
              </w:rPr>
              <w:t>DCR-203</w:t>
            </w:r>
          </w:p>
        </w:tc>
        <w:tc>
          <w:tcPr>
            <w:tcW w:type="dxa" w:w="1700"/>
            <w:tcMar>
              <w:top w:w="50" w:type="dxa"/>
              <w:bottom w:w="50" w:type="dxa"/>
              <w:left w:w="90" w:type="dxa"/>
              <w:right w:w="90" w:type="dxa"/>
            </w:tcMar>
            <w:shd w:val="clear" w:color="auto" w:fill="E5F5FF"/>
          </w:tcPr>
          <w:p>
            <w:pPr>
              <w:pStyle w:val="BDOITable"/>
            </w:pPr>
            <w:r>
              <w:rPr>
                <w:sz w:val="16"/>
              </w:rPr>
              <w:t>Collection history</w:t>
            </w:r>
          </w:p>
        </w:tc>
        <w:tc>
          <w:tcPr>
            <w:tcW w:type="dxa" w:w="1926"/>
            <w:tcMar>
              <w:top w:w="50" w:type="dxa"/>
              <w:bottom w:w="50" w:type="dxa"/>
              <w:left w:w="90" w:type="dxa"/>
              <w:right w:w="90" w:type="dxa"/>
            </w:tcMar>
            <w:shd w:val="clear" w:color="auto" w:fill="E5F5FF"/>
          </w:tcPr>
          <w:p>
            <w:pPr>
              <w:pStyle w:val="BDOITable"/>
            </w:pPr>
            <w:r>
              <w:rPr>
                <w:sz w:val="16"/>
              </w:rPr>
              <w:t>F03</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Operations (Collections)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DCR-202</w:t>
            </w:r>
          </w:p>
        </w:tc>
        <w:tc>
          <w:tcPr>
            <w:tcW w:type="dxa" w:w="907"/>
            <w:tcMar>
              <w:top w:w="50" w:type="dxa"/>
              <w:bottom w:w="50" w:type="dxa"/>
              <w:left w:w="90" w:type="dxa"/>
              <w:right w:w="90" w:type="dxa"/>
            </w:tcMar>
          </w:tcPr>
          <w:p>
            <w:pPr>
              <w:pStyle w:val="BDOITable"/>
            </w:pPr>
            <w:r>
              <w:rPr>
                <w:sz w:val="16"/>
              </w:rPr>
              <w:t>DCR-202</w:t>
            </w:r>
          </w:p>
        </w:tc>
        <w:tc>
          <w:tcPr>
            <w:tcW w:type="dxa" w:w="1700"/>
            <w:tcMar>
              <w:top w:w="50" w:type="dxa"/>
              <w:bottom w:w="50" w:type="dxa"/>
              <w:left w:w="90" w:type="dxa"/>
              <w:right w:w="90" w:type="dxa"/>
            </w:tcMar>
          </w:tcPr>
          <w:p>
            <w:pPr>
              <w:pStyle w:val="BDOITable"/>
            </w:pPr>
            <w:r>
              <w:rPr>
                <w:sz w:val="16"/>
              </w:rPr>
              <w:t>Write-back to legacy</w:t>
            </w:r>
          </w:p>
        </w:tc>
        <w:tc>
          <w:tcPr>
            <w:tcW w:type="dxa" w:w="1926"/>
            <w:tcMar>
              <w:top w:w="50" w:type="dxa"/>
              <w:bottom w:w="50" w:type="dxa"/>
              <w:left w:w="90" w:type="dxa"/>
              <w:right w:w="90" w:type="dxa"/>
            </w:tcMar>
          </w:tcPr>
          <w:p>
            <w:pPr>
              <w:pStyle w:val="BDOITable"/>
            </w:pPr>
            <w:r>
              <w:rPr>
                <w:sz w:val="16"/>
              </w:rPr>
              <w:t>C01 deltas; CSF ContactSyncGateway</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DMQ35</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Foreign currency</w:t>
            </w:r>
          </w:p>
        </w:tc>
        <w:tc>
          <w:tcPr>
            <w:tcW w:type="dxa" w:w="1926"/>
            <w:tcMar>
              <w:top w:w="50" w:type="dxa"/>
              <w:bottom w:w="50" w:type="dxa"/>
              <w:left w:w="90" w:type="dxa"/>
              <w:right w:w="90" w:type="dxa"/>
            </w:tcMar>
            <w:shd w:val="clear" w:color="auto" w:fill="E5F5FF"/>
          </w:tcPr>
          <w:p>
            <w:pPr>
              <w:pStyle w:val="BDOITable"/>
            </w:pPr>
            <w:r>
              <w:rPr>
                <w:sz w:val="16"/>
              </w:rPr>
              <w:t>F01, F02, G01</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DMQ36</w:t>
            </w:r>
          </w:p>
        </w:tc>
        <w:tc>
          <w:tcPr>
            <w:tcW w:type="dxa" w:w="907"/>
            <w:tcMar>
              <w:top w:w="50" w:type="dxa"/>
              <w:bottom w:w="50" w:type="dxa"/>
              <w:left w:w="90" w:type="dxa"/>
              <w:right w:w="90" w:type="dxa"/>
            </w:tcMar>
          </w:tcPr>
          <w:p>
            <w:pPr>
              <w:pStyle w:val="BDOITable"/>
            </w:pPr>
            <w:r>
              <w:rPr>
                <w:sz w:val="16"/>
              </w:rPr>
              <w:t>DCR-241</w:t>
            </w:r>
          </w:p>
        </w:tc>
        <w:tc>
          <w:tcPr>
            <w:tcW w:type="dxa" w:w="1700"/>
            <w:tcMar>
              <w:top w:w="50" w:type="dxa"/>
              <w:bottom w:w="50" w:type="dxa"/>
              <w:left w:w="90" w:type="dxa"/>
              <w:right w:w="90" w:type="dxa"/>
            </w:tcMar>
          </w:tcPr>
          <w:p>
            <w:pPr>
              <w:pStyle w:val="BDOITable"/>
            </w:pPr>
            <w:r>
              <w:rPr>
                <w:sz w:val="16"/>
              </w:rPr>
              <w:t>Package remapping</w:t>
            </w:r>
          </w:p>
        </w:tc>
        <w:tc>
          <w:tcPr>
            <w:tcW w:type="dxa" w:w="1926"/>
            <w:tcMar>
              <w:top w:w="50" w:type="dxa"/>
              <w:bottom w:w="50" w:type="dxa"/>
              <w:left w:w="90" w:type="dxa"/>
              <w:right w:w="90" w:type="dxa"/>
            </w:tcMar>
          </w:tcPr>
          <w:p>
            <w:pPr>
              <w:pStyle w:val="BDOITable"/>
            </w:pPr>
            <w:r>
              <w:rPr>
                <w:sz w:val="16"/>
              </w:rPr>
              <w:t>R06, P01; PACKAGE map; Renewal check PACKAGE_REMAP; DM1-C</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Product Owner, MBS; TSU</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DMQ37</w:t>
            </w:r>
          </w:p>
        </w:tc>
        <w:tc>
          <w:tcPr>
            <w:tcW w:type="dxa" w:w="907"/>
            <w:tcMar>
              <w:top w:w="50" w:type="dxa"/>
              <w:bottom w:w="50" w:type="dxa"/>
              <w:left w:w="90" w:type="dxa"/>
              <w:right w:w="90" w:type="dxa"/>
            </w:tcMar>
            <w:shd w:val="clear" w:color="auto" w:fill="E5F5FF"/>
          </w:tcPr>
          <w:p>
            <w:pPr>
              <w:pStyle w:val="BDOITable"/>
            </w:pPr>
            <w:r>
              <w:rPr>
                <w:sz w:val="16"/>
              </w:rPr>
              <w:t>DCR-199, DCR-240</w:t>
            </w:r>
          </w:p>
        </w:tc>
        <w:tc>
          <w:tcPr>
            <w:tcW w:type="dxa" w:w="1700"/>
            <w:tcMar>
              <w:top w:w="50" w:type="dxa"/>
              <w:bottom w:w="50" w:type="dxa"/>
              <w:left w:w="90" w:type="dxa"/>
              <w:right w:w="90" w:type="dxa"/>
            </w:tcMar>
            <w:shd w:val="clear" w:color="auto" w:fill="E5F5FF"/>
          </w:tcPr>
          <w:p>
            <w:pPr>
              <w:pStyle w:val="BDOITable"/>
            </w:pPr>
            <w:r>
              <w:rPr>
                <w:sz w:val="16"/>
              </w:rPr>
              <w:t>January-May 2028 renewals</w:t>
            </w:r>
          </w:p>
        </w:tc>
        <w:tc>
          <w:tcPr>
            <w:tcW w:type="dxa" w:w="1926"/>
            <w:tcMar>
              <w:top w:w="50" w:type="dxa"/>
              <w:bottom w:w="50" w:type="dxa"/>
              <w:left w:w="90" w:type="dxa"/>
              <w:right w:w="90" w:type="dxa"/>
            </w:tcMar>
            <w:shd w:val="clear" w:color="auto" w:fill="E5F5FF"/>
          </w:tcPr>
          <w:p>
            <w:pPr>
              <w:pStyle w:val="BDOITable"/>
            </w:pPr>
            <w:r>
              <w:rPr>
                <w:sz w:val="16"/>
              </w:rPr>
              <w:t>P01 scope; P03; Renewal go-live extraction</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Heads, Retail and Corporate Marketing</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tcPr>
          <w:p>
            <w:pPr>
              <w:pStyle w:val="BDOITable"/>
            </w:pPr>
            <w:r>
              <w:rPr>
                <w:b/>
                <w:sz w:val="16"/>
              </w:rPr>
              <w:t>DMQ38</w:t>
            </w:r>
          </w:p>
        </w:tc>
        <w:tc>
          <w:tcPr>
            <w:tcW w:type="dxa" w:w="907"/>
            <w:tcMar>
              <w:top w:w="50" w:type="dxa"/>
              <w:bottom w:w="50" w:type="dxa"/>
              <w:left w:w="90" w:type="dxa"/>
              <w:right w:w="90" w:type="dxa"/>
            </w:tcMar>
          </w:tcPr>
          <w:p>
            <w:pPr>
              <w:pStyle w:val="BDOITable"/>
            </w:pPr>
            <w:r>
              <w:rPr>
                <w:sz w:val="16"/>
              </w:rPr>
              <w:t>DCR-243</w:t>
            </w:r>
          </w:p>
        </w:tc>
        <w:tc>
          <w:tcPr>
            <w:tcW w:type="dxa" w:w="1700"/>
            <w:tcMar>
              <w:top w:w="50" w:type="dxa"/>
              <w:bottom w:w="50" w:type="dxa"/>
              <w:left w:w="90" w:type="dxa"/>
              <w:right w:w="90" w:type="dxa"/>
            </w:tcMar>
          </w:tcPr>
          <w:p>
            <w:pPr>
              <w:pStyle w:val="BDOITable"/>
            </w:pPr>
            <w:r>
              <w:rPr>
                <w:sz w:val="16"/>
              </w:rPr>
              <w:t>RMEL and disposition sources</w:t>
            </w:r>
          </w:p>
        </w:tc>
        <w:tc>
          <w:tcPr>
            <w:tcW w:type="dxa" w:w="1926"/>
            <w:tcMar>
              <w:top w:w="50" w:type="dxa"/>
              <w:bottom w:w="50" w:type="dxa"/>
              <w:left w:w="90" w:type="dxa"/>
              <w:right w:w="90" w:type="dxa"/>
            </w:tcMar>
          </w:tcPr>
          <w:p>
            <w:pPr>
              <w:pStyle w:val="BDOITable"/>
            </w:pPr>
            <w:r>
              <w:rPr>
                <w:sz w:val="16"/>
              </w:rPr>
              <w:t>P03 template and review</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of the Renewal processing team</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DMQ39</w:t>
            </w:r>
          </w:p>
        </w:tc>
        <w:tc>
          <w:tcPr>
            <w:tcW w:type="dxa" w:w="907"/>
            <w:tcMar>
              <w:top w:w="50" w:type="dxa"/>
              <w:bottom w:w="50" w:type="dxa"/>
              <w:left w:w="90" w:type="dxa"/>
              <w:right w:w="90" w:type="dxa"/>
            </w:tcMar>
            <w:shd w:val="clear" w:color="auto" w:fill="E5F5FF"/>
          </w:tcPr>
          <w:p>
            <w:pPr>
              <w:pStyle w:val="BDOITable"/>
            </w:pPr>
            <w:r>
              <w:rPr>
                <w:sz w:val="16"/>
              </w:rPr>
              <w:t>DCR-242</w:t>
            </w:r>
          </w:p>
        </w:tc>
        <w:tc>
          <w:tcPr>
            <w:tcW w:type="dxa" w:w="1700"/>
            <w:tcMar>
              <w:top w:w="50" w:type="dxa"/>
              <w:bottom w:w="50" w:type="dxa"/>
              <w:left w:w="90" w:type="dxa"/>
              <w:right w:w="90" w:type="dxa"/>
            </w:tcMar>
            <w:shd w:val="clear" w:color="auto" w:fill="E5F5FF"/>
          </w:tcPr>
          <w:p>
            <w:pPr>
              <w:pStyle w:val="BDOITable"/>
            </w:pPr>
            <w:r>
              <w:rPr>
                <w:sz w:val="16"/>
              </w:rPr>
              <w:t>Year-end cut-over</w:t>
            </w:r>
          </w:p>
        </w:tc>
        <w:tc>
          <w:tcPr>
            <w:tcW w:type="dxa" w:w="1926"/>
            <w:tcMar>
              <w:top w:w="50" w:type="dxa"/>
              <w:bottom w:w="50" w:type="dxa"/>
              <w:left w:w="90" w:type="dxa"/>
              <w:right w:w="90" w:type="dxa"/>
            </w:tcMar>
            <w:shd w:val="clear" w:color="auto" w:fill="E5F5FF"/>
          </w:tcPr>
          <w:p>
            <w:pPr>
              <w:pStyle w:val="BDOITable"/>
            </w:pPr>
            <w:r>
              <w:rPr>
                <w:sz w:val="16"/>
              </w:rPr>
              <w:t>Runbook calendar; G01, G03; true-up build (DM1-A)</w:t>
            </w:r>
          </w:p>
        </w:tc>
        <w:tc>
          <w:tcPr>
            <w:tcW w:type="dxa" w:w="1530"/>
            <w:tcMar>
              <w:top w:w="50" w:type="dxa"/>
              <w:bottom w:w="50" w:type="dxa"/>
              <w:left w:w="90" w:type="dxa"/>
              <w:right w:w="90" w:type="dxa"/>
            </w:tcMar>
            <w:shd w:val="clear" w:color="auto" w:fill="E5F5FF"/>
          </w:tcPr>
          <w:p>
            <w:pPr>
              <w:pStyle w:val="BDOITable"/>
            </w:pPr>
            <w:r>
              <w:rPr>
                <w:sz w:val="16"/>
              </w:rPr>
              <w:t>M6 (1 Oct 2027)</w:t>
            </w:r>
          </w:p>
        </w:tc>
        <w:tc>
          <w:tcPr>
            <w:tcW w:type="dxa" w:w="1473"/>
            <w:tcMar>
              <w:top w:w="50" w:type="dxa"/>
              <w:bottom w:w="50" w:type="dxa"/>
              <w:left w:w="90" w:type="dxa"/>
              <w:right w:w="90" w:type="dxa"/>
            </w:tcMar>
            <w:shd w:val="clear" w:color="auto" w:fill="E5F5FF"/>
          </w:tcPr>
          <w:p>
            <w:pPr>
              <w:pStyle w:val="BDOITable"/>
            </w:pPr>
            <w:r>
              <w:rPr>
                <w:sz w:val="16"/>
              </w:rPr>
              <w:t>Program Manager; Head of Comptrollership</w:t>
            </w:r>
          </w:p>
        </w:tc>
        <w:tc>
          <w:tcPr>
            <w:tcW w:type="dxa" w:w="1586"/>
            <w:tcMar>
              <w:top w:w="50" w:type="dxa"/>
              <w:bottom w:w="50" w:type="dxa"/>
              <w:left w:w="90" w:type="dxa"/>
              <w:right w:w="90" w:type="dxa"/>
            </w:tcMar>
            <w:shd w:val="clear" w:color="auto" w:fill="E5F5FF"/>
          </w:tcPr>
          <w:p>
            <w:pPr>
              <w:pStyle w:val="BDOITable"/>
            </w:pPr>
            <w:r>
              <w:rPr>
                <w:b/>
                <w:color w:val="004EA8"/>
                <w:sz w:val="16"/>
              </w:rPr>
              <w:t>RECOMMENDED</w:t>
            </w:r>
          </w:p>
        </w:tc>
      </w:tr>
    </w:tbl>
    <w:p>
      <w:pPr>
        <w:pStyle w:val="BDOISpacer"/>
      </w:pPr>
    </w:p>
    <w:p>
      <w:pPr>
        <w:pStyle w:val="Heading1"/>
        <w:pageBreakBefore/>
        <w:pBdr>
          <w:bottom w:val="single" w:sz="4" w:space="4" w:color="99C1E7"/>
        </w:pBdr>
      </w:pPr>
      <w:bookmarkStart w:id="165" w:name="_Toc000165"/>
      <w:r>
        <w:rPr/>
        <w:t>16 Timeline</w:t>
      </w:r>
      <w:bookmarkEnd w:id="165"/>
    </w:p>
    <w:p>
      <w:pPr>
        <w:pStyle w:val="Heading2"/>
      </w:pPr>
      <w:bookmarkStart w:id="166" w:name="_Toc000166"/>
      <w:r>
        <w:rPr/>
        <w:t>16.1 Alignment with the BDOI timeline</w:t>
      </w:r>
      <w:bookmarkEnd w:id="166"/>
    </w:p>
    <w:p>
      <w:r>
        <w:rPr/>
        <w:t>The migration timeline follows the BDOI drop plan and timeline (R9): Drop 0 "Setup &amp; Data Migration", go-live January 2028 (DMQ25), recommended Monday 3 January 2028 at the year-end boundary (DMQ39). It ties into the build of the migration module and into the UAT readiness programme (R7) as follows.</w:t>
      </w:r>
    </w:p>
    <w:p>
      <w:pPr>
        <w:pStyle w:val="Caption"/>
        <w:keepNext/>
        <w:spacing w:after="60"/>
      </w:pPr>
      <w:r>
        <w:rPr>
          <w:b/>
          <w:i w:val="0"/>
        </w:rPr>
        <w:t xml:space="preserve">Table 39: </w:t>
      </w:r>
      <w:r>
        <w:rPr/>
        <w:t>Migration timeline on the BDOI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124"/>
        <w:gridCol w:w="480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 (BDOI timeline stream)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Link to build and UAT readiness</w:t>
            </w:r>
          </w:p>
        </w:tc>
      </w:tr>
      <w:tr>
        <w:trPr>
          <w:cantSplit w:val="true"/>
        </w:trPr>
        <w:tc>
          <w:tcPr>
            <w:tcW w:type="dxa" w:w="2042"/>
            <w:tcMar>
              <w:top w:w="50" w:type="dxa"/>
              <w:bottom w:w="50" w:type="dxa"/>
              <w:left w:w="90" w:type="dxa"/>
              <w:right w:w="90" w:type="dxa"/>
            </w:tcMar>
          </w:tcPr>
          <w:p>
            <w:pPr>
              <w:pStyle w:val="BDOITable"/>
            </w:pPr>
            <w:r>
              <w:rPr>
                <w:sz w:val="17"/>
              </w:rPr>
              <w:t>26 Sep 2026 (M0)</w:t>
            </w:r>
          </w:p>
        </w:tc>
        <w:tc>
          <w:tcPr>
            <w:tcW w:type="dxa" w:w="3124"/>
            <w:tcMar>
              <w:top w:w="50" w:type="dxa"/>
              <w:bottom w:w="50" w:type="dxa"/>
              <w:left w:w="90" w:type="dxa"/>
              <w:right w:w="90" w:type="dxa"/>
            </w:tcMar>
          </w:tcPr>
          <w:p>
            <w:pPr>
              <w:pStyle w:val="BDOITable"/>
            </w:pPr>
            <w:r>
              <w:rPr>
                <w:sz w:val="17"/>
              </w:rPr>
              <w:t>This document set issued (version 1.2 with the BDOI answers to DMQ36-DMQ39)</w:t>
            </w:r>
          </w:p>
        </w:tc>
        <w:tc>
          <w:tcPr>
            <w:tcW w:type="dxa" w:w="4806"/>
            <w:tcMar>
              <w:top w:w="50" w:type="dxa"/>
              <w:bottom w:w="50" w:type="dxa"/>
              <w:left w:w="90" w:type="dxa"/>
              <w:right w:w="90" w:type="dxa"/>
            </w:tcMar>
          </w:tcPr>
          <w:p>
            <w:pPr>
              <w:pStyle w:val="BDOITable"/>
            </w:pPr>
            <w:r>
              <w:rPr>
                <w:sz w:val="17"/>
              </w:rPr>
              <w:t>FRS BRD-13 v1.2 under review</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16 Oct 2026 (M1) - requirements and mapping</w:t>
            </w:r>
          </w:p>
        </w:tc>
        <w:tc>
          <w:tcPr>
            <w:tcW w:type="dxa" w:w="3124"/>
            <w:tcMar>
              <w:top w:w="50" w:type="dxa"/>
              <w:bottom w:w="50" w:type="dxa"/>
              <w:left w:w="90" w:type="dxa"/>
              <w:right w:w="90" w:type="dxa"/>
            </w:tcMar>
            <w:shd w:val="clear" w:color="auto" w:fill="E5F5FF"/>
          </w:tcPr>
          <w:p>
            <w:pPr>
              <w:pStyle w:val="BDOITable"/>
            </w:pPr>
            <w:r>
              <w:rPr>
                <w:sz w:val="17"/>
              </w:rPr>
              <w:t>Remaining build-shaping decisions answered (package remapping DMQ36 and the January-May 2028 renewals DMQ37 answered on 26 Sep 2026)</w:t>
            </w:r>
          </w:p>
        </w:tc>
        <w:tc>
          <w:tcPr>
            <w:tcW w:type="dxa" w:w="4806"/>
            <w:tcMar>
              <w:top w:w="50" w:type="dxa"/>
              <w:bottom w:w="50" w:type="dxa"/>
              <w:left w:w="90" w:type="dxa"/>
              <w:right w:w="90" w:type="dxa"/>
            </w:tcMar>
            <w:shd w:val="clear" w:color="auto" w:fill="E5F5FF"/>
          </w:tcPr>
          <w:p>
            <w:pPr>
              <w:pStyle w:val="BDOITable"/>
            </w:pPr>
            <w:r>
              <w:rPr>
                <w:sz w:val="17"/>
              </w:rPr>
              <w:t>Needed before the build waves start</w:t>
            </w:r>
          </w:p>
        </w:tc>
      </w:tr>
      <w:tr>
        <w:trPr>
          <w:cantSplit w:val="true"/>
        </w:trPr>
        <w:tc>
          <w:tcPr>
            <w:tcW w:type="dxa" w:w="2042"/>
            <w:tcMar>
              <w:top w:w="50" w:type="dxa"/>
              <w:bottom w:w="50" w:type="dxa"/>
              <w:left w:w="90" w:type="dxa"/>
              <w:right w:w="90" w:type="dxa"/>
            </w:tcMar>
          </w:tcPr>
          <w:p>
            <w:pPr>
              <w:pStyle w:val="BDOITable"/>
            </w:pPr>
            <w:r>
              <w:rPr>
                <w:sz w:val="17"/>
              </w:rPr>
              <w:t>30 Oct 2026 (M2) - requirements and mapping</w:t>
            </w:r>
          </w:p>
        </w:tc>
        <w:tc>
          <w:tcPr>
            <w:tcW w:type="dxa" w:w="3124"/>
            <w:tcMar>
              <w:top w:w="50" w:type="dxa"/>
              <w:bottom w:w="50" w:type="dxa"/>
              <w:left w:w="90" w:type="dxa"/>
              <w:right w:w="90" w:type="dxa"/>
            </w:tcMar>
          </w:tcPr>
          <w:p>
            <w:pPr>
              <w:pStyle w:val="BDOITable"/>
            </w:pPr>
            <w:r>
              <w:rPr>
                <w:sz w:val="17"/>
              </w:rPr>
              <w:t>Owners, stewards, keys, remaining rules; object decisions signed (G1); layouts frozen, version 1</w:t>
            </w:r>
          </w:p>
        </w:tc>
        <w:tc>
          <w:tcPr>
            <w:tcW w:type="dxa" w:w="4806"/>
            <w:tcMar>
              <w:top w:w="50" w:type="dxa"/>
              <w:bottom w:w="50" w:type="dxa"/>
              <w:left w:w="90" w:type="dxa"/>
              <w:right w:w="90" w:type="dxa"/>
            </w:tcMar>
          </w:tcPr>
          <w:p>
            <w:pPr>
              <w:pStyle w:val="BDOITable"/>
            </w:pPr>
            <w:r>
              <w:rPr>
                <w:sz w:val="17"/>
              </w:rPr>
              <w:t>Build starts in November 2026 on agreed layouts; migration test plan cases finalised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Nov 2026 to Mar 2027 - build</w:t>
            </w:r>
          </w:p>
        </w:tc>
        <w:tc>
          <w:tcPr>
            <w:tcW w:type="dxa" w:w="3124"/>
            <w:tcMar>
              <w:top w:w="50" w:type="dxa"/>
              <w:bottom w:w="50" w:type="dxa"/>
              <w:left w:w="90" w:type="dxa"/>
              <w:right w:w="90" w:type="dxa"/>
            </w:tcMar>
            <w:shd w:val="clear" w:color="auto" w:fill="E5F5FF"/>
          </w:tcPr>
          <w:p>
            <w:pPr>
              <w:pStyle w:val="BDOITable"/>
            </w:pPr>
            <w:r>
              <w:rPr>
                <w:sz w:val="17"/>
              </w:rPr>
              <w:t>Build waves in trial-migration order: DM0 and DM1-C first, then DM1-A, DM1-B, DM2-A, DM2-B; DM3</w:t>
            </w:r>
          </w:p>
        </w:tc>
        <w:tc>
          <w:tcPr>
            <w:tcW w:type="dxa" w:w="4806"/>
            <w:tcMar>
              <w:top w:w="50" w:type="dxa"/>
              <w:bottom w:w="50" w:type="dxa"/>
              <w:left w:w="90" w:type="dxa"/>
              <w:right w:w="90" w:type="dxa"/>
            </w:tcMar>
            <w:shd w:val="clear" w:color="auto" w:fill="E5F5FF"/>
          </w:tcPr>
          <w:p>
            <w:pPr>
              <w:pStyle w:val="BDOITable"/>
            </w:pPr>
            <w:r>
              <w:rPr>
                <w:sz w:val="17"/>
              </w:rPr>
              <w:t>DM0 and DM1-C on SIT by 9 Apr 2027; the rest by 18 Jun 2027</w:t>
            </w:r>
          </w:p>
        </w:tc>
      </w:tr>
      <w:tr>
        <w:trPr>
          <w:cantSplit w:val="true"/>
        </w:trPr>
        <w:tc>
          <w:tcPr>
            <w:tcW w:type="dxa" w:w="2042"/>
            <w:tcMar>
              <w:top w:w="50" w:type="dxa"/>
              <w:bottom w:w="50" w:type="dxa"/>
              <w:left w:w="90" w:type="dxa"/>
              <w:right w:w="90" w:type="dxa"/>
            </w:tcMar>
          </w:tcPr>
          <w:p>
            <w:pPr>
              <w:pStyle w:val="BDOITable"/>
            </w:pPr>
            <w:r>
              <w:rPr>
                <w:sz w:val="17"/>
              </w:rPr>
              <w:t>29 Jan 2027 (M3)</w:t>
            </w:r>
          </w:p>
        </w:tc>
        <w:tc>
          <w:tcPr>
            <w:tcW w:type="dxa" w:w="3124"/>
            <w:tcMar>
              <w:top w:w="50" w:type="dxa"/>
              <w:bottom w:w="50" w:type="dxa"/>
              <w:left w:w="90" w:type="dxa"/>
              <w:right w:w="90" w:type="dxa"/>
            </w:tcMar>
          </w:tcPr>
          <w:p>
            <w:pPr>
              <w:pStyle w:val="BDOITable"/>
            </w:pPr>
            <w:r>
              <w:rPr>
                <w:sz w:val="17"/>
              </w:rPr>
              <w:t>First full extracts with volumes; profiling</w:t>
            </w:r>
          </w:p>
        </w:tc>
        <w:tc>
          <w:tcPr>
            <w:tcW w:type="dxa" w:w="4806"/>
            <w:tcMar>
              <w:top w:w="50" w:type="dxa"/>
              <w:bottom w:w="50" w:type="dxa"/>
              <w:left w:w="90" w:type="dxa"/>
              <w:right w:w="90" w:type="dxa"/>
            </w:tcMar>
          </w:tcPr>
          <w:p>
            <w:pPr>
              <w:pStyle w:val="BDOITable"/>
            </w:pPr>
            <w:r>
              <w:rPr>
                <w:sz w:val="17"/>
              </w:rPr>
              <w:t>DM3 performance harness sized from the volumes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9 Apr 2027 (M4) - SIT migration</w:t>
            </w:r>
          </w:p>
        </w:tc>
        <w:tc>
          <w:tcPr>
            <w:tcW w:type="dxa" w:w="3124"/>
            <w:tcMar>
              <w:top w:w="50" w:type="dxa"/>
              <w:bottom w:w="50" w:type="dxa"/>
              <w:left w:w="90" w:type="dxa"/>
              <w:right w:w="90" w:type="dxa"/>
            </w:tcMar>
            <w:shd w:val="clear" w:color="auto" w:fill="E5F5FF"/>
          </w:tcPr>
          <w:p>
            <w:pPr>
              <w:pStyle w:val="BDOITable"/>
            </w:pPr>
            <w:r>
              <w:rPr>
                <w:sz w:val="17"/>
              </w:rPr>
              <w:t>Extracts for Trial migration 1</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19-30 Apr 2027 - SIT migration</w:t>
            </w:r>
          </w:p>
        </w:tc>
        <w:tc>
          <w:tcPr>
            <w:tcW w:type="dxa" w:w="3124"/>
            <w:tcMar>
              <w:top w:w="50" w:type="dxa"/>
              <w:bottom w:w="50" w:type="dxa"/>
              <w:left w:w="90" w:type="dxa"/>
              <w:right w:w="90" w:type="dxa"/>
            </w:tcMar>
          </w:tcPr>
          <w:p>
            <w:pPr>
              <w:pStyle w:val="BDOITable"/>
            </w:pPr>
            <w:r>
              <w:rPr>
                <w:sz w:val="17"/>
              </w:rPr>
              <w:t>Trial migration 1 on SIT: reference data and clients first, then headers and the RA-sent file</w:t>
            </w:r>
          </w:p>
        </w:tc>
        <w:tc>
          <w:tcPr>
            <w:tcW w:type="dxa" w:w="4806"/>
            <w:tcMar>
              <w:top w:w="50" w:type="dxa"/>
              <w:bottom w:w="50" w:type="dxa"/>
              <w:left w:w="90" w:type="dxa"/>
              <w:right w:w="90" w:type="dxa"/>
            </w:tcMar>
          </w:tcPr>
          <w:p>
            <w:pPr>
              <w:pStyle w:val="BDOITable"/>
            </w:pPr>
            <w:r>
              <w:rPr>
                <w:sz w:val="17"/>
              </w:rPr>
              <w:t>Drop 1 SIT (Renewal first) tests on migrated clients and reference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18 Jun 2027 (M5)</w:t>
            </w:r>
          </w:p>
        </w:tc>
        <w:tc>
          <w:tcPr>
            <w:tcW w:type="dxa" w:w="3124"/>
            <w:tcMar>
              <w:top w:w="50" w:type="dxa"/>
              <w:bottom w:w="50" w:type="dxa"/>
              <w:left w:w="90" w:type="dxa"/>
              <w:right w:w="90" w:type="dxa"/>
            </w:tcMar>
            <w:shd w:val="clear" w:color="auto" w:fill="E5F5FF"/>
          </w:tcPr>
          <w:p>
            <w:pPr>
              <w:pStyle w:val="BDOITable"/>
            </w:pPr>
            <w:r>
              <w:rPr>
                <w:sz w:val="17"/>
              </w:rPr>
              <w:t>Code maps approved for Trial migration 2, including the PACKAGE map loaded for Renewal</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5-16 Jul 2027 - SIT migration</w:t>
            </w:r>
          </w:p>
        </w:tc>
        <w:tc>
          <w:tcPr>
            <w:tcW w:type="dxa" w:w="3124"/>
            <w:tcMar>
              <w:top w:w="50" w:type="dxa"/>
              <w:bottom w:w="50" w:type="dxa"/>
              <w:left w:w="90" w:type="dxa"/>
              <w:right w:w="90" w:type="dxa"/>
            </w:tcMar>
          </w:tcPr>
          <w:p>
            <w:pPr>
              <w:pStyle w:val="BDOITable"/>
            </w:pPr>
            <w:r>
              <w:rPr>
                <w:sz w:val="17"/>
              </w:rPr>
              <w:t>Trial migration 2 on SIT, all objects, L1-L5</w:t>
            </w:r>
          </w:p>
        </w:tc>
        <w:tc>
          <w:tcPr>
            <w:tcW w:type="dxa" w:w="4806"/>
            <w:tcMar>
              <w:top w:w="50" w:type="dxa"/>
              <w:bottom w:w="50" w:type="dxa"/>
              <w:left w:w="90" w:type="dxa"/>
              <w:right w:w="90" w:type="dxa"/>
            </w:tcMar>
          </w:tcPr>
          <w:p>
            <w:pPr>
              <w:pStyle w:val="BDOITable"/>
            </w:pPr>
            <w:r>
              <w:rPr>
                <w:sz w:val="17"/>
              </w:rPr>
              <w:t>Provides the "data migration dry run with reconciliation" of UAT readiness item 11</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2-13 Aug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3 = UAT load</w:t>
            </w:r>
          </w:p>
        </w:tc>
        <w:tc>
          <w:tcPr>
            <w:tcW w:type="dxa" w:w="4806"/>
            <w:tcMar>
              <w:top w:w="50" w:type="dxa"/>
              <w:bottom w:w="50" w:type="dxa"/>
              <w:left w:w="90" w:type="dxa"/>
              <w:right w:w="90" w:type="dxa"/>
            </w:tcMar>
            <w:shd w:val="clear" w:color="auto" w:fill="E5F5FF"/>
          </w:tcPr>
          <w:p>
            <w:pPr>
              <w:pStyle w:val="BDOITable"/>
            </w:pPr>
            <w:r>
              <w:rPr>
                <w:sz w:val="17"/>
              </w:rPr>
              <w:t>UAT readiness statement issued; the Drop 1 end-to-end UAT (Aug-Dec 2027) runs on migrated data</w:t>
            </w:r>
          </w:p>
        </w:tc>
      </w:tr>
      <w:tr>
        <w:trPr>
          <w:cantSplit w:val="true"/>
        </w:trPr>
        <w:tc>
          <w:tcPr>
            <w:tcW w:type="dxa" w:w="2042"/>
            <w:tcMar>
              <w:top w:w="50" w:type="dxa"/>
              <w:bottom w:w="50" w:type="dxa"/>
              <w:left w:w="90" w:type="dxa"/>
              <w:right w:w="90" w:type="dxa"/>
            </w:tcMar>
          </w:tcPr>
          <w:p>
            <w:pPr>
              <w:pStyle w:val="BDOITable"/>
            </w:pPr>
            <w:r>
              <w:rPr>
                <w:sz w:val="17"/>
              </w:rPr>
              <w:t>1 Oct 2027 (M6)</w:t>
            </w:r>
          </w:p>
        </w:tc>
        <w:tc>
          <w:tcPr>
            <w:tcW w:type="dxa" w:w="3124"/>
            <w:tcMar>
              <w:top w:w="50" w:type="dxa"/>
              <w:bottom w:w="50" w:type="dxa"/>
              <w:left w:w="90" w:type="dxa"/>
              <w:right w:w="90" w:type="dxa"/>
            </w:tcMar>
          </w:tcPr>
          <w:p>
            <w:pPr>
              <w:pStyle w:val="BDOITable"/>
            </w:pPr>
            <w:r>
              <w:rPr>
                <w:sz w:val="17"/>
              </w:rPr>
              <w:t>Cut-over date and window, fallback and decommissioning criteria agreed; Comptrollership confirms the year-end option A (DMQ39)</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4-15 Oct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4 = UAT refresh, timed as a cut-over, with the go-live renewal extraction and a test true-up</w:t>
            </w:r>
          </w:p>
        </w:tc>
        <w:tc>
          <w:tcPr>
            <w:tcW w:type="dxa" w:w="4806"/>
            <w:tcMar>
              <w:top w:w="50" w:type="dxa"/>
              <w:bottom w:w="50" w:type="dxa"/>
              <w:left w:w="90" w:type="dxa"/>
              <w:right w:w="90" w:type="dxa"/>
            </w:tcMar>
            <w:shd w:val="clear" w:color="auto" w:fill="E5F5FF"/>
          </w:tcPr>
          <w:p>
            <w:pPr>
              <w:pStyle w:val="BDOITable"/>
            </w:pPr>
            <w:r>
              <w:rPr>
                <w:sz w:val="17"/>
              </w:rPr>
              <w:t>Business owners verify migrated data during UAT; the Renewal team works the day-1 queue</w:t>
            </w:r>
          </w:p>
        </w:tc>
      </w:tr>
      <w:tr>
        <w:trPr>
          <w:cantSplit w:val="true"/>
        </w:trPr>
        <w:tc>
          <w:tcPr>
            <w:tcW w:type="dxa" w:w="2042"/>
            <w:tcMar>
              <w:top w:w="50" w:type="dxa"/>
              <w:bottom w:w="50" w:type="dxa"/>
              <w:left w:w="90" w:type="dxa"/>
              <w:right w:w="90" w:type="dxa"/>
            </w:tcMar>
          </w:tcPr>
          <w:p>
            <w:pPr>
              <w:pStyle w:val="BDOITable"/>
            </w:pPr>
            <w:r>
              <w:rPr>
                <w:sz w:val="17"/>
              </w:rPr>
              <w:t>15-26 Nov 2027 - full migration and cut-over; performance test</w:t>
            </w:r>
          </w:p>
        </w:tc>
        <w:tc>
          <w:tcPr>
            <w:tcW w:type="dxa" w:w="3124"/>
            <w:tcMar>
              <w:top w:w="50" w:type="dxa"/>
              <w:bottom w:w="50" w:type="dxa"/>
              <w:left w:w="90" w:type="dxa"/>
              <w:right w:w="90" w:type="dxa"/>
            </w:tcMar>
          </w:tcPr>
          <w:p>
            <w:pPr>
              <w:pStyle w:val="BDOITable"/>
            </w:pPr>
            <w:r>
              <w:rPr>
                <w:sz w:val="17"/>
              </w:rPr>
              <w:t>Dress rehearsal on the production-sized environment (reserve 6-10 Dec 2027)</w:t>
            </w:r>
          </w:p>
        </w:tc>
        <w:tc>
          <w:tcPr>
            <w:tcW w:type="dxa" w:w="4806"/>
            <w:tcMar>
              <w:top w:w="50" w:type="dxa"/>
              <w:bottom w:w="50" w:type="dxa"/>
              <w:left w:w="90" w:type="dxa"/>
              <w:right w:w="90" w:type="dxa"/>
            </w:tcMar>
          </w:tcPr>
          <w:p>
            <w:pPr>
              <w:pStyle w:val="BDOITable"/>
            </w:pPr>
            <w:r>
              <w:rPr>
                <w:sz w:val="17"/>
              </w:rPr>
              <w:t>Performance and penetration test Nov-Dec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 Dec 2027 (T-30) to 3 Jan 2028 (T) - full migration and cut-over; ORR / PRR</w:t>
            </w:r>
          </w:p>
        </w:tc>
        <w:tc>
          <w:tcPr>
            <w:tcW w:type="dxa" w:w="3124"/>
            <w:tcMar>
              <w:top w:w="50" w:type="dxa"/>
              <w:bottom w:w="50" w:type="dxa"/>
              <w:left w:w="90" w:type="dxa"/>
              <w:right w:w="90" w:type="dxa"/>
            </w:tcMar>
            <w:shd w:val="clear" w:color="auto" w:fill="E5F5FF"/>
          </w:tcPr>
          <w:p>
            <w:pPr>
              <w:pStyle w:val="BDOITable"/>
            </w:pPr>
            <w:r>
              <w:rPr>
                <w:sz w:val="17"/>
              </w:rPr>
              <w:t>Production cutover (Cutover Runbook): December soft close by 20 Dec, pre-load from 20 Dec, freeze 31 Dec 22:00, load and provisional GL opening 1 Jan, go / no-go 2 Jan 18:00, go-live renewal extraction 3 Jan 04:00</w:t>
            </w:r>
          </w:p>
        </w:tc>
        <w:tc>
          <w:tcPr>
            <w:tcW w:type="dxa" w:w="4806"/>
            <w:tcMar>
              <w:top w:w="50" w:type="dxa"/>
              <w:bottom w:w="50" w:type="dxa"/>
              <w:left w:w="90" w:type="dxa"/>
              <w:right w:w="90" w:type="dxa"/>
            </w:tcMar>
            <w:shd w:val="clear" w:color="auto" w:fill="E5F5FF"/>
          </w:tcPr>
          <w:p>
            <w:pPr>
              <w:pStyle w:val="BDOITable"/>
            </w:pPr>
            <w:r>
              <w:rPr>
                <w:sz w:val="17"/>
              </w:rPr>
              <w:t>ORR / PRR Dec 2027-Jan 2028; production release frozen from T-7</w:t>
            </w:r>
          </w:p>
        </w:tc>
      </w:tr>
      <w:tr>
        <w:trPr>
          <w:cantSplit w:val="true"/>
        </w:trPr>
        <w:tc>
          <w:tcPr>
            <w:tcW w:type="dxa" w:w="2042"/>
            <w:tcMar>
              <w:top w:w="50" w:type="dxa"/>
              <w:bottom w:w="50" w:type="dxa"/>
              <w:left w:w="90" w:type="dxa"/>
              <w:right w:w="90" w:type="dxa"/>
            </w:tcMar>
          </w:tcPr>
          <w:p>
            <w:pPr>
              <w:pStyle w:val="BDOITable"/>
            </w:pPr>
            <w:r>
              <w:rPr>
                <w:sz w:val="17"/>
              </w:rPr>
              <w:t>3 Jan 2028 (T) to the January month-end close</w:t>
            </w:r>
          </w:p>
        </w:tc>
        <w:tc>
          <w:tcPr>
            <w:tcW w:type="dxa" w:w="3124"/>
            <w:tcMar>
              <w:top w:w="50" w:type="dxa"/>
              <w:bottom w:w="50" w:type="dxa"/>
              <w:left w:w="90" w:type="dxa"/>
              <w:right w:w="90" w:type="dxa"/>
            </w:tcMar>
          </w:tcPr>
          <w:p>
            <w:pPr>
              <w:pStyle w:val="BDOITable"/>
            </w:pPr>
            <w:r>
              <w:rPr>
                <w:sz w:val="17"/>
              </w:rPr>
              <w:t>Hypercare; day-1 renewal queue, January expiries first; true-up 1 after the legacy year-end close (about 18-21 Jan 2028)</w:t>
            </w:r>
          </w:p>
        </w:tc>
        <w:tc>
          <w:tcPr>
            <w:tcW w:type="dxa" w:w="4806"/>
            <w:tcMar>
              <w:top w:w="50" w:type="dxa"/>
              <w:bottom w:w="50" w:type="dxa"/>
              <w:left w:w="90" w:type="dxa"/>
              <w:right w:w="90" w:type="dxa"/>
            </w:tcMar>
          </w:tcPr>
          <w:p>
            <w:pPr>
              <w:pStyle w:val="BDOITable"/>
            </w:pPr>
            <w:r>
              <w:rPr>
                <w:sz w:val="17"/>
              </w:rPr>
              <w:t>Production support runbook (deliverable 24)</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About March to 2 May 2028 (T+85 to T+120)</w:t>
            </w:r>
          </w:p>
        </w:tc>
        <w:tc>
          <w:tcPr>
            <w:tcW w:type="dxa" w:w="3124"/>
            <w:tcMar>
              <w:top w:w="50" w:type="dxa"/>
              <w:bottom w:w="50" w:type="dxa"/>
              <w:left w:w="90" w:type="dxa"/>
              <w:right w:w="90" w:type="dxa"/>
            </w:tcMar>
            <w:shd w:val="clear" w:color="auto" w:fill="E5F5FF"/>
          </w:tcPr>
          <w:p>
            <w:pPr>
              <w:pStyle w:val="BDOITable"/>
            </w:pPr>
            <w:r>
              <w:rPr>
                <w:sz w:val="17"/>
              </w:rPr>
              <w:t>Final true-up after the audited FY2027 financial statements; legacy GL locked; true-ups closed</w:t>
            </w:r>
          </w:p>
        </w:tc>
        <w:tc>
          <w:tcPr>
            <w:tcW w:type="dxa" w:w="4806"/>
            <w:tcMar>
              <w:top w:w="50" w:type="dxa"/>
              <w:bottom w:w="50" w:type="dxa"/>
              <w:left w:w="90" w:type="dxa"/>
              <w:right w:w="90" w:type="dxa"/>
            </w:tcMar>
            <w:shd w:val="clear" w:color="auto" w:fill="E5F5FF"/>
          </w:tcPr>
          <w:p>
            <w:pPr>
              <w:pStyle w:val="BDOITable"/>
            </w:pPr>
            <w:r>
              <w:rPr>
                <w:sz w:val="17"/>
              </w:rPr>
              <w:t>FY2027 BIR annual returns and audit from legacy</w:t>
            </w:r>
          </w:p>
        </w:tc>
      </w:tr>
      <w:tr>
        <w:trPr>
          <w:cantSplit w:val="true"/>
        </w:trPr>
        <w:tc>
          <w:tcPr>
            <w:tcW w:type="dxa" w:w="2042"/>
            <w:tcMar>
              <w:top w:w="50" w:type="dxa"/>
              <w:bottom w:w="50" w:type="dxa"/>
              <w:left w:w="90" w:type="dxa"/>
              <w:right w:w="90" w:type="dxa"/>
            </w:tcMar>
          </w:tcPr>
          <w:p>
            <w:pPr>
              <w:pStyle w:val="BDOITable"/>
            </w:pPr>
            <w:r>
              <w:rPr>
                <w:sz w:val="17"/>
              </w:rPr>
              <w:t>Run-off (about 12-15 months)</w:t>
            </w:r>
          </w:p>
        </w:tc>
        <w:tc>
          <w:tcPr>
            <w:tcW w:type="dxa" w:w="3124"/>
            <w:tcMar>
              <w:top w:w="50" w:type="dxa"/>
              <w:bottom w:w="50" w:type="dxa"/>
              <w:left w:w="90" w:type="dxa"/>
              <w:right w:w="90" w:type="dxa"/>
            </w:tcMar>
          </w:tcPr>
          <w:p>
            <w:pPr>
              <w:pStyle w:val="BDOITable"/>
            </w:pPr>
            <w:r>
              <w:rPr>
                <w:sz w:val="17"/>
              </w:rPr>
              <w:t>Monthly run-off tracking; archive loads; decommissioning</w:t>
            </w:r>
          </w:p>
        </w:tc>
        <w:tc>
          <w:tcPr>
            <w:tcW w:type="dxa" w:w="4806"/>
            <w:tcMar>
              <w:top w:w="50" w:type="dxa"/>
              <w:bottom w:w="50" w:type="dxa"/>
              <w:left w:w="90" w:type="dxa"/>
              <w:right w:w="90" w:type="dxa"/>
            </w:tcMar>
          </w:tcPr>
          <w:p>
            <w:pPr>
              <w:pStyle w:val="BDOITable"/>
            </w:pPr>
            <w:r>
              <w:rPr>
                <w:sz w:val="17"/>
              </w:rPr>
              <w:t>-</w:t>
            </w:r>
          </w:p>
        </w:tc>
      </w:tr>
    </w:tbl>
    <w:p>
      <w:pPr>
        <w:pStyle w:val="BDOISpacer"/>
      </w:pPr>
    </w:p>
    <w:p>
      <w:r>
        <w:rPr/>
        <w:t>The plan has no slack between the build and Trial migration 1: if DM0 and DM1-C are not on SIT by 9 April 2027, Trial migration 1 moves within the SIT migration window (to May 2027) and Trial migration 2 stays in July; the reserve slot of the dress rehearsal (6-10 December 2027) is the last buffer before the cut-over.</w:t>
      </w:r>
    </w:p>
    <w:p>
      <w:pPr>
        <w:pStyle w:val="Heading1"/>
        <w:pageBreakBefore/>
        <w:pBdr>
          <w:bottom w:val="single" w:sz="4" w:space="4" w:color="99C1E7"/>
        </w:pBdr>
      </w:pPr>
      <w:bookmarkStart w:id="167" w:name="_Toc000167"/>
      <w:r>
        <w:rPr/>
        <w:t>Glossary</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 11.1)</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(T-3 22:00; 31 December 2027 for the recommended date); only FY2027 GL adjustments by named Comptrollership users follow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G1-G7</w:t>
            </w:r>
          </w:p>
        </w:tc>
        <w:tc>
          <w:tcPr>
            <w:tcW w:type="dxa" w:w="7932"/>
            <w:tcMar>
              <w:top w:w="50" w:type="dxa"/>
              <w:bottom w:w="50" w:type="dxa"/>
              <w:left w:w="90" w:type="dxa"/>
              <w:right w:w="90" w:type="dxa"/>
            </w:tcMar>
            <w:shd w:val="clear" w:color="auto" w:fill="E5F5FF"/>
          </w:tcPr>
          <w:p>
            <w:pPr>
              <w:pStyle w:val="BDOITable"/>
            </w:pPr>
            <w:r>
              <w:rPr>
                <w:sz w:val="18"/>
              </w:rPr>
              <w:t>Sign-off gates of a data object - decision, mapping, validation, load, reconciliation, acceptance, go-live</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Go-live renewal extraction</w:t>
            </w:r>
          </w:p>
        </w:tc>
        <w:tc>
          <w:tcPr>
            <w:tcW w:type="dxa" w:w="7932"/>
            <w:tcMar>
              <w:top w:w="50" w:type="dxa"/>
              <w:bottom w:w="50" w:type="dxa"/>
              <w:left w:w="90" w:type="dxa"/>
              <w:right w:w="90" w:type="dxa"/>
            </w:tcMar>
            <w:shd w:val="clear" w:color="auto" w:fill="E5F5FF"/>
          </w:tcPr>
          <w:p>
            <w:pPr>
              <w:pStyle w:val="BDOITable"/>
            </w:pPr>
            <w:r>
              <w:rPr>
                <w:sz w:val="18"/>
              </w:rPr>
              <w:t>One Renewal extraction at go-live of every migrated header expiring up to 31 May 2028</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Layout</w:t>
            </w:r>
          </w:p>
        </w:tc>
        <w:tc>
          <w:tcPr>
            <w:tcW w:type="dxa" w:w="7932"/>
            <w:tcMar>
              <w:top w:w="50" w:type="dxa"/>
              <w:bottom w:w="50" w:type="dxa"/>
              <w:left w:w="90" w:type="dxa"/>
              <w:right w:w="90" w:type="dxa"/>
            </w:tcMar>
            <w:shd w:val="clear" w:color="auto" w:fill="E5F5FF"/>
          </w:tcPr>
          <w:p>
            <w:pPr>
              <w:pStyle w:val="BDOITable"/>
            </w:pPr>
            <w:r>
              <w:rPr>
                <w:sz w:val="18"/>
              </w:rPr>
              <w:t>The field list of one extract file (a sheet of the workbook and a CSV template)</w:t>
            </w:r>
          </w:p>
        </w:tc>
      </w:tr>
      <w:tr>
        <w:trPr>
          <w:cantSplit w:val="true"/>
        </w:trPr>
        <w:tc>
          <w:tcPr>
            <w:tcW w:type="dxa" w:w="2040"/>
            <w:tcMar>
              <w:top w:w="50" w:type="dxa"/>
              <w:bottom w:w="50" w:type="dxa"/>
              <w:left w:w="90" w:type="dxa"/>
              <w:right w:w="90" w:type="dxa"/>
            </w:tcMar>
          </w:tcPr>
          <w:p>
            <w:pPr>
              <w:pStyle w:val="BDOITable"/>
            </w:pPr>
            <w:r>
              <w:rPr>
                <w:b/>
                <w:sz w:val="18"/>
              </w:rPr>
              <w:t>Legacy invoice</w:t>
            </w:r>
          </w:p>
        </w:tc>
        <w:tc>
          <w:tcPr>
            <w:tcW w:type="dxa" w:w="7932"/>
            <w:tcMar>
              <w:top w:w="50" w:type="dxa"/>
              <w:bottom w:w="50" w:type="dxa"/>
              <w:left w:w="90" w:type="dxa"/>
              <w:right w:w="90" w:type="dxa"/>
            </w:tcMar>
          </w:tcPr>
          <w:p>
            <w:pPr>
              <w:pStyle w:val="BDOITable"/>
            </w:pPr>
            <w:r>
              <w:rPr>
                <w:sz w:val="18"/>
              </w:rPr>
              <w:t>Invoice booked in EBIX or QPS before go-live and still open at the freeze,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sub-ledger</w:t>
            </w:r>
          </w:p>
        </w:tc>
        <w:tc>
          <w:tcPr>
            <w:tcW w:type="dxa" w:w="7932"/>
            <w:tcMar>
              <w:top w:w="50" w:type="dxa"/>
              <w:bottom w:w="50" w:type="dxa"/>
              <w:left w:w="90" w:type="dxa"/>
              <w:right w:w="90" w:type="dxa"/>
            </w:tcMar>
            <w:shd w:val="clear" w:color="auto" w:fill="E5F5FF"/>
          </w:tcPr>
          <w:p>
            <w:pPr>
              <w:pStyle w:val="BDOITable"/>
            </w:pPr>
            <w:r>
              <w:rPr>
                <w:sz w:val="18"/>
              </w:rPr>
              <w:t>Legacy control accounts and ledger items that hold the legacy positions apart from the new ones</w:t>
            </w:r>
          </w:p>
        </w:tc>
      </w:tr>
      <w:tr>
        <w:trPr>
          <w:cantSplit w:val="true"/>
        </w:trPr>
        <w:tc>
          <w:tcPr>
            <w:tcW w:type="dxa" w:w="2040"/>
            <w:tcMar>
              <w:top w:w="50" w:type="dxa"/>
              <w:bottom w:w="50" w:type="dxa"/>
              <w:left w:w="90" w:type="dxa"/>
              <w:right w:w="90" w:type="dxa"/>
            </w:tcMar>
          </w:tcPr>
          <w:p>
            <w:pPr>
              <w:pStyle w:val="BDOITable"/>
            </w:pPr>
            <w:r>
              <w:rPr>
                <w:b/>
                <w:sz w:val="18"/>
              </w:rPr>
              <w:t>Migration Clearing</w:t>
            </w:r>
          </w:p>
        </w:tc>
        <w:tc>
          <w:tcPr>
            <w:tcW w:type="dxa" w:w="7932"/>
            <w:tcMar>
              <w:top w:w="50" w:type="dxa"/>
              <w:bottom w:w="50" w:type="dxa"/>
              <w:left w:w="90" w:type="dxa"/>
              <w:right w:w="90" w:type="dxa"/>
            </w:tcMar>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tcPr>
          <w:p>
            <w:pPr>
              <w:pStyle w:val="BDOITable"/>
            </w:pPr>
            <w:r>
              <w:rPr>
                <w:b/>
                <w:sz w:val="18"/>
              </w:rPr>
              <w:t>Provisional opening</w:t>
            </w:r>
          </w:p>
        </w:tc>
        <w:tc>
          <w:tcPr>
            <w:tcW w:type="dxa" w:w="7932"/>
            <w:tcMar>
              <w:top w:w="50" w:type="dxa"/>
              <w:bottom w:w="50" w:type="dxa"/>
              <w:left w:w="90" w:type="dxa"/>
              <w:right w:w="90" w:type="dxa"/>
            </w:tcMar>
          </w:tcPr>
          <w:p>
            <w:pPr>
              <w:pStyle w:val="BDOITable"/>
            </w:pPr>
            <w:r>
              <w:rPr>
                <w:sz w:val="18"/>
              </w:rPr>
              <w:t>GL opening from the preliminary December 2027 TB, balance sheet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tcPr>
          <w:p>
            <w:pPr>
              <w:pStyle w:val="BDOITable"/>
            </w:pPr>
            <w:r>
              <w:rPr>
                <w:b/>
                <w:sz w:val="18"/>
              </w:rPr>
              <w:t>RA-sent file</w:t>
            </w:r>
          </w:p>
        </w:tc>
        <w:tc>
          <w:tcPr>
            <w:tcW w:type="dxa" w:w="7932"/>
            <w:tcMar>
              <w:top w:w="50" w:type="dxa"/>
              <w:bottom w:w="50" w:type="dxa"/>
              <w:left w:w="90" w:type="dxa"/>
              <w:right w:w="90" w:type="dxa"/>
            </w:tcMar>
          </w:tcPr>
          <w:p>
            <w:pPr>
              <w:pStyle w:val="BDOITable"/>
            </w:pPr>
            <w:r>
              <w:rPr>
                <w:sz w:val="18"/>
              </w:rPr>
              <w:t>Reference file (P03) of the RAs sent by hand before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Staging</w:t>
            </w:r>
          </w:p>
        </w:tc>
        <w:tc>
          <w:tcPr>
            <w:tcW w:type="dxa" w:w="7932"/>
            <w:tcMar>
              <w:top w:w="50" w:type="dxa"/>
              <w:bottom w:w="50" w:type="dxa"/>
              <w:left w:w="90" w:type="dxa"/>
              <w:right w:w="90" w:type="dxa"/>
            </w:tcMar>
            <w:shd w:val="clear" w:color="auto" w:fill="E5F5FF"/>
          </w:tcPr>
          <w:p>
            <w:pPr>
              <w:pStyle w:val="BDOITable"/>
            </w:pPr>
            <w:r>
              <w:rPr>
                <w:sz w:val="18"/>
              </w:rPr>
              <w:t>Temporary area in BIBS where extract rows are checked, mapped and validated before load</w:t>
            </w:r>
          </w:p>
        </w:tc>
      </w:tr>
      <w:tr>
        <w:trPr>
          <w:cantSplit w:val="true"/>
        </w:trPr>
        <w:tc>
          <w:tcPr>
            <w:tcW w:type="dxa" w:w="2040"/>
            <w:tcMar>
              <w:top w:w="50" w:type="dxa"/>
              <w:bottom w:w="50" w:type="dxa"/>
              <w:left w:w="90" w:type="dxa"/>
              <w:right w:w="90" w:type="dxa"/>
            </w:tcMar>
          </w:tcPr>
          <w:p>
            <w:pPr>
              <w:pStyle w:val="BDOITable"/>
            </w:pPr>
            <w:r>
              <w:rPr>
                <w:b/>
                <w:sz w:val="18"/>
              </w:rPr>
              <w:t>T</w:t>
            </w:r>
          </w:p>
        </w:tc>
        <w:tc>
          <w:tcPr>
            <w:tcW w:type="dxa" w:w="7932"/>
            <w:tcMar>
              <w:top w:w="50" w:type="dxa"/>
              <w:bottom w:w="50" w:type="dxa"/>
              <w:left w:w="90" w:type="dxa"/>
              <w:right w:w="90" w:type="dxa"/>
            </w:tcMar>
          </w:tcPr>
          <w:p>
            <w:pPr>
              <w:pStyle w:val="BDOITable"/>
            </w:pPr>
            <w:r>
              <w:rPr>
                <w:sz w:val="18"/>
              </w:rPr>
              <w:t>Go-live date - January 2028 (BDOI timeline), recommended Monday 3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Trial migration</w:t>
            </w:r>
          </w:p>
        </w:tc>
        <w:tc>
          <w:tcPr>
            <w:tcW w:type="dxa" w:w="7932"/>
            <w:tcMar>
              <w:top w:w="50" w:type="dxa"/>
              <w:bottom w:w="50" w:type="dxa"/>
              <w:left w:w="90" w:type="dxa"/>
              <w:right w:w="90" w:type="dxa"/>
            </w:tcMar>
            <w:shd w:val="clear" w:color="auto" w:fill="E5F5FF"/>
          </w:tcPr>
          <w:p>
            <w:pPr>
              <w:pStyle w:val="BDOITable"/>
            </w:pPr>
            <w:r>
              <w:rPr>
                <w:sz w:val="18"/>
              </w:rPr>
              <w:t>Rehearsal of the migration on a test environment with masked data</w:t>
            </w:r>
          </w:p>
        </w:tc>
      </w:tr>
      <w:tr>
        <w:trPr>
          <w:cantSplit w:val="true"/>
        </w:trPr>
        <w:tc>
          <w:tcPr>
            <w:tcW w:type="dxa" w:w="2040"/>
            <w:tcMar>
              <w:top w:w="50" w:type="dxa"/>
              <w:bottom w:w="50" w:type="dxa"/>
              <w:left w:w="90" w:type="dxa"/>
              <w:right w:w="90" w:type="dxa"/>
            </w:tcMar>
          </w:tcPr>
          <w:p>
            <w:pPr>
              <w:pStyle w:val="BDOITable"/>
            </w:pPr>
            <w:r>
              <w:rPr>
                <w:b/>
                <w:sz w:val="18"/>
              </w:rPr>
              <w:t>True-up</w:t>
            </w:r>
          </w:p>
        </w:tc>
        <w:tc>
          <w:tcPr>
            <w:tcW w:type="dxa" w:w="7932"/>
            <w:tcMar>
              <w:top w:w="50" w:type="dxa"/>
              <w:bottom w:w="50" w:type="dxa"/>
              <w:left w:w="90" w:type="dxa"/>
              <w:right w:w="90" w:type="dxa"/>
            </w:tcMar>
          </w:tcPr>
          <w:p>
            <w:pPr>
              <w:pStyle w:val="BDOITable"/>
            </w:pPr>
            <w:r>
              <w:rPr>
                <w:sz w:val="18"/>
              </w:rPr>
              <w:t>Opening-balance adjustment journal for a FY2027 closing or audit adjustment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Xref</w:t>
            </w:r>
          </w:p>
        </w:tc>
        <w:tc>
          <w:tcPr>
            <w:tcW w:type="dxa" w:w="7932"/>
            <w:tcMar>
              <w:top w:w="50" w:type="dxa"/>
              <w:bottom w:w="50" w:type="dxa"/>
              <w:left w:w="90" w:type="dxa"/>
              <w:right w:w="90" w:type="dxa"/>
            </w:tcMar>
          </w:tcPr>
          <w:p>
            <w:pPr>
              <w:pStyle w:val="BDOITable"/>
            </w:pPr>
            <w:r>
              <w:rPr>
                <w:sz w:val="18"/>
              </w:rPr>
              <w:t>Key cross-reference from a legacy key to the BIBS record created from it</w:t>
            </w:r>
          </w:p>
        </w:tc>
      </w:tr>
    </w:tbl>
    <w:p>
      <w:pPr>
        <w:pStyle w:val="BDOISpacer"/>
      </w:pPr>
    </w:p>
    <w:p>
      <w:pPr>
        <w:pStyle w:val="Heading1"/>
        <w:pageBreakBefore/>
        <w:pBdr>
          <w:bottom w:val="single" w:sz="4" w:space="4" w:color="99C1E7"/>
        </w:pBdr>
      </w:pPr>
      <w:bookmarkStart w:id="168" w:name="_Toc000168"/>
      <w:r>
        <w:rPr/>
        <w:t>Sign-off</w:t>
      </w:r>
      <w:bookmarkEnd w:id="168"/>
    </w:p>
    <w:p>
      <w:r>
        <w:rPr/>
        <w:t>By signing, BDOI approves the approach of this document and the proposed decisions per data object, subject to the open decisions of chapter 15, whose answers are applied through the object register, the code maps and the configuration.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Strategy and Approach</w:t>
    </w:r>
    <w:r>
      <w:rPr>
        <w:color w:val="656565"/>
        <w:sz w:val="16"/>
      </w:rPr>
      <w:t xml:space="preserve">   Strategy and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and Approach Data Migration Strategy and Approach</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