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Sanction Screening Test Plan</w:t>
      </w:r>
    </w:p>
    <w:p>
      <w:pPr>
        <w:spacing w:after="40"/>
      </w:pPr>
      <w:r>
        <w:rPr>
          <w:color w:val="2E2E2E"/>
          <w:sz w:val="28"/>
        </w:rPr>
        <w:t>BRD-10 Sanction Screening and Risk Profiling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BRD-10 v1.0 and the Sanction Screening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Chief Compliance Officer and Compliance unit</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Configuration, watchlist, compliance review, STR, reports</w:t>
            </w:r>
          </w:p>
        </w:tc>
      </w:tr>
      <w:tr>
        <w:trPr>
          <w:cantSplit w:val="true"/>
        </w:trPr>
        <w:tc>
          <w:tcPr>
            <w:tcW w:type="dxa" w:w="2606"/>
            <w:tcMar>
              <w:top w:w="50" w:type="dxa"/>
              <w:bottom w:w="50" w:type="dxa"/>
              <w:left w:w="90" w:type="dxa"/>
              <w:right w:w="90" w:type="dxa"/>
            </w:tcMar>
          </w:tcPr>
          <w:p>
            <w:pPr>
              <w:pStyle w:val="BDOITable"/>
            </w:pPr>
            <w:r>
              <w:rPr>
                <w:sz w:val="18"/>
              </w:rPr>
              <w:t>Unit Head, Claims and Risk Management</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Risk profiling and case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Combank, Corbank and Retail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Investigation and Unit Head approval</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5</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10</w:t>
        </w:r>
      </w:hyperlink>
    </w:p>
    <w:p>
      <w:pPr>
        <w:pStyle w:val="toc2"/>
      </w:pPr>
      <w:hyperlink w:anchor="_Toc000118" w:history="1">
        <w:r>
          <w:t xml:space="preserve">6.1 Severity</w:t>
        </w:r>
        <w:r>
          <w:t xml:space="preserve">	</w:t>
        </w:r>
        <w:r>
          <w:t xml:space="preserve">10</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13</w:t>
        </w:r>
      </w:hyperlink>
    </w:p>
    <w:p>
      <w:pPr>
        <w:pStyle w:val="toc2"/>
      </w:pPr>
      <w:hyperlink w:anchor="_Toc000124" w:history="1">
        <w:r>
          <w:t xml:space="preserve">7.4 Scenarios</w:t>
        </w:r>
        <w:r>
          <w:t xml:space="preserve">	</w:t>
        </w:r>
        <w:r>
          <w:t xml:space="preserve">13</w:t>
        </w:r>
      </w:hyperlink>
    </w:p>
    <w:p>
      <w:pPr>
        <w:pStyle w:val="toc2"/>
      </w:pPr>
      <w:hyperlink w:anchor="_Toc000125" w:history="1">
        <w:r>
          <w:t xml:space="preserve">7.5 Roles and access</w:t>
        </w:r>
        <w:r>
          <w:t xml:space="preserve">	</w:t>
        </w:r>
        <w:r>
          <w:t xml:space="preserve">14</w:t>
        </w:r>
      </w:hyperlink>
    </w:p>
    <w:p>
      <w:pPr>
        <w:pStyle w:val="toc2"/>
      </w:pPr>
      <w:hyperlink w:anchor="_Toc000126" w:history="1">
        <w:r>
          <w:t xml:space="preserve">7.6 Automated tests referenced</w:t>
        </w:r>
        <w:r>
          <w:t xml:space="preserve">	</w:t>
        </w:r>
        <w:r>
          <w:t xml:space="preserve">14</w:t>
        </w:r>
      </w:hyperlink>
    </w:p>
    <w:p>
      <w:pPr>
        <w:pStyle w:val="toc1"/>
      </w:pPr>
      <w:hyperlink w:anchor="_Toc000127" w:history="1">
        <w:r>
          <w:t xml:space="preserve">8 Risks</w:t>
        </w:r>
        <w:r>
          <w:t xml:space="preserve">	</w:t>
        </w:r>
        <w:r>
          <w:t xml:space="preserve">15</w:t>
        </w:r>
      </w:hyperlink>
    </w:p>
    <w:p>
      <w:pPr>
        <w:pStyle w:val="toc1"/>
      </w:pPr>
      <w:hyperlink w:anchor="_Toc000128" w:history="1">
        <w:r>
          <w:t xml:space="preserve">9 FRS findings</w:t>
        </w:r>
        <w:r>
          <w:t xml:space="preserve">	</w:t>
        </w:r>
        <w:r>
          <w:t xml:space="preserve">15</w:t>
        </w:r>
      </w:hyperlink>
    </w:p>
    <w:p>
      <w:pPr>
        <w:pStyle w:val="toc1"/>
      </w:pPr>
      <w:hyperlink w:anchor="_Toc000129" w:history="1">
        <w:r>
          <w:t xml:space="preserve">10 Sign-off</w:t>
        </w:r>
        <w:r>
          <w:t xml:space="preserve">	</w:t>
        </w:r>
        <w:r>
          <w:t xml:space="preserve">17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BRD-10 Sanction Screening and Risk Profiling in BIBS (BDOI Broker System, on iNXT BrokerVerse). It tells the Compliance unit and the other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BIBS_TestPlan_BRD-10_Sanction_Screening_v1.0.xlsx</w:t>
      </w:r>
      <w:r>
        <w:rPr/>
        <w:t>, which the testers use during execution.</w:t>
      </w:r>
    </w:p>
    <w:p>
      <w:r>
        <w:rPr/>
        <w:t>Every case traces to a functional requirement (FR) of FRS BRD-10 v1.0 and to the BRD requirement IDs (SNSRP-nnn, and the page references of the to-be process on p.6-8) that the FR meets.</w:t>
      </w:r>
    </w:p>
    <w:p>
      <w:r>
        <w:rPr/>
        <w:t>Sanction Screening is designed and not yet built. The cases are written from the FRS and the build design, so:</w:t>
      </w:r>
    </w:p>
    <w:p>
      <w:pPr>
        <w:tabs>
          <w:tab w:pos="312" w:val="left"/>
        </w:tabs>
        <w:spacing w:after="40"/>
        <w:ind w:left="312" w:hanging="283"/>
      </w:pPr>
      <w:r>
        <w:rPr>
          <w:color w:val="004EA8"/>
        </w:rPr>
        <w:t>•</w:t>
        <w:tab/>
      </w:r>
      <w:r>
        <w:rPr/>
        <w:t>expected results quote the message text of the FRS without a message code; the codes are added in version 1.1 when the module is built;</w:t>
      </w:r>
    </w:p>
    <w:p>
      <w:pPr>
        <w:tabs>
          <w:tab w:pos="312" w:val="left"/>
        </w:tabs>
        <w:spacing w:after="40"/>
        <w:ind w:left="312" w:hanging="283"/>
      </w:pPr>
      <w:r>
        <w:rPr>
          <w:color w:val="004EA8"/>
        </w:rPr>
        <w:t>•</w:t>
        <w:tab/>
      </w:r>
      <w:r>
        <w:rPr/>
        <w:t>the automation reference column is blank; the automated tests written during the build are referenced in version 1.1;</w:t>
      </w:r>
    </w:p>
    <w:p>
      <w:pPr>
        <w:tabs>
          <w:tab w:pos="312" w:val="left"/>
        </w:tabs>
        <w:spacing w:after="120"/>
        <w:ind w:left="312" w:hanging="283"/>
      </w:pPr>
      <w:r>
        <w:rPr>
          <w:color w:val="004EA8"/>
        </w:rPr>
        <w:t>•</w:t>
        <w:tab/>
      </w:r>
      <w:r>
        <w:rPr/>
        <w:t>screen paths and button labels are those of the build design and are checked against the screens before the system test starts.</w:t>
      </w:r>
    </w:p>
    <w:p>
      <w:r>
        <w:rPr/>
        <w:t>All list entries and client names in the test data are invented. No real sanctioned or politically exposed person is used on any test environment.</w:t>
      </w:r>
    </w:p>
    <w:p>
      <w:pPr>
        <w:pStyle w:val="Heading2"/>
      </w:pPr>
      <w:bookmarkStart w:id="103" w:name="_Toc000103"/>
      <w:r>
        <w:rPr/>
        <w:t>1.2 Scope</w:t>
      </w:r>
      <w:bookmarkEnd w:id="103"/>
    </w:p>
    <w:p>
      <w:r>
        <w:rPr/>
        <w:t>In scope are all 44 FRs of FRS BRD-10 v1.0 and the BRD IDs they trace to:</w:t>
      </w:r>
    </w:p>
    <w:p>
      <w:pPr>
        <w:tabs>
          <w:tab w:pos="312" w:val="left"/>
        </w:tabs>
        <w:spacing w:after="40"/>
        <w:ind w:left="312" w:hanging="283"/>
      </w:pPr>
      <w:r>
        <w:rPr>
          <w:color w:val="004EA8"/>
        </w:rPr>
        <w:t>•</w:t>
        <w:tab/>
      </w:r>
      <w:r>
        <w:rPr/>
        <w:t>access, segregation of duties and the immutable audit log (FR-SS-001, 091, 092);</w:t>
      </w:r>
    </w:p>
    <w:p>
      <w:pPr>
        <w:tabs>
          <w:tab w:pos="312" w:val="left"/>
        </w:tabs>
        <w:spacing w:after="40"/>
        <w:ind w:left="312" w:hanging="283"/>
      </w:pPr>
      <w:r>
        <w:rPr>
          <w:color w:val="004EA8"/>
        </w:rPr>
        <w:t>•</w:t>
        <w:tab/>
      </w:r>
      <w:r>
        <w:rPr/>
        <w:t>versioned configuration under maker-checker: matching criteria, risk categories and rules, approval, assignment and SLA matrices, review and STR templates, dispositions (FR-SS-010 to 019);</w:t>
      </w:r>
    </w:p>
    <w:p>
      <w:pPr>
        <w:tabs>
          <w:tab w:pos="312" w:val="left"/>
        </w:tabs>
        <w:spacing w:after="40"/>
        <w:ind w:left="312" w:hanging="283"/>
      </w:pPr>
      <w:r>
        <w:rPr>
          <w:color w:val="004EA8"/>
        </w:rPr>
        <w:t>•</w:t>
        <w:tab/>
      </w:r>
      <w:r>
        <w:rPr/>
        <w:t>the watchlist: scheduled and uploaded list files, failed records, manual entries and their approval (FR-SS-020 to 023, 082);</w:t>
      </w:r>
    </w:p>
    <w:p>
      <w:pPr>
        <w:tabs>
          <w:tab w:pos="312" w:val="left"/>
        </w:tabs>
        <w:spacing w:after="40"/>
        <w:ind w:left="312" w:hanging="283"/>
      </w:pPr>
      <w:r>
        <w:rPr>
          <w:color w:val="004EA8"/>
        </w:rPr>
        <w:t>•</w:t>
        <w:tab/>
      </w:r>
      <w:r>
        <w:rPr/>
        <w:t>matching, risk tagging and automatic case creation on the four triggers and the batch window (FR-SS-030 to 035);</w:t>
      </w:r>
    </w:p>
    <w:p>
      <w:pPr>
        <w:tabs>
          <w:tab w:pos="312" w:val="left"/>
        </w:tabs>
        <w:spacing w:after="40"/>
        <w:ind w:left="312" w:hanging="283"/>
      </w:pPr>
      <w:r>
        <w:rPr>
          <w:color w:val="004EA8"/>
        </w:rPr>
        <w:t>•</w:t>
        <w:tab/>
      </w:r>
      <w:r>
        <w:rPr/>
        <w:t>case management: lifecycle, lists, search, re-assignment, SLA monitoring and the Screening Home (FR-SS-040 to 045);</w:t>
      </w:r>
    </w:p>
    <w:p>
      <w:pPr>
        <w:tabs>
          <w:tab w:pos="312" w:val="left"/>
        </w:tabs>
        <w:spacing w:after="40"/>
        <w:ind w:left="312" w:hanging="283"/>
      </w:pPr>
      <w:r>
        <w:rPr>
          <w:color w:val="004EA8"/>
        </w:rPr>
        <w:t>•</w:t>
        <w:tab/>
      </w:r>
      <w:r>
        <w:rPr/>
        <w:t>investigation: review template, disposition and documents (FR-SS-050 to 052);</w:t>
      </w:r>
    </w:p>
    <w:p>
      <w:pPr>
        <w:tabs>
          <w:tab w:pos="312" w:val="left"/>
        </w:tabs>
        <w:spacing w:after="40"/>
        <w:ind w:left="312" w:hanging="283"/>
      </w:pPr>
      <w:r>
        <w:rPr>
          <w:color w:val="004EA8"/>
        </w:rPr>
        <w:t>•</w:t>
        <w:tab/>
      </w:r>
      <w:r>
        <w:rPr/>
        <w:t>validation, Unit Head approval, Compliance review and the AML Committee (FR-SS-060 to 064);</w:t>
      </w:r>
    </w:p>
    <w:p>
      <w:pPr>
        <w:tabs>
          <w:tab w:pos="312" w:val="left"/>
        </w:tabs>
        <w:spacing w:after="40"/>
        <w:ind w:left="312" w:hanging="283"/>
      </w:pPr>
      <w:r>
        <w:rPr>
          <w:color w:val="004EA8"/>
        </w:rPr>
        <w:t>•</w:t>
        <w:tab/>
      </w:r>
      <w:r>
        <w:rPr/>
        <w:t>STR preparation, extraction and the AMLC filing reference (FR-SS-070 to 072);</w:t>
      </w:r>
    </w:p>
    <w:p>
      <w:pPr>
        <w:tabs>
          <w:tab w:pos="312" w:val="left"/>
        </w:tabs>
        <w:spacing w:after="120"/>
        <w:ind w:left="312" w:hanging="283"/>
      </w:pPr>
      <w:r>
        <w:rPr>
          <w:color w:val="004EA8"/>
        </w:rPr>
        <w:t>•</w:t>
        <w:tab/>
      </w:r>
      <w:r>
        <w:rPr/>
        <w:t>notifications, reminders and the compliance reports (FR-SS-080, 081, 090).</w:t>
      </w:r>
    </w:p>
    <w:p>
      <w:r>
        <w:rPr/>
        <w:t>The roles-and-access sheet checks each screening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Filing the STR on the AMLC portal; it stays manual. The cases stop at the extraction file and the recorded AMLC reference.</w:t>
      </w:r>
    </w:p>
    <w:p>
      <w:pPr>
        <w:tabs>
          <w:tab w:pos="312" w:val="left"/>
        </w:tabs>
        <w:spacing w:after="40"/>
        <w:ind w:left="312" w:hanging="283"/>
      </w:pPr>
      <w:r>
        <w:rPr>
          <w:color w:val="004EA8"/>
        </w:rPr>
        <w:t>•</w:t>
        <w:tab/>
      </w:r>
      <w:r>
        <w:rPr/>
        <w:t>Real-time or API list sources (SQ01); only file and manual sources are tested.</w:t>
      </w:r>
    </w:p>
    <w:p>
      <w:pPr>
        <w:tabs>
          <w:tab w:pos="312" w:val="left"/>
        </w:tabs>
        <w:spacing w:after="40"/>
        <w:ind w:left="312" w:hanging="283"/>
      </w:pPr>
      <w:r>
        <w:rPr>
          <w:color w:val="004EA8"/>
        </w:rPr>
        <w:t>•</w:t>
        <w:tab/>
      </w:r>
      <w:r>
        <w:rPr/>
        <w:t>The AMLC prescribed STR layout and reason codes (SQ09). The cases test the placeholder layout and test reason codes; they are re-run when BDOI supplies the AMLC content.</w:t>
      </w:r>
    </w:p>
    <w:p>
      <w:pPr>
        <w:tabs>
          <w:tab w:pos="312" w:val="left"/>
        </w:tabs>
        <w:spacing w:after="40"/>
        <w:ind w:left="312" w:hanging="283"/>
      </w:pPr>
      <w:r>
        <w:rPr>
          <w:color w:val="004EA8"/>
        </w:rPr>
        <w:t>•</w:t>
        <w:tab/>
      </w:r>
      <w:r>
        <w:rPr/>
        <w:t>The production values of thresholds, risk categories, matrices and SLAs (SQ02-SQ08). The cases use the seed configuration; Compliance enters the production values before go-live.</w:t>
      </w:r>
    </w:p>
    <w:p>
      <w:pPr>
        <w:tabs>
          <w:tab w:pos="312" w:val="left"/>
        </w:tabs>
        <w:spacing w:after="40"/>
        <w:ind w:left="312" w:hanging="283"/>
      </w:pPr>
      <w:r>
        <w:rPr>
          <w:color w:val="004EA8"/>
        </w:rPr>
        <w:t>•</w:t>
        <w:tab/>
      </w:r>
      <w:r>
        <w:rPr/>
        <w:t>Blocking of business on an open match (SCR_BLOCK_ON_OPEN_MATCH), which is off until SQ07 is answered; the cases check that a tag warns and does not block.</w:t>
      </w:r>
    </w:p>
    <w:p>
      <w:pPr>
        <w:tabs>
          <w:tab w:pos="312" w:val="left"/>
        </w:tabs>
        <w:spacing w:after="120"/>
        <w:ind w:left="312" w:hanging="283"/>
      </w:pPr>
      <w:r>
        <w:rPr>
          <w:color w:val="004EA8"/>
        </w:rPr>
        <w:t>•</w:t>
        <w:tab/>
      </w:r>
      <w:r>
        <w:rPr/>
        <w:t>Performance and volume testing. The NFRs of FRS section 8 are tested in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BRD-10 Sanction Screening (</w:t>
            </w:r>
            <w:r>
              <w:rPr>
                <w:rFonts w:ascii="Courier New" w:hAnsi="Courier New" w:cs="Courier New" w:eastAsia="Courier New"/>
                <w:color w:val="2E2E2E"/>
                <w:sz w:val="16"/>
              </w:rPr>
              <w:t>BIBS_FRS_BRD-10_Sanction_Screening_v1.0.docx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Sanction Screening and Risk Profiling BRD (</w:t>
            </w:r>
            <w:r>
              <w:rPr>
                <w:rFonts w:ascii="Courier New" w:hAnsi="Courier New" w:cs="Courier New" w:eastAsia="Courier New"/>
                <w:color w:val="2E2E2E"/>
                <w:sz w:val="16"/>
              </w:rPr>
              <w:t>docs/source-documents/Sanction Screening and Risk Profiling BRD.pdf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Prepared 10-Apr-2026; approved 16 to 17-Apr-2026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BRD-10 (</w:t>
            </w:r>
            <w:r>
              <w:rPr>
                <w:rFonts w:ascii="Courier New" w:hAnsi="Courier New" w:cs="Courier New" w:eastAsia="Courier New"/>
                <w:color w:val="2E2E2E"/>
                <w:sz w:val="16"/>
              </w:rPr>
              <w:t>BIBS_TestPlan_BRD-10_Sanction_Screening_v1.0.xlsx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Sanction Screening build design (</w:t>
            </w:r>
            <w:r>
              <w:rPr>
                <w:rFonts w:ascii="Courier New" w:hAnsi="Courier New" w:cs="Courier New" w:eastAsia="Courier New"/>
                <w:color w:val="2E2E2E"/>
                <w:sz w:val="16"/>
              </w:rPr>
              <w:t>docs/architecture/SANCTION_SCREENING_DESIGN.md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proposal for review</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FRS BRD-11 User Access Maintenance (roles, sign-in, session policy)</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Name normalisation and scoring, configuration versions and activation, risk rules, routing and assignment, validation rules, committee rule, STR extraction, permissions and four-eyes rules,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Written during the build; run on 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SIT data sets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After Sanction Screening is deployed on SIT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eight scenarios from start to finish by the persona that owns each step, with notifications and e-mails checked</w:t>
            </w:r>
          </w:p>
        </w:tc>
        <w:tc>
          <w:tcPr>
            <w:tcW w:type="dxa" w:w="2163"/>
            <w:tcMar>
              <w:top w:w="50" w:type="dxa"/>
              <w:bottom w:w="50" w:type="dxa"/>
              <w:left w:w="90" w:type="dxa"/>
              <w:right w:w="90" w:type="dxa"/>
            </w:tcMar>
          </w:tcPr>
          <w:p>
            <w:pPr>
              <w:pStyle w:val="BDOITable"/>
            </w:pPr>
            <w:r>
              <w:rPr>
                <w:sz w:val="18"/>
              </w:rPr>
              <w:t>iorta TechNXT QA with the Compliance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 and invented list entries</w:t>
            </w:r>
          </w:p>
        </w:tc>
        <w:tc>
          <w:tcPr>
            <w:tcW w:type="dxa" w:w="2163"/>
            <w:tcMar>
              <w:top w:w="50" w:type="dxa"/>
              <w:bottom w:w="50" w:type="dxa"/>
              <w:left w:w="90" w:type="dxa"/>
              <w:right w:w="90" w:type="dxa"/>
            </w:tcMar>
            <w:shd w:val="clear" w:color="auto" w:fill="E5F5FF"/>
          </w:tcPr>
          <w:p>
            <w:pPr>
              <w:pStyle w:val="BDOITable"/>
            </w:pPr>
            <w:r>
              <w:rPr>
                <w:sz w:val="18"/>
              </w:rPr>
              <w:t>BDOI Compliance, investigators, Unit Heads and AML Committee members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notifications, files and reports are what Compliance expects. When the automated tests exist, version 1.1 of the workbook names them in the automation reference column, and each such case is still run on the screen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"The maker of a version cannot approve it, even with SCR_CONFIG_APPROVE".</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thresholds 0 and 1, effective date today and yesterday, reminder lead equal to and below the SLA, the second and third committee vote, a date received tomorrow.</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client from the list change to the filed STR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 four-eyes cases use a combined test user that holds both rights.</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of the case workflow SCR_CASE, or a state change of a configuration version, list change or STR</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case lists and extraction files;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List files, case documents and client files uploaded, and files downloaded</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TC-SS-064.2-02 is the second case of condition 2 of FR-SS-064.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Sanction Screening is built and deployed on SIT with its roles, parameters, lists and jobs; the planned seeds V1950 to V1952 (invented names only) are loaded; CI is green on the deployed commit; the automated tests of the module exist and pass; screen labels and messages have been compared with this plan and differences recorded;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five committee users exist; the SLA monitor and ingestion jobs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BRD-10 v1.0 is signed off or its open comments are agreed; Compliance has entered the configuration to be used in UAT (thresholds, risk categories, matrices, SLAs) through maker-checker; the system test exit criteria are met; the UAT environment holds masked client data and invented list entries (section 4.1); BDOI testers have user IDs with the roles of section 5 and attended the walkthrough.</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(the AMLC layout cases may be Blocked until SQ09 is answered);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timeline events and files.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Seed profile migrations, the planned screening seeds V1950-V1952 and the data sets of section 4.2; test mailboxes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client data; invented list entries only; no real client names, TINs, IDs, addresses or e-mail addresses</w:t>
            </w:r>
          </w:p>
        </w:tc>
      </w:tr>
    </w:tbl>
    <w:p>
      <w:pPr>
        <w:pStyle w:val="BDOISpacer"/>
      </w:pPr>
    </w:p>
    <w:p>
      <w:r>
        <w:rPr/>
        <w:t>Non-production data is always masked. Client names, TINs, government IDs, birth dates, addresses and e-mail addresses are replaced before data is loaded into SIT or UAT. Watchlist data on test environments is invented; the official AML advisory and PEP files are never loaded outside production. Notification e-mails point to test mailboxes.</w:t>
      </w:r>
    </w:p>
    <w:p>
      <w:pPr>
        <w:pStyle w:val="Heading2"/>
      </w:pPr>
      <w:bookmarkStart w:id="115" w:name="_Toc000115"/>
      <w:r>
        <w:rPr/>
        <w:t>4.2 Named data sets</w:t>
      </w:r>
      <w:bookmarkEnd w:id="115"/>
    </w:p>
    <w:p>
      <w:r>
        <w:rPr/>
        <w:t>The cases refer to named data sets. Sanction Screening has no seed yet; the build design plans V1950 (users and configuration), V1951 (watchlist with invented names) and V1952 (cases in every stage). Until they exist the test lead prepares each set on SIT as its source column says.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TD-SS-01</w:t>
            </w:r>
          </w:p>
        </w:tc>
        <w:tc>
          <w:tcPr>
            <w:tcW w:type="dxa" w:w="3520"/>
            <w:tcMar>
              <w:top w:w="50" w:type="dxa"/>
              <w:bottom w:w="50" w:type="dxa"/>
              <w:left w:w="90" w:type="dxa"/>
              <w:right w:w="90" w:type="dxa"/>
            </w:tcMar>
          </w:tcPr>
          <w:p>
            <w:pPr>
              <w:pStyle w:val="BDOITable"/>
            </w:pPr>
            <w:r>
              <w:rPr>
                <w:sz w:val="17"/>
              </w:rPr>
              <w:t>Test users per role</w:t>
            </w:r>
          </w:p>
        </w:tc>
        <w:tc>
          <w:tcPr>
            <w:tcW w:type="dxa" w:w="5279"/>
            <w:tcMar>
              <w:top w:w="50" w:type="dxa"/>
              <w:bottom w:w="50" w:type="dxa"/>
              <w:left w:w="90" w:type="dxa"/>
              <w:right w:w="90" w:type="dxa"/>
            </w:tcMar>
          </w:tcPr>
          <w:p>
            <w:pPr>
              <w:pStyle w:val="BDOITable"/>
            </w:pPr>
            <w:r>
              <w:rPr>
                <w:sz w:val="17"/>
              </w:rPr>
              <w:t>Planned seed V1950 (compoff, compchk, ucc, investigator, scrapprover, amlcom1, amlcom2); the others created by the test lead through User Access requests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TD-SS-02</w:t>
            </w:r>
          </w:p>
        </w:tc>
        <w:tc>
          <w:tcPr>
            <w:tcW w:type="dxa" w:w="3520"/>
            <w:tcMar>
              <w:top w:w="50" w:type="dxa"/>
              <w:bottom w:w="50" w:type="dxa"/>
              <w:left w:w="90" w:type="dxa"/>
              <w:right w:w="90" w:type="dxa"/>
            </w:tcMar>
            <w:shd w:val="clear" w:color="auto" w:fill="E5F5FF"/>
          </w:tcPr>
          <w:p>
            <w:pPr>
              <w:pStyle w:val="BDOITable"/>
            </w:pPr>
            <w:r>
              <w:rPr>
                <w:sz w:val="17"/>
              </w:rPr>
              <w:t>Active configuration versions</w:t>
            </w:r>
          </w:p>
        </w:tc>
        <w:tc>
          <w:tcPr>
            <w:tcW w:type="dxa" w:w="5279"/>
            <w:tcMar>
              <w:top w:w="50" w:type="dxa"/>
              <w:bottom w:w="50" w:type="dxa"/>
              <w:left w:w="90" w:type="dxa"/>
              <w:right w:w="90" w:type="dxa"/>
            </w:tcMar>
            <w:shd w:val="clear" w:color="auto" w:fill="E5F5FF"/>
          </w:tcPr>
          <w:p>
            <w:pPr>
              <w:pStyle w:val="BDOITable"/>
            </w:pPr>
            <w:r>
              <w:rPr>
                <w:sz w:val="17"/>
              </w:rPr>
              <w:t>Planned seed V1950 of the build design</w:t>
            </w:r>
          </w:p>
        </w:tc>
      </w:tr>
      <w:tr>
        <w:trPr>
          <w:cantSplit w:val="true"/>
        </w:trPr>
        <w:tc>
          <w:tcPr>
            <w:tcW w:type="dxa" w:w="1173"/>
            <w:tcMar>
              <w:top w:w="50" w:type="dxa"/>
              <w:bottom w:w="50" w:type="dxa"/>
              <w:left w:w="90" w:type="dxa"/>
              <w:right w:w="90" w:type="dxa"/>
            </w:tcMar>
          </w:tcPr>
          <w:p>
            <w:pPr>
              <w:pStyle w:val="BDOITable"/>
            </w:pPr>
            <w:r>
              <w:rPr>
                <w:sz w:val="17"/>
              </w:rPr>
              <w:t>TD-SS-03</w:t>
            </w:r>
          </w:p>
        </w:tc>
        <w:tc>
          <w:tcPr>
            <w:tcW w:type="dxa" w:w="3520"/>
            <w:tcMar>
              <w:top w:w="50" w:type="dxa"/>
              <w:bottom w:w="50" w:type="dxa"/>
              <w:left w:w="90" w:type="dxa"/>
              <w:right w:w="90" w:type="dxa"/>
            </w:tcMar>
          </w:tcPr>
          <w:p>
            <w:pPr>
              <w:pStyle w:val="BDOITable"/>
            </w:pPr>
            <w:r>
              <w:rPr>
                <w:sz w:val="17"/>
              </w:rPr>
              <w:t>Watchlist with invented names</w:t>
            </w:r>
          </w:p>
        </w:tc>
        <w:tc>
          <w:tcPr>
            <w:tcW w:type="dxa" w:w="5279"/>
            <w:tcMar>
              <w:top w:w="50" w:type="dxa"/>
              <w:bottom w:w="50" w:type="dxa"/>
              <w:left w:w="90" w:type="dxa"/>
              <w:right w:w="90" w:type="dxa"/>
            </w:tcMar>
          </w:tcPr>
          <w:p>
            <w:pPr>
              <w:pStyle w:val="BDOITable"/>
            </w:pPr>
            <w:r>
              <w:rPr>
                <w:sz w:val="17"/>
              </w:rPr>
              <w:t>Planned seed V1951; invented names only</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TD-SS-04</w:t>
            </w:r>
          </w:p>
        </w:tc>
        <w:tc>
          <w:tcPr>
            <w:tcW w:type="dxa" w:w="3520"/>
            <w:tcMar>
              <w:top w:w="50" w:type="dxa"/>
              <w:bottom w:w="50" w:type="dxa"/>
              <w:left w:w="90" w:type="dxa"/>
              <w:right w:w="90" w:type="dxa"/>
            </w:tcMar>
            <w:shd w:val="clear" w:color="auto" w:fill="E5F5FF"/>
          </w:tcPr>
          <w:p>
            <w:pPr>
              <w:pStyle w:val="BDOITable"/>
            </w:pPr>
            <w:r>
              <w:rPr>
                <w:sz w:val="17"/>
              </w:rPr>
              <w:t>List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source layouts; invented names only</w:t>
            </w:r>
          </w:p>
        </w:tc>
      </w:tr>
      <w:tr>
        <w:trPr>
          <w:cantSplit w:val="true"/>
        </w:trPr>
        <w:tc>
          <w:tcPr>
            <w:tcW w:type="dxa" w:w="1173"/>
            <w:tcMar>
              <w:top w:w="50" w:type="dxa"/>
              <w:bottom w:w="50" w:type="dxa"/>
              <w:left w:w="90" w:type="dxa"/>
              <w:right w:w="90" w:type="dxa"/>
            </w:tcMar>
          </w:tcPr>
          <w:p>
            <w:pPr>
              <w:pStyle w:val="BDOITable"/>
            </w:pPr>
            <w:r>
              <w:rPr>
                <w:sz w:val="17"/>
              </w:rPr>
              <w:t>TD-SS-05</w:t>
            </w:r>
          </w:p>
        </w:tc>
        <w:tc>
          <w:tcPr>
            <w:tcW w:type="dxa" w:w="3520"/>
            <w:tcMar>
              <w:top w:w="50" w:type="dxa"/>
              <w:bottom w:w="50" w:type="dxa"/>
              <w:left w:w="90" w:type="dxa"/>
              <w:right w:w="90" w:type="dxa"/>
            </w:tcMar>
          </w:tcPr>
          <w:p>
            <w:pPr>
              <w:pStyle w:val="BDOITable"/>
            </w:pPr>
            <w:r>
              <w:rPr>
                <w:sz w:val="17"/>
              </w:rPr>
              <w:t>Masked clients</w:t>
            </w:r>
          </w:p>
        </w:tc>
        <w:tc>
          <w:tcPr>
            <w:tcW w:type="dxa" w:w="5279"/>
            <w:tcMar>
              <w:top w:w="50" w:type="dxa"/>
              <w:bottom w:w="50" w:type="dxa"/>
              <w:left w:w="90" w:type="dxa"/>
              <w:right w:w="90" w:type="dxa"/>
            </w:tcMar>
          </w:tcPr>
          <w:p>
            <w:pPr>
              <w:pStyle w:val="BDOITable"/>
            </w:pPr>
            <w:r>
              <w:rPr>
                <w:sz w:val="17"/>
              </w:rPr>
              <w:t>Masked seed clients (V981) plus clients keyed in by the test lead on SIT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TD-SS-06</w:t>
            </w:r>
          </w:p>
        </w:tc>
        <w:tc>
          <w:tcPr>
            <w:tcW w:type="dxa" w:w="3520"/>
            <w:tcMar>
              <w:top w:w="50" w:type="dxa"/>
              <w:bottom w:w="50" w:type="dxa"/>
              <w:left w:w="90" w:type="dxa"/>
              <w:right w:w="90" w:type="dxa"/>
            </w:tcMar>
            <w:shd w:val="clear" w:color="auto" w:fill="E5F5FF"/>
          </w:tcPr>
          <w:p>
            <w:pPr>
              <w:pStyle w:val="BDOITable"/>
            </w:pPr>
            <w:r>
              <w:rPr>
                <w:sz w:val="17"/>
              </w:rPr>
              <w:t>Cases in every stage</w:t>
            </w:r>
          </w:p>
        </w:tc>
        <w:tc>
          <w:tcPr>
            <w:tcW w:type="dxa" w:w="5279"/>
            <w:tcMar>
              <w:top w:w="50" w:type="dxa"/>
              <w:bottom w:w="50" w:type="dxa"/>
              <w:left w:w="90" w:type="dxa"/>
              <w:right w:w="90" w:type="dxa"/>
            </w:tcMar>
            <w:shd w:val="clear" w:color="auto" w:fill="E5F5FF"/>
          </w:tcPr>
          <w:p>
            <w:pPr>
              <w:pStyle w:val="BDOITable"/>
            </w:pPr>
            <w:r>
              <w:rPr>
                <w:sz w:val="17"/>
              </w:rPr>
              <w:t>Planned seed V1952 of the build design</w:t>
            </w:r>
          </w:p>
        </w:tc>
      </w:tr>
      <w:tr>
        <w:trPr>
          <w:cantSplit w:val="true"/>
        </w:trPr>
        <w:tc>
          <w:tcPr>
            <w:tcW w:type="dxa" w:w="1173"/>
            <w:tcMar>
              <w:top w:w="50" w:type="dxa"/>
              <w:bottom w:w="50" w:type="dxa"/>
              <w:left w:w="90" w:type="dxa"/>
              <w:right w:w="90" w:type="dxa"/>
            </w:tcMar>
          </w:tcPr>
          <w:p>
            <w:pPr>
              <w:pStyle w:val="BDOITable"/>
            </w:pPr>
            <w:r>
              <w:rPr>
                <w:sz w:val="17"/>
              </w:rPr>
              <w:t>TD-SS-07</w:t>
            </w:r>
          </w:p>
        </w:tc>
        <w:tc>
          <w:tcPr>
            <w:tcW w:type="dxa" w:w="3520"/>
            <w:tcMar>
              <w:top w:w="50" w:type="dxa"/>
              <w:bottom w:w="50" w:type="dxa"/>
              <w:left w:w="90" w:type="dxa"/>
              <w:right w:w="90" w:type="dxa"/>
            </w:tcMar>
          </w:tcPr>
          <w:p>
            <w:pPr>
              <w:pStyle w:val="BDOITable"/>
            </w:pPr>
            <w:r>
              <w:rPr>
                <w:sz w:val="17"/>
              </w:rPr>
              <w:t>Case documents</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TD-SS-08</w:t>
            </w:r>
          </w:p>
        </w:tc>
        <w:tc>
          <w:tcPr>
            <w:tcW w:type="dxa" w:w="3520"/>
            <w:tcMar>
              <w:top w:w="50" w:type="dxa"/>
              <w:bottom w:w="50" w:type="dxa"/>
              <w:left w:w="90" w:type="dxa"/>
              <w:right w:w="90" w:type="dxa"/>
            </w:tcMar>
            <w:shd w:val="clear" w:color="auto" w:fill="E5F5FF"/>
          </w:tcPr>
          <w:p>
            <w:pPr>
              <w:pStyle w:val="BDOITable"/>
            </w:pPr>
            <w:r>
              <w:rPr>
                <w:sz w:val="17"/>
              </w:rPr>
              <w:t>Committee settings</w:t>
            </w:r>
          </w:p>
        </w:tc>
        <w:tc>
          <w:tcPr>
            <w:tcW w:type="dxa" w:w="5279"/>
            <w:tcMar>
              <w:top w:w="50" w:type="dxa"/>
              <w:bottom w:w="50" w:type="dxa"/>
              <w:left w:w="90" w:type="dxa"/>
              <w:right w:w="90" w:type="dxa"/>
            </w:tcMar>
            <w:shd w:val="clear" w:color="auto" w:fill="E5F5FF"/>
          </w:tcPr>
          <w:p>
            <w:pPr>
              <w:pStyle w:val="BDOITable"/>
            </w:pPr>
            <w:r>
              <w:rPr>
                <w:sz w:val="17"/>
              </w:rPr>
              <w:t>Parameters as delivered; users of TD-SS-01</w:t>
            </w:r>
          </w:p>
        </w:tc>
      </w:tr>
      <w:tr>
        <w:trPr>
          <w:cantSplit w:val="true"/>
        </w:trPr>
        <w:tc>
          <w:tcPr>
            <w:tcW w:type="dxa" w:w="1173"/>
            <w:tcMar>
              <w:top w:w="50" w:type="dxa"/>
              <w:bottom w:w="50" w:type="dxa"/>
              <w:left w:w="90" w:type="dxa"/>
              <w:right w:w="90" w:type="dxa"/>
            </w:tcMar>
          </w:tcPr>
          <w:p>
            <w:pPr>
              <w:pStyle w:val="BDOITable"/>
            </w:pPr>
            <w:r>
              <w:rPr>
                <w:sz w:val="17"/>
              </w:rPr>
              <w:t>TD-SS-09</w:t>
            </w:r>
          </w:p>
        </w:tc>
        <w:tc>
          <w:tcPr>
            <w:tcW w:type="dxa" w:w="3520"/>
            <w:tcMar>
              <w:top w:w="50" w:type="dxa"/>
              <w:bottom w:w="50" w:type="dxa"/>
              <w:left w:w="90" w:type="dxa"/>
              <w:right w:w="90" w:type="dxa"/>
            </w:tcMar>
          </w:tcPr>
          <w:p>
            <w:pPr>
              <w:pStyle w:val="BDOITable"/>
            </w:pPr>
            <w:r>
              <w:rPr>
                <w:sz w:val="17"/>
              </w:rPr>
              <w:t>STR data</w:t>
            </w:r>
          </w:p>
        </w:tc>
        <w:tc>
          <w:tcPr>
            <w:tcW w:type="dxa" w:w="5279"/>
            <w:tcMar>
              <w:top w:w="50" w:type="dxa"/>
              <w:bottom w:w="50" w:type="dxa"/>
              <w:left w:w="90" w:type="dxa"/>
              <w:right w:w="90" w:type="dxa"/>
            </w:tcMar>
          </w:tcPr>
          <w:p>
            <w:pPr>
              <w:pStyle w:val="BDOITable"/>
            </w:pPr>
            <w:r>
              <w:rPr>
                <w:sz w:val="17"/>
              </w:rPr>
              <w:t>Case of TD-SS-06; reason codes keyed in Lists of Values until BDOI supplies the AMLC codes (SQ09)</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TD-SS-10</w:t>
            </w:r>
          </w:p>
        </w:tc>
        <w:tc>
          <w:tcPr>
            <w:tcW w:type="dxa" w:w="3520"/>
            <w:tcMar>
              <w:top w:w="50" w:type="dxa"/>
              <w:bottom w:w="50" w:type="dxa"/>
              <w:left w:w="90" w:type="dxa"/>
              <w:right w:w="90" w:type="dxa"/>
            </w:tcMar>
            <w:shd w:val="clear" w:color="auto" w:fill="E5F5FF"/>
          </w:tcPr>
          <w:p>
            <w:pPr>
              <w:pStyle w:val="BDOITable"/>
            </w:pPr>
            <w:r>
              <w:rPr>
                <w:sz w:val="17"/>
              </w:rPr>
              <w:t>Parameters and jobs as delivered</w:t>
            </w:r>
          </w:p>
        </w:tc>
        <w:tc>
          <w:tcPr>
            <w:tcW w:type="dxa" w:w="5279"/>
            <w:tcMar>
              <w:top w:w="50" w:type="dxa"/>
              <w:bottom w:w="50" w:type="dxa"/>
              <w:left w:w="90" w:type="dxa"/>
              <w:right w:w="90" w:type="dxa"/>
            </w:tcMar>
            <w:shd w:val="clear" w:color="auto" w:fill="E5F5FF"/>
          </w:tcPr>
          <w:p>
            <w:pPr>
              <w:pStyle w:val="BDOITable"/>
            </w:pPr>
            <w:r>
              <w:rPr>
                <w:sz w:val="17"/>
              </w:rPr>
              <w:t>Configuration delivered with the build (FRS section 9.1); recipients set by the test lead</w:t>
            </w:r>
          </w:p>
        </w:tc>
      </w:tr>
    </w:tbl>
    <w:p>
      <w:pPr>
        <w:pStyle w:val="BDOISpacer"/>
      </w:pPr>
    </w:p>
    <w:p>
      <w:r>
        <w:rPr/>
        <w:t>Many cases move a case to its next stage. The test lead reloads the case seed between cycles, or testers create a fresh case with the matching client of TD-SS-05 before a case that needs a given stage.</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users and invented list data;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Write and 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Database administrator</w:t>
            </w:r>
          </w:p>
        </w:tc>
        <w:tc>
          <w:tcPr>
            <w:tcW w:type="dxa" w:w="3739"/>
            <w:tcMar>
              <w:top w:w="50" w:type="dxa"/>
              <w:bottom w:w="50" w:type="dxa"/>
              <w:left w:w="90" w:type="dxa"/>
              <w:right w:w="90" w:type="dxa"/>
            </w:tcMar>
            <w:shd w:val="clear" w:color="auto" w:fill="E5F5FF"/>
          </w:tcPr>
          <w:p>
            <w:pPr>
              <w:pStyle w:val="BDOITable"/>
            </w:pPr>
            <w:r>
              <w:rPr>
                <w:sz w:val="18"/>
              </w:rPr>
              <w:t>iorta TechNXT with BDO Unibank ITIO</w:t>
            </w:r>
          </w:p>
        </w:tc>
        <w:tc>
          <w:tcPr>
            <w:tcW w:type="dxa" w:w="3462"/>
            <w:tcMar>
              <w:top w:w="50" w:type="dxa"/>
              <w:bottom w:w="50" w:type="dxa"/>
              <w:left w:w="90" w:type="dxa"/>
              <w:right w:w="90" w:type="dxa"/>
            </w:tcMar>
            <w:shd w:val="clear" w:color="auto" w:fill="E5F5FF"/>
          </w:tcPr>
          <w:p>
            <w:pPr>
              <w:pStyle w:val="BDOITable"/>
            </w:pPr>
            <w:r>
              <w:rPr>
                <w:sz w:val="18"/>
              </w:rPr>
              <w:t>Runs the database checks of FR-SS-091 and hands the evidence to QA</w:t>
            </w:r>
          </w:p>
        </w:tc>
      </w:tr>
      <w:tr>
        <w:trPr>
          <w:cantSplit w:val="true"/>
        </w:trPr>
        <w:tc>
          <w:tcPr>
            <w:tcW w:type="dxa" w:w="2770"/>
            <w:tcMar>
              <w:top w:w="50" w:type="dxa"/>
              <w:bottom w:w="50" w:type="dxa"/>
              <w:left w:w="90" w:type="dxa"/>
              <w:right w:w="90" w:type="dxa"/>
            </w:tcMar>
          </w:tcPr>
          <w:p>
            <w:pPr>
              <w:pStyle w:val="BDOITable"/>
            </w:pPr>
            <w:r>
              <w:rPr>
                <w:sz w:val="18"/>
              </w:rPr>
              <w:t>BDOI department testers</w:t>
            </w:r>
          </w:p>
        </w:tc>
        <w:tc>
          <w:tcPr>
            <w:tcW w:type="dxa" w:w="3739"/>
            <w:tcMar>
              <w:top w:w="50" w:type="dxa"/>
              <w:bottom w:w="50" w:type="dxa"/>
              <w:left w:w="90" w:type="dxa"/>
              <w:right w:w="90" w:type="dxa"/>
            </w:tcMar>
          </w:tcPr>
          <w:p>
            <w:pPr>
              <w:pStyle w:val="BDOITable"/>
            </w:pPr>
            <w:r>
              <w:rPr>
                <w:sz w:val="18"/>
              </w:rPr>
              <w:t>Compliance unit; Combank, Corbank and Retail investigators and Unit Heads; AML Committee members</w:t>
            </w:r>
          </w:p>
        </w:tc>
        <w:tc>
          <w:tcPr>
            <w:tcW w:type="dxa" w:w="3462"/>
            <w:tcMar>
              <w:top w:w="50" w:type="dxa"/>
              <w:bottom w:w="50" w:type="dxa"/>
              <w:left w:w="90" w:type="dxa"/>
              <w:right w:w="90" w:type="dxa"/>
            </w:tcMar>
          </w:tcPr>
          <w:p>
            <w:pPr>
              <w:pStyle w:val="BDOITable"/>
            </w:pPr>
            <w:r>
              <w:rPr>
                <w:sz w:val="18"/>
              </w:rPr>
              <w:t>Run the UAT scenarios of their role; confirm the expected results match the compliance rules; raise defects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process owner</w:t>
            </w:r>
          </w:p>
        </w:tc>
        <w:tc>
          <w:tcPr>
            <w:tcW w:type="dxa" w:w="3739"/>
            <w:tcMar>
              <w:top w:w="50" w:type="dxa"/>
              <w:bottom w:w="50" w:type="dxa"/>
              <w:left w:w="90" w:type="dxa"/>
              <w:right w:w="90" w:type="dxa"/>
            </w:tcMar>
            <w:shd w:val="clear" w:color="auto" w:fill="E5F5FF"/>
          </w:tcPr>
          <w:p>
            <w:pPr>
              <w:pStyle w:val="BDOITable"/>
            </w:pPr>
            <w:r>
              <w:rPr>
                <w:sz w:val="18"/>
              </w:rPr>
              <w:t>Chief Compliance Officer</w:t>
            </w:r>
          </w:p>
        </w:tc>
        <w:tc>
          <w:tcPr>
            <w:tcW w:type="dxa" w:w="3462"/>
            <w:tcMar>
              <w:top w:w="50" w:type="dxa"/>
              <w:bottom w:w="50" w:type="dxa"/>
              <w:left w:w="90" w:type="dxa"/>
              <w:right w:w="90" w:type="dxa"/>
            </w:tcMar>
            <w:shd w:val="clear" w:color="auto" w:fill="E5F5FF"/>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tcPr>
          <w:p>
            <w:pPr>
              <w:pStyle w:val="BDOITable"/>
            </w:pPr>
            <w:r>
              <w:rPr>
                <w:sz w:val="18"/>
              </w:rPr>
              <w:t>UAT coordinator</w:t>
            </w:r>
          </w:p>
        </w:tc>
        <w:tc>
          <w:tcPr>
            <w:tcW w:type="dxa" w:w="3739"/>
            <w:tcMar>
              <w:top w:w="50" w:type="dxa"/>
              <w:bottom w:w="50" w:type="dxa"/>
              <w:left w:w="90" w:type="dxa"/>
              <w:right w:w="90" w:type="dxa"/>
            </w:tcMar>
          </w:tcPr>
          <w:p>
            <w:pPr>
              <w:pStyle w:val="BDOITable"/>
            </w:pPr>
            <w:r>
              <w:rPr>
                <w:sz w:val="18"/>
              </w:rPr>
              <w:t>Business Project Services, BDO Unibank ESG</w:t>
            </w:r>
          </w:p>
        </w:tc>
        <w:tc>
          <w:tcPr>
            <w:tcW w:type="dxa" w:w="3462"/>
            <w:tcMar>
              <w:top w:w="50" w:type="dxa"/>
              <w:bottom w:w="50" w:type="dxa"/>
              <w:left w:w="90" w:type="dxa"/>
              <w:right w:w="90" w:type="dxa"/>
            </w:tcMar>
          </w:tcPr>
          <w:p>
            <w:pPr>
              <w:pStyle w:val="BDOITable"/>
            </w:pPr>
            <w:r>
              <w:rPr>
                <w:sz w:val="18"/>
              </w:rPr>
              <w:t>Plans the UAT sessions; checks traceability to the BRD</w:t>
            </w:r>
          </w:p>
        </w:tc>
      </w:tr>
    </w:tbl>
    <w:p>
      <w:pPr>
        <w:pStyle w:val="BDOISpacer"/>
      </w:pPr>
    </w:p>
    <w:p>
      <w:r>
        <w:rPr/>
        <w:t>Compliance runs the configuration, watchlist, compliance review and STR scenarios (SC-SS-02, 03, 07); investigators and Unit Heads run the investigation and approval scenarios (SC-SS-05, 06); AML Committee members run the committee cases of SC-SS-06; the UCC and the Operations Lead run the monitoring scenario (SC-SS-08).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COMPLIANCE_OFFICER</w:t>
            </w:r>
          </w:p>
        </w:tc>
        <w:tc>
          <w:tcPr>
            <w:tcW w:type="dxa" w:w="6648"/>
            <w:tcMar>
              <w:top w:w="50" w:type="dxa"/>
              <w:bottom w:w="50" w:type="dxa"/>
              <w:left w:w="90" w:type="dxa"/>
              <w:right w:w="90" w:type="dxa"/>
            </w:tcMar>
          </w:tcPr>
          <w:p>
            <w:pPr>
              <w:pStyle w:val="BDOITable"/>
            </w:pPr>
            <w:r>
              <w:rPr>
                <w:sz w:val="17"/>
              </w:rPr>
              <w:t>Compliance Officer (maker)</w:t>
            </w:r>
          </w:p>
        </w:tc>
        <w:tc>
          <w:tcPr>
            <w:tcW w:type="dxa" w:w="1023"/>
            <w:tcMar>
              <w:top w:w="50" w:type="dxa"/>
              <w:bottom w:w="50" w:type="dxa"/>
              <w:left w:w="90" w:type="dxa"/>
              <w:right w:w="90" w:type="dxa"/>
            </w:tcMar>
          </w:tcPr>
          <w:p>
            <w:pPr>
              <w:pStyle w:val="BDOITable"/>
            </w:pPr>
            <w:r>
              <w:rPr>
                <w:sz w:val="17"/>
              </w:rPr>
              <w:t>70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COMPLIANCE_CHECKER</w:t>
            </w:r>
          </w:p>
        </w:tc>
        <w:tc>
          <w:tcPr>
            <w:tcW w:type="dxa" w:w="6648"/>
            <w:tcMar>
              <w:top w:w="50" w:type="dxa"/>
              <w:bottom w:w="50" w:type="dxa"/>
              <w:left w:w="90" w:type="dxa"/>
              <w:right w:w="90" w:type="dxa"/>
            </w:tcMar>
            <w:shd w:val="clear" w:color="auto" w:fill="E5F5FF"/>
          </w:tcPr>
          <w:p>
            <w:pPr>
              <w:pStyle w:val="BDOITable"/>
            </w:pPr>
            <w:r>
              <w:rPr>
                <w:sz w:val="17"/>
              </w:rPr>
              <w:t>Compliance Officer (Checker)</w:t>
            </w:r>
          </w:p>
        </w:tc>
        <w:tc>
          <w:tcPr>
            <w:tcW w:type="dxa" w:w="1023"/>
            <w:tcMar>
              <w:top w:w="50" w:type="dxa"/>
              <w:bottom w:w="50" w:type="dxa"/>
              <w:left w:w="90" w:type="dxa"/>
              <w:right w:w="90" w:type="dxa"/>
            </w:tcMar>
            <w:shd w:val="clear" w:color="auto" w:fill="E5F5FF"/>
          </w:tcPr>
          <w:p>
            <w:pPr>
              <w:pStyle w:val="BDOITable"/>
            </w:pPr>
            <w:r>
              <w:rPr>
                <w:sz w:val="17"/>
              </w:rPr>
              <w:t>10</w:t>
            </w:r>
          </w:p>
        </w:tc>
      </w:tr>
      <w:tr>
        <w:trPr>
          <w:cantSplit w:val="true"/>
        </w:trPr>
        <w:tc>
          <w:tcPr>
            <w:tcW w:type="dxa" w:w="2301"/>
            <w:tcMar>
              <w:top w:w="50" w:type="dxa"/>
              <w:bottom w:w="50" w:type="dxa"/>
              <w:left w:w="90" w:type="dxa"/>
              <w:right w:w="90" w:type="dxa"/>
            </w:tcMar>
          </w:tcPr>
          <w:p>
            <w:pPr>
              <w:pStyle w:val="BDOITable"/>
            </w:pPr>
            <w:r>
              <w:rPr>
                <w:sz w:val="17"/>
              </w:rPr>
              <w:t>UNIT_COMPLIANCE_COORD</w:t>
            </w:r>
          </w:p>
        </w:tc>
        <w:tc>
          <w:tcPr>
            <w:tcW w:type="dxa" w:w="6648"/>
            <w:tcMar>
              <w:top w:w="50" w:type="dxa"/>
              <w:bottom w:w="50" w:type="dxa"/>
              <w:left w:w="90" w:type="dxa"/>
              <w:right w:w="90" w:type="dxa"/>
            </w:tcMar>
          </w:tcPr>
          <w:p>
            <w:pPr>
              <w:pStyle w:val="BDOITable"/>
            </w:pPr>
            <w:r>
              <w:rPr>
                <w:sz w:val="17"/>
              </w:rPr>
              <w:t>Unit Compliance (User) Coordinator</w:t>
            </w:r>
          </w:p>
        </w:tc>
        <w:tc>
          <w:tcPr>
            <w:tcW w:type="dxa" w:w="1023"/>
            <w:tcMar>
              <w:top w:w="50" w:type="dxa"/>
              <w:bottom w:w="50" w:type="dxa"/>
              <w:left w:w="90" w:type="dxa"/>
              <w:right w:w="90" w:type="dxa"/>
            </w:tcMar>
          </w:tcPr>
          <w:p>
            <w:pPr>
              <w:pStyle w:val="BDOITable"/>
            </w:pPr>
            <w:r>
              <w:rPr>
                <w:sz w:val="17"/>
              </w:rPr>
              <w:t>16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SCR_INVESTIGATOR</w:t>
            </w:r>
          </w:p>
        </w:tc>
        <w:tc>
          <w:tcPr>
            <w:tcW w:type="dxa" w:w="6648"/>
            <w:tcMar>
              <w:top w:w="50" w:type="dxa"/>
              <w:bottom w:w="50" w:type="dxa"/>
              <w:left w:w="90" w:type="dxa"/>
              <w:right w:w="90" w:type="dxa"/>
            </w:tcMar>
            <w:shd w:val="clear" w:color="auto" w:fill="E5F5FF"/>
          </w:tcPr>
          <w:p>
            <w:pPr>
              <w:pStyle w:val="BDOITable"/>
            </w:pPr>
            <w:r>
              <w:rPr>
                <w:sz w:val="17"/>
              </w:rPr>
              <w:t>Investigator</w:t>
            </w:r>
          </w:p>
        </w:tc>
        <w:tc>
          <w:tcPr>
            <w:tcW w:type="dxa" w:w="1023"/>
            <w:tcMar>
              <w:top w:w="50" w:type="dxa"/>
              <w:bottom w:w="50" w:type="dxa"/>
              <w:left w:w="90" w:type="dxa"/>
              <w:right w:w="90" w:type="dxa"/>
            </w:tcMar>
            <w:shd w:val="clear" w:color="auto" w:fill="E5F5FF"/>
          </w:tcPr>
          <w:p>
            <w:pPr>
              <w:pStyle w:val="BDOITable"/>
            </w:pPr>
            <w:r>
              <w:rPr>
                <w:sz w:val="17"/>
              </w:rPr>
              <w:t>52</w:t>
            </w:r>
          </w:p>
        </w:tc>
      </w:tr>
      <w:tr>
        <w:trPr>
          <w:cantSplit w:val="true"/>
        </w:trPr>
        <w:tc>
          <w:tcPr>
            <w:tcW w:type="dxa" w:w="2301"/>
            <w:tcMar>
              <w:top w:w="50" w:type="dxa"/>
              <w:bottom w:w="50" w:type="dxa"/>
              <w:left w:w="90" w:type="dxa"/>
              <w:right w:w="90" w:type="dxa"/>
            </w:tcMar>
          </w:tcPr>
          <w:p>
            <w:pPr>
              <w:pStyle w:val="BDOITable"/>
            </w:pPr>
            <w:r>
              <w:rPr>
                <w:sz w:val="17"/>
              </w:rPr>
              <w:t>SCR_APPROVER</w:t>
            </w:r>
          </w:p>
        </w:tc>
        <w:tc>
          <w:tcPr>
            <w:tcW w:type="dxa" w:w="6648"/>
            <w:tcMar>
              <w:top w:w="50" w:type="dxa"/>
              <w:bottom w:w="50" w:type="dxa"/>
              <w:left w:w="90" w:type="dxa"/>
              <w:right w:w="90" w:type="dxa"/>
            </w:tcMar>
          </w:tcPr>
          <w:p>
            <w:pPr>
              <w:pStyle w:val="BDOITable"/>
            </w:pPr>
            <w:r>
              <w:rPr>
                <w:sz w:val="17"/>
              </w:rPr>
              <w:t>Approver (Unit Head)</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AML_COMMITTEE</w:t>
            </w:r>
          </w:p>
        </w:tc>
        <w:tc>
          <w:tcPr>
            <w:tcW w:type="dxa" w:w="6648"/>
            <w:tcMar>
              <w:top w:w="50" w:type="dxa"/>
              <w:bottom w:w="50" w:type="dxa"/>
              <w:left w:w="90" w:type="dxa"/>
              <w:right w:w="90" w:type="dxa"/>
            </w:tcMar>
            <w:shd w:val="clear" w:color="auto" w:fill="E5F5FF"/>
          </w:tcPr>
          <w:p>
            <w:pPr>
              <w:pStyle w:val="BDOITable"/>
            </w:pPr>
            <w:r>
              <w:rPr>
                <w:sz w:val="17"/>
              </w:rPr>
              <w:t>AML Committee Member</w:t>
            </w:r>
          </w:p>
        </w:tc>
        <w:tc>
          <w:tcPr>
            <w:tcW w:type="dxa" w:w="1023"/>
            <w:tcMar>
              <w:top w:w="50" w:type="dxa"/>
              <w:bottom w:w="50" w:type="dxa"/>
              <w:left w:w="90" w:type="dxa"/>
              <w:right w:w="90" w:type="dxa"/>
            </w:tcMar>
            <w:shd w:val="clear" w:color="auto" w:fill="E5F5FF"/>
          </w:tcPr>
          <w:p>
            <w:pPr>
              <w:pStyle w:val="BDOITable"/>
            </w:pPr>
            <w:r>
              <w:rPr>
                <w:sz w:val="17"/>
              </w:rPr>
              <w:t>7</w:t>
            </w:r>
          </w:p>
        </w:tc>
      </w:tr>
      <w:tr>
        <w:trPr>
          <w:cantSplit w:val="true"/>
        </w:trPr>
        <w:tc>
          <w:tcPr>
            <w:tcW w:type="dxa" w:w="2301"/>
            <w:tcMar>
              <w:top w:w="50" w:type="dxa"/>
              <w:bottom w:w="50" w:type="dxa"/>
              <w:left w:w="90" w:type="dxa"/>
              <w:right w:w="90" w:type="dxa"/>
            </w:tcMar>
          </w:tcPr>
          <w:p>
            <w:pPr>
              <w:pStyle w:val="BDOITable"/>
            </w:pPr>
            <w:r>
              <w:rPr>
                <w:sz w:val="17"/>
              </w:rPr>
              <w:t>OPS_LEAD</w:t>
            </w:r>
          </w:p>
        </w:tc>
        <w:tc>
          <w:tcPr>
            <w:tcW w:type="dxa" w:w="6648"/>
            <w:tcMar>
              <w:top w:w="50" w:type="dxa"/>
              <w:bottom w:w="50" w:type="dxa"/>
              <w:left w:w="90" w:type="dxa"/>
              <w:right w:w="90" w:type="dxa"/>
            </w:tcMar>
          </w:tcPr>
          <w:p>
            <w:pPr>
              <w:pStyle w:val="BDOITable"/>
            </w:pPr>
            <w:r>
              <w:rPr>
                <w:sz w:val="17"/>
              </w:rPr>
              <w:t>Operations Lead</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AUDITOR</w:t>
            </w:r>
          </w:p>
        </w:tc>
        <w:tc>
          <w:tcPr>
            <w:tcW w:type="dxa" w:w="6648"/>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SYSADMIN</w:t>
            </w:r>
          </w:p>
        </w:tc>
        <w:tc>
          <w:tcPr>
            <w:tcW w:type="dxa" w:w="6648"/>
            <w:tcMar>
              <w:top w:w="50" w:type="dxa"/>
              <w:bottom w:w="50" w:type="dxa"/>
              <w:left w:w="90" w:type="dxa"/>
              <w:right w:w="90" w:type="dxa"/>
            </w:tcMar>
          </w:tcPr>
          <w:p>
            <w:pPr>
              <w:pStyle w:val="BDOITable"/>
            </w:pPr>
            <w:r>
              <w:rPr>
                <w:sz w:val="17"/>
              </w:rPr>
              <w:t>System Administrator</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BUSINESS_ADMIN</w:t>
            </w:r>
          </w:p>
        </w:tc>
        <w:tc>
          <w:tcPr>
            <w:tcW w:type="dxa" w:w="6648"/>
            <w:tcMar>
              <w:top w:w="50" w:type="dxa"/>
              <w:bottom w:w="50" w:type="dxa"/>
              <w:left w:w="90" w:type="dxa"/>
              <w:right w:w="90" w:type="dxa"/>
            </w:tcMar>
            <w:shd w:val="clear" w:color="auto" w:fill="E5F5FF"/>
          </w:tcPr>
          <w:p>
            <w:pPr>
              <w:pStyle w:val="BDOITable"/>
            </w:pPr>
            <w:r>
              <w:rPr>
                <w:sz w:val="17"/>
              </w:rPr>
              <w:t>Business Administrator (Lists of Values)</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MKT_AO</w:t>
            </w:r>
          </w:p>
        </w:tc>
        <w:tc>
          <w:tcPr>
            <w:tcW w:type="dxa" w:w="6648"/>
            <w:tcMar>
              <w:top w:w="50" w:type="dxa"/>
              <w:bottom w:w="50" w:type="dxa"/>
              <w:left w:w="90" w:type="dxa"/>
              <w:right w:w="90" w:type="dxa"/>
            </w:tcMar>
          </w:tcPr>
          <w:p>
            <w:pPr>
              <w:pStyle w:val="BDOITable"/>
            </w:pPr>
            <w:r>
              <w:rPr>
                <w:sz w:val="17"/>
              </w:rPr>
              <w:t>Marketing AO (client and account data entry)</w:t>
            </w:r>
          </w:p>
        </w:tc>
        <w:tc>
          <w:tcPr>
            <w:tcW w:type="dxa" w:w="1023"/>
            <w:tcMar>
              <w:top w:w="50" w:type="dxa"/>
              <w:bottom w:w="50" w:type="dxa"/>
              <w:left w:w="90" w:type="dxa"/>
              <w:right w:w="90" w:type="dxa"/>
            </w:tcMar>
          </w:tcPr>
          <w:p>
            <w:pPr>
              <w:pStyle w:val="BDOITable"/>
            </w:pPr>
            <w:r>
              <w:rPr>
                <w:sz w:val="17"/>
              </w:rPr>
              <w:t>8</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SYSTEM</w:t>
            </w:r>
          </w:p>
        </w:tc>
        <w:tc>
          <w:tcPr>
            <w:tcW w:type="dxa" w:w="6648"/>
            <w:tcMar>
              <w:top w:w="50" w:type="dxa"/>
              <w:bottom w:w="50" w:type="dxa"/>
              <w:left w:w="90" w:type="dxa"/>
              <w:right w:w="90" w:type="dxa"/>
            </w:tcMar>
            <w:shd w:val="clear" w:color="auto" w:fill="E5F5FF"/>
          </w:tcPr>
          <w:p>
            <w:pPr>
              <w:pStyle w:val="BDOITable"/>
            </w:pPr>
            <w:r>
              <w:rPr>
                <w:sz w:val="17"/>
              </w:rPr>
              <w:t>BIBS scheduled job or event</w:t>
            </w:r>
          </w:p>
        </w:tc>
        <w:tc>
          <w:tcPr>
            <w:tcW w:type="dxa" w:w="1023"/>
            <w:tcMar>
              <w:top w:w="50" w:type="dxa"/>
              <w:bottom w:w="50" w:type="dxa"/>
              <w:left w:w="90" w:type="dxa"/>
              <w:right w:w="90" w:type="dxa"/>
            </w:tcMar>
            <w:shd w:val="clear" w:color="auto" w:fill="E5F5FF"/>
          </w:tcPr>
          <w:p>
            <w:pPr>
              <w:pStyle w:val="BDOITable"/>
            </w:pPr>
            <w:r>
              <w:rPr>
                <w:sz w:val="17"/>
              </w:rPr>
              <w:t>35</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Sanction Screening</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regulator or a client, or a security rule is broken</w:t>
            </w:r>
          </w:p>
        </w:tc>
        <w:tc>
          <w:tcPr>
            <w:tcW w:type="dxa" w:w="3196"/>
            <w:tcMar>
              <w:top w:w="50" w:type="dxa"/>
              <w:bottom w:w="50" w:type="dxa"/>
              <w:left w:w="90" w:type="dxa"/>
              <w:right w:w="90" w:type="dxa"/>
            </w:tcMar>
          </w:tcPr>
          <w:p>
            <w:pPr>
              <w:pStyle w:val="BDOITable"/>
            </w:pPr>
            <w:r>
              <w:rPr>
                <w:sz w:val="18"/>
              </w:rPr>
              <w:t>A listed name is not matched; a maker approves the own configuration; an STR without a committee decision is extracted; an audit row can be changed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case is routed to the wrong approver; the SLA monitor does not escalate a breach</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A validation message names the wrong field; a report filter is missing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case, version or entry number.</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(see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44 of 44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42 of 42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157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214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99 / 115</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35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93</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16</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42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64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10</w:t>
            </w:r>
          </w:p>
        </w:tc>
      </w:tr>
    </w:tbl>
    <w:p>
      <w:pPr>
        <w:pStyle w:val="BDOISpacer"/>
      </w:pPr>
    </w:p>
    <w:p>
      <w:r>
        <w:rPr/>
        <w:t>Every FR has at least one positive and one negative case, and every BRD ID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FR-SS-001</w:t>
            </w:r>
          </w:p>
        </w:tc>
        <w:tc>
          <w:tcPr>
            <w:tcW w:type="dxa" w:w="3307"/>
            <w:tcMar>
              <w:top w:w="50" w:type="dxa"/>
              <w:bottom w:w="50" w:type="dxa"/>
              <w:left w:w="90" w:type="dxa"/>
              <w:right w:w="90" w:type="dxa"/>
            </w:tcMar>
          </w:tcPr>
          <w:p>
            <w:pPr>
              <w:pStyle w:val="BDOITable"/>
            </w:pPr>
            <w:r>
              <w:rPr>
                <w:sz w:val="16"/>
              </w:rPr>
              <w:t>Restrict screening functions to authorised roles</w:t>
            </w:r>
          </w:p>
        </w:tc>
        <w:tc>
          <w:tcPr>
            <w:tcW w:type="dxa" w:w="1653"/>
            <w:tcMar>
              <w:top w:w="50" w:type="dxa"/>
              <w:bottom w:w="50" w:type="dxa"/>
              <w:left w:w="90" w:type="dxa"/>
              <w:right w:w="90" w:type="dxa"/>
            </w:tcMar>
          </w:tcPr>
          <w:p>
            <w:pPr>
              <w:pStyle w:val="BDOITable"/>
            </w:pPr>
            <w:r>
              <w:rPr>
                <w:sz w:val="16"/>
              </w:rPr>
              <w:t>SNSRP-101, SNSRP-203, SNSRP-403</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5</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FR-SS-010</w:t>
            </w:r>
          </w:p>
        </w:tc>
        <w:tc>
          <w:tcPr>
            <w:tcW w:type="dxa" w:w="3307"/>
            <w:tcMar>
              <w:top w:w="50" w:type="dxa"/>
              <w:bottom w:w="50" w:type="dxa"/>
              <w:left w:w="90" w:type="dxa"/>
              <w:right w:w="90" w:type="dxa"/>
            </w:tcMar>
            <w:shd w:val="clear" w:color="auto" w:fill="E5F5FF"/>
          </w:tcPr>
          <w:p>
            <w:pPr>
              <w:pStyle w:val="BDOITable"/>
            </w:pPr>
            <w:r>
              <w:rPr>
                <w:sz w:val="16"/>
              </w:rPr>
              <w:t>Maintain versioned screening configuration</w:t>
            </w:r>
          </w:p>
        </w:tc>
        <w:tc>
          <w:tcPr>
            <w:tcW w:type="dxa" w:w="1653"/>
            <w:tcMar>
              <w:top w:w="50" w:type="dxa"/>
              <w:bottom w:w="50" w:type="dxa"/>
              <w:left w:w="90" w:type="dxa"/>
              <w:right w:w="90" w:type="dxa"/>
            </w:tcMar>
            <w:shd w:val="clear" w:color="auto" w:fill="E5F5FF"/>
          </w:tcPr>
          <w:p>
            <w:pPr>
              <w:pStyle w:val="BDOITable"/>
            </w:pPr>
            <w:r>
              <w:rPr>
                <w:sz w:val="16"/>
              </w:rPr>
              <w:t>SNSRP-101, SNSRP-102, SNSRP-103, SNSRP-104, SNSRP-105, SNSRP-106, SNSRP-108</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672"/>
            <w:tcMar>
              <w:top w:w="50" w:type="dxa"/>
              <w:bottom w:w="50" w:type="dxa"/>
              <w:left w:w="90" w:type="dxa"/>
              <w:right w:w="90" w:type="dxa"/>
            </w:tcMar>
            <w:shd w:val="clear" w:color="auto" w:fill="E5F5FF"/>
          </w:tcPr>
          <w:p>
            <w:pPr>
              <w:pStyle w:val="BDOITable"/>
            </w:pPr>
            <w:r>
              <w:rPr>
                <w:sz w:val="16"/>
              </w:rPr>
              <w:t>9</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FR-SS-011</w:t>
            </w:r>
          </w:p>
        </w:tc>
        <w:tc>
          <w:tcPr>
            <w:tcW w:type="dxa" w:w="3307"/>
            <w:tcMar>
              <w:top w:w="50" w:type="dxa"/>
              <w:bottom w:w="50" w:type="dxa"/>
              <w:left w:w="90" w:type="dxa"/>
              <w:right w:w="90" w:type="dxa"/>
            </w:tcMar>
          </w:tcPr>
          <w:p>
            <w:pPr>
              <w:pStyle w:val="BDOITable"/>
            </w:pPr>
            <w:r>
              <w:rPr>
                <w:sz w:val="16"/>
              </w:rPr>
              <w:t>Configure name-matching criteria</w:t>
            </w:r>
          </w:p>
        </w:tc>
        <w:tc>
          <w:tcPr>
            <w:tcW w:type="dxa" w:w="1653"/>
            <w:tcMar>
              <w:top w:w="50" w:type="dxa"/>
              <w:bottom w:w="50" w:type="dxa"/>
              <w:left w:w="90" w:type="dxa"/>
              <w:right w:w="90" w:type="dxa"/>
            </w:tcMar>
          </w:tcPr>
          <w:p>
            <w:pPr>
              <w:pStyle w:val="BDOITable"/>
            </w:pPr>
            <w:r>
              <w:rPr>
                <w:sz w:val="16"/>
              </w:rPr>
              <w:t>SNSRP-101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FR-SS-012</w:t>
            </w:r>
          </w:p>
        </w:tc>
        <w:tc>
          <w:tcPr>
            <w:tcW w:type="dxa" w:w="3307"/>
            <w:tcMar>
              <w:top w:w="50" w:type="dxa"/>
              <w:bottom w:w="50" w:type="dxa"/>
              <w:left w:w="90" w:type="dxa"/>
              <w:right w:w="90" w:type="dxa"/>
            </w:tcMar>
            <w:shd w:val="clear" w:color="auto" w:fill="E5F5FF"/>
          </w:tcPr>
          <w:p>
            <w:pPr>
              <w:pStyle w:val="BDOITable"/>
            </w:pPr>
            <w:r>
              <w:rPr>
                <w:sz w:val="16"/>
              </w:rPr>
              <w:t>Define risk-profile categories and tagging rules</w:t>
            </w:r>
          </w:p>
        </w:tc>
        <w:tc>
          <w:tcPr>
            <w:tcW w:type="dxa" w:w="1653"/>
            <w:tcMar>
              <w:top w:w="50" w:type="dxa"/>
              <w:bottom w:w="50" w:type="dxa"/>
              <w:left w:w="90" w:type="dxa"/>
              <w:right w:w="90" w:type="dxa"/>
            </w:tcMar>
            <w:shd w:val="clear" w:color="auto" w:fill="E5F5FF"/>
          </w:tcPr>
          <w:p>
            <w:pPr>
              <w:pStyle w:val="BDOITable"/>
            </w:pPr>
            <w:r>
              <w:rPr>
                <w:sz w:val="16"/>
              </w:rPr>
              <w:t>SNSRP-102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FR-SS-013</w:t>
            </w:r>
          </w:p>
        </w:tc>
        <w:tc>
          <w:tcPr>
            <w:tcW w:type="dxa" w:w="3307"/>
            <w:tcMar>
              <w:top w:w="50" w:type="dxa"/>
              <w:bottom w:w="50" w:type="dxa"/>
              <w:left w:w="90" w:type="dxa"/>
              <w:right w:w="90" w:type="dxa"/>
            </w:tcMar>
          </w:tcPr>
          <w:p>
            <w:pPr>
              <w:pStyle w:val="BDOITable"/>
            </w:pPr>
            <w:r>
              <w:rPr>
                <w:sz w:val="16"/>
              </w:rPr>
              <w:t>Maintain the approval and escalation matrix</w:t>
            </w:r>
          </w:p>
        </w:tc>
        <w:tc>
          <w:tcPr>
            <w:tcW w:type="dxa" w:w="1653"/>
            <w:tcMar>
              <w:top w:w="50" w:type="dxa"/>
              <w:bottom w:w="50" w:type="dxa"/>
              <w:left w:w="90" w:type="dxa"/>
              <w:right w:w="90" w:type="dxa"/>
            </w:tcMar>
          </w:tcPr>
          <w:p>
            <w:pPr>
              <w:pStyle w:val="BDOITable"/>
            </w:pPr>
            <w:r>
              <w:rPr>
                <w:sz w:val="16"/>
              </w:rPr>
              <w:t>SNSRP-103, SNSRP-703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FR-SS-014</w:t>
            </w:r>
          </w:p>
        </w:tc>
        <w:tc>
          <w:tcPr>
            <w:tcW w:type="dxa" w:w="3307"/>
            <w:tcMar>
              <w:top w:w="50" w:type="dxa"/>
              <w:bottom w:w="50" w:type="dxa"/>
              <w:left w:w="90" w:type="dxa"/>
              <w:right w:w="90" w:type="dxa"/>
            </w:tcMar>
            <w:shd w:val="clear" w:color="auto" w:fill="E5F5FF"/>
          </w:tcPr>
          <w:p>
            <w:pPr>
              <w:pStyle w:val="BDOITable"/>
            </w:pPr>
            <w:r>
              <w:rPr>
                <w:sz w:val="16"/>
              </w:rPr>
              <w:t>Configure the case assignment matrix</w:t>
            </w:r>
          </w:p>
        </w:tc>
        <w:tc>
          <w:tcPr>
            <w:tcW w:type="dxa" w:w="1653"/>
            <w:tcMar>
              <w:top w:w="50" w:type="dxa"/>
              <w:bottom w:w="50" w:type="dxa"/>
              <w:left w:w="90" w:type="dxa"/>
              <w:right w:w="90" w:type="dxa"/>
            </w:tcMar>
            <w:shd w:val="clear" w:color="auto" w:fill="E5F5FF"/>
          </w:tcPr>
          <w:p>
            <w:pPr>
              <w:pStyle w:val="BDOITable"/>
            </w:pPr>
            <w:r>
              <w:rPr>
                <w:sz w:val="16"/>
              </w:rPr>
              <w:t>SNSRP-106</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FR-SS-015</w:t>
            </w:r>
          </w:p>
        </w:tc>
        <w:tc>
          <w:tcPr>
            <w:tcW w:type="dxa" w:w="3307"/>
            <w:tcMar>
              <w:top w:w="50" w:type="dxa"/>
              <w:bottom w:w="50" w:type="dxa"/>
              <w:left w:w="90" w:type="dxa"/>
              <w:right w:w="90" w:type="dxa"/>
            </w:tcMar>
          </w:tcPr>
          <w:p>
            <w:pPr>
              <w:pStyle w:val="BDOITable"/>
            </w:pPr>
            <w:r>
              <w:rPr>
                <w:sz w:val="16"/>
              </w:rPr>
              <w:t>Configure the SLA matrix per case stage</w:t>
            </w:r>
          </w:p>
        </w:tc>
        <w:tc>
          <w:tcPr>
            <w:tcW w:type="dxa" w:w="1653"/>
            <w:tcMar>
              <w:top w:w="50" w:type="dxa"/>
              <w:bottom w:w="50" w:type="dxa"/>
              <w:left w:w="90" w:type="dxa"/>
              <w:right w:w="90" w:type="dxa"/>
            </w:tcMar>
          </w:tcPr>
          <w:p>
            <w:pPr>
              <w:pStyle w:val="BDOITable"/>
            </w:pPr>
            <w:r>
              <w:rPr>
                <w:sz w:val="16"/>
              </w:rPr>
              <w:t>SNSRP-108</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FR-SS-016</w:t>
            </w:r>
          </w:p>
        </w:tc>
        <w:tc>
          <w:tcPr>
            <w:tcW w:type="dxa" w:w="3307"/>
            <w:tcMar>
              <w:top w:w="50" w:type="dxa"/>
              <w:bottom w:w="50" w:type="dxa"/>
              <w:left w:w="90" w:type="dxa"/>
              <w:right w:w="90" w:type="dxa"/>
            </w:tcMar>
            <w:shd w:val="clear" w:color="auto" w:fill="E5F5FF"/>
          </w:tcPr>
          <w:p>
            <w:pPr>
              <w:pStyle w:val="BDOITable"/>
            </w:pPr>
            <w:r>
              <w:rPr>
                <w:sz w:val="16"/>
              </w:rPr>
              <w:t>Maintain review templates</w:t>
            </w:r>
          </w:p>
        </w:tc>
        <w:tc>
          <w:tcPr>
            <w:tcW w:type="dxa" w:w="1653"/>
            <w:tcMar>
              <w:top w:w="50" w:type="dxa"/>
              <w:bottom w:w="50" w:type="dxa"/>
              <w:left w:w="90" w:type="dxa"/>
              <w:right w:w="90" w:type="dxa"/>
            </w:tcMar>
            <w:shd w:val="clear" w:color="auto" w:fill="E5F5FF"/>
          </w:tcPr>
          <w:p>
            <w:pPr>
              <w:pStyle w:val="BDOITable"/>
            </w:pPr>
            <w:r>
              <w:rPr>
                <w:sz w:val="16"/>
              </w:rPr>
              <w:t>SNSRP-104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FR-SS-017</w:t>
            </w:r>
          </w:p>
        </w:tc>
        <w:tc>
          <w:tcPr>
            <w:tcW w:type="dxa" w:w="3307"/>
            <w:tcMar>
              <w:top w:w="50" w:type="dxa"/>
              <w:bottom w:w="50" w:type="dxa"/>
              <w:left w:w="90" w:type="dxa"/>
              <w:right w:w="90" w:type="dxa"/>
            </w:tcMar>
          </w:tcPr>
          <w:p>
            <w:pPr>
              <w:pStyle w:val="BDOITable"/>
            </w:pPr>
            <w:r>
              <w:rPr>
                <w:sz w:val="16"/>
              </w:rPr>
              <w:t>Maintain STR templates and the extraction layout</w:t>
            </w:r>
          </w:p>
        </w:tc>
        <w:tc>
          <w:tcPr>
            <w:tcW w:type="dxa" w:w="1653"/>
            <w:tcMar>
              <w:top w:w="50" w:type="dxa"/>
              <w:bottom w:w="50" w:type="dxa"/>
              <w:left w:w="90" w:type="dxa"/>
              <w:right w:w="90" w:type="dxa"/>
            </w:tcMar>
          </w:tcPr>
          <w:p>
            <w:pPr>
              <w:pStyle w:val="BDOITable"/>
            </w:pPr>
            <w:r>
              <w:rPr>
                <w:sz w:val="16"/>
              </w:rPr>
              <w:t>SNSRP-105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FR-SS-018</w:t>
            </w:r>
          </w:p>
        </w:tc>
        <w:tc>
          <w:tcPr>
            <w:tcW w:type="dxa" w:w="3307"/>
            <w:tcMar>
              <w:top w:w="50" w:type="dxa"/>
              <w:bottom w:w="50" w:type="dxa"/>
              <w:left w:w="90" w:type="dxa"/>
              <w:right w:w="90" w:type="dxa"/>
            </w:tcMar>
            <w:shd w:val="clear" w:color="auto" w:fill="E5F5FF"/>
          </w:tcPr>
          <w:p>
            <w:pPr>
              <w:pStyle w:val="BDOITable"/>
            </w:pPr>
            <w:r>
              <w:rPr>
                <w:sz w:val="16"/>
              </w:rPr>
              <w:t>Configure dispositions per case stage</w:t>
            </w:r>
          </w:p>
        </w:tc>
        <w:tc>
          <w:tcPr>
            <w:tcW w:type="dxa" w:w="1653"/>
            <w:tcMar>
              <w:top w:w="50" w:type="dxa"/>
              <w:bottom w:w="50" w:type="dxa"/>
              <w:left w:w="90" w:type="dxa"/>
              <w:right w:w="90" w:type="dxa"/>
            </w:tcMar>
            <w:shd w:val="clear" w:color="auto" w:fill="E5F5FF"/>
          </w:tcPr>
          <w:p>
            <w:pPr>
              <w:pStyle w:val="BDOITable"/>
            </w:pPr>
            <w:r>
              <w:rPr>
                <w:sz w:val="16"/>
              </w:rPr>
              <w:t>SNSRP-107</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FR-SS-019</w:t>
            </w:r>
          </w:p>
        </w:tc>
        <w:tc>
          <w:tcPr>
            <w:tcW w:type="dxa" w:w="3307"/>
            <w:tcMar>
              <w:top w:w="50" w:type="dxa"/>
              <w:bottom w:w="50" w:type="dxa"/>
              <w:left w:w="90" w:type="dxa"/>
              <w:right w:w="90" w:type="dxa"/>
            </w:tcMar>
          </w:tcPr>
          <w:p>
            <w:pPr>
              <w:pStyle w:val="BDOITable"/>
            </w:pPr>
            <w:r>
              <w:rPr>
                <w:sz w:val="16"/>
              </w:rPr>
              <w:t>Approve or reject a configuration version</w:t>
            </w:r>
          </w:p>
        </w:tc>
        <w:tc>
          <w:tcPr>
            <w:tcW w:type="dxa" w:w="1653"/>
            <w:tcMar>
              <w:top w:w="50" w:type="dxa"/>
              <w:bottom w:w="50" w:type="dxa"/>
              <w:left w:w="90" w:type="dxa"/>
              <w:right w:w="90" w:type="dxa"/>
            </w:tcMar>
          </w:tcPr>
          <w:p>
            <w:pPr>
              <w:pStyle w:val="BDOITable"/>
            </w:pPr>
            <w:r>
              <w:rPr>
                <w:sz w:val="16"/>
              </w:rPr>
              <w:t>SNSRP-109</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FR-SS-020</w:t>
            </w:r>
          </w:p>
        </w:tc>
        <w:tc>
          <w:tcPr>
            <w:tcW w:type="dxa" w:w="3307"/>
            <w:tcMar>
              <w:top w:w="50" w:type="dxa"/>
              <w:bottom w:w="50" w:type="dxa"/>
              <w:left w:w="90" w:type="dxa"/>
              <w:right w:w="90" w:type="dxa"/>
            </w:tcMar>
            <w:shd w:val="clear" w:color="auto" w:fill="E5F5FF"/>
          </w:tcPr>
          <w:p>
            <w:pPr>
              <w:pStyle w:val="BDOITable"/>
            </w:pPr>
            <w:r>
              <w:rPr>
                <w:sz w:val="16"/>
              </w:rPr>
              <w:t>Receive the sanctions and PEP lists on schedule</w:t>
            </w:r>
          </w:p>
        </w:tc>
        <w:tc>
          <w:tcPr>
            <w:tcW w:type="dxa" w:w="1653"/>
            <w:tcMar>
              <w:top w:w="50" w:type="dxa"/>
              <w:bottom w:w="50" w:type="dxa"/>
              <w:left w:w="90" w:type="dxa"/>
              <w:right w:w="90" w:type="dxa"/>
            </w:tcMar>
            <w:shd w:val="clear" w:color="auto" w:fill="E5F5FF"/>
          </w:tcPr>
          <w:p>
            <w:pPr>
              <w:pStyle w:val="BDOITable"/>
            </w:pPr>
            <w:r>
              <w:rPr>
                <w:sz w:val="16"/>
              </w:rPr>
              <w:t>SNSRP-201</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FR-SS-021</w:t>
            </w:r>
          </w:p>
        </w:tc>
        <w:tc>
          <w:tcPr>
            <w:tcW w:type="dxa" w:w="3307"/>
            <w:tcMar>
              <w:top w:w="50" w:type="dxa"/>
              <w:bottom w:w="50" w:type="dxa"/>
              <w:left w:w="90" w:type="dxa"/>
              <w:right w:w="90" w:type="dxa"/>
            </w:tcMar>
          </w:tcPr>
          <w:p>
            <w:pPr>
              <w:pStyle w:val="BDOITable"/>
            </w:pPr>
            <w:r>
              <w:rPr>
                <w:sz w:val="16"/>
              </w:rPr>
              <w:t>Report records that failed ingestion</w:t>
            </w:r>
          </w:p>
        </w:tc>
        <w:tc>
          <w:tcPr>
            <w:tcW w:type="dxa" w:w="1653"/>
            <w:tcMar>
              <w:top w:w="50" w:type="dxa"/>
              <w:bottom w:w="50" w:type="dxa"/>
              <w:left w:w="90" w:type="dxa"/>
              <w:right w:w="90" w:type="dxa"/>
            </w:tcMar>
          </w:tcPr>
          <w:p>
            <w:pPr>
              <w:pStyle w:val="BDOITable"/>
            </w:pPr>
            <w:r>
              <w:rPr>
                <w:sz w:val="16"/>
              </w:rPr>
              <w:t>SNSRP-202</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5</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FR-SS-022</w:t>
            </w:r>
          </w:p>
        </w:tc>
        <w:tc>
          <w:tcPr>
            <w:tcW w:type="dxa" w:w="3307"/>
            <w:tcMar>
              <w:top w:w="50" w:type="dxa"/>
              <w:bottom w:w="50" w:type="dxa"/>
              <w:left w:w="90" w:type="dxa"/>
              <w:right w:w="90" w:type="dxa"/>
            </w:tcMar>
            <w:shd w:val="clear" w:color="auto" w:fill="E5F5FF"/>
          </w:tcPr>
          <w:p>
            <w:pPr>
              <w:pStyle w:val="BDOITable"/>
            </w:pPr>
            <w:r>
              <w:rPr>
                <w:sz w:val="16"/>
              </w:rPr>
              <w:t>Add or change sanctioned-name and PEP records manually</w:t>
            </w:r>
          </w:p>
        </w:tc>
        <w:tc>
          <w:tcPr>
            <w:tcW w:type="dxa" w:w="1653"/>
            <w:tcMar>
              <w:top w:w="50" w:type="dxa"/>
              <w:bottom w:w="50" w:type="dxa"/>
              <w:left w:w="90" w:type="dxa"/>
              <w:right w:w="90" w:type="dxa"/>
            </w:tcMar>
            <w:shd w:val="clear" w:color="auto" w:fill="E5F5FF"/>
          </w:tcPr>
          <w:p>
            <w:pPr>
              <w:pStyle w:val="BDOITable"/>
            </w:pPr>
            <w:r>
              <w:rPr>
                <w:sz w:val="16"/>
              </w:rPr>
              <w:t>SNSRP-203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FR-SS-023</w:t>
            </w:r>
          </w:p>
        </w:tc>
        <w:tc>
          <w:tcPr>
            <w:tcW w:type="dxa" w:w="3307"/>
            <w:tcMar>
              <w:top w:w="50" w:type="dxa"/>
              <w:bottom w:w="50" w:type="dxa"/>
              <w:left w:w="90" w:type="dxa"/>
              <w:right w:w="90" w:type="dxa"/>
            </w:tcMar>
          </w:tcPr>
          <w:p>
            <w:pPr>
              <w:pStyle w:val="BDOITable"/>
            </w:pPr>
            <w:r>
              <w:rPr>
                <w:sz w:val="16"/>
              </w:rPr>
              <w:t>Approve or reject list changes</w:t>
            </w:r>
          </w:p>
        </w:tc>
        <w:tc>
          <w:tcPr>
            <w:tcW w:type="dxa" w:w="1653"/>
            <w:tcMar>
              <w:top w:w="50" w:type="dxa"/>
              <w:bottom w:w="50" w:type="dxa"/>
              <w:left w:w="90" w:type="dxa"/>
              <w:right w:w="90" w:type="dxa"/>
            </w:tcMar>
          </w:tcPr>
          <w:p>
            <w:pPr>
              <w:pStyle w:val="BDOITable"/>
            </w:pPr>
            <w:r>
              <w:rPr>
                <w:sz w:val="16"/>
              </w:rPr>
              <w:t>SNSRP-204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FR-SS-030</w:t>
            </w:r>
          </w:p>
        </w:tc>
        <w:tc>
          <w:tcPr>
            <w:tcW w:type="dxa" w:w="3307"/>
            <w:tcMar>
              <w:top w:w="50" w:type="dxa"/>
              <w:bottom w:w="50" w:type="dxa"/>
              <w:left w:w="90" w:type="dxa"/>
              <w:right w:w="90" w:type="dxa"/>
            </w:tcMar>
            <w:shd w:val="clear" w:color="auto" w:fill="E5F5FF"/>
          </w:tcPr>
          <w:p>
            <w:pPr>
              <w:pStyle w:val="BDOITable"/>
            </w:pPr>
            <w:r>
              <w:rPr>
                <w:sz w:val="16"/>
              </w:rPr>
              <w:t>Trigger client matching</w:t>
            </w:r>
          </w:p>
        </w:tc>
        <w:tc>
          <w:tcPr>
            <w:tcW w:type="dxa" w:w="1653"/>
            <w:tcMar>
              <w:top w:w="50" w:type="dxa"/>
              <w:bottom w:w="50" w:type="dxa"/>
              <w:left w:w="90" w:type="dxa"/>
              <w:right w:w="90" w:type="dxa"/>
            </w:tcMar>
            <w:shd w:val="clear" w:color="auto" w:fill="E5F5FF"/>
          </w:tcPr>
          <w:p>
            <w:pPr>
              <w:pStyle w:val="BDOITable"/>
            </w:pPr>
            <w:r>
              <w:rPr>
                <w:sz w:val="16"/>
              </w:rPr>
              <w:t>SNSRP-602, SNSRP-303</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FR-SS-031</w:t>
            </w:r>
          </w:p>
        </w:tc>
        <w:tc>
          <w:tcPr>
            <w:tcW w:type="dxa" w:w="3307"/>
            <w:tcMar>
              <w:top w:w="50" w:type="dxa"/>
              <w:bottom w:w="50" w:type="dxa"/>
              <w:left w:w="90" w:type="dxa"/>
              <w:right w:w="90" w:type="dxa"/>
            </w:tcMar>
          </w:tcPr>
          <w:p>
            <w:pPr>
              <w:pStyle w:val="BDOITable"/>
            </w:pPr>
            <w:r>
              <w:rPr>
                <w:sz w:val="16"/>
              </w:rPr>
              <w:t>Match client names against the list</w:t>
            </w:r>
          </w:p>
        </w:tc>
        <w:tc>
          <w:tcPr>
            <w:tcW w:type="dxa" w:w="1653"/>
            <w:tcMar>
              <w:top w:w="50" w:type="dxa"/>
              <w:bottom w:w="50" w:type="dxa"/>
              <w:left w:w="90" w:type="dxa"/>
              <w:right w:w="90" w:type="dxa"/>
            </w:tcMar>
          </w:tcPr>
          <w:p>
            <w:pPr>
              <w:pStyle w:val="BDOITable"/>
            </w:pPr>
            <w:r>
              <w:rPr>
                <w:sz w:val="16"/>
              </w:rPr>
              <w:t>SNSRP-301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FR-SS-032</w:t>
            </w:r>
          </w:p>
        </w:tc>
        <w:tc>
          <w:tcPr>
            <w:tcW w:type="dxa" w:w="3307"/>
            <w:tcMar>
              <w:top w:w="50" w:type="dxa"/>
              <w:bottom w:w="50" w:type="dxa"/>
              <w:left w:w="90" w:type="dxa"/>
              <w:right w:w="90" w:type="dxa"/>
            </w:tcMar>
            <w:shd w:val="clear" w:color="auto" w:fill="E5F5FF"/>
          </w:tcPr>
          <w:p>
            <w:pPr>
              <w:pStyle w:val="BDOITable"/>
            </w:pPr>
            <w:r>
              <w:rPr>
                <w:sz w:val="16"/>
              </w:rPr>
              <w:t>Review potential matches</w:t>
            </w:r>
          </w:p>
        </w:tc>
        <w:tc>
          <w:tcPr>
            <w:tcW w:type="dxa" w:w="1653"/>
            <w:tcMar>
              <w:top w:w="50" w:type="dxa"/>
              <w:bottom w:w="50" w:type="dxa"/>
              <w:left w:w="90" w:type="dxa"/>
              <w:right w:w="90" w:type="dxa"/>
            </w:tcMar>
            <w:shd w:val="clear" w:color="auto" w:fill="E5F5FF"/>
          </w:tcPr>
          <w:p>
            <w:pPr>
              <w:pStyle w:val="BDOITable"/>
            </w:pPr>
            <w:r>
              <w:rPr>
                <w:sz w:val="16"/>
              </w:rPr>
              <w:t>SNSRP-301, SNSRP-304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FR-SS-033</w:t>
            </w:r>
          </w:p>
        </w:tc>
        <w:tc>
          <w:tcPr>
            <w:tcW w:type="dxa" w:w="3307"/>
            <w:tcMar>
              <w:top w:w="50" w:type="dxa"/>
              <w:bottom w:w="50" w:type="dxa"/>
              <w:left w:w="90" w:type="dxa"/>
              <w:right w:w="90" w:type="dxa"/>
            </w:tcMar>
          </w:tcPr>
          <w:p>
            <w:pPr>
              <w:pStyle w:val="BDOITable"/>
            </w:pPr>
            <w:r>
              <w:rPr>
                <w:sz w:val="16"/>
              </w:rPr>
              <w:t>Tag the client risk profile automatically</w:t>
            </w:r>
          </w:p>
        </w:tc>
        <w:tc>
          <w:tcPr>
            <w:tcW w:type="dxa" w:w="1653"/>
            <w:tcMar>
              <w:top w:w="50" w:type="dxa"/>
              <w:bottom w:w="50" w:type="dxa"/>
              <w:left w:w="90" w:type="dxa"/>
              <w:right w:w="90" w:type="dxa"/>
            </w:tcMar>
          </w:tcPr>
          <w:p>
            <w:pPr>
              <w:pStyle w:val="BDOITable"/>
            </w:pPr>
            <w:r>
              <w:rPr>
                <w:sz w:val="16"/>
              </w:rPr>
              <w:t>SNSRP-302</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FR-SS-034</w:t>
            </w:r>
          </w:p>
        </w:tc>
        <w:tc>
          <w:tcPr>
            <w:tcW w:type="dxa" w:w="3307"/>
            <w:tcMar>
              <w:top w:w="50" w:type="dxa"/>
              <w:bottom w:w="50" w:type="dxa"/>
              <w:left w:w="90" w:type="dxa"/>
              <w:right w:w="90" w:type="dxa"/>
            </w:tcMar>
            <w:shd w:val="clear" w:color="auto" w:fill="E5F5FF"/>
          </w:tcPr>
          <w:p>
            <w:pPr>
              <w:pStyle w:val="BDOITable"/>
            </w:pPr>
            <w:r>
              <w:rPr>
                <w:sz w:val="16"/>
              </w:rPr>
              <w:t>Create cases automatically</w:t>
            </w:r>
          </w:p>
        </w:tc>
        <w:tc>
          <w:tcPr>
            <w:tcW w:type="dxa" w:w="1653"/>
            <w:tcMar>
              <w:top w:w="50" w:type="dxa"/>
              <w:bottom w:w="50" w:type="dxa"/>
              <w:left w:w="90" w:type="dxa"/>
              <w:right w:w="90" w:type="dxa"/>
            </w:tcMar>
            <w:shd w:val="clear" w:color="auto" w:fill="E5F5FF"/>
          </w:tcPr>
          <w:p>
            <w:pPr>
              <w:pStyle w:val="BDOITable"/>
            </w:pPr>
            <w:r>
              <w:rPr>
                <w:sz w:val="16"/>
              </w:rPr>
              <w:t>SNSRP-303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FR-SS-035</w:t>
            </w:r>
          </w:p>
        </w:tc>
        <w:tc>
          <w:tcPr>
            <w:tcW w:type="dxa" w:w="3307"/>
            <w:tcMar>
              <w:top w:w="50" w:type="dxa"/>
              <w:bottom w:w="50" w:type="dxa"/>
              <w:left w:w="90" w:type="dxa"/>
              <w:right w:w="90" w:type="dxa"/>
            </w:tcMar>
          </w:tcPr>
          <w:p>
            <w:pPr>
              <w:pStyle w:val="BDOITable"/>
            </w:pPr>
            <w:r>
              <w:rPr>
                <w:sz w:val="16"/>
              </w:rPr>
              <w:t>Update the risk-profile tag manually with justification</w:t>
            </w:r>
          </w:p>
        </w:tc>
        <w:tc>
          <w:tcPr>
            <w:tcW w:type="dxa" w:w="1653"/>
            <w:tcMar>
              <w:top w:w="50" w:type="dxa"/>
              <w:bottom w:w="50" w:type="dxa"/>
              <w:left w:w="90" w:type="dxa"/>
              <w:right w:w="90" w:type="dxa"/>
            </w:tcMar>
          </w:tcPr>
          <w:p>
            <w:pPr>
              <w:pStyle w:val="BDOITable"/>
            </w:pPr>
            <w:r>
              <w:rPr>
                <w:sz w:val="16"/>
              </w:rPr>
              <w:t>SNSRP-304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FR-SS-040</w:t>
            </w:r>
          </w:p>
        </w:tc>
        <w:tc>
          <w:tcPr>
            <w:tcW w:type="dxa" w:w="3307"/>
            <w:tcMar>
              <w:top w:w="50" w:type="dxa"/>
              <w:bottom w:w="50" w:type="dxa"/>
              <w:left w:w="90" w:type="dxa"/>
              <w:right w:w="90" w:type="dxa"/>
            </w:tcMar>
            <w:shd w:val="clear" w:color="auto" w:fill="E5F5FF"/>
          </w:tcPr>
          <w:p>
            <w:pPr>
              <w:pStyle w:val="BDOITable"/>
            </w:pPr>
            <w:r>
              <w:rPr>
                <w:sz w:val="16"/>
              </w:rPr>
              <w:t>Control the case lifecycle</w:t>
            </w:r>
          </w:p>
        </w:tc>
        <w:tc>
          <w:tcPr>
            <w:tcW w:type="dxa" w:w="1653"/>
            <w:tcMar>
              <w:top w:w="50" w:type="dxa"/>
              <w:bottom w:w="50" w:type="dxa"/>
              <w:left w:w="90" w:type="dxa"/>
              <w:right w:w="90" w:type="dxa"/>
            </w:tcMar>
            <w:shd w:val="clear" w:color="auto" w:fill="E5F5FF"/>
          </w:tcPr>
          <w:p>
            <w:pPr>
              <w:pStyle w:val="BDOITable"/>
            </w:pPr>
            <w:r>
              <w:rPr>
                <w:sz w:val="16"/>
              </w:rPr>
              <w:t>SNSRP-401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FR-SS-041</w:t>
            </w:r>
          </w:p>
        </w:tc>
        <w:tc>
          <w:tcPr>
            <w:tcW w:type="dxa" w:w="3307"/>
            <w:tcMar>
              <w:top w:w="50" w:type="dxa"/>
              <w:bottom w:w="50" w:type="dxa"/>
              <w:left w:w="90" w:type="dxa"/>
              <w:right w:w="90" w:type="dxa"/>
            </w:tcMar>
          </w:tcPr>
          <w:p>
            <w:pPr>
              <w:pStyle w:val="BDOITable"/>
            </w:pPr>
            <w:r>
              <w:rPr>
                <w:sz w:val="16"/>
              </w:rPr>
              <w:t>View the list of cases and open a case</w:t>
            </w:r>
          </w:p>
        </w:tc>
        <w:tc>
          <w:tcPr>
            <w:tcW w:type="dxa" w:w="1653"/>
            <w:tcMar>
              <w:top w:w="50" w:type="dxa"/>
              <w:bottom w:w="50" w:type="dxa"/>
              <w:left w:w="90" w:type="dxa"/>
              <w:right w:w="90" w:type="dxa"/>
            </w:tcMar>
          </w:tcPr>
          <w:p>
            <w:pPr>
              <w:pStyle w:val="BDOITable"/>
            </w:pPr>
            <w:r>
              <w:rPr>
                <w:sz w:val="16"/>
              </w:rPr>
              <w:t>SNSRP-402</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FR-SS-042</w:t>
            </w:r>
          </w:p>
        </w:tc>
        <w:tc>
          <w:tcPr>
            <w:tcW w:type="dxa" w:w="3307"/>
            <w:tcMar>
              <w:top w:w="50" w:type="dxa"/>
              <w:bottom w:w="50" w:type="dxa"/>
              <w:left w:w="90" w:type="dxa"/>
              <w:right w:w="90" w:type="dxa"/>
            </w:tcMar>
            <w:shd w:val="clear" w:color="auto" w:fill="E5F5FF"/>
          </w:tcPr>
          <w:p>
            <w:pPr>
              <w:pStyle w:val="BDOITable"/>
            </w:pPr>
            <w:r>
              <w:rPr>
                <w:sz w:val="16"/>
              </w:rPr>
              <w:t>Search cases</w:t>
            </w:r>
          </w:p>
        </w:tc>
        <w:tc>
          <w:tcPr>
            <w:tcW w:type="dxa" w:w="1653"/>
            <w:tcMar>
              <w:top w:w="50" w:type="dxa"/>
              <w:bottom w:w="50" w:type="dxa"/>
              <w:left w:w="90" w:type="dxa"/>
              <w:right w:w="90" w:type="dxa"/>
            </w:tcMar>
            <w:shd w:val="clear" w:color="auto" w:fill="E5F5FF"/>
          </w:tcPr>
          <w:p>
            <w:pPr>
              <w:pStyle w:val="BDOITable"/>
            </w:pPr>
            <w:r>
              <w:rPr>
                <w:sz w:val="16"/>
              </w:rPr>
              <w:t>SNSRP-403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FR-SS-043</w:t>
            </w:r>
          </w:p>
        </w:tc>
        <w:tc>
          <w:tcPr>
            <w:tcW w:type="dxa" w:w="3307"/>
            <w:tcMar>
              <w:top w:w="50" w:type="dxa"/>
              <w:bottom w:w="50" w:type="dxa"/>
              <w:left w:w="90" w:type="dxa"/>
              <w:right w:w="90" w:type="dxa"/>
            </w:tcMar>
          </w:tcPr>
          <w:p>
            <w:pPr>
              <w:pStyle w:val="BDOITable"/>
            </w:pPr>
            <w:r>
              <w:rPr>
                <w:sz w:val="16"/>
              </w:rPr>
              <w:t>Re-assign a case or approval</w:t>
            </w:r>
          </w:p>
        </w:tc>
        <w:tc>
          <w:tcPr>
            <w:tcW w:type="dxa" w:w="1653"/>
            <w:tcMar>
              <w:top w:w="50" w:type="dxa"/>
              <w:bottom w:w="50" w:type="dxa"/>
              <w:left w:w="90" w:type="dxa"/>
              <w:right w:w="90" w:type="dxa"/>
            </w:tcMar>
          </w:tcPr>
          <w:p>
            <w:pPr>
              <w:pStyle w:val="BDOITable"/>
            </w:pPr>
            <w:r>
              <w:rPr>
                <w:sz w:val="16"/>
              </w:rPr>
              <w:t>SNSRP-404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5</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FR-SS-044</w:t>
            </w:r>
          </w:p>
        </w:tc>
        <w:tc>
          <w:tcPr>
            <w:tcW w:type="dxa" w:w="3307"/>
            <w:tcMar>
              <w:top w:w="50" w:type="dxa"/>
              <w:bottom w:w="50" w:type="dxa"/>
              <w:left w:w="90" w:type="dxa"/>
              <w:right w:w="90" w:type="dxa"/>
            </w:tcMar>
            <w:shd w:val="clear" w:color="auto" w:fill="E5F5FF"/>
          </w:tcPr>
          <w:p>
            <w:pPr>
              <w:pStyle w:val="BDOITable"/>
            </w:pPr>
            <w:r>
              <w:rPr>
                <w:sz w:val="16"/>
              </w:rPr>
              <w:t>Monitor SLA per stage, remind and escalate</w:t>
            </w:r>
          </w:p>
        </w:tc>
        <w:tc>
          <w:tcPr>
            <w:tcW w:type="dxa" w:w="1653"/>
            <w:tcMar>
              <w:top w:w="50" w:type="dxa"/>
              <w:bottom w:w="50" w:type="dxa"/>
              <w:left w:w="90" w:type="dxa"/>
              <w:right w:w="90" w:type="dxa"/>
            </w:tcMar>
            <w:shd w:val="clear" w:color="auto" w:fill="E5F5FF"/>
          </w:tcPr>
          <w:p>
            <w:pPr>
              <w:pStyle w:val="BDOITable"/>
            </w:pPr>
            <w:r>
              <w:rPr>
                <w:sz w:val="16"/>
              </w:rPr>
              <w:t>SNSRP-405, SNSRP-108</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FR-SS-045</w:t>
            </w:r>
          </w:p>
        </w:tc>
        <w:tc>
          <w:tcPr>
            <w:tcW w:type="dxa" w:w="3307"/>
            <w:tcMar>
              <w:top w:w="50" w:type="dxa"/>
              <w:bottom w:w="50" w:type="dxa"/>
              <w:left w:w="90" w:type="dxa"/>
              <w:right w:w="90" w:type="dxa"/>
            </w:tcMar>
          </w:tcPr>
          <w:p>
            <w:pPr>
              <w:pStyle w:val="BDOITable"/>
            </w:pPr>
            <w:r>
              <w:rPr>
                <w:sz w:val="16"/>
              </w:rPr>
              <w:t>Screening home and high-risk client list</w:t>
            </w:r>
          </w:p>
        </w:tc>
        <w:tc>
          <w:tcPr>
            <w:tcW w:type="dxa" w:w="1653"/>
            <w:tcMar>
              <w:top w:w="50" w:type="dxa"/>
              <w:bottom w:w="50" w:type="dxa"/>
              <w:left w:w="90" w:type="dxa"/>
              <w:right w:w="90" w:type="dxa"/>
            </w:tcMar>
          </w:tcPr>
          <w:p>
            <w:pPr>
              <w:pStyle w:val="BDOITable"/>
            </w:pPr>
            <w:r>
              <w:rPr>
                <w:sz w:val="16"/>
              </w:rPr>
              <w:t>SNSRP-402, SNSRP-405, p.8 capability 4 and report "Extract list of High-risk Clients"</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FR-SS-050</w:t>
            </w:r>
          </w:p>
        </w:tc>
        <w:tc>
          <w:tcPr>
            <w:tcW w:type="dxa" w:w="3307"/>
            <w:tcMar>
              <w:top w:w="50" w:type="dxa"/>
              <w:bottom w:w="50" w:type="dxa"/>
              <w:left w:w="90" w:type="dxa"/>
              <w:right w:w="90" w:type="dxa"/>
            </w:tcMar>
            <w:shd w:val="clear" w:color="auto" w:fill="E5F5FF"/>
          </w:tcPr>
          <w:p>
            <w:pPr>
              <w:pStyle w:val="BDOITable"/>
            </w:pPr>
            <w:r>
              <w:rPr>
                <w:sz w:val="16"/>
              </w:rPr>
              <w:t>Complete the guided review template</w:t>
            </w:r>
          </w:p>
        </w:tc>
        <w:tc>
          <w:tcPr>
            <w:tcW w:type="dxa" w:w="1653"/>
            <w:tcMar>
              <w:top w:w="50" w:type="dxa"/>
              <w:bottom w:w="50" w:type="dxa"/>
              <w:left w:w="90" w:type="dxa"/>
              <w:right w:w="90" w:type="dxa"/>
            </w:tcMar>
            <w:shd w:val="clear" w:color="auto" w:fill="E5F5FF"/>
          </w:tcPr>
          <w:p>
            <w:pPr>
              <w:pStyle w:val="BDOITable"/>
            </w:pPr>
            <w:r>
              <w:rPr>
                <w:sz w:val="16"/>
              </w:rPr>
              <w:t>SNSRP-501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FR-SS-051</w:t>
            </w:r>
          </w:p>
        </w:tc>
        <w:tc>
          <w:tcPr>
            <w:tcW w:type="dxa" w:w="3307"/>
            <w:tcMar>
              <w:top w:w="50" w:type="dxa"/>
              <w:bottom w:w="50" w:type="dxa"/>
              <w:left w:w="90" w:type="dxa"/>
              <w:right w:w="90" w:type="dxa"/>
            </w:tcMar>
          </w:tcPr>
          <w:p>
            <w:pPr>
              <w:pStyle w:val="BDOITable"/>
            </w:pPr>
            <w:r>
              <w:rPr>
                <w:sz w:val="16"/>
              </w:rPr>
              <w:t>Select a disposition and submit the case</w:t>
            </w:r>
          </w:p>
        </w:tc>
        <w:tc>
          <w:tcPr>
            <w:tcW w:type="dxa" w:w="1653"/>
            <w:tcMar>
              <w:top w:w="50" w:type="dxa"/>
              <w:bottom w:w="50" w:type="dxa"/>
              <w:left w:w="90" w:type="dxa"/>
              <w:right w:w="90" w:type="dxa"/>
            </w:tcMar>
          </w:tcPr>
          <w:p>
            <w:pPr>
              <w:pStyle w:val="BDOITable"/>
            </w:pPr>
            <w:r>
              <w:rPr>
                <w:sz w:val="16"/>
              </w:rPr>
              <w:t>SNSRP-502</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FR-SS-052</w:t>
            </w:r>
          </w:p>
        </w:tc>
        <w:tc>
          <w:tcPr>
            <w:tcW w:type="dxa" w:w="3307"/>
            <w:tcMar>
              <w:top w:w="50" w:type="dxa"/>
              <w:bottom w:w="50" w:type="dxa"/>
              <w:left w:w="90" w:type="dxa"/>
              <w:right w:w="90" w:type="dxa"/>
            </w:tcMar>
            <w:shd w:val="clear" w:color="auto" w:fill="E5F5FF"/>
          </w:tcPr>
          <w:p>
            <w:pPr>
              <w:pStyle w:val="BDOITable"/>
            </w:pPr>
            <w:r>
              <w:rPr>
                <w:sz w:val="16"/>
              </w:rPr>
              <w:t>Upload KYC and supporting documents</w:t>
            </w:r>
          </w:p>
        </w:tc>
        <w:tc>
          <w:tcPr>
            <w:tcW w:type="dxa" w:w="1653"/>
            <w:tcMar>
              <w:top w:w="50" w:type="dxa"/>
              <w:bottom w:w="50" w:type="dxa"/>
              <w:left w:w="90" w:type="dxa"/>
              <w:right w:w="90" w:type="dxa"/>
            </w:tcMar>
            <w:shd w:val="clear" w:color="auto" w:fill="E5F5FF"/>
          </w:tcPr>
          <w:p>
            <w:pPr>
              <w:pStyle w:val="BDOITable"/>
            </w:pPr>
            <w:r>
              <w:rPr>
                <w:sz w:val="16"/>
              </w:rPr>
              <w:t>SNSRP-601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FR-SS-060</w:t>
            </w:r>
          </w:p>
        </w:tc>
        <w:tc>
          <w:tcPr>
            <w:tcW w:type="dxa" w:w="3307"/>
            <w:tcMar>
              <w:top w:w="50" w:type="dxa"/>
              <w:bottom w:w="50" w:type="dxa"/>
              <w:left w:w="90" w:type="dxa"/>
              <w:right w:w="90" w:type="dxa"/>
            </w:tcMar>
          </w:tcPr>
          <w:p>
            <w:pPr>
              <w:pStyle w:val="BDOITable"/>
            </w:pPr>
            <w:r>
              <w:rPr>
                <w:sz w:val="16"/>
              </w:rPr>
              <w:t>Validate dispositioned cases before approval</w:t>
            </w:r>
          </w:p>
        </w:tc>
        <w:tc>
          <w:tcPr>
            <w:tcW w:type="dxa" w:w="1653"/>
            <w:tcMar>
              <w:top w:w="50" w:type="dxa"/>
              <w:bottom w:w="50" w:type="dxa"/>
              <w:left w:w="90" w:type="dxa"/>
              <w:right w:w="90" w:type="dxa"/>
            </w:tcMar>
          </w:tcPr>
          <w:p>
            <w:pPr>
              <w:pStyle w:val="BDOITable"/>
            </w:pPr>
            <w:r>
              <w:rPr>
                <w:sz w:val="16"/>
              </w:rPr>
              <w:t>SNSRP-701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FR-SS-061</w:t>
            </w:r>
          </w:p>
        </w:tc>
        <w:tc>
          <w:tcPr>
            <w:tcW w:type="dxa" w:w="3307"/>
            <w:tcMar>
              <w:top w:w="50" w:type="dxa"/>
              <w:bottom w:w="50" w:type="dxa"/>
              <w:left w:w="90" w:type="dxa"/>
              <w:right w:w="90" w:type="dxa"/>
            </w:tcMar>
            <w:shd w:val="clear" w:color="auto" w:fill="E5F5FF"/>
          </w:tcPr>
          <w:p>
            <w:pPr>
              <w:pStyle w:val="BDOITable"/>
            </w:pPr>
            <w:r>
              <w:rPr>
                <w:sz w:val="16"/>
              </w:rPr>
              <w:t>Approve or disapprove the recommendation (Unit Head)</w:t>
            </w:r>
          </w:p>
        </w:tc>
        <w:tc>
          <w:tcPr>
            <w:tcW w:type="dxa" w:w="1653"/>
            <w:tcMar>
              <w:top w:w="50" w:type="dxa"/>
              <w:bottom w:w="50" w:type="dxa"/>
              <w:left w:w="90" w:type="dxa"/>
              <w:right w:w="90" w:type="dxa"/>
            </w:tcMar>
            <w:shd w:val="clear" w:color="auto" w:fill="E5F5FF"/>
          </w:tcPr>
          <w:p>
            <w:pPr>
              <w:pStyle w:val="BDOITable"/>
            </w:pPr>
            <w:r>
              <w:rPr>
                <w:sz w:val="16"/>
              </w:rPr>
              <w:t>SNSRP-702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FR-SS-062</w:t>
            </w:r>
          </w:p>
        </w:tc>
        <w:tc>
          <w:tcPr>
            <w:tcW w:type="dxa" w:w="3307"/>
            <w:tcMar>
              <w:top w:w="50" w:type="dxa"/>
              <w:bottom w:w="50" w:type="dxa"/>
              <w:left w:w="90" w:type="dxa"/>
              <w:right w:w="90" w:type="dxa"/>
            </w:tcMar>
          </w:tcPr>
          <w:p>
            <w:pPr>
              <w:pStyle w:val="BDOITable"/>
            </w:pPr>
            <w:r>
              <w:rPr>
                <w:sz w:val="16"/>
              </w:rPr>
              <w:t>Correct and resubmit a returned case</w:t>
            </w:r>
          </w:p>
        </w:tc>
        <w:tc>
          <w:tcPr>
            <w:tcW w:type="dxa" w:w="1653"/>
            <w:tcMar>
              <w:top w:w="50" w:type="dxa"/>
              <w:bottom w:w="50" w:type="dxa"/>
              <w:left w:w="90" w:type="dxa"/>
              <w:right w:w="90" w:type="dxa"/>
            </w:tcMar>
          </w:tcPr>
          <w:p>
            <w:pPr>
              <w:pStyle w:val="BDOITable"/>
            </w:pPr>
            <w:r>
              <w:rPr>
                <w:sz w:val="16"/>
              </w:rPr>
              <w:t>SNSRP-702, SNSRP-703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FR-SS-063</w:t>
            </w:r>
          </w:p>
        </w:tc>
        <w:tc>
          <w:tcPr>
            <w:tcW w:type="dxa" w:w="3307"/>
            <w:tcMar>
              <w:top w:w="50" w:type="dxa"/>
              <w:bottom w:w="50" w:type="dxa"/>
              <w:left w:w="90" w:type="dxa"/>
              <w:right w:w="90" w:type="dxa"/>
            </w:tcMar>
            <w:shd w:val="clear" w:color="auto" w:fill="E5F5FF"/>
          </w:tcPr>
          <w:p>
            <w:pPr>
              <w:pStyle w:val="BDOITable"/>
            </w:pPr>
            <w:r>
              <w:rPr>
                <w:sz w:val="16"/>
              </w:rPr>
              <w:t>Review BU escalations (Compliance)</w:t>
            </w:r>
          </w:p>
        </w:tc>
        <w:tc>
          <w:tcPr>
            <w:tcW w:type="dxa" w:w="1653"/>
            <w:tcMar>
              <w:top w:w="50" w:type="dxa"/>
              <w:bottom w:w="50" w:type="dxa"/>
              <w:left w:w="90" w:type="dxa"/>
              <w:right w:w="90" w:type="dxa"/>
            </w:tcMar>
            <w:shd w:val="clear" w:color="auto" w:fill="E5F5FF"/>
          </w:tcPr>
          <w:p>
            <w:pPr>
              <w:pStyle w:val="BDOITable"/>
            </w:pPr>
            <w:r>
              <w:rPr>
                <w:sz w:val="16"/>
              </w:rPr>
              <w:t>SNSRP-703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FR-SS-064</w:t>
            </w:r>
          </w:p>
        </w:tc>
        <w:tc>
          <w:tcPr>
            <w:tcW w:type="dxa" w:w="3307"/>
            <w:tcMar>
              <w:top w:w="50" w:type="dxa"/>
              <w:bottom w:w="50" w:type="dxa"/>
              <w:left w:w="90" w:type="dxa"/>
              <w:right w:w="90" w:type="dxa"/>
            </w:tcMar>
          </w:tcPr>
          <w:p>
            <w:pPr>
              <w:pStyle w:val="BDOITable"/>
            </w:pPr>
            <w:r>
              <w:rPr>
                <w:sz w:val="16"/>
              </w:rPr>
              <w:t>Record the AML Committee decision</w:t>
            </w:r>
          </w:p>
        </w:tc>
        <w:tc>
          <w:tcPr>
            <w:tcW w:type="dxa" w:w="1653"/>
            <w:tcMar>
              <w:top w:w="50" w:type="dxa"/>
              <w:bottom w:w="50" w:type="dxa"/>
              <w:left w:w="90" w:type="dxa"/>
              <w:right w:w="90" w:type="dxa"/>
            </w:tcMar>
          </w:tcPr>
          <w:p>
            <w:pPr>
              <w:pStyle w:val="BDOITable"/>
            </w:pPr>
            <w:r>
              <w:rPr>
                <w:sz w:val="16"/>
              </w:rPr>
              <w:t>SNSRP-704</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FR-SS-070</w:t>
            </w:r>
          </w:p>
        </w:tc>
        <w:tc>
          <w:tcPr>
            <w:tcW w:type="dxa" w:w="3307"/>
            <w:tcMar>
              <w:top w:w="50" w:type="dxa"/>
              <w:bottom w:w="50" w:type="dxa"/>
              <w:left w:w="90" w:type="dxa"/>
              <w:right w:w="90" w:type="dxa"/>
            </w:tcMar>
            <w:shd w:val="clear" w:color="auto" w:fill="E5F5FF"/>
          </w:tcPr>
          <w:p>
            <w:pPr>
              <w:pStyle w:val="BDOITable"/>
            </w:pPr>
            <w:r>
              <w:rPr>
                <w:sz w:val="16"/>
              </w:rPr>
              <w:t>Prepare the STR from case data</w:t>
            </w:r>
          </w:p>
        </w:tc>
        <w:tc>
          <w:tcPr>
            <w:tcW w:type="dxa" w:w="1653"/>
            <w:tcMar>
              <w:top w:w="50" w:type="dxa"/>
              <w:bottom w:w="50" w:type="dxa"/>
              <w:left w:w="90" w:type="dxa"/>
              <w:right w:w="90" w:type="dxa"/>
            </w:tcMar>
            <w:shd w:val="clear" w:color="auto" w:fill="E5F5FF"/>
          </w:tcPr>
          <w:p>
            <w:pPr>
              <w:pStyle w:val="BDOITable"/>
            </w:pPr>
            <w:r>
              <w:rPr>
                <w:sz w:val="16"/>
              </w:rPr>
              <w:t>SNSRP-705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FR-SS-071</w:t>
            </w:r>
          </w:p>
        </w:tc>
        <w:tc>
          <w:tcPr>
            <w:tcW w:type="dxa" w:w="3307"/>
            <w:tcMar>
              <w:top w:w="50" w:type="dxa"/>
              <w:bottom w:w="50" w:type="dxa"/>
              <w:left w:w="90" w:type="dxa"/>
              <w:right w:w="90" w:type="dxa"/>
            </w:tcMar>
          </w:tcPr>
          <w:p>
            <w:pPr>
              <w:pStyle w:val="BDOITable"/>
            </w:pPr>
            <w:r>
              <w:rPr>
                <w:sz w:val="16"/>
              </w:rPr>
              <w:t>Extract committee-approved STRs in the AMLC format</w:t>
            </w:r>
          </w:p>
        </w:tc>
        <w:tc>
          <w:tcPr>
            <w:tcW w:type="dxa" w:w="1653"/>
            <w:tcMar>
              <w:top w:w="50" w:type="dxa"/>
              <w:bottom w:w="50" w:type="dxa"/>
              <w:left w:w="90" w:type="dxa"/>
              <w:right w:w="90" w:type="dxa"/>
            </w:tcMar>
          </w:tcPr>
          <w:p>
            <w:pPr>
              <w:pStyle w:val="BDOITable"/>
            </w:pPr>
            <w:r>
              <w:rPr>
                <w:sz w:val="16"/>
              </w:rPr>
              <w:t>SNSRP-706</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FR-SS-072</w:t>
            </w:r>
          </w:p>
        </w:tc>
        <w:tc>
          <w:tcPr>
            <w:tcW w:type="dxa" w:w="3307"/>
            <w:tcMar>
              <w:top w:w="50" w:type="dxa"/>
              <w:bottom w:w="50" w:type="dxa"/>
              <w:left w:w="90" w:type="dxa"/>
              <w:right w:w="90" w:type="dxa"/>
            </w:tcMar>
            <w:shd w:val="clear" w:color="auto" w:fill="E5F5FF"/>
          </w:tcPr>
          <w:p>
            <w:pPr>
              <w:pStyle w:val="BDOITable"/>
            </w:pPr>
            <w:r>
              <w:rPr>
                <w:sz w:val="16"/>
              </w:rPr>
              <w:t>Record the AMLC filing reference</w:t>
            </w:r>
          </w:p>
        </w:tc>
        <w:tc>
          <w:tcPr>
            <w:tcW w:type="dxa" w:w="1653"/>
            <w:tcMar>
              <w:top w:w="50" w:type="dxa"/>
              <w:bottom w:w="50" w:type="dxa"/>
              <w:left w:w="90" w:type="dxa"/>
              <w:right w:w="90" w:type="dxa"/>
            </w:tcMar>
            <w:shd w:val="clear" w:color="auto" w:fill="E5F5FF"/>
          </w:tcPr>
          <w:p>
            <w:pPr>
              <w:pStyle w:val="BDOITable"/>
            </w:pPr>
            <w:r>
              <w:rPr>
                <w:sz w:val="16"/>
              </w:rPr>
              <w:t>SNSRP-706, p.8 "File STR to AMLC - Via Portal"</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FR-SS-080</w:t>
            </w:r>
          </w:p>
        </w:tc>
        <w:tc>
          <w:tcPr>
            <w:tcW w:type="dxa" w:w="3307"/>
            <w:tcMar>
              <w:top w:w="50" w:type="dxa"/>
              <w:bottom w:w="50" w:type="dxa"/>
              <w:left w:w="90" w:type="dxa"/>
              <w:right w:w="90" w:type="dxa"/>
            </w:tcMar>
          </w:tcPr>
          <w:p>
            <w:pPr>
              <w:pStyle w:val="BDOITable"/>
            </w:pPr>
            <w:r>
              <w:rPr>
                <w:sz w:val="16"/>
              </w:rPr>
              <w:t>Notify users of new and assigned cases</w:t>
            </w:r>
          </w:p>
        </w:tc>
        <w:tc>
          <w:tcPr>
            <w:tcW w:type="dxa" w:w="1653"/>
            <w:tcMar>
              <w:top w:w="50" w:type="dxa"/>
              <w:bottom w:w="50" w:type="dxa"/>
              <w:left w:w="90" w:type="dxa"/>
              <w:right w:w="90" w:type="dxa"/>
            </w:tcMar>
          </w:tcPr>
          <w:p>
            <w:pPr>
              <w:pStyle w:val="BDOITable"/>
            </w:pPr>
            <w:r>
              <w:rPr>
                <w:sz w:val="16"/>
              </w:rPr>
              <w:t>SNSRP-801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FR-SS-081</w:t>
            </w:r>
          </w:p>
        </w:tc>
        <w:tc>
          <w:tcPr>
            <w:tcW w:type="dxa" w:w="3307"/>
            <w:tcMar>
              <w:top w:w="50" w:type="dxa"/>
              <w:bottom w:w="50" w:type="dxa"/>
              <w:left w:w="90" w:type="dxa"/>
              <w:right w:w="90" w:type="dxa"/>
            </w:tcMar>
            <w:shd w:val="clear" w:color="auto" w:fill="E5F5FF"/>
          </w:tcPr>
          <w:p>
            <w:pPr>
              <w:pStyle w:val="BDOITable"/>
            </w:pPr>
            <w:r>
              <w:rPr>
                <w:sz w:val="16"/>
              </w:rPr>
              <w:t>Send SLA and missing-document reminders</w:t>
            </w:r>
          </w:p>
        </w:tc>
        <w:tc>
          <w:tcPr>
            <w:tcW w:type="dxa" w:w="1653"/>
            <w:tcMar>
              <w:top w:w="50" w:type="dxa"/>
              <w:bottom w:w="50" w:type="dxa"/>
              <w:left w:w="90" w:type="dxa"/>
              <w:right w:w="90" w:type="dxa"/>
            </w:tcMar>
            <w:shd w:val="clear" w:color="auto" w:fill="E5F5FF"/>
          </w:tcPr>
          <w:p>
            <w:pPr>
              <w:pStyle w:val="BDOITable"/>
            </w:pPr>
            <w:r>
              <w:rPr>
                <w:sz w:val="16"/>
              </w:rPr>
              <w:t>SNSRP-802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FR-SS-082</w:t>
            </w:r>
          </w:p>
        </w:tc>
        <w:tc>
          <w:tcPr>
            <w:tcW w:type="dxa" w:w="3307"/>
            <w:tcMar>
              <w:top w:w="50" w:type="dxa"/>
              <w:bottom w:w="50" w:type="dxa"/>
              <w:left w:w="90" w:type="dxa"/>
              <w:right w:w="90" w:type="dxa"/>
            </w:tcMar>
          </w:tcPr>
          <w:p>
            <w:pPr>
              <w:pStyle w:val="BDOITable"/>
            </w:pPr>
            <w:r>
              <w:rPr>
                <w:sz w:val="16"/>
              </w:rPr>
              <w:t>Notify Compliance of newly added sanctioned names</w:t>
            </w:r>
          </w:p>
        </w:tc>
        <w:tc>
          <w:tcPr>
            <w:tcW w:type="dxa" w:w="1653"/>
            <w:tcMar>
              <w:top w:w="50" w:type="dxa"/>
              <w:bottom w:w="50" w:type="dxa"/>
              <w:left w:w="90" w:type="dxa"/>
              <w:right w:w="90" w:type="dxa"/>
            </w:tcMar>
          </w:tcPr>
          <w:p>
            <w:pPr>
              <w:pStyle w:val="BDOITable"/>
            </w:pPr>
            <w:r>
              <w:rPr>
                <w:sz w:val="16"/>
              </w:rPr>
              <w:t>p.8 "Notifications received - notifications on newly added sanctioned names", SNSRP-201</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FR-SS-090</w:t>
            </w:r>
          </w:p>
        </w:tc>
        <w:tc>
          <w:tcPr>
            <w:tcW w:type="dxa" w:w="3307"/>
            <w:tcMar>
              <w:top w:w="50" w:type="dxa"/>
              <w:bottom w:w="50" w:type="dxa"/>
              <w:left w:w="90" w:type="dxa"/>
              <w:right w:w="90" w:type="dxa"/>
            </w:tcMar>
            <w:shd w:val="clear" w:color="auto" w:fill="E5F5FF"/>
          </w:tcPr>
          <w:p>
            <w:pPr>
              <w:pStyle w:val="BDOITable"/>
            </w:pPr>
            <w:r>
              <w:rPr>
                <w:sz w:val="16"/>
              </w:rPr>
              <w:t>Operational and compliance reports</w:t>
            </w:r>
          </w:p>
        </w:tc>
        <w:tc>
          <w:tcPr>
            <w:tcW w:type="dxa" w:w="1653"/>
            <w:tcMar>
              <w:top w:w="50" w:type="dxa"/>
              <w:bottom w:w="50" w:type="dxa"/>
              <w:left w:w="90" w:type="dxa"/>
              <w:right w:w="90" w:type="dxa"/>
            </w:tcMar>
            <w:shd w:val="clear" w:color="auto" w:fill="E5F5FF"/>
          </w:tcPr>
          <w:p>
            <w:pPr>
              <w:pStyle w:val="BDOITable"/>
            </w:pPr>
            <w:r>
              <w:rPr>
                <w:sz w:val="16"/>
              </w:rPr>
              <w:t>SNSRP-901, p.6-8 reports produced</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FR-SS-091</w:t>
            </w:r>
          </w:p>
        </w:tc>
        <w:tc>
          <w:tcPr>
            <w:tcW w:type="dxa" w:w="3307"/>
            <w:tcMar>
              <w:top w:w="50" w:type="dxa"/>
              <w:bottom w:w="50" w:type="dxa"/>
              <w:left w:w="90" w:type="dxa"/>
              <w:right w:w="90" w:type="dxa"/>
            </w:tcMar>
          </w:tcPr>
          <w:p>
            <w:pPr>
              <w:pStyle w:val="BDOITable"/>
            </w:pPr>
            <w:r>
              <w:rPr>
                <w:sz w:val="16"/>
              </w:rPr>
              <w:t>Keep an immutable audit log</w:t>
            </w:r>
          </w:p>
        </w:tc>
        <w:tc>
          <w:tcPr>
            <w:tcW w:type="dxa" w:w="1653"/>
            <w:tcMar>
              <w:top w:w="50" w:type="dxa"/>
              <w:bottom w:w="50" w:type="dxa"/>
              <w:left w:w="90" w:type="dxa"/>
              <w:right w:w="90" w:type="dxa"/>
            </w:tcMar>
          </w:tcPr>
          <w:p>
            <w:pPr>
              <w:pStyle w:val="BDOITable"/>
            </w:pPr>
            <w:r>
              <w:rPr>
                <w:sz w:val="16"/>
              </w:rPr>
              <w:t>SNSRP-902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FR-SS-092</w:t>
            </w:r>
          </w:p>
        </w:tc>
        <w:tc>
          <w:tcPr>
            <w:tcW w:type="dxa" w:w="3307"/>
            <w:tcMar>
              <w:top w:w="50" w:type="dxa"/>
              <w:bottom w:w="50" w:type="dxa"/>
              <w:left w:w="90" w:type="dxa"/>
              <w:right w:w="90" w:type="dxa"/>
            </w:tcMar>
            <w:shd w:val="clear" w:color="auto" w:fill="E5F5FF"/>
          </w:tcPr>
          <w:p>
            <w:pPr>
              <w:pStyle w:val="BDOITable"/>
            </w:pPr>
            <w:r>
              <w:rPr>
                <w:sz w:val="16"/>
              </w:rPr>
              <w:t>Audit log report</w:t>
            </w:r>
          </w:p>
        </w:tc>
        <w:tc>
          <w:tcPr>
            <w:tcW w:type="dxa" w:w="1653"/>
            <w:tcMar>
              <w:top w:w="50" w:type="dxa"/>
              <w:bottom w:w="50" w:type="dxa"/>
              <w:left w:w="90" w:type="dxa"/>
              <w:right w:w="90" w:type="dxa"/>
            </w:tcMar>
            <w:shd w:val="clear" w:color="auto" w:fill="E5F5FF"/>
          </w:tcPr>
          <w:p>
            <w:pPr>
              <w:pStyle w:val="BDOITable"/>
            </w:pPr>
            <w:r>
              <w:rPr>
                <w:sz w:val="16"/>
              </w:rPr>
              <w:t>SNSRP-903, p.8 "Audit Reports"</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SNSRP-101</w:t>
            </w:r>
          </w:p>
        </w:tc>
        <w:tc>
          <w:tcPr>
            <w:tcW w:type="dxa" w:w="2216"/>
            <w:tcMar>
              <w:top w:w="50" w:type="dxa"/>
              <w:bottom w:w="50" w:type="dxa"/>
              <w:left w:w="90" w:type="dxa"/>
              <w:right w:w="90" w:type="dxa"/>
            </w:tcMar>
          </w:tcPr>
          <w:p>
            <w:pPr>
              <w:pStyle w:val="BDOITable"/>
            </w:pPr>
            <w:r>
              <w:rPr>
                <w:sz w:val="15"/>
              </w:rPr>
              <w:t>SS-001, SS-010, SS-011</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13</w:t>
            </w:r>
          </w:p>
        </w:tc>
        <w:tc>
          <w:tcPr>
            <w:tcW w:type="dxa" w:w="1416"/>
            <w:tcMar>
              <w:top w:w="50" w:type="dxa"/>
              <w:bottom w:w="50" w:type="dxa"/>
              <w:left w:w="90" w:type="dxa"/>
              <w:right w:w="90" w:type="dxa"/>
            </w:tcMar>
          </w:tcPr>
          <w:p>
            <w:pPr>
              <w:pStyle w:val="BDOITable"/>
            </w:pPr>
            <w:r>
              <w:rPr>
                <w:sz w:val="15"/>
              </w:rPr>
              <w:t>SNSRP-405</w:t>
            </w:r>
          </w:p>
        </w:tc>
        <w:tc>
          <w:tcPr>
            <w:tcW w:type="dxa" w:w="2216"/>
            <w:tcMar>
              <w:top w:w="50" w:type="dxa"/>
              <w:bottom w:w="50" w:type="dxa"/>
              <w:left w:w="90" w:type="dxa"/>
              <w:right w:w="90" w:type="dxa"/>
            </w:tcMar>
          </w:tcPr>
          <w:p>
            <w:pPr>
              <w:pStyle w:val="BDOITable"/>
            </w:pPr>
            <w:r>
              <w:rPr>
                <w:sz w:val="15"/>
              </w:rPr>
              <w:t>SS-044, SS-045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SNSRP-102</w:t>
            </w:r>
          </w:p>
        </w:tc>
        <w:tc>
          <w:tcPr>
            <w:tcW w:type="dxa" w:w="2216"/>
            <w:tcMar>
              <w:top w:w="50" w:type="dxa"/>
              <w:bottom w:w="50" w:type="dxa"/>
              <w:left w:w="90" w:type="dxa"/>
              <w:right w:w="90" w:type="dxa"/>
            </w:tcMar>
            <w:shd w:val="clear" w:color="auto" w:fill="E5F5FF"/>
          </w:tcPr>
          <w:p>
            <w:pPr>
              <w:pStyle w:val="BDOITable"/>
            </w:pPr>
            <w:r>
              <w:rPr>
                <w:sz w:val="15"/>
              </w:rPr>
              <w:t>SS-010, SS-012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SNSRP-501</w:t>
            </w:r>
          </w:p>
        </w:tc>
        <w:tc>
          <w:tcPr>
            <w:tcW w:type="dxa" w:w="2216"/>
            <w:tcMar>
              <w:top w:w="50" w:type="dxa"/>
              <w:bottom w:w="50" w:type="dxa"/>
              <w:left w:w="90" w:type="dxa"/>
              <w:right w:w="90" w:type="dxa"/>
            </w:tcMar>
            <w:shd w:val="clear" w:color="auto" w:fill="E5F5FF"/>
          </w:tcPr>
          <w:p>
            <w:pPr>
              <w:pStyle w:val="BDOITable"/>
            </w:pPr>
            <w:r>
              <w:rPr>
                <w:sz w:val="15"/>
              </w:rPr>
              <w:t>SS-050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SNSRP-103</w:t>
            </w:r>
          </w:p>
        </w:tc>
        <w:tc>
          <w:tcPr>
            <w:tcW w:type="dxa" w:w="2216"/>
            <w:tcMar>
              <w:top w:w="50" w:type="dxa"/>
              <w:bottom w:w="50" w:type="dxa"/>
              <w:left w:w="90" w:type="dxa"/>
              <w:right w:w="90" w:type="dxa"/>
            </w:tcMar>
          </w:tcPr>
          <w:p>
            <w:pPr>
              <w:pStyle w:val="BDOITable"/>
            </w:pPr>
            <w:r>
              <w:rPr>
                <w:sz w:val="15"/>
              </w:rPr>
              <w:t>SS-010, SS-013</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9</w:t>
            </w:r>
          </w:p>
        </w:tc>
        <w:tc>
          <w:tcPr>
            <w:tcW w:type="dxa" w:w="1416"/>
            <w:tcMar>
              <w:top w:w="50" w:type="dxa"/>
              <w:bottom w:w="50" w:type="dxa"/>
              <w:left w:w="90" w:type="dxa"/>
              <w:right w:w="90" w:type="dxa"/>
            </w:tcMar>
          </w:tcPr>
          <w:p>
            <w:pPr>
              <w:pStyle w:val="BDOITable"/>
            </w:pPr>
            <w:r>
              <w:rPr>
                <w:sz w:val="15"/>
              </w:rPr>
              <w:t>SNSRP-502</w:t>
            </w:r>
          </w:p>
        </w:tc>
        <w:tc>
          <w:tcPr>
            <w:tcW w:type="dxa" w:w="2216"/>
            <w:tcMar>
              <w:top w:w="50" w:type="dxa"/>
              <w:bottom w:w="50" w:type="dxa"/>
              <w:left w:w="90" w:type="dxa"/>
              <w:right w:w="90" w:type="dxa"/>
            </w:tcMar>
          </w:tcPr>
          <w:p>
            <w:pPr>
              <w:pStyle w:val="BDOITable"/>
            </w:pPr>
            <w:r>
              <w:rPr>
                <w:sz w:val="15"/>
              </w:rPr>
              <w:t>SS-051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SNSRP-104</w:t>
            </w:r>
          </w:p>
        </w:tc>
        <w:tc>
          <w:tcPr>
            <w:tcW w:type="dxa" w:w="2216"/>
            <w:tcMar>
              <w:top w:w="50" w:type="dxa"/>
              <w:bottom w:w="50" w:type="dxa"/>
              <w:left w:w="90" w:type="dxa"/>
              <w:right w:w="90" w:type="dxa"/>
            </w:tcMar>
            <w:shd w:val="clear" w:color="auto" w:fill="E5F5FF"/>
          </w:tcPr>
          <w:p>
            <w:pPr>
              <w:pStyle w:val="BDOITable"/>
            </w:pPr>
            <w:r>
              <w:rPr>
                <w:sz w:val="15"/>
              </w:rPr>
              <w:t>SS-010, SS-016</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SNSRP-601</w:t>
            </w:r>
          </w:p>
        </w:tc>
        <w:tc>
          <w:tcPr>
            <w:tcW w:type="dxa" w:w="2216"/>
            <w:tcMar>
              <w:top w:w="50" w:type="dxa"/>
              <w:bottom w:w="50" w:type="dxa"/>
              <w:left w:w="90" w:type="dxa"/>
              <w:right w:w="90" w:type="dxa"/>
            </w:tcMar>
            <w:shd w:val="clear" w:color="auto" w:fill="E5F5FF"/>
          </w:tcPr>
          <w:p>
            <w:pPr>
              <w:pStyle w:val="BDOITable"/>
            </w:pPr>
            <w:r>
              <w:rPr>
                <w:sz w:val="15"/>
              </w:rPr>
              <w:t>SS-052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SNSRP-105</w:t>
            </w:r>
          </w:p>
        </w:tc>
        <w:tc>
          <w:tcPr>
            <w:tcW w:type="dxa" w:w="2216"/>
            <w:tcMar>
              <w:top w:w="50" w:type="dxa"/>
              <w:bottom w:w="50" w:type="dxa"/>
              <w:left w:w="90" w:type="dxa"/>
              <w:right w:w="90" w:type="dxa"/>
            </w:tcMar>
          </w:tcPr>
          <w:p>
            <w:pPr>
              <w:pStyle w:val="BDOITable"/>
            </w:pPr>
            <w:r>
              <w:rPr>
                <w:sz w:val="15"/>
              </w:rPr>
              <w:t>SS-010, SS-017</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SNSRP-602</w:t>
            </w:r>
          </w:p>
        </w:tc>
        <w:tc>
          <w:tcPr>
            <w:tcW w:type="dxa" w:w="2216"/>
            <w:tcMar>
              <w:top w:w="50" w:type="dxa"/>
              <w:bottom w:w="50" w:type="dxa"/>
              <w:left w:w="90" w:type="dxa"/>
              <w:right w:w="90" w:type="dxa"/>
            </w:tcMar>
          </w:tcPr>
          <w:p>
            <w:pPr>
              <w:pStyle w:val="BDOITable"/>
            </w:pPr>
            <w:r>
              <w:rPr>
                <w:sz w:val="15"/>
              </w:rPr>
              <w:t>SS-030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SNSRP-106</w:t>
            </w:r>
          </w:p>
        </w:tc>
        <w:tc>
          <w:tcPr>
            <w:tcW w:type="dxa" w:w="2216"/>
            <w:tcMar>
              <w:top w:w="50" w:type="dxa"/>
              <w:bottom w:w="50" w:type="dxa"/>
              <w:left w:w="90" w:type="dxa"/>
              <w:right w:w="90" w:type="dxa"/>
            </w:tcMar>
            <w:shd w:val="clear" w:color="auto" w:fill="E5F5FF"/>
          </w:tcPr>
          <w:p>
            <w:pPr>
              <w:pStyle w:val="BDOITable"/>
            </w:pPr>
            <w:r>
              <w:rPr>
                <w:sz w:val="15"/>
              </w:rPr>
              <w:t>SS-010, SS-014</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1416"/>
            <w:tcMar>
              <w:top w:w="50" w:type="dxa"/>
              <w:bottom w:w="50" w:type="dxa"/>
              <w:left w:w="90" w:type="dxa"/>
              <w:right w:w="90" w:type="dxa"/>
            </w:tcMar>
            <w:shd w:val="clear" w:color="auto" w:fill="E5F5FF"/>
          </w:tcPr>
          <w:p>
            <w:pPr>
              <w:pStyle w:val="BDOITable"/>
            </w:pPr>
            <w:r>
              <w:rPr>
                <w:sz w:val="15"/>
              </w:rPr>
              <w:t>SNSRP-701</w:t>
            </w:r>
          </w:p>
        </w:tc>
        <w:tc>
          <w:tcPr>
            <w:tcW w:type="dxa" w:w="2216"/>
            <w:tcMar>
              <w:top w:w="50" w:type="dxa"/>
              <w:bottom w:w="50" w:type="dxa"/>
              <w:left w:w="90" w:type="dxa"/>
              <w:right w:w="90" w:type="dxa"/>
            </w:tcMar>
            <w:shd w:val="clear" w:color="auto" w:fill="E5F5FF"/>
          </w:tcPr>
          <w:p>
            <w:pPr>
              <w:pStyle w:val="BDOITable"/>
            </w:pPr>
            <w:r>
              <w:rPr>
                <w:sz w:val="15"/>
              </w:rPr>
              <w:t>SS-060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SNSRP-107</w:t>
            </w:r>
          </w:p>
        </w:tc>
        <w:tc>
          <w:tcPr>
            <w:tcW w:type="dxa" w:w="2216"/>
            <w:tcMar>
              <w:top w:w="50" w:type="dxa"/>
              <w:bottom w:w="50" w:type="dxa"/>
              <w:left w:w="90" w:type="dxa"/>
              <w:right w:w="90" w:type="dxa"/>
            </w:tcMar>
          </w:tcPr>
          <w:p>
            <w:pPr>
              <w:pStyle w:val="BDOITable"/>
            </w:pPr>
            <w:r>
              <w:rPr>
                <w:sz w:val="15"/>
              </w:rPr>
              <w:t>SS-018</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SNSRP-702</w:t>
            </w:r>
          </w:p>
        </w:tc>
        <w:tc>
          <w:tcPr>
            <w:tcW w:type="dxa" w:w="2216"/>
            <w:tcMar>
              <w:top w:w="50" w:type="dxa"/>
              <w:bottom w:w="50" w:type="dxa"/>
              <w:left w:w="90" w:type="dxa"/>
              <w:right w:w="90" w:type="dxa"/>
            </w:tcMar>
          </w:tcPr>
          <w:p>
            <w:pPr>
              <w:pStyle w:val="BDOITable"/>
            </w:pPr>
            <w:r>
              <w:rPr>
                <w:sz w:val="15"/>
              </w:rPr>
              <w:t>SS-061, SS-062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SNSRP-108</w:t>
            </w:r>
          </w:p>
        </w:tc>
        <w:tc>
          <w:tcPr>
            <w:tcW w:type="dxa" w:w="2216"/>
            <w:tcMar>
              <w:top w:w="50" w:type="dxa"/>
              <w:bottom w:w="50" w:type="dxa"/>
              <w:left w:w="90" w:type="dxa"/>
              <w:right w:w="90" w:type="dxa"/>
            </w:tcMar>
            <w:shd w:val="clear" w:color="auto" w:fill="E5F5FF"/>
          </w:tcPr>
          <w:p>
            <w:pPr>
              <w:pStyle w:val="BDOITable"/>
            </w:pPr>
            <w:r>
              <w:rPr>
                <w:sz w:val="15"/>
              </w:rPr>
              <w:t>SS-010, SS-015, SS-044</w:t>
            </w:r>
          </w:p>
        </w:tc>
        <w:tc>
          <w:tcPr>
            <w:tcW w:type="dxa" w:w="677"/>
            <w:tcMar>
              <w:top w:w="50" w:type="dxa"/>
              <w:bottom w:w="50" w:type="dxa"/>
              <w:left w:w="90" w:type="dxa"/>
              <w:right w:w="90" w:type="dxa"/>
            </w:tcMar>
            <w:shd w:val="clear" w:color="auto" w:fill="E5F5FF"/>
          </w:tcPr>
          <w:p>
            <w:pPr>
              <w:pStyle w:val="BDOITable"/>
            </w:pPr>
            <w:r>
              <w:rPr>
                <w:sz w:val="15"/>
              </w:rPr>
              <w:t>10</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1416"/>
            <w:tcMar>
              <w:top w:w="50" w:type="dxa"/>
              <w:bottom w:w="50" w:type="dxa"/>
              <w:left w:w="90" w:type="dxa"/>
              <w:right w:w="90" w:type="dxa"/>
            </w:tcMar>
            <w:shd w:val="clear" w:color="auto" w:fill="E5F5FF"/>
          </w:tcPr>
          <w:p>
            <w:pPr>
              <w:pStyle w:val="BDOITable"/>
            </w:pPr>
            <w:r>
              <w:rPr>
                <w:sz w:val="15"/>
              </w:rPr>
              <w:t>SNSRP-703</w:t>
            </w:r>
          </w:p>
        </w:tc>
        <w:tc>
          <w:tcPr>
            <w:tcW w:type="dxa" w:w="2216"/>
            <w:tcMar>
              <w:top w:w="50" w:type="dxa"/>
              <w:bottom w:w="50" w:type="dxa"/>
              <w:left w:w="90" w:type="dxa"/>
              <w:right w:w="90" w:type="dxa"/>
            </w:tcMar>
            <w:shd w:val="clear" w:color="auto" w:fill="E5F5FF"/>
          </w:tcPr>
          <w:p>
            <w:pPr>
              <w:pStyle w:val="BDOITable"/>
            </w:pPr>
            <w:r>
              <w:rPr>
                <w:sz w:val="15"/>
              </w:rPr>
              <w:t>SS-013, SS-062, SS-063</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SNSRP-109</w:t>
            </w:r>
          </w:p>
        </w:tc>
        <w:tc>
          <w:tcPr>
            <w:tcW w:type="dxa" w:w="2216"/>
            <w:tcMar>
              <w:top w:w="50" w:type="dxa"/>
              <w:bottom w:w="50" w:type="dxa"/>
              <w:left w:w="90" w:type="dxa"/>
              <w:right w:w="90" w:type="dxa"/>
            </w:tcMar>
          </w:tcPr>
          <w:p>
            <w:pPr>
              <w:pStyle w:val="BDOITable"/>
            </w:pPr>
            <w:r>
              <w:rPr>
                <w:sz w:val="15"/>
              </w:rPr>
              <w:t>SS-019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SNSRP-704</w:t>
            </w:r>
          </w:p>
        </w:tc>
        <w:tc>
          <w:tcPr>
            <w:tcW w:type="dxa" w:w="2216"/>
            <w:tcMar>
              <w:top w:w="50" w:type="dxa"/>
              <w:bottom w:w="50" w:type="dxa"/>
              <w:left w:w="90" w:type="dxa"/>
              <w:right w:w="90" w:type="dxa"/>
            </w:tcMar>
          </w:tcPr>
          <w:p>
            <w:pPr>
              <w:pStyle w:val="BDOITable"/>
            </w:pPr>
            <w:r>
              <w:rPr>
                <w:sz w:val="15"/>
              </w:rPr>
              <w:t>SS-064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SNSRP-201</w:t>
            </w:r>
          </w:p>
        </w:tc>
        <w:tc>
          <w:tcPr>
            <w:tcW w:type="dxa" w:w="2216"/>
            <w:tcMar>
              <w:top w:w="50" w:type="dxa"/>
              <w:bottom w:w="50" w:type="dxa"/>
              <w:left w:w="90" w:type="dxa"/>
              <w:right w:w="90" w:type="dxa"/>
            </w:tcMar>
            <w:shd w:val="clear" w:color="auto" w:fill="E5F5FF"/>
          </w:tcPr>
          <w:p>
            <w:pPr>
              <w:pStyle w:val="BDOITable"/>
            </w:pPr>
            <w:r>
              <w:rPr>
                <w:sz w:val="15"/>
              </w:rPr>
              <w:t>SS-020, SS-082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SNSRP-705</w:t>
            </w:r>
          </w:p>
        </w:tc>
        <w:tc>
          <w:tcPr>
            <w:tcW w:type="dxa" w:w="2216"/>
            <w:tcMar>
              <w:top w:w="50" w:type="dxa"/>
              <w:bottom w:w="50" w:type="dxa"/>
              <w:left w:w="90" w:type="dxa"/>
              <w:right w:w="90" w:type="dxa"/>
            </w:tcMar>
            <w:shd w:val="clear" w:color="auto" w:fill="E5F5FF"/>
          </w:tcPr>
          <w:p>
            <w:pPr>
              <w:pStyle w:val="BDOITable"/>
            </w:pPr>
            <w:r>
              <w:rPr>
                <w:sz w:val="15"/>
              </w:rPr>
              <w:t>SS-070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SNSRP-202</w:t>
            </w:r>
          </w:p>
        </w:tc>
        <w:tc>
          <w:tcPr>
            <w:tcW w:type="dxa" w:w="2216"/>
            <w:tcMar>
              <w:top w:w="50" w:type="dxa"/>
              <w:bottom w:w="50" w:type="dxa"/>
              <w:left w:w="90" w:type="dxa"/>
              <w:right w:w="90" w:type="dxa"/>
            </w:tcMar>
          </w:tcPr>
          <w:p>
            <w:pPr>
              <w:pStyle w:val="BDOITable"/>
            </w:pPr>
            <w:r>
              <w:rPr>
                <w:sz w:val="15"/>
              </w:rPr>
              <w:t>SS-021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SNSRP-706</w:t>
            </w:r>
          </w:p>
        </w:tc>
        <w:tc>
          <w:tcPr>
            <w:tcW w:type="dxa" w:w="2216"/>
            <w:tcMar>
              <w:top w:w="50" w:type="dxa"/>
              <w:bottom w:w="50" w:type="dxa"/>
              <w:left w:w="90" w:type="dxa"/>
              <w:right w:w="90" w:type="dxa"/>
            </w:tcMar>
          </w:tcPr>
          <w:p>
            <w:pPr>
              <w:pStyle w:val="BDOITable"/>
            </w:pPr>
            <w:r>
              <w:rPr>
                <w:sz w:val="15"/>
              </w:rPr>
              <w:t>SS-071, SS-072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SNSRP-203</w:t>
            </w:r>
          </w:p>
        </w:tc>
        <w:tc>
          <w:tcPr>
            <w:tcW w:type="dxa" w:w="2216"/>
            <w:tcMar>
              <w:top w:w="50" w:type="dxa"/>
              <w:bottom w:w="50" w:type="dxa"/>
              <w:left w:w="90" w:type="dxa"/>
              <w:right w:w="90" w:type="dxa"/>
            </w:tcMar>
            <w:shd w:val="clear" w:color="auto" w:fill="E5F5FF"/>
          </w:tcPr>
          <w:p>
            <w:pPr>
              <w:pStyle w:val="BDOITable"/>
            </w:pPr>
            <w:r>
              <w:rPr>
                <w:sz w:val="15"/>
              </w:rPr>
              <w:t>SS-001, SS-022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10</w:t>
            </w:r>
          </w:p>
        </w:tc>
        <w:tc>
          <w:tcPr>
            <w:tcW w:type="dxa" w:w="1416"/>
            <w:tcMar>
              <w:top w:w="50" w:type="dxa"/>
              <w:bottom w:w="50" w:type="dxa"/>
              <w:left w:w="90" w:type="dxa"/>
              <w:right w:w="90" w:type="dxa"/>
            </w:tcMar>
            <w:shd w:val="clear" w:color="auto" w:fill="E5F5FF"/>
          </w:tcPr>
          <w:p>
            <w:pPr>
              <w:pStyle w:val="BDOITable"/>
            </w:pPr>
            <w:r>
              <w:rPr>
                <w:sz w:val="15"/>
              </w:rPr>
              <w:t>SNSRP-801</w:t>
            </w:r>
          </w:p>
        </w:tc>
        <w:tc>
          <w:tcPr>
            <w:tcW w:type="dxa" w:w="2216"/>
            <w:tcMar>
              <w:top w:w="50" w:type="dxa"/>
              <w:bottom w:w="50" w:type="dxa"/>
              <w:left w:w="90" w:type="dxa"/>
              <w:right w:w="90" w:type="dxa"/>
            </w:tcMar>
            <w:shd w:val="clear" w:color="auto" w:fill="E5F5FF"/>
          </w:tcPr>
          <w:p>
            <w:pPr>
              <w:pStyle w:val="BDOITable"/>
            </w:pPr>
            <w:r>
              <w:rPr>
                <w:sz w:val="15"/>
              </w:rPr>
              <w:t>SS-080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SNSRP-204</w:t>
            </w:r>
          </w:p>
        </w:tc>
        <w:tc>
          <w:tcPr>
            <w:tcW w:type="dxa" w:w="2216"/>
            <w:tcMar>
              <w:top w:w="50" w:type="dxa"/>
              <w:bottom w:w="50" w:type="dxa"/>
              <w:left w:w="90" w:type="dxa"/>
              <w:right w:w="90" w:type="dxa"/>
            </w:tcMar>
          </w:tcPr>
          <w:p>
            <w:pPr>
              <w:pStyle w:val="BDOITable"/>
            </w:pPr>
            <w:r>
              <w:rPr>
                <w:sz w:val="15"/>
              </w:rPr>
              <w:t>SS-023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SNSRP-802</w:t>
            </w:r>
          </w:p>
        </w:tc>
        <w:tc>
          <w:tcPr>
            <w:tcW w:type="dxa" w:w="2216"/>
            <w:tcMar>
              <w:top w:w="50" w:type="dxa"/>
              <w:bottom w:w="50" w:type="dxa"/>
              <w:left w:w="90" w:type="dxa"/>
              <w:right w:w="90" w:type="dxa"/>
            </w:tcMar>
          </w:tcPr>
          <w:p>
            <w:pPr>
              <w:pStyle w:val="BDOITable"/>
            </w:pPr>
            <w:r>
              <w:rPr>
                <w:sz w:val="15"/>
              </w:rPr>
              <w:t>SS-081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SNSRP-301</w:t>
            </w:r>
          </w:p>
        </w:tc>
        <w:tc>
          <w:tcPr>
            <w:tcW w:type="dxa" w:w="2216"/>
            <w:tcMar>
              <w:top w:w="50" w:type="dxa"/>
              <w:bottom w:w="50" w:type="dxa"/>
              <w:left w:w="90" w:type="dxa"/>
              <w:right w:w="90" w:type="dxa"/>
            </w:tcMar>
            <w:shd w:val="clear" w:color="auto" w:fill="E5F5FF"/>
          </w:tcPr>
          <w:p>
            <w:pPr>
              <w:pStyle w:val="BDOITable"/>
            </w:pPr>
            <w:r>
              <w:rPr>
                <w:sz w:val="15"/>
              </w:rPr>
              <w:t>SS-031, SS-032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SNSRP-901</w:t>
            </w:r>
          </w:p>
        </w:tc>
        <w:tc>
          <w:tcPr>
            <w:tcW w:type="dxa" w:w="2216"/>
            <w:tcMar>
              <w:top w:w="50" w:type="dxa"/>
              <w:bottom w:w="50" w:type="dxa"/>
              <w:left w:w="90" w:type="dxa"/>
              <w:right w:w="90" w:type="dxa"/>
            </w:tcMar>
            <w:shd w:val="clear" w:color="auto" w:fill="E5F5FF"/>
          </w:tcPr>
          <w:p>
            <w:pPr>
              <w:pStyle w:val="BDOITable"/>
            </w:pPr>
            <w:r>
              <w:rPr>
                <w:sz w:val="15"/>
              </w:rPr>
              <w:t>SS-090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SNSRP-302</w:t>
            </w:r>
          </w:p>
        </w:tc>
        <w:tc>
          <w:tcPr>
            <w:tcW w:type="dxa" w:w="2216"/>
            <w:tcMar>
              <w:top w:w="50" w:type="dxa"/>
              <w:bottom w:w="50" w:type="dxa"/>
              <w:left w:w="90" w:type="dxa"/>
              <w:right w:w="90" w:type="dxa"/>
            </w:tcMar>
          </w:tcPr>
          <w:p>
            <w:pPr>
              <w:pStyle w:val="BDOITable"/>
            </w:pPr>
            <w:r>
              <w:rPr>
                <w:sz w:val="15"/>
              </w:rPr>
              <w:t>SS-033</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SNSRP-902</w:t>
            </w:r>
          </w:p>
        </w:tc>
        <w:tc>
          <w:tcPr>
            <w:tcW w:type="dxa" w:w="2216"/>
            <w:tcMar>
              <w:top w:w="50" w:type="dxa"/>
              <w:bottom w:w="50" w:type="dxa"/>
              <w:left w:w="90" w:type="dxa"/>
              <w:right w:w="90" w:type="dxa"/>
            </w:tcMar>
          </w:tcPr>
          <w:p>
            <w:pPr>
              <w:pStyle w:val="BDOITable"/>
            </w:pPr>
            <w:r>
              <w:rPr>
                <w:sz w:val="15"/>
              </w:rPr>
              <w:t>SS-091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SNSRP-303</w:t>
            </w:r>
          </w:p>
        </w:tc>
        <w:tc>
          <w:tcPr>
            <w:tcW w:type="dxa" w:w="2216"/>
            <w:tcMar>
              <w:top w:w="50" w:type="dxa"/>
              <w:bottom w:w="50" w:type="dxa"/>
              <w:left w:w="90" w:type="dxa"/>
              <w:right w:w="90" w:type="dxa"/>
            </w:tcMar>
            <w:shd w:val="clear" w:color="auto" w:fill="E5F5FF"/>
          </w:tcPr>
          <w:p>
            <w:pPr>
              <w:pStyle w:val="BDOITable"/>
            </w:pPr>
            <w:r>
              <w:rPr>
                <w:sz w:val="15"/>
              </w:rPr>
              <w:t>SS-030, SS-034</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SNSRP-903</w:t>
            </w:r>
          </w:p>
        </w:tc>
        <w:tc>
          <w:tcPr>
            <w:tcW w:type="dxa" w:w="2216"/>
            <w:tcMar>
              <w:top w:w="50" w:type="dxa"/>
              <w:bottom w:w="50" w:type="dxa"/>
              <w:left w:w="90" w:type="dxa"/>
              <w:right w:w="90" w:type="dxa"/>
            </w:tcMar>
            <w:shd w:val="clear" w:color="auto" w:fill="E5F5FF"/>
          </w:tcPr>
          <w:p>
            <w:pPr>
              <w:pStyle w:val="BDOITable"/>
            </w:pPr>
            <w:r>
              <w:rPr>
                <w:sz w:val="15"/>
              </w:rPr>
              <w:t>SS-092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SNSRP-304</w:t>
            </w:r>
          </w:p>
        </w:tc>
        <w:tc>
          <w:tcPr>
            <w:tcW w:type="dxa" w:w="2216"/>
            <w:tcMar>
              <w:top w:w="50" w:type="dxa"/>
              <w:bottom w:w="50" w:type="dxa"/>
              <w:left w:w="90" w:type="dxa"/>
              <w:right w:w="90" w:type="dxa"/>
            </w:tcMar>
          </w:tcPr>
          <w:p>
            <w:pPr>
              <w:pStyle w:val="BDOITable"/>
            </w:pPr>
            <w:r>
              <w:rPr>
                <w:sz w:val="15"/>
              </w:rPr>
              <w:t>SS-032, SS-035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p.6-8 reports produced</w:t>
            </w:r>
          </w:p>
        </w:tc>
        <w:tc>
          <w:tcPr>
            <w:tcW w:type="dxa" w:w="2216"/>
            <w:tcMar>
              <w:top w:w="50" w:type="dxa"/>
              <w:bottom w:w="50" w:type="dxa"/>
              <w:left w:w="90" w:type="dxa"/>
              <w:right w:w="90" w:type="dxa"/>
            </w:tcMar>
          </w:tcPr>
          <w:p>
            <w:pPr>
              <w:pStyle w:val="BDOITable"/>
            </w:pPr>
            <w:r>
              <w:rPr>
                <w:sz w:val="15"/>
              </w:rPr>
              <w:t>SS-090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SNSRP-401</w:t>
            </w:r>
          </w:p>
        </w:tc>
        <w:tc>
          <w:tcPr>
            <w:tcW w:type="dxa" w:w="2216"/>
            <w:tcMar>
              <w:top w:w="50" w:type="dxa"/>
              <w:bottom w:w="50" w:type="dxa"/>
              <w:left w:w="90" w:type="dxa"/>
              <w:right w:w="90" w:type="dxa"/>
            </w:tcMar>
            <w:shd w:val="clear" w:color="auto" w:fill="E5F5FF"/>
          </w:tcPr>
          <w:p>
            <w:pPr>
              <w:pStyle w:val="BDOITable"/>
            </w:pPr>
            <w:r>
              <w:rPr>
                <w:sz w:val="15"/>
              </w:rPr>
              <w:t>SS-040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p.8 "Audit Reports"</w:t>
            </w:r>
          </w:p>
        </w:tc>
        <w:tc>
          <w:tcPr>
            <w:tcW w:type="dxa" w:w="2216"/>
            <w:tcMar>
              <w:top w:w="50" w:type="dxa"/>
              <w:bottom w:w="50" w:type="dxa"/>
              <w:left w:w="90" w:type="dxa"/>
              <w:right w:w="90" w:type="dxa"/>
            </w:tcMar>
            <w:shd w:val="clear" w:color="auto" w:fill="E5F5FF"/>
          </w:tcPr>
          <w:p>
            <w:pPr>
              <w:pStyle w:val="BDOITable"/>
            </w:pPr>
            <w:r>
              <w:rPr>
                <w:sz w:val="15"/>
              </w:rPr>
              <w:t>SS-092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SNSRP-402</w:t>
            </w:r>
          </w:p>
        </w:tc>
        <w:tc>
          <w:tcPr>
            <w:tcW w:type="dxa" w:w="2216"/>
            <w:tcMar>
              <w:top w:w="50" w:type="dxa"/>
              <w:bottom w:w="50" w:type="dxa"/>
              <w:left w:w="90" w:type="dxa"/>
              <w:right w:w="90" w:type="dxa"/>
            </w:tcMar>
          </w:tcPr>
          <w:p>
            <w:pPr>
              <w:pStyle w:val="BDOITable"/>
            </w:pPr>
            <w:r>
              <w:rPr>
                <w:sz w:val="15"/>
              </w:rPr>
              <w:t>SS-041, SS-045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p.8 "File STR to AMLC - Via Portal"</w:t>
            </w:r>
          </w:p>
        </w:tc>
        <w:tc>
          <w:tcPr>
            <w:tcW w:type="dxa" w:w="2216"/>
            <w:tcMar>
              <w:top w:w="50" w:type="dxa"/>
              <w:bottom w:w="50" w:type="dxa"/>
              <w:left w:w="90" w:type="dxa"/>
              <w:right w:w="90" w:type="dxa"/>
            </w:tcMar>
          </w:tcPr>
          <w:p>
            <w:pPr>
              <w:pStyle w:val="BDOITable"/>
            </w:pPr>
            <w:r>
              <w:rPr>
                <w:sz w:val="15"/>
              </w:rPr>
              <w:t>SS-072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SNSRP-403</w:t>
            </w:r>
          </w:p>
        </w:tc>
        <w:tc>
          <w:tcPr>
            <w:tcW w:type="dxa" w:w="2216"/>
            <w:tcMar>
              <w:top w:w="50" w:type="dxa"/>
              <w:bottom w:w="50" w:type="dxa"/>
              <w:left w:w="90" w:type="dxa"/>
              <w:right w:w="90" w:type="dxa"/>
            </w:tcMar>
            <w:shd w:val="clear" w:color="auto" w:fill="E5F5FF"/>
          </w:tcPr>
          <w:p>
            <w:pPr>
              <w:pStyle w:val="BDOITable"/>
            </w:pPr>
            <w:r>
              <w:rPr>
                <w:sz w:val="15"/>
              </w:rPr>
              <w:t>SS-001, SS-042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p.8 "Notifications received - notifications on newly added sanctioned names"</w:t>
            </w:r>
          </w:p>
        </w:tc>
        <w:tc>
          <w:tcPr>
            <w:tcW w:type="dxa" w:w="2216"/>
            <w:tcMar>
              <w:top w:w="50" w:type="dxa"/>
              <w:bottom w:w="50" w:type="dxa"/>
              <w:left w:w="90" w:type="dxa"/>
              <w:right w:w="90" w:type="dxa"/>
            </w:tcMar>
            <w:shd w:val="clear" w:color="auto" w:fill="E5F5FF"/>
          </w:tcPr>
          <w:p>
            <w:pPr>
              <w:pStyle w:val="BDOITable"/>
            </w:pPr>
            <w:r>
              <w:rPr>
                <w:sz w:val="15"/>
              </w:rPr>
              <w:t>SS-082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SNSRP-404</w:t>
            </w:r>
          </w:p>
        </w:tc>
        <w:tc>
          <w:tcPr>
            <w:tcW w:type="dxa" w:w="2216"/>
            <w:tcMar>
              <w:top w:w="50" w:type="dxa"/>
              <w:bottom w:w="50" w:type="dxa"/>
              <w:left w:w="90" w:type="dxa"/>
              <w:right w:w="90" w:type="dxa"/>
            </w:tcMar>
          </w:tcPr>
          <w:p>
            <w:pPr>
              <w:pStyle w:val="BDOITable"/>
            </w:pPr>
            <w:r>
              <w:rPr>
                <w:sz w:val="15"/>
              </w:rPr>
              <w:t>SS-043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p.8 capability 4 and report "Extract list of High-risk Clients"</w:t>
            </w:r>
          </w:p>
        </w:tc>
        <w:tc>
          <w:tcPr>
            <w:tcW w:type="dxa" w:w="2216"/>
            <w:tcMar>
              <w:top w:w="50" w:type="dxa"/>
              <w:bottom w:w="50" w:type="dxa"/>
              <w:left w:w="90" w:type="dxa"/>
              <w:right w:w="90" w:type="dxa"/>
            </w:tcMar>
          </w:tcPr>
          <w:p>
            <w:pPr>
              <w:pStyle w:val="BDOITable"/>
            </w:pPr>
            <w:r>
              <w:rPr>
                <w:sz w:val="15"/>
              </w:rPr>
              <w:t>SS-045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SC-SS-01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segregation of duties and audit. Each screening role sees only its screens and actions; four-eyes rules hold whatever the grants; every action is in an immutable log.</w:t>
            </w:r>
          </w:p>
        </w:tc>
        <w:tc>
          <w:tcPr>
            <w:tcW w:type="dxa" w:w="821"/>
            <w:tcMar>
              <w:top w:w="50" w:type="dxa"/>
              <w:bottom w:w="50" w:type="dxa"/>
              <w:left w:w="90" w:type="dxa"/>
              <w:right w:w="90" w:type="dxa"/>
            </w:tcMar>
          </w:tcPr>
          <w:p>
            <w:pPr>
              <w:pStyle w:val="BDOITable"/>
            </w:pPr>
            <w:r>
              <w:rPr>
                <w:sz w:val="17"/>
              </w:rPr>
              <w:t>10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SC-SS-02</w:t>
            </w:r>
          </w:p>
        </w:tc>
        <w:tc>
          <w:tcPr>
            <w:tcW w:type="dxa" w:w="2464"/>
            <w:tcMar>
              <w:top w:w="50" w:type="dxa"/>
              <w:bottom w:w="50" w:type="dxa"/>
              <w:left w:w="90" w:type="dxa"/>
              <w:right w:w="90" w:type="dxa"/>
            </w:tcMar>
            <w:shd w:val="clear" w:color="auto" w:fill="E5F5FF"/>
          </w:tcPr>
          <w:p>
            <w:pPr>
              <w:pStyle w:val="BDOITable"/>
            </w:pPr>
            <w:r>
              <w:rPr>
                <w:sz w:val="17"/>
              </w:rPr>
              <w:t>COMPLIANCE_OFFICER – Compliance Officer</w:t>
            </w:r>
          </w:p>
        </w:tc>
        <w:tc>
          <w:tcPr>
            <w:tcW w:type="dxa" w:w="5631"/>
            <w:tcMar>
              <w:top w:w="50" w:type="dxa"/>
              <w:bottom w:w="50" w:type="dxa"/>
              <w:left w:w="90" w:type="dxa"/>
              <w:right w:w="90" w:type="dxa"/>
            </w:tcMar>
            <w:shd w:val="clear" w:color="auto" w:fill="E5F5FF"/>
          </w:tcPr>
          <w:p>
            <w:pPr>
              <w:pStyle w:val="BDOITable"/>
            </w:pPr>
            <w:r>
              <w:rPr>
                <w:sz w:val="17"/>
              </w:rPr>
              <w:t>Configuration. The Compliance Officer drafts matching criteria, risk rules, matrices, SLA, templates, STR layout and dispositions; the checker approves or rejects each version.</w:t>
            </w:r>
          </w:p>
        </w:tc>
        <w:tc>
          <w:tcPr>
            <w:tcW w:type="dxa" w:w="821"/>
            <w:tcMar>
              <w:top w:w="50" w:type="dxa"/>
              <w:bottom w:w="50" w:type="dxa"/>
              <w:left w:w="90" w:type="dxa"/>
              <w:right w:w="90" w:type="dxa"/>
            </w:tcMar>
            <w:shd w:val="clear" w:color="auto" w:fill="E5F5FF"/>
          </w:tcPr>
          <w:p>
            <w:pPr>
              <w:pStyle w:val="BDOITable"/>
            </w:pPr>
            <w:r>
              <w:rPr>
                <w:sz w:val="17"/>
              </w:rPr>
              <w:t>54</w:t>
            </w:r>
          </w:p>
        </w:tc>
      </w:tr>
      <w:tr>
        <w:trPr>
          <w:cantSplit w:val="true"/>
        </w:trPr>
        <w:tc>
          <w:tcPr>
            <w:tcW w:type="dxa" w:w="1056"/>
            <w:tcMar>
              <w:top w:w="50" w:type="dxa"/>
              <w:bottom w:w="50" w:type="dxa"/>
              <w:left w:w="90" w:type="dxa"/>
              <w:right w:w="90" w:type="dxa"/>
            </w:tcMar>
          </w:tcPr>
          <w:p>
            <w:pPr>
              <w:pStyle w:val="BDOITable"/>
            </w:pPr>
            <w:r>
              <w:rPr>
                <w:sz w:val="17"/>
              </w:rPr>
              <w:t>SC-SS-03</w:t>
            </w:r>
          </w:p>
        </w:tc>
        <w:tc>
          <w:tcPr>
            <w:tcW w:type="dxa" w:w="2464"/>
            <w:tcMar>
              <w:top w:w="50" w:type="dxa"/>
              <w:bottom w:w="50" w:type="dxa"/>
              <w:left w:w="90" w:type="dxa"/>
              <w:right w:w="90" w:type="dxa"/>
            </w:tcMar>
          </w:tcPr>
          <w:p>
            <w:pPr>
              <w:pStyle w:val="BDOITable"/>
            </w:pPr>
            <w:r>
              <w:rPr>
                <w:sz w:val="17"/>
              </w:rPr>
              <w:t>COMPLIANCE_OFFICER – Compliance Officer</w:t>
            </w:r>
          </w:p>
        </w:tc>
        <w:tc>
          <w:tcPr>
            <w:tcW w:type="dxa" w:w="5631"/>
            <w:tcMar>
              <w:top w:w="50" w:type="dxa"/>
              <w:bottom w:w="50" w:type="dxa"/>
              <w:left w:w="90" w:type="dxa"/>
              <w:right w:w="90" w:type="dxa"/>
            </w:tcMar>
          </w:tcPr>
          <w:p>
            <w:pPr>
              <w:pStyle w:val="BDOITable"/>
            </w:pPr>
            <w:r>
              <w:rPr>
                <w:sz w:val="17"/>
              </w:rPr>
              <w:t>Watchlist. List files are loaded on schedule or uploaded, failed records are reported, and manual entries go through maker-checker.</w:t>
            </w:r>
          </w:p>
        </w:tc>
        <w:tc>
          <w:tcPr>
            <w:tcW w:type="dxa" w:w="821"/>
            <w:tcMar>
              <w:top w:w="50" w:type="dxa"/>
              <w:bottom w:w="50" w:type="dxa"/>
              <w:left w:w="90" w:type="dxa"/>
              <w:right w:w="90" w:type="dxa"/>
            </w:tcMar>
          </w:tcPr>
          <w:p>
            <w:pPr>
              <w:pStyle w:val="BDOITable"/>
            </w:pPr>
            <w:r>
              <w:rPr>
                <w:sz w:val="17"/>
              </w:rPr>
              <w:t>25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SC-SS-04</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Matching, risk tagging and case creation. New clients, identity changes, account submissions, list changes and the batch window start screening; matches tag the client and open cases.</w:t>
            </w:r>
          </w:p>
        </w:tc>
        <w:tc>
          <w:tcPr>
            <w:tcW w:type="dxa" w:w="821"/>
            <w:tcMar>
              <w:top w:w="50" w:type="dxa"/>
              <w:bottom w:w="50" w:type="dxa"/>
              <w:left w:w="90" w:type="dxa"/>
              <w:right w:w="90" w:type="dxa"/>
            </w:tcMar>
            <w:shd w:val="clear" w:color="auto" w:fill="E5F5FF"/>
          </w:tcPr>
          <w:p>
            <w:pPr>
              <w:pStyle w:val="BDOITable"/>
            </w:pPr>
            <w:r>
              <w:rPr>
                <w:sz w:val="17"/>
              </w:rPr>
              <w:t>21</w:t>
            </w:r>
          </w:p>
        </w:tc>
      </w:tr>
      <w:tr>
        <w:trPr>
          <w:cantSplit w:val="true"/>
        </w:trPr>
        <w:tc>
          <w:tcPr>
            <w:tcW w:type="dxa" w:w="1056"/>
            <w:tcMar>
              <w:top w:w="50" w:type="dxa"/>
              <w:bottom w:w="50" w:type="dxa"/>
              <w:left w:w="90" w:type="dxa"/>
              <w:right w:w="90" w:type="dxa"/>
            </w:tcMar>
          </w:tcPr>
          <w:p>
            <w:pPr>
              <w:pStyle w:val="BDOITable"/>
            </w:pPr>
            <w:r>
              <w:rPr>
                <w:sz w:val="17"/>
              </w:rPr>
              <w:t>SC-SS-05</w:t>
            </w:r>
          </w:p>
        </w:tc>
        <w:tc>
          <w:tcPr>
            <w:tcW w:type="dxa" w:w="2464"/>
            <w:tcMar>
              <w:top w:w="50" w:type="dxa"/>
              <w:bottom w:w="50" w:type="dxa"/>
              <w:left w:w="90" w:type="dxa"/>
              <w:right w:w="90" w:type="dxa"/>
            </w:tcMar>
          </w:tcPr>
          <w:p>
            <w:pPr>
              <w:pStyle w:val="BDOITable"/>
            </w:pPr>
            <w:r>
              <w:rPr>
                <w:sz w:val="17"/>
              </w:rPr>
              <w:t>SCR_INVESTIGATOR – Investigator</w:t>
            </w:r>
          </w:p>
        </w:tc>
        <w:tc>
          <w:tcPr>
            <w:tcW w:type="dxa" w:w="5631"/>
            <w:tcMar>
              <w:top w:w="50" w:type="dxa"/>
              <w:bottom w:w="50" w:type="dxa"/>
              <w:left w:w="90" w:type="dxa"/>
              <w:right w:w="90" w:type="dxa"/>
            </w:tcMar>
          </w:tcPr>
          <w:p>
            <w:pPr>
              <w:pStyle w:val="BDOITable"/>
            </w:pPr>
            <w:r>
              <w:rPr>
                <w:sz w:val="17"/>
              </w:rPr>
              <w:t>Investigation. The Investigator works the case list, completes the review, uploads documents, updates the risk tag and submits a disposition.</w:t>
            </w:r>
          </w:p>
        </w:tc>
        <w:tc>
          <w:tcPr>
            <w:tcW w:type="dxa" w:w="821"/>
            <w:tcMar>
              <w:top w:w="50" w:type="dxa"/>
              <w:bottom w:w="50" w:type="dxa"/>
              <w:left w:w="90" w:type="dxa"/>
              <w:right w:w="90" w:type="dxa"/>
            </w:tcMar>
          </w:tcPr>
          <w:p>
            <w:pPr>
              <w:pStyle w:val="BDOITable"/>
            </w:pPr>
            <w:r>
              <w:rPr>
                <w:sz w:val="17"/>
              </w:rPr>
              <w:t>41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SC-SS-06</w:t>
            </w:r>
          </w:p>
        </w:tc>
        <w:tc>
          <w:tcPr>
            <w:tcW w:type="dxa" w:w="2464"/>
            <w:tcMar>
              <w:top w:w="50" w:type="dxa"/>
              <w:bottom w:w="50" w:type="dxa"/>
              <w:left w:w="90" w:type="dxa"/>
              <w:right w:w="90" w:type="dxa"/>
            </w:tcMar>
            <w:shd w:val="clear" w:color="auto" w:fill="E5F5FF"/>
          </w:tcPr>
          <w:p>
            <w:pPr>
              <w:pStyle w:val="BDOITable"/>
            </w:pPr>
            <w:r>
              <w:rPr>
                <w:sz w:val="17"/>
              </w:rPr>
              <w:t>SCR_APPROVER – Approver</w:t>
            </w:r>
          </w:p>
        </w:tc>
        <w:tc>
          <w:tcPr>
            <w:tcW w:type="dxa" w:w="5631"/>
            <w:tcMar>
              <w:top w:w="50" w:type="dxa"/>
              <w:bottom w:w="50" w:type="dxa"/>
              <w:left w:w="90" w:type="dxa"/>
              <w:right w:w="90" w:type="dxa"/>
            </w:tcMar>
            <w:shd w:val="clear" w:color="auto" w:fill="E5F5FF"/>
          </w:tcPr>
          <w:p>
            <w:pPr>
              <w:pStyle w:val="BDOITable"/>
            </w:pPr>
            <w:r>
              <w:rPr>
                <w:sz w:val="17"/>
              </w:rPr>
              <w:t>Approval and escalation. The case is validated, approved or returned by the Unit Head, reviewed by Compliance and decided by the AML Committee.</w:t>
            </w:r>
          </w:p>
        </w:tc>
        <w:tc>
          <w:tcPr>
            <w:tcW w:type="dxa" w:w="821"/>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1056"/>
            <w:tcMar>
              <w:top w:w="50" w:type="dxa"/>
              <w:bottom w:w="50" w:type="dxa"/>
              <w:left w:w="90" w:type="dxa"/>
              <w:right w:w="90" w:type="dxa"/>
            </w:tcMar>
          </w:tcPr>
          <w:p>
            <w:pPr>
              <w:pStyle w:val="BDOITable"/>
            </w:pPr>
            <w:r>
              <w:rPr>
                <w:sz w:val="17"/>
              </w:rPr>
              <w:t>SC-SS-07</w:t>
            </w:r>
          </w:p>
        </w:tc>
        <w:tc>
          <w:tcPr>
            <w:tcW w:type="dxa" w:w="2464"/>
            <w:tcMar>
              <w:top w:w="50" w:type="dxa"/>
              <w:bottom w:w="50" w:type="dxa"/>
              <w:left w:w="90" w:type="dxa"/>
              <w:right w:w="90" w:type="dxa"/>
            </w:tcMar>
          </w:tcPr>
          <w:p>
            <w:pPr>
              <w:pStyle w:val="BDOITable"/>
            </w:pPr>
            <w:r>
              <w:rPr>
                <w:sz w:val="17"/>
              </w:rPr>
              <w:t>COMPLIANCE_OFFICER – Compliance Officer</w:t>
            </w:r>
          </w:p>
        </w:tc>
        <w:tc>
          <w:tcPr>
            <w:tcW w:type="dxa" w:w="5631"/>
            <w:tcMar>
              <w:top w:w="50" w:type="dxa"/>
              <w:bottom w:w="50" w:type="dxa"/>
              <w:left w:w="90" w:type="dxa"/>
              <w:right w:w="90" w:type="dxa"/>
            </w:tcMar>
          </w:tcPr>
          <w:p>
            <w:pPr>
              <w:pStyle w:val="BDOITable"/>
            </w:pPr>
            <w:r>
              <w:rPr>
                <w:sz w:val="17"/>
              </w:rPr>
              <w:t>STR. The Compliance Officer prepares the STR from the case, extracts the committee-approved STRs and records the AMLC filing reference.</w:t>
            </w:r>
          </w:p>
        </w:tc>
        <w:tc>
          <w:tcPr>
            <w:tcW w:type="dxa" w:w="821"/>
            <w:tcMar>
              <w:top w:w="50" w:type="dxa"/>
              <w:bottom w:w="50" w:type="dxa"/>
              <w:left w:w="90" w:type="dxa"/>
              <w:right w:w="90" w:type="dxa"/>
            </w:tcMar>
          </w:tcPr>
          <w:p>
            <w:pPr>
              <w:pStyle w:val="BDOITable"/>
            </w:pPr>
            <w:r>
              <w:rPr>
                <w:sz w:val="17"/>
              </w:rPr>
              <w:t>19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SC-SS-08</w:t>
            </w:r>
          </w:p>
        </w:tc>
        <w:tc>
          <w:tcPr>
            <w:tcW w:type="dxa" w:w="2464"/>
            <w:tcMar>
              <w:top w:w="50" w:type="dxa"/>
              <w:bottom w:w="50" w:type="dxa"/>
              <w:left w:w="90" w:type="dxa"/>
              <w:right w:w="90" w:type="dxa"/>
            </w:tcMar>
            <w:shd w:val="clear" w:color="auto" w:fill="E5F5FF"/>
          </w:tcPr>
          <w:p>
            <w:pPr>
              <w:pStyle w:val="BDOITable"/>
            </w:pPr>
            <w:r>
              <w:rPr>
                <w:sz w:val="17"/>
              </w:rPr>
              <w:t>UNIT_COMPLIANCE_COORD – Unit Compliance</w:t>
            </w:r>
          </w:p>
        </w:tc>
        <w:tc>
          <w:tcPr>
            <w:tcW w:type="dxa" w:w="5631"/>
            <w:tcMar>
              <w:top w:w="50" w:type="dxa"/>
              <w:bottom w:w="50" w:type="dxa"/>
              <w:left w:w="90" w:type="dxa"/>
              <w:right w:w="90" w:type="dxa"/>
            </w:tcMar>
            <w:shd w:val="clear" w:color="auto" w:fill="E5F5FF"/>
          </w:tcPr>
          <w:p>
            <w:pPr>
              <w:pStyle w:val="BDOITable"/>
            </w:pPr>
            <w:r>
              <w:rPr>
                <w:sz w:val="17"/>
              </w:rPr>
              <w:t>Monitoring. SLA reminders and escalations, notifications, the Screening Home, the high-risk list and the compliance reports.</w:t>
            </w:r>
          </w:p>
        </w:tc>
        <w:tc>
          <w:tcPr>
            <w:tcW w:type="dxa" w:w="821"/>
            <w:tcMar>
              <w:top w:w="50" w:type="dxa"/>
              <w:bottom w:w="50" w:type="dxa"/>
              <w:left w:w="90" w:type="dxa"/>
              <w:right w:w="90" w:type="dxa"/>
            </w:tcMar>
            <w:shd w:val="clear" w:color="auto" w:fill="E5F5FF"/>
          </w:tcPr>
          <w:p>
            <w:pPr>
              <w:pStyle w:val="BDOITable"/>
            </w:pPr>
            <w:r>
              <w:rPr>
                <w:sz w:val="17"/>
              </w:rPr>
              <w:t>22</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21"/>
        <w:gridCol w:w="765"/>
        <w:gridCol w:w="765"/>
        <w:gridCol w:w="765"/>
        <w:gridCol w:w="765"/>
        <w:gridCol w:w="765"/>
        <w:gridCol w:w="765"/>
        <w:gridCol w:w="765"/>
        <w:gridCol w:w="765"/>
        <w:gridCol w:w="765"/>
        <w:gridCol w:w="765"/>
      </w:tblGrid>
      <w:tr>
        <w:trPr>
          <w:tblHeader w:val="true"/>
          <w:cantSplit w:val="true"/>
        </w:trPr>
        <w:tc>
          <w:tcPr>
            <w:tcW w:type="dxa" w:w="2322"/>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Comp. Off.</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Checker</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UCC</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Invest.</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Appr.</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AML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Ops</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Audit.</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Sys Adm.</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AO</w:t>
            </w:r>
          </w:p>
        </w:tc>
      </w:tr>
      <w:tr>
        <w:trPr>
          <w:cantSplit w:val="true"/>
        </w:trPr>
        <w:tc>
          <w:tcPr>
            <w:tcW w:type="dxa" w:w="2322"/>
            <w:tcMar>
              <w:top w:w="50" w:type="dxa"/>
              <w:bottom w:w="50" w:type="dxa"/>
              <w:left w:w="90" w:type="dxa"/>
              <w:right w:w="90" w:type="dxa"/>
            </w:tcMar>
          </w:tcPr>
          <w:p>
            <w:pPr>
              <w:pStyle w:val="BDOITable"/>
            </w:pPr>
            <w:r>
              <w:rPr>
                <w:sz w:val="15"/>
              </w:rPr>
              <w:t>Open Sanction Screening screens and cases (read)</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Draft and submit configuration versions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Approve or reject configuration versions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Maintain list entries and upload list files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Approve or reject list changes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Work the investigation stage</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Update a client's risk tag</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Re-assign cases and approvals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Approve or disapprove as Unit Head</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Review BU escalations and prepare the STR</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Record an AML Committee decision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Extract STRs and record the filing reference</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Run the compliance reports</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screening audit log report</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6" w:name="_Toc000126"/>
      <w:r>
        <w:rPr/>
        <w:t>7.6 Automated tests referenced</w:t>
      </w:r>
      <w:bookmarkEnd w:id="126"/>
    </w:p>
    <w:p>
      <w:r>
        <w:rPr/>
        <w:t>No automated test exists yet for this BRD; every case is run manually.</w:t>
      </w: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The screens, labels or messages differ from the build design when built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the screens with this plan before the system test; update the workbook to version 1.1 with the built texts and message codes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(SQ02 thresholds, SQ03 risk categories, SQ04 approval matrix, SQ06 dispositions, SQ08 SLAs, SQ15 committee rule)</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configuration versions, lists and parameters; the affected cases name them and are re-run after the change without a new build</w:t>
            </w:r>
          </w:p>
        </w:tc>
      </w:tr>
      <w:tr>
        <w:trPr>
          <w:cantSplit w:val="true"/>
        </w:trPr>
        <w:tc>
          <w:tcPr>
            <w:tcW w:type="dxa" w:w="3688"/>
            <w:tcMar>
              <w:top w:w="50" w:type="dxa"/>
              <w:bottom w:w="50" w:type="dxa"/>
              <w:left w:w="90" w:type="dxa"/>
              <w:right w:w="90" w:type="dxa"/>
            </w:tcMar>
          </w:tcPr>
          <w:p>
            <w:pPr>
              <w:pStyle w:val="BDOITable"/>
            </w:pPr>
            <w:r>
              <w:rPr>
                <w:sz w:val="18"/>
              </w:rPr>
              <w:t>The AMLC STR layout and reason codes are not supplied (SQ09)</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Test the placeholder layout and test reason codes now; re-run FR-SS-017, 070 and 071 when the AMLC content is entered as a new version</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Real list data reaches a test environment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Only invented names are loaded outside production, as the build design requires; the test lead checks the list sources of SIT and UAT before each cycle</w:t>
            </w:r>
          </w:p>
        </w:tc>
      </w:tr>
      <w:tr>
        <w:trPr>
          <w:cantSplit w:val="true"/>
        </w:trPr>
        <w:tc>
          <w:tcPr>
            <w:tcW w:type="dxa" w:w="3688"/>
            <w:tcMar>
              <w:top w:w="50" w:type="dxa"/>
              <w:bottom w:w="50" w:type="dxa"/>
              <w:left w:w="90" w:type="dxa"/>
              <w:right w:w="90" w:type="dxa"/>
            </w:tcMar>
          </w:tcPr>
          <w:p>
            <w:pPr>
              <w:pStyle w:val="BDOITable"/>
            </w:pPr>
            <w:r>
              <w:rPr>
                <w:sz w:val="18"/>
              </w:rPr>
              <w:t>Time-based cases (SLA reminders and breaches, effective dates, the batch window)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due times and dates in the test database and runs the jobs on demand,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Four-eyes and committee cases need several users with specific role combinations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creates the combined users and the five committee users of TD-SS-01 and TD-SS-08 and removes them after the cycle</w:t>
            </w:r>
          </w:p>
        </w:tc>
      </w:tr>
      <w:tr>
        <w:trPr>
          <w:cantSplit w:val="true"/>
        </w:trPr>
        <w:tc>
          <w:tcPr>
            <w:tcW w:type="dxa" w:w="3688"/>
            <w:tcMar>
              <w:top w:w="50" w:type="dxa"/>
              <w:bottom w:w="50" w:type="dxa"/>
              <w:left w:w="90" w:type="dxa"/>
              <w:right w:w="90" w:type="dxa"/>
            </w:tcMar>
          </w:tcPr>
          <w:p>
            <w:pPr>
              <w:pStyle w:val="BDOITable"/>
            </w:pPr>
            <w:r>
              <w:rPr>
                <w:sz w:val="18"/>
              </w:rPr>
              <w:t>BDOI testers from several units (Compliance, Marketing, AML Committee) are not available at the same time</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Plan the committee cases in one session with all five members; agree named testers per unit in the UAT plan (deliverable 30)</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or cannot be tested as written. The cases use the assumption stated in the proposal; the FRS owner decides the correction for FRS v1.1.</w:t>
      </w:r>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TF-SS-01</w:t>
            </w:r>
          </w:p>
        </w:tc>
        <w:tc>
          <w:tcPr>
            <w:tcW w:type="dxa" w:w="1290"/>
            <w:tcMar>
              <w:top w:w="50" w:type="dxa"/>
              <w:bottom w:w="50" w:type="dxa"/>
              <w:left w:w="90" w:type="dxa"/>
              <w:right w:w="90" w:type="dxa"/>
            </w:tcMar>
          </w:tcPr>
          <w:p>
            <w:pPr>
              <w:pStyle w:val="BDOITable"/>
            </w:pPr>
            <w:r>
              <w:rPr>
                <w:sz w:val="17"/>
              </w:rPr>
              <w:t>FR-SS-001</w:t>
            </w:r>
          </w:p>
        </w:tc>
        <w:tc>
          <w:tcPr>
            <w:tcW w:type="dxa" w:w="4223"/>
            <w:tcMar>
              <w:top w:w="50" w:type="dxa"/>
              <w:bottom w:w="50" w:type="dxa"/>
              <w:left w:w="90" w:type="dxa"/>
              <w:right w:w="90" w:type="dxa"/>
            </w:tcMar>
          </w:tcPr>
          <w:p>
            <w:pPr>
              <w:pStyle w:val="BDOITable"/>
            </w:pPr>
            <w:r>
              <w:rPr>
                <w:sz w:val="17"/>
              </w:rPr>
              <w:t>The FRS gives the no-access text as "You do not have access to this page". The platform screen shows "You do not have access to this screen. Contact your administrator if you need it." (frontend/src/auth/RequireAuth.tsx), as found for BRD-3.</w:t>
            </w:r>
          </w:p>
        </w:tc>
        <w:tc>
          <w:tcPr>
            <w:tcW w:type="dxa" w:w="3402"/>
            <w:tcMar>
              <w:top w:w="50" w:type="dxa"/>
              <w:bottom w:w="50" w:type="dxa"/>
              <w:left w:w="90" w:type="dxa"/>
              <w:right w:w="90" w:type="dxa"/>
            </w:tcMar>
          </w:tcPr>
          <w:p>
            <w:pPr>
              <w:pStyle w:val="BDOITable"/>
            </w:pPr>
            <w:r>
              <w:rPr>
                <w:sz w:val="17"/>
              </w:rPr>
              <w:t>Quote the platform text in FRS v1.1; the cases check the no-access page without quoting it.</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TF-SS-02</w:t>
            </w:r>
          </w:p>
        </w:tc>
        <w:tc>
          <w:tcPr>
            <w:tcW w:type="dxa" w:w="1290"/>
            <w:tcMar>
              <w:top w:w="50" w:type="dxa"/>
              <w:bottom w:w="50" w:type="dxa"/>
              <w:left w:w="90" w:type="dxa"/>
              <w:right w:w="90" w:type="dxa"/>
            </w:tcMar>
            <w:shd w:val="clear" w:color="auto" w:fill="E5F5FF"/>
          </w:tcPr>
          <w:p>
            <w:pPr>
              <w:pStyle w:val="BDOITable"/>
            </w:pPr>
            <w:r>
              <w:rPr>
                <w:sz w:val="17"/>
              </w:rPr>
              <w:t>FR-SS-031</w:t>
            </w:r>
          </w:p>
        </w:tc>
        <w:tc>
          <w:tcPr>
            <w:tcW w:type="dxa" w:w="4223"/>
            <w:tcMar>
              <w:top w:w="50" w:type="dxa"/>
              <w:bottom w:w="50" w:type="dxa"/>
              <w:left w:w="90" w:type="dxa"/>
              <w:right w:w="90" w:type="dxa"/>
            </w:tcMar>
            <w:shd w:val="clear" w:color="auto" w:fill="E5F5FF"/>
          </w:tcPr>
          <w:p>
            <w:pPr>
              <w:pStyle w:val="BDOITable"/>
            </w:pPr>
            <w:r>
              <w:rPr>
                <w:sz w:val="17"/>
              </w:rPr>
              <w:t>Acceptance criterion 1 says "Juan Dela Cruz" matches "Juan de la Cruz" by the phonetic rule, but the normalisation of R4 (case, punctuation, word order) may already give an exact or fuzzy match first. The FRS does not say which algorithm is recorded when several meet their thresholds, or the expected score.</w:t>
            </w:r>
          </w:p>
        </w:tc>
        <w:tc>
          <w:tcPr>
            <w:tcW w:type="dxa" w:w="3402"/>
            <w:tcMar>
              <w:top w:w="50" w:type="dxa"/>
              <w:bottom w:w="50" w:type="dxa"/>
              <w:left w:w="90" w:type="dxa"/>
              <w:right w:w="90" w:type="dxa"/>
            </w:tcMar>
            <w:shd w:val="clear" w:color="auto" w:fill="E5F5FF"/>
          </w:tcPr>
          <w:p>
            <w:pPr>
              <w:pStyle w:val="BDOITable"/>
            </w:pPr>
            <w:r>
              <w:rPr>
                <w:sz w:val="17"/>
              </w:rPr>
              <w:t>State the order of the algorithms and which one is recorded; give the expected algorithm and a score range for the acceptance example.</w:t>
            </w:r>
          </w:p>
        </w:tc>
      </w:tr>
      <w:tr>
        <w:trPr>
          <w:cantSplit w:val="true"/>
        </w:trPr>
        <w:tc>
          <w:tcPr>
            <w:tcW w:type="dxa" w:w="1056"/>
            <w:tcMar>
              <w:top w:w="50" w:type="dxa"/>
              <w:bottom w:w="50" w:type="dxa"/>
              <w:left w:w="90" w:type="dxa"/>
              <w:right w:w="90" w:type="dxa"/>
            </w:tcMar>
          </w:tcPr>
          <w:p>
            <w:pPr>
              <w:pStyle w:val="BDOITable"/>
            </w:pPr>
            <w:r>
              <w:rPr>
                <w:sz w:val="17"/>
              </w:rPr>
              <w:t>TF-SS-03</w:t>
            </w:r>
          </w:p>
        </w:tc>
        <w:tc>
          <w:tcPr>
            <w:tcW w:type="dxa" w:w="1290"/>
            <w:tcMar>
              <w:top w:w="50" w:type="dxa"/>
              <w:bottom w:w="50" w:type="dxa"/>
              <w:left w:w="90" w:type="dxa"/>
              <w:right w:w="90" w:type="dxa"/>
            </w:tcMar>
          </w:tcPr>
          <w:p>
            <w:pPr>
              <w:pStyle w:val="BDOITable"/>
            </w:pPr>
            <w:r>
              <w:rPr>
                <w:sz w:val="17"/>
              </w:rPr>
              <w:t>FR-SS-034</w:t>
            </w:r>
          </w:p>
        </w:tc>
        <w:tc>
          <w:tcPr>
            <w:tcW w:type="dxa" w:w="4223"/>
            <w:tcMar>
              <w:top w:w="50" w:type="dxa"/>
              <w:bottom w:w="50" w:type="dxa"/>
              <w:left w:w="90" w:type="dxa"/>
              <w:right w:w="90" w:type="dxa"/>
            </w:tcMar>
          </w:tcPr>
          <w:p>
            <w:pPr>
              <w:pStyle w:val="BDOITable"/>
            </w:pPr>
            <w:r>
              <w:rPr>
                <w:sz w:val="17"/>
              </w:rPr>
              <w:t>The FRS says only clients with an active policy need a KYC review or EDD and others get a MONITOR case, but it does not say whether a NAME_MATCH or ACCOUNT_APPLICATION case of a client without an active policy also becomes MONITOR.</w:t>
            </w:r>
          </w:p>
        </w:tc>
        <w:tc>
          <w:tcPr>
            <w:tcW w:type="dxa" w:w="3402"/>
            <w:tcMar>
              <w:top w:w="50" w:type="dxa"/>
              <w:bottom w:w="50" w:type="dxa"/>
              <w:left w:w="90" w:type="dxa"/>
              <w:right w:w="90" w:type="dxa"/>
            </w:tcMar>
          </w:tcPr>
          <w:p>
            <w:pPr>
              <w:pStyle w:val="BDOITable"/>
            </w:pPr>
            <w:r>
              <w:rPr>
                <w:sz w:val="17"/>
              </w:rPr>
              <w:t>State the case type per trigger for clients without an active policy; the cases assume only HIGH_RISK, PEP and EDD become MONITOR.</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TF-SS-04</w:t>
            </w:r>
          </w:p>
        </w:tc>
        <w:tc>
          <w:tcPr>
            <w:tcW w:type="dxa" w:w="1290"/>
            <w:tcMar>
              <w:top w:w="50" w:type="dxa"/>
              <w:bottom w:w="50" w:type="dxa"/>
              <w:left w:w="90" w:type="dxa"/>
              <w:right w:w="90" w:type="dxa"/>
            </w:tcMar>
            <w:shd w:val="clear" w:color="auto" w:fill="E5F5FF"/>
          </w:tcPr>
          <w:p>
            <w:pPr>
              <w:pStyle w:val="BDOITable"/>
            </w:pPr>
            <w:r>
              <w:rPr>
                <w:sz w:val="17"/>
              </w:rPr>
              <w:t>FR-SS-043</w:t>
            </w:r>
          </w:p>
        </w:tc>
        <w:tc>
          <w:tcPr>
            <w:tcW w:type="dxa" w:w="4223"/>
            <w:tcMar>
              <w:top w:w="50" w:type="dxa"/>
              <w:bottom w:w="50" w:type="dxa"/>
              <w:left w:w="90" w:type="dxa"/>
              <w:right w:w="90" w:type="dxa"/>
            </w:tcMar>
            <w:shd w:val="clear" w:color="auto" w:fill="E5F5FF"/>
          </w:tcPr>
          <w:p>
            <w:pPr>
              <w:pStyle w:val="BDOITable"/>
            </w:pPr>
            <w:r>
              <w:rPr>
                <w:sz w:val="17"/>
              </w:rPr>
              <w:t>The FR names the Investigator as an actor of re-assignment, but the role matrix does not grant SCR_CASE_ASSIGN to the Investigator (SQ13).</w:t>
            </w:r>
          </w:p>
        </w:tc>
        <w:tc>
          <w:tcPr>
            <w:tcW w:type="dxa" w:w="3402"/>
            <w:tcMar>
              <w:top w:w="50" w:type="dxa"/>
              <w:bottom w:w="50" w:type="dxa"/>
              <w:left w:w="90" w:type="dxa"/>
              <w:right w:w="90" w:type="dxa"/>
            </w:tcMar>
            <w:shd w:val="clear" w:color="auto" w:fill="E5F5FF"/>
          </w:tcPr>
          <w:p>
            <w:pPr>
              <w:pStyle w:val="BDOITable"/>
            </w:pPr>
            <w:r>
              <w:rPr>
                <w:sz w:val="17"/>
              </w:rPr>
              <w:t>Align the actor line with the matrix after SQ13; the access checks deny re-assignment to the Investigator.</w:t>
            </w:r>
          </w:p>
        </w:tc>
      </w:tr>
      <w:tr>
        <w:trPr>
          <w:cantSplit w:val="true"/>
        </w:trPr>
        <w:tc>
          <w:tcPr>
            <w:tcW w:type="dxa" w:w="1056"/>
            <w:tcMar>
              <w:top w:w="50" w:type="dxa"/>
              <w:bottom w:w="50" w:type="dxa"/>
              <w:left w:w="90" w:type="dxa"/>
              <w:right w:w="90" w:type="dxa"/>
            </w:tcMar>
          </w:tcPr>
          <w:p>
            <w:pPr>
              <w:pStyle w:val="BDOITable"/>
            </w:pPr>
            <w:r>
              <w:rPr>
                <w:sz w:val="17"/>
              </w:rPr>
              <w:t>TF-SS-05</w:t>
            </w:r>
          </w:p>
        </w:tc>
        <w:tc>
          <w:tcPr>
            <w:tcW w:type="dxa" w:w="1290"/>
            <w:tcMar>
              <w:top w:w="50" w:type="dxa"/>
              <w:bottom w:w="50" w:type="dxa"/>
              <w:left w:w="90" w:type="dxa"/>
              <w:right w:w="90" w:type="dxa"/>
            </w:tcMar>
          </w:tcPr>
          <w:p>
            <w:pPr>
              <w:pStyle w:val="BDOITable"/>
            </w:pPr>
            <w:r>
              <w:rPr>
                <w:sz w:val="17"/>
              </w:rPr>
              <w:t>FR-SS-052</w:t>
            </w:r>
          </w:p>
        </w:tc>
        <w:tc>
          <w:tcPr>
            <w:tcW w:type="dxa" w:w="4223"/>
            <w:tcMar>
              <w:top w:w="50" w:type="dxa"/>
              <w:bottom w:w="50" w:type="dxa"/>
              <w:left w:w="90" w:type="dxa"/>
              <w:right w:w="90" w:type="dxa"/>
            </w:tcMar>
          </w:tcPr>
          <w:p>
            <w:pPr>
              <w:pStyle w:val="BDOITable"/>
            </w:pPr>
            <w:r>
              <w:rPr>
                <w:sz w:val="17"/>
              </w:rPr>
              <w:t>The naming example "KYC_REVIEW_ABC Trading_20260512_&lt;type&gt;_1" keeps a space and would keep other characters of the client name that file systems or the AMLC may refuse. The document-type code in the name is not fixed.</w:t>
            </w:r>
          </w:p>
        </w:tc>
        <w:tc>
          <w:tcPr>
            <w:tcW w:type="dxa" w:w="3402"/>
            <w:tcMar>
              <w:top w:w="50" w:type="dxa"/>
              <w:bottom w:w="50" w:type="dxa"/>
              <w:left w:w="90" w:type="dxa"/>
              <w:right w:w="90" w:type="dxa"/>
            </w:tcMar>
          </w:tcPr>
          <w:p>
            <w:pPr>
              <w:pStyle w:val="BDOITable"/>
            </w:pPr>
            <w:r>
              <w:rPr>
                <w:sz w:val="17"/>
              </w:rPr>
              <w:t>State how the client name is cleaned (spaces, punctuation, length) and which document-type value is used; the case checks the example as written.</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TF-SS-06</w:t>
            </w:r>
          </w:p>
        </w:tc>
        <w:tc>
          <w:tcPr>
            <w:tcW w:type="dxa" w:w="1290"/>
            <w:tcMar>
              <w:top w:w="50" w:type="dxa"/>
              <w:bottom w:w="50" w:type="dxa"/>
              <w:left w:w="90" w:type="dxa"/>
              <w:right w:w="90" w:type="dxa"/>
            </w:tcMar>
            <w:shd w:val="clear" w:color="auto" w:fill="E5F5FF"/>
          </w:tcPr>
          <w:p>
            <w:pPr>
              <w:pStyle w:val="BDOITable"/>
            </w:pPr>
            <w:r>
              <w:rPr>
                <w:sz w:val="17"/>
              </w:rPr>
              <w:t>FR-SS-064</w:t>
            </w:r>
          </w:p>
        </w:tc>
        <w:tc>
          <w:tcPr>
            <w:tcW w:type="dxa" w:w="4223"/>
            <w:tcMar>
              <w:top w:w="50" w:type="dxa"/>
              <w:bottom w:w="50" w:type="dxa"/>
              <w:left w:w="90" w:type="dxa"/>
              <w:right w:w="90" w:type="dxa"/>
            </w:tcMar>
            <w:shd w:val="clear" w:color="auto" w:fill="E5F5FF"/>
          </w:tcPr>
          <w:p>
            <w:pPr>
              <w:pStyle w:val="BDOITable"/>
            </w:pPr>
            <w:r>
              <w:rPr>
                <w:sz w:val="17"/>
              </w:rPr>
              <w:t>The FRS does not say whether MAJORITY means a majority of SCR_COMMITTEE_SIZE or of the members who hold AML_COMMITTEE, or what happens when fewer members than the size hold the role or a member is absent.</w:t>
            </w:r>
          </w:p>
        </w:tc>
        <w:tc>
          <w:tcPr>
            <w:tcW w:type="dxa" w:w="3402"/>
            <w:tcMar>
              <w:top w:w="50" w:type="dxa"/>
              <w:bottom w:w="50" w:type="dxa"/>
              <w:left w:w="90" w:type="dxa"/>
              <w:right w:w="90" w:type="dxa"/>
            </w:tcMar>
            <w:shd w:val="clear" w:color="auto" w:fill="E5F5FF"/>
          </w:tcPr>
          <w:p>
            <w:pPr>
              <w:pStyle w:val="BDOITable"/>
            </w:pPr>
            <w:r>
              <w:rPr>
                <w:sz w:val="17"/>
              </w:rPr>
              <w:t>Define the quorum and the behaviour with fewer members; the cases use five members.</w:t>
            </w:r>
          </w:p>
        </w:tc>
      </w:tr>
      <w:tr>
        <w:trPr>
          <w:cantSplit w:val="true"/>
        </w:trPr>
        <w:tc>
          <w:tcPr>
            <w:tcW w:type="dxa" w:w="1056"/>
            <w:tcMar>
              <w:top w:w="50" w:type="dxa"/>
              <w:bottom w:w="50" w:type="dxa"/>
              <w:left w:w="90" w:type="dxa"/>
              <w:right w:w="90" w:type="dxa"/>
            </w:tcMar>
          </w:tcPr>
          <w:p>
            <w:pPr>
              <w:pStyle w:val="BDOITable"/>
            </w:pPr>
            <w:r>
              <w:rPr>
                <w:sz w:val="17"/>
              </w:rPr>
              <w:t>TF-SS-07</w:t>
            </w:r>
          </w:p>
        </w:tc>
        <w:tc>
          <w:tcPr>
            <w:tcW w:type="dxa" w:w="1290"/>
            <w:tcMar>
              <w:top w:w="50" w:type="dxa"/>
              <w:bottom w:w="50" w:type="dxa"/>
              <w:left w:w="90" w:type="dxa"/>
              <w:right w:w="90" w:type="dxa"/>
            </w:tcMar>
          </w:tcPr>
          <w:p>
            <w:pPr>
              <w:pStyle w:val="BDOITable"/>
            </w:pPr>
            <w:r>
              <w:rPr>
                <w:sz w:val="17"/>
              </w:rPr>
              <w:t>FR-SS-070</w:t>
            </w:r>
          </w:p>
        </w:tc>
        <w:tc>
          <w:tcPr>
            <w:tcW w:type="dxa" w:w="4223"/>
            <w:tcMar>
              <w:top w:w="50" w:type="dxa"/>
              <w:bottom w:w="50" w:type="dxa"/>
              <w:left w:w="90" w:type="dxa"/>
              <w:right w:w="90" w:type="dxa"/>
            </w:tcMar>
          </w:tcPr>
          <w:p>
            <w:pPr>
              <w:pStyle w:val="BDOITable"/>
            </w:pPr>
            <w:r>
              <w:rPr>
                <w:sz w:val="17"/>
              </w:rPr>
              <w:t>At least one reason code is mandatory on the STR, but the list SCR_STR_REASON is delivered empty until BDOI supplies the AMLC codes (SQ09). An STR cannot be completed in UAT as delivered.</w:t>
            </w:r>
          </w:p>
        </w:tc>
        <w:tc>
          <w:tcPr>
            <w:tcW w:type="dxa" w:w="3402"/>
            <w:tcMar>
              <w:top w:w="50" w:type="dxa"/>
              <w:bottom w:w="50" w:type="dxa"/>
              <w:left w:w="90" w:type="dxa"/>
              <w:right w:w="90" w:type="dxa"/>
            </w:tcMar>
          </w:tcPr>
          <w:p>
            <w:pPr>
              <w:pStyle w:val="BDOITable"/>
            </w:pPr>
            <w:r>
              <w:rPr>
                <w:sz w:val="17"/>
              </w:rPr>
              <w:t>Deliver placeholder reason codes for testing or make the field optional until SQ09; the cases use test codes UAT01 and UAT02 added by the test lead.</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TF-SS-08</w:t>
            </w:r>
          </w:p>
        </w:tc>
        <w:tc>
          <w:tcPr>
            <w:tcW w:type="dxa" w:w="1290"/>
            <w:tcMar>
              <w:top w:w="50" w:type="dxa"/>
              <w:bottom w:w="50" w:type="dxa"/>
              <w:left w:w="90" w:type="dxa"/>
              <w:right w:w="90" w:type="dxa"/>
            </w:tcMar>
            <w:shd w:val="clear" w:color="auto" w:fill="E5F5FF"/>
          </w:tcPr>
          <w:p>
            <w:pPr>
              <w:pStyle w:val="BDOITable"/>
            </w:pPr>
            <w:r>
              <w:rPr>
                <w:sz w:val="17"/>
              </w:rPr>
              <w:t>FR-SS-071</w:t>
            </w:r>
          </w:p>
        </w:tc>
        <w:tc>
          <w:tcPr>
            <w:tcW w:type="dxa" w:w="4223"/>
            <w:tcMar>
              <w:top w:w="50" w:type="dxa"/>
              <w:bottom w:w="50" w:type="dxa"/>
              <w:left w:w="90" w:type="dxa"/>
              <w:right w:w="90" w:type="dxa"/>
            </w:tcMar>
            <w:shd w:val="clear" w:color="auto" w:fill="E5F5FF"/>
          </w:tcPr>
          <w:p>
            <w:pPr>
              <w:pStyle w:val="BDOITable"/>
            </w:pPr>
            <w:r>
              <w:rPr>
                <w:sz w:val="17"/>
              </w:rPr>
              <w:t>Acceptance criterion 1 "the committee-approved STRs of that month" does not say whether the month is the committee decision date, the STR creation date or the date the STR was marked ready.</w:t>
            </w:r>
          </w:p>
        </w:tc>
        <w:tc>
          <w:tcPr>
            <w:tcW w:type="dxa" w:w="3402"/>
            <w:tcMar>
              <w:top w:w="50" w:type="dxa"/>
              <w:bottom w:w="50" w:type="dxa"/>
              <w:left w:w="90" w:type="dxa"/>
              <w:right w:w="90" w:type="dxa"/>
            </w:tcMar>
            <w:shd w:val="clear" w:color="auto" w:fill="E5F5FF"/>
          </w:tcPr>
          <w:p>
            <w:pPr>
              <w:pStyle w:val="BDOITable"/>
            </w:pPr>
            <w:r>
              <w:rPr>
                <w:sz w:val="17"/>
              </w:rPr>
              <w:t>Name the date the period filters on; the cases assume the committee decision date.</w:t>
            </w:r>
          </w:p>
        </w:tc>
      </w:tr>
      <w:tr>
        <w:trPr>
          <w:cantSplit w:val="true"/>
        </w:trPr>
        <w:tc>
          <w:tcPr>
            <w:tcW w:type="dxa" w:w="1056"/>
            <w:tcMar>
              <w:top w:w="50" w:type="dxa"/>
              <w:bottom w:w="50" w:type="dxa"/>
              <w:left w:w="90" w:type="dxa"/>
              <w:right w:w="90" w:type="dxa"/>
            </w:tcMar>
          </w:tcPr>
          <w:p>
            <w:pPr>
              <w:pStyle w:val="BDOITable"/>
            </w:pPr>
            <w:r>
              <w:rPr>
                <w:sz w:val="17"/>
              </w:rPr>
              <w:t>TF-SS-09</w:t>
            </w:r>
          </w:p>
        </w:tc>
        <w:tc>
          <w:tcPr>
            <w:tcW w:type="dxa" w:w="1290"/>
            <w:tcMar>
              <w:top w:w="50" w:type="dxa"/>
              <w:bottom w:w="50" w:type="dxa"/>
              <w:left w:w="90" w:type="dxa"/>
              <w:right w:w="90" w:type="dxa"/>
            </w:tcMar>
          </w:tcPr>
          <w:p>
            <w:pPr>
              <w:pStyle w:val="BDOITable"/>
            </w:pPr>
            <w:r>
              <w:rPr>
                <w:sz w:val="17"/>
              </w:rPr>
              <w:t>FR-SS-018</w:t>
            </w:r>
          </w:p>
        </w:tc>
        <w:tc>
          <w:tcPr>
            <w:tcW w:type="dxa" w:w="4223"/>
            <w:tcMar>
              <w:top w:w="50" w:type="dxa"/>
              <w:bottom w:w="50" w:type="dxa"/>
              <w:left w:w="90" w:type="dxa"/>
              <w:right w:w="90" w:type="dxa"/>
            </w:tcMar>
          </w:tcPr>
          <w:p>
            <w:pPr>
              <w:pStyle w:val="BDOITable"/>
            </w:pPr>
            <w:r>
              <w:rPr>
                <w:sz w:val="17"/>
              </w:rPr>
              <w:t>The acceptance criterion quotes delivered values (CONCUR, NOT_CONCUR) that are placeholders until BDOI confirms the dispositions (SQ06); the test changes when the list changes.</w:t>
            </w:r>
          </w:p>
        </w:tc>
        <w:tc>
          <w:tcPr>
            <w:tcW w:type="dxa" w:w="3402"/>
            <w:tcMar>
              <w:top w:w="50" w:type="dxa"/>
              <w:bottom w:w="50" w:type="dxa"/>
              <w:left w:w="90" w:type="dxa"/>
              <w:right w:w="90" w:type="dxa"/>
            </w:tcMar>
          </w:tcPr>
          <w:p>
            <w:pPr>
              <w:pStyle w:val="BDOITable"/>
            </w:pPr>
            <w:r>
              <w:rPr>
                <w:sz w:val="17"/>
              </w:rPr>
              <w:t>Keep the criterion in terms of "the dispositions whose parent is the stage" and move the values to section 9.2.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TF-SS-10</w:t>
            </w:r>
          </w:p>
        </w:tc>
        <w:tc>
          <w:tcPr>
            <w:tcW w:type="dxa" w:w="1290"/>
            <w:tcMar>
              <w:top w:w="50" w:type="dxa"/>
              <w:bottom w:w="50" w:type="dxa"/>
              <w:left w:w="90" w:type="dxa"/>
              <w:right w:w="90" w:type="dxa"/>
            </w:tcMar>
            <w:shd w:val="clear" w:color="auto" w:fill="E5F5FF"/>
          </w:tcPr>
          <w:p>
            <w:pPr>
              <w:pStyle w:val="BDOITable"/>
            </w:pPr>
            <w:r>
              <w:rPr>
                <w:sz w:val="17"/>
              </w:rPr>
              <w:t>FR-SS-091</w:t>
            </w:r>
          </w:p>
        </w:tc>
        <w:tc>
          <w:tcPr>
            <w:tcW w:type="dxa" w:w="4223"/>
            <w:tcMar>
              <w:top w:w="50" w:type="dxa"/>
              <w:bottom w:w="50" w:type="dxa"/>
              <w:left w:w="90" w:type="dxa"/>
              <w:right w:w="90" w:type="dxa"/>
            </w:tcMar>
            <w:shd w:val="clear" w:color="auto" w:fill="E5F5FF"/>
          </w:tcPr>
          <w:p>
            <w:pPr>
              <w:pStyle w:val="BDOITable"/>
            </w:pPr>
            <w:r>
              <w:rPr>
                <w:sz w:val="17"/>
              </w:rPr>
              <w:t>Acceptance criterion 2 (a database update of a timeline row is refused) needs database access that testers do not have, and the 5-year archive retention may be shorter than AMLA requires (SQ18).</w:t>
            </w:r>
          </w:p>
        </w:tc>
        <w:tc>
          <w:tcPr>
            <w:tcW w:type="dxa" w:w="3402"/>
            <w:tcMar>
              <w:top w:w="50" w:type="dxa"/>
              <w:bottom w:w="50" w:type="dxa"/>
              <w:left w:w="90" w:type="dxa"/>
              <w:right w:w="90" w:type="dxa"/>
            </w:tcMar>
            <w:shd w:val="clear" w:color="auto" w:fill="E5F5FF"/>
          </w:tcPr>
          <w:p>
            <w:pPr>
              <w:pStyle w:val="BDOITable"/>
            </w:pPr>
            <w:r>
              <w:rPr>
                <w:sz w:val="17"/>
              </w:rPr>
              <w:t>Record the database check as evidence from the database administrator; confirm the retention period under SQ18.</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Sanction Screening and Risk Profiling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Chief Compliance Officer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Claims and Risk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BRD-10 Sanction Screening</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Sanction Screening Test Plan</dc:title>
  <dc:subject>BIBS – BDOI Broker System</dc:subject>
  <dc:creator>iorta TechNXT</dc:creator>
  <cp:keywords>TestPlan, BRD-10,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