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RELEASE NOTE</w:t>
      </w:r>
    </w:p>
    <w:p>
      <w:pPr>
        <w:spacing w:after="80" w:line="240" w:lineRule="auto"/>
      </w:pPr>
      <w:r>
        <w:rPr>
          <w:b/>
          <w:color w:val="004EA8"/>
          <w:sz w:val="56"/>
        </w:rPr>
        <w:t>New Business Release Note</w:t>
      </w:r>
    </w:p>
    <w:p>
      <w:pPr>
        <w:spacing w:after="40"/>
      </w:pPr>
      <w:r>
        <w:rPr>
          <w:color w:val="2E2E2E"/>
          <w:sz w:val="28"/>
        </w:rPr>
        <w:t>BRD-1 New Business business sign-off pack,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BIBS-RN-BRD-01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Release of the BRD-1 New Business business sign-off pack</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Retail, Commercial, Corporate and Institutional Marketing</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Client, quotation, PRF and account screens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Technical Support Unit (TSU)</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PRF, slips and insurer responses</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Payment, placement, issuance and booking screens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Booking entries and service invoices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Review sessions, answers,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release contains</w:t>
        </w:r>
        <w:r>
          <w:t xml:space="preserve">	</w:t>
        </w:r>
        <w:r>
          <w:t xml:space="preserve">4</w:t>
        </w:r>
      </w:hyperlink>
    </w:p>
    <w:p>
      <w:pPr>
        <w:pStyle w:val="toc1"/>
      </w:pPr>
      <w:hyperlink w:anchor="_Toc000102" w:history="1">
        <w:r>
          <w:t xml:space="preserve">2 How to review</w:t>
        </w:r>
        <w:r>
          <w:t xml:space="preserve">	</w:t>
        </w:r>
        <w:r>
          <w:t xml:space="preserve">4</w:t>
        </w:r>
      </w:hyperlink>
    </w:p>
    <w:p>
      <w:pPr>
        <w:pStyle w:val="toc1"/>
      </w:pPr>
      <w:hyperlink w:anchor="_Toc000103" w:history="1">
        <w:r>
          <w:t xml:space="preserve">3 Review sessions</w:t>
        </w:r>
        <w:r>
          <w:t xml:space="preserve">	</w:t>
        </w:r>
        <w:r>
          <w:t xml:space="preserve">5</w:t>
        </w:r>
      </w:hyperlink>
    </w:p>
    <w:p>
      <w:pPr>
        <w:pStyle w:val="toc1"/>
      </w:pPr>
      <w:hyperlink w:anchor="_Toc000104" w:history="1">
        <w:r>
          <w:t xml:space="preserve">4 Timeline for comments and sign-off</w:t>
        </w:r>
        <w:r>
          <w:t xml:space="preserve">	</w:t>
        </w:r>
        <w:r>
          <w:t xml:space="preserve">5</w:t>
        </w:r>
      </w:hyperlink>
    </w:p>
    <w:p>
      <w:pPr>
        <w:pStyle w:val="toc1"/>
      </w:pPr>
      <w:hyperlink w:anchor="_Toc000105" w:history="1">
        <w:r>
          <w:t xml:space="preserve">5 Change control after sign-off</w:t>
        </w:r>
        <w:r>
          <w:t xml:space="preserve">	</w:t>
        </w:r>
        <w:r>
          <w:t xml:space="preserve">6</w:t>
        </w:r>
      </w:hyperlink>
      <w:r>
        <w:fldChar w:fldCharType="end"/>
      </w:r>
    </w:p>
    <w:p>
      <w:pPr>
        <w:pStyle w:val="Heading1"/>
        <w:pageBreakBefore/>
        <w:pBdr>
          <w:bottom w:val="single" w:sz="4" w:space="4" w:color="99C1E7"/>
        </w:pBdr>
      </w:pPr>
      <w:bookmarkStart w:id="101" w:name="_Toc000101"/>
      <w:r>
        <w:rPr/>
        <w:t>1 What this release contains</w:t>
      </w:r>
      <w:bookmarkEnd w:id="101"/>
    </w:p>
    <w:p>
      <w:r>
        <w:rPr/>
        <w:t>This release note accompanies the business sign-off pack of BRD-1 New Business, release set v2.0. The set shows the New Business functions of BIBS as built on 26-Sep-2026, screen by screen, so that each business unit can confirm them and sign them off. All documents are in the release-set folder BRD-01_New_Business of Drop 1.</w:t>
      </w:r>
    </w:p>
    <w:p>
      <w:pPr>
        <w:pStyle w:val="Caption"/>
        <w:keepNext/>
        <w:spacing w:after="60"/>
      </w:pPr>
      <w:r>
        <w:rPr>
          <w:b/>
          <w:i w:val="0"/>
        </w:rPr>
        <w:t xml:space="preserve">Table 1: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133"/>
        <w:gridCol w:w="589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5893"/>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2946"/>
            <w:tcMar>
              <w:top w:w="50" w:type="dxa"/>
              <w:bottom w:w="50" w:type="dxa"/>
              <w:left w:w="90" w:type="dxa"/>
              <w:right w:w="90" w:type="dxa"/>
            </w:tcMar>
          </w:tcPr>
          <w:p>
            <w:pPr>
              <w:pStyle w:val="BDOITable"/>
            </w:pPr>
            <w:r>
              <w:rPr>
                <w:sz w:val="18"/>
              </w:rPr>
              <w:t>BIBS_FRS_BRD-01_New_Business_v2.0.docx</w:t>
            </w:r>
          </w:p>
        </w:tc>
        <w:tc>
          <w:tcPr>
            <w:tcW w:type="dxa" w:w="1133"/>
            <w:tcMar>
              <w:top w:w="50" w:type="dxa"/>
              <w:bottom w:w="50" w:type="dxa"/>
              <w:left w:w="90" w:type="dxa"/>
              <w:right w:w="90" w:type="dxa"/>
            </w:tcMar>
          </w:tcPr>
          <w:p>
            <w:pPr>
              <w:pStyle w:val="BDOITable"/>
            </w:pPr>
            <w:r>
              <w:rPr>
                <w:sz w:val="18"/>
              </w:rPr>
              <w:t>2.0</w:t>
            </w:r>
          </w:p>
        </w:tc>
        <w:tc>
          <w:tcPr>
            <w:tcW w:type="dxa" w:w="5893"/>
            <w:tcMar>
              <w:top w:w="50" w:type="dxa"/>
              <w:bottom w:w="50" w:type="dxa"/>
              <w:left w:w="90" w:type="dxa"/>
              <w:right w:w="90" w:type="dxa"/>
            </w:tcMar>
          </w:tcPr>
          <w:p>
            <w:pPr>
              <w:pStyle w:val="BDOITable"/>
            </w:pPr>
            <w:r>
              <w:rPr>
                <w:sz w:val="18"/>
              </w:rPr>
              <w:t>The functional requirements of v1.0 unchanged (chapters 1-11), plus navigation by persona and the screen flow (12), 46 screen specifications with screenshots, field and action tables, rules and outcome (13), three end-to-end walkthroughs (14), the messages catalogue (15), notifications (16), generated documents (17), upload templates (18), the cross-BRD interface contract (19), and sign-off and change control (20)</w:t>
            </w:r>
          </w:p>
        </w:tc>
      </w:tr>
      <w:tr>
        <w:trPr>
          <w:cantSplit w:val="true"/>
        </w:trPr>
        <w:tc>
          <w:tcPr>
            <w:tcW w:type="dxa" w:w="2946"/>
            <w:tcMar>
              <w:top w:w="50" w:type="dxa"/>
              <w:bottom w:w="50" w:type="dxa"/>
              <w:left w:w="90" w:type="dxa"/>
              <w:right w:w="90" w:type="dxa"/>
            </w:tcMar>
            <w:shd w:val="clear" w:color="auto" w:fill="E5F5FF"/>
          </w:tcPr>
          <w:p>
            <w:pPr>
              <w:pStyle w:val="BDOITable"/>
            </w:pPr>
            <w:r>
              <w:rPr>
                <w:sz w:val="18"/>
              </w:rPr>
              <w:t>BIBS_Signoff_BRD-01_New_Business_v2.0.xlsx</w:t>
            </w:r>
          </w:p>
        </w:tc>
        <w:tc>
          <w:tcPr>
            <w:tcW w:type="dxa" w:w="1133"/>
            <w:tcMar>
              <w:top w:w="50" w:type="dxa"/>
              <w:bottom w:w="50" w:type="dxa"/>
              <w:left w:w="90" w:type="dxa"/>
              <w:right w:w="90" w:type="dxa"/>
            </w:tcMar>
            <w:shd w:val="clear" w:color="auto" w:fill="E5F5FF"/>
          </w:tcPr>
          <w:p>
            <w:pPr>
              <w:pStyle w:val="BDOITable"/>
            </w:pPr>
            <w:r>
              <w:rPr>
                <w:sz w:val="18"/>
              </w:rPr>
              <w:t>2.0</w:t>
            </w:r>
          </w:p>
        </w:tc>
        <w:tc>
          <w:tcPr>
            <w:tcW w:type="dxa" w:w="5893"/>
            <w:tcMar>
              <w:top w:w="50" w:type="dxa"/>
              <w:bottom w:w="50" w:type="dxa"/>
              <w:left w:w="90" w:type="dxa"/>
              <w:right w:w="90" w:type="dxa"/>
            </w:tcMar>
            <w:shd w:val="clear" w:color="auto" w:fill="E5F5FF"/>
          </w:tcPr>
          <w:p>
            <w:pPr>
              <w:pStyle w:val="BDOITable"/>
            </w:pPr>
            <w:r>
              <w:rPr>
                <w:sz w:val="18"/>
              </w:rPr>
              <w:t>The same content as rows for review: screen catalogue, field register, actions, business rules, messages, notifications, menu by persona, upload templates, cross-BRD contract and the sign-off sheet</w:t>
            </w:r>
          </w:p>
        </w:tc>
      </w:tr>
      <w:tr>
        <w:trPr>
          <w:cantSplit w:val="true"/>
        </w:trPr>
        <w:tc>
          <w:tcPr>
            <w:tcW w:type="dxa" w:w="2946"/>
            <w:tcMar>
              <w:top w:w="50" w:type="dxa"/>
              <w:bottom w:w="50" w:type="dxa"/>
              <w:left w:w="90" w:type="dxa"/>
              <w:right w:w="90" w:type="dxa"/>
            </w:tcMar>
          </w:tcPr>
          <w:p>
            <w:pPr>
              <w:pStyle w:val="BDOITable"/>
            </w:pPr>
            <w:r>
              <w:rPr>
                <w:sz w:val="18"/>
              </w:rPr>
              <w:t>BIBS_TestPlan_BRD-01_New_Business_v2.0.xlsx and Summary</w:t>
            </w:r>
          </w:p>
        </w:tc>
        <w:tc>
          <w:tcPr>
            <w:tcW w:type="dxa" w:w="1133"/>
            <w:tcMar>
              <w:top w:w="50" w:type="dxa"/>
              <w:bottom w:w="50" w:type="dxa"/>
              <w:left w:w="90" w:type="dxa"/>
              <w:right w:w="90" w:type="dxa"/>
            </w:tcMar>
          </w:tcPr>
          <w:p>
            <w:pPr>
              <w:pStyle w:val="BDOITable"/>
            </w:pPr>
            <w:r>
              <w:rPr>
                <w:sz w:val="18"/>
              </w:rPr>
              <w:t>2.0</w:t>
            </w:r>
          </w:p>
        </w:tc>
        <w:tc>
          <w:tcPr>
            <w:tcW w:type="dxa" w:w="5893"/>
            <w:tcMar>
              <w:top w:w="50" w:type="dxa"/>
              <w:bottom w:w="50" w:type="dxa"/>
              <w:left w:w="90" w:type="dxa"/>
              <w:right w:w="90" w:type="dxa"/>
            </w:tcMar>
          </w:tcPr>
          <w:p>
            <w:pPr>
              <w:pStyle w:val="BDOITable"/>
            </w:pPr>
            <w:r>
              <w:rPr>
                <w:sz w:val="18"/>
              </w:rPr>
              <w:t>The test cases of v1.0 re-traced to the screens, plus one screen case per screen and one message case per screen or dialog</w:t>
            </w:r>
          </w:p>
        </w:tc>
      </w:tr>
      <w:tr>
        <w:trPr>
          <w:cantSplit w:val="true"/>
        </w:trPr>
        <w:tc>
          <w:tcPr>
            <w:tcW w:type="dxa" w:w="2946"/>
            <w:tcMar>
              <w:top w:w="50" w:type="dxa"/>
              <w:bottom w:w="50" w:type="dxa"/>
              <w:left w:w="90" w:type="dxa"/>
              <w:right w:w="90" w:type="dxa"/>
            </w:tcMar>
            <w:shd w:val="clear" w:color="auto" w:fill="E5F5FF"/>
          </w:tcPr>
          <w:p>
            <w:pPr>
              <w:pStyle w:val="BDOITable"/>
            </w:pPr>
            <w:r>
              <w:rPr>
                <w:sz w:val="18"/>
              </w:rPr>
              <w:t>This release note</w:t>
            </w:r>
          </w:p>
        </w:tc>
        <w:tc>
          <w:tcPr>
            <w:tcW w:type="dxa" w:w="1133"/>
            <w:tcMar>
              <w:top w:w="50" w:type="dxa"/>
              <w:bottom w:w="50" w:type="dxa"/>
              <w:left w:w="90" w:type="dxa"/>
              <w:right w:w="90" w:type="dxa"/>
            </w:tcMar>
            <w:shd w:val="clear" w:color="auto" w:fill="E5F5FF"/>
          </w:tcPr>
          <w:p>
            <w:pPr>
              <w:pStyle w:val="BDOITable"/>
            </w:pPr>
            <w:r>
              <w:rPr>
                <w:sz w:val="18"/>
              </w:rPr>
              <w:t>2.0</w:t>
            </w:r>
          </w:p>
        </w:tc>
        <w:tc>
          <w:tcPr>
            <w:tcW w:type="dxa" w:w="5893"/>
            <w:tcMar>
              <w:top w:w="50" w:type="dxa"/>
              <w:bottom w:w="50" w:type="dxa"/>
              <w:left w:w="90" w:type="dxa"/>
              <w:right w:w="90" w:type="dxa"/>
            </w:tcMar>
            <w:shd w:val="clear" w:color="auto" w:fill="E5F5FF"/>
          </w:tcPr>
          <w:p>
            <w:pPr>
              <w:pStyle w:val="BDOITable"/>
            </w:pPr>
            <w:r>
              <w:rPr>
                <w:sz w:val="18"/>
              </w:rPr>
              <w:t>How to review, the review sessions, the dates and change control</w:t>
            </w:r>
          </w:p>
        </w:tc>
      </w:tr>
    </w:tbl>
    <w:p>
      <w:pPr>
        <w:pStyle w:val="BDOISpacer"/>
      </w:pPr>
    </w:p>
    <w:p>
      <w:r>
        <w:rPr/>
        <w:t>FRS v1.0 and test plan v1.0 are replaced by this set. Every FR, BRD and test ID of v1.0 is kept, so comments already made on v1.0 still point to the same requirement.</w:t>
      </w:r>
    </w:p>
    <w:p>
      <w:pPr>
        <w:pStyle w:val="Heading1"/>
        <w:pBdr>
          <w:bottom w:val="single" w:sz="4" w:space="4" w:color="99C1E7"/>
        </w:pBdr>
      </w:pPr>
      <w:bookmarkStart w:id="102" w:name="_Toc000102"/>
      <w:r>
        <w:rPr/>
        <w:t>2 How to review</w:t>
      </w:r>
      <w:bookmarkEnd w:id="102"/>
    </w:p>
    <w:p>
      <w:pPr>
        <w:tabs>
          <w:tab w:pos="312" w:val="left"/>
        </w:tabs>
        <w:spacing w:after="40"/>
        <w:ind w:left="312" w:hanging="283"/>
      </w:pPr>
      <w:r>
        <w:rPr>
          <w:color w:val="004EA8"/>
        </w:rPr>
        <w:t>1.</w:t>
        <w:tab/>
      </w:r>
      <w:r>
        <w:rPr>
          <w:b/>
        </w:rPr>
        <w:t>Read the screen specifications</w:t>
      </w:r>
      <w:r>
        <w:rPr/>
        <w:t xml:space="preserve"> of your area in FRS chapter 13, or open the same screens on the SIT environment with your SIT user (table below). The numbered markers on each screenshot match the field table under it.</w:t>
      </w:r>
    </w:p>
    <w:p>
      <w:pPr>
        <w:tabs>
          <w:tab w:pos="312" w:val="left"/>
        </w:tabs>
        <w:spacing w:after="40"/>
        <w:ind w:left="312" w:hanging="283"/>
      </w:pPr>
      <w:r>
        <w:rPr>
          <w:color w:val="004EA8"/>
        </w:rPr>
        <w:t>2.</w:t>
        <w:tab/>
      </w:r>
      <w:r>
        <w:rPr>
          <w:b/>
        </w:rPr>
        <w:t>Record your review in the sign-off workbook.</w:t>
      </w:r>
      <w:r>
        <w:rPr/>
        <w:t xml:space="preserve"> On the sheets Screen catalogue, Field register, Business rules and Messages, set BU review to Accept, Change requested or Comment for each row you review; write the change in BU comment; add your name and the date. Do not change the other columns.</w:t>
      </w:r>
    </w:p>
    <w:p>
      <w:pPr>
        <w:tabs>
          <w:tab w:pos="312" w:val="left"/>
        </w:tabs>
        <w:spacing w:after="40"/>
        <w:ind w:left="312" w:hanging="283"/>
      </w:pPr>
      <w:r>
        <w:rPr>
          <w:color w:val="004EA8"/>
        </w:rPr>
        <w:t>3.</w:t>
        <w:tab/>
      </w:r>
      <w:r>
        <w:rPr>
          <w:b/>
        </w:rPr>
        <w:t>Check the menu of your users</w:t>
      </w:r>
      <w:r>
        <w:rPr/>
        <w:t xml:space="preserve"> on the sheet Menu by persona, and what New Business takes from and gives to your BRD on the sheet Cross-BRD contract.</w:t>
      </w:r>
    </w:p>
    <w:p>
      <w:pPr>
        <w:tabs>
          <w:tab w:pos="312" w:val="left"/>
        </w:tabs>
        <w:spacing w:after="120"/>
        <w:ind w:left="312" w:hanging="283"/>
      </w:pPr>
      <w:r>
        <w:rPr>
          <w:color w:val="004EA8"/>
        </w:rPr>
        <w:t>4.</w:t>
        <w:tab/>
      </w:r>
      <w:r>
        <w:rPr>
          <w:b/>
        </w:rPr>
        <w:t>Return the workbook</w:t>
      </w:r>
      <w:r>
        <w:rPr/>
        <w:t xml:space="preserve"> to the iorta TechNXT project manager by the comment deadline below. One workbook per business unit is enough; several reviewers can share it.</w:t>
      </w:r>
    </w:p>
    <w:p>
      <w:pPr>
        <w:pStyle w:val="Caption"/>
        <w:keepNext/>
        <w:spacing w:after="60"/>
      </w:pPr>
      <w:r>
        <w:rPr>
          <w:b/>
          <w:i w:val="0"/>
        </w:rPr>
        <w:t xml:space="preserve">Table 2: </w:t>
      </w:r>
      <w:r>
        <w:rPr/>
        <w:t>Review areas and SIT users (seed data)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33"/>
        <w:gridCol w:w="3739"/>
        <w:gridCol w:w="1699"/>
        <w:gridCol w:w="1699"/>
      </w:tblGrid>
      <w:tr>
        <w:trPr>
          <w:tblHeader w:val="true"/>
          <w:cantSplit w:val="true"/>
        </w:trPr>
        <w:tc>
          <w:tcPr>
            <w:tcW w:type="dxa" w:w="2833"/>
            <w:shd w:val="clear" w:color="auto" w:fill="004EA8"/>
            <w:tcMar>
              <w:top w:w="50" w:type="dxa"/>
              <w:bottom w:w="50" w:type="dxa"/>
              <w:left w:w="90" w:type="dxa"/>
              <w:right w:w="90" w:type="dxa"/>
            </w:tcMar>
            <w:vAlign w:val="center"/>
          </w:tcPr>
          <w:p>
            <w:pPr>
              <w:pStyle w:val="BDOITableHeader"/>
            </w:pPr>
            <w:r>
              <w:rPr>
                <w:b/>
                <w:color w:val="FFFFFF"/>
                <w:sz w:val="18"/>
              </w:rPr>
              <w:t>Business unit</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Chapters and screens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Walkthrough</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SIT user</w:t>
            </w:r>
          </w:p>
        </w:tc>
      </w:tr>
      <w:tr>
        <w:trPr>
          <w:cantSplit w:val="true"/>
        </w:trPr>
        <w:tc>
          <w:tcPr>
            <w:tcW w:type="dxa" w:w="2833"/>
            <w:tcMar>
              <w:top w:w="50" w:type="dxa"/>
              <w:bottom w:w="50" w:type="dxa"/>
              <w:left w:w="90" w:type="dxa"/>
              <w:right w:w="90" w:type="dxa"/>
            </w:tcMar>
          </w:tcPr>
          <w:p>
            <w:pPr>
              <w:pStyle w:val="BDOITable"/>
            </w:pPr>
            <w:r>
              <w:rPr>
                <w:sz w:val="18"/>
              </w:rPr>
              <w:t>Marketing (Retail, Commercial, Corporate, Institutional)</w:t>
            </w:r>
          </w:p>
        </w:tc>
        <w:tc>
          <w:tcPr>
            <w:tcW w:type="dxa" w:w="3739"/>
            <w:tcMar>
              <w:top w:w="50" w:type="dxa"/>
              <w:bottom w:w="50" w:type="dxa"/>
              <w:left w:w="90" w:type="dxa"/>
              <w:right w:w="90" w:type="dxa"/>
            </w:tcMar>
          </w:tcPr>
          <w:p>
            <w:pPr>
              <w:pStyle w:val="BDOITable"/>
            </w:pPr>
            <w:r>
              <w:rPr>
                <w:sz w:val="18"/>
              </w:rPr>
              <w:t>Clients, quotations, proposal requests, accounts (SCR-NB-01 to 17)</w:t>
            </w:r>
          </w:p>
        </w:tc>
        <w:tc>
          <w:tcPr>
            <w:tcW w:type="dxa" w:w="1700"/>
            <w:tcMar>
              <w:top w:w="50" w:type="dxa"/>
              <w:bottom w:w="50" w:type="dxa"/>
              <w:left w:w="90" w:type="dxa"/>
              <w:right w:w="90" w:type="dxa"/>
            </w:tcMar>
          </w:tcPr>
          <w:p>
            <w:pPr>
              <w:pStyle w:val="BDOITable"/>
            </w:pPr>
            <w:r>
              <w:rPr>
                <w:sz w:val="18"/>
              </w:rPr>
              <w:t>WT-A steps 1-9, WT-C</w:t>
            </w:r>
          </w:p>
        </w:tc>
        <w:tc>
          <w:tcPr>
            <w:tcW w:type="dxa" w:w="1700"/>
            <w:tcMar>
              <w:top w:w="50" w:type="dxa"/>
              <w:bottom w:w="50" w:type="dxa"/>
              <w:left w:w="90" w:type="dxa"/>
              <w:right w:w="90" w:type="dxa"/>
            </w:tcMar>
          </w:tcPr>
          <w:p>
            <w:pPr>
              <w:pStyle w:val="BDOITable"/>
            </w:pPr>
            <w:r>
              <w:rPr>
                <w:sz w:val="18"/>
              </w:rPr>
              <w:t>ao, mkttl</w:t>
            </w:r>
          </w:p>
        </w:tc>
      </w:tr>
      <w:tr>
        <w:trPr>
          <w:cantSplit w:val="true"/>
        </w:trPr>
        <w:tc>
          <w:tcPr>
            <w:tcW w:type="dxa" w:w="2833"/>
            <w:tcMar>
              <w:top w:w="50" w:type="dxa"/>
              <w:bottom w:w="50" w:type="dxa"/>
              <w:left w:w="90" w:type="dxa"/>
              <w:right w:w="90" w:type="dxa"/>
            </w:tcMar>
            <w:shd w:val="clear" w:color="auto" w:fill="E5F5FF"/>
          </w:tcPr>
          <w:p>
            <w:pPr>
              <w:pStyle w:val="BDOITable"/>
            </w:pPr>
            <w:r>
              <w:rPr>
                <w:sz w:val="18"/>
              </w:rPr>
              <w:t>Technical Support Unit</w:t>
            </w:r>
          </w:p>
        </w:tc>
        <w:tc>
          <w:tcPr>
            <w:tcW w:type="dxa" w:w="3739"/>
            <w:tcMar>
              <w:top w:w="50" w:type="dxa"/>
              <w:bottom w:w="50" w:type="dxa"/>
              <w:left w:w="90" w:type="dxa"/>
              <w:right w:w="90" w:type="dxa"/>
            </w:tcMar>
            <w:shd w:val="clear" w:color="auto" w:fill="E5F5FF"/>
          </w:tcPr>
          <w:p>
            <w:pPr>
              <w:pStyle w:val="BDOITable"/>
            </w:pPr>
            <w:r>
              <w:rPr>
                <w:sz w:val="18"/>
              </w:rPr>
              <w:t>Proposal requests, TSU Workbench (SCR-NB-09 to 12)</w:t>
            </w:r>
          </w:p>
        </w:tc>
        <w:tc>
          <w:tcPr>
            <w:tcW w:type="dxa" w:w="1700"/>
            <w:tcMar>
              <w:top w:w="50" w:type="dxa"/>
              <w:bottom w:w="50" w:type="dxa"/>
              <w:left w:w="90" w:type="dxa"/>
              <w:right w:w="90" w:type="dxa"/>
            </w:tcMar>
            <w:shd w:val="clear" w:color="auto" w:fill="E5F5FF"/>
          </w:tcPr>
          <w:p>
            <w:pPr>
              <w:pStyle w:val="BDOITable"/>
            </w:pPr>
            <w:r>
              <w:rPr>
                <w:sz w:val="18"/>
              </w:rPr>
              <w:t>WT-B</w:t>
            </w:r>
          </w:p>
        </w:tc>
        <w:tc>
          <w:tcPr>
            <w:tcW w:type="dxa" w:w="1700"/>
            <w:tcMar>
              <w:top w:w="50" w:type="dxa"/>
              <w:bottom w:w="50" w:type="dxa"/>
              <w:left w:w="90" w:type="dxa"/>
              <w:right w:w="90" w:type="dxa"/>
            </w:tcMar>
            <w:shd w:val="clear" w:color="auto" w:fill="E5F5FF"/>
          </w:tcPr>
          <w:p>
            <w:pPr>
              <w:pStyle w:val="BDOITable"/>
            </w:pPr>
            <w:r>
              <w:rPr>
                <w:sz w:val="18"/>
              </w:rPr>
              <w:t>tsu</w:t>
            </w:r>
          </w:p>
        </w:tc>
      </w:tr>
      <w:tr>
        <w:trPr>
          <w:cantSplit w:val="true"/>
        </w:trPr>
        <w:tc>
          <w:tcPr>
            <w:tcW w:type="dxa" w:w="2833"/>
            <w:tcMar>
              <w:top w:w="50" w:type="dxa"/>
              <w:bottom w:w="50" w:type="dxa"/>
              <w:left w:w="90" w:type="dxa"/>
              <w:right w:w="90" w:type="dxa"/>
            </w:tcMar>
          </w:tcPr>
          <w:p>
            <w:pPr>
              <w:pStyle w:val="BDOITable"/>
            </w:pPr>
            <w:r>
              <w:rPr>
                <w:sz w:val="18"/>
              </w:rPr>
              <w:t>Processing</w:t>
            </w:r>
          </w:p>
        </w:tc>
        <w:tc>
          <w:tcPr>
            <w:tcW w:type="dxa" w:w="3739"/>
            <w:tcMar>
              <w:top w:w="50" w:type="dxa"/>
              <w:bottom w:w="50" w:type="dxa"/>
              <w:left w:w="90" w:type="dxa"/>
              <w:right w:w="90" w:type="dxa"/>
            </w:tcMar>
          </w:tcPr>
          <w:p>
            <w:pPr>
              <w:pStyle w:val="BDOITable"/>
            </w:pPr>
            <w:r>
              <w:rPr>
                <w:sz w:val="18"/>
              </w:rPr>
              <w:t>Accounts, payment, placement, issuance, booking (SCR-NB-13 to 34)</w:t>
            </w:r>
          </w:p>
        </w:tc>
        <w:tc>
          <w:tcPr>
            <w:tcW w:type="dxa" w:w="1700"/>
            <w:tcMar>
              <w:top w:w="50" w:type="dxa"/>
              <w:bottom w:w="50" w:type="dxa"/>
              <w:left w:w="90" w:type="dxa"/>
              <w:right w:w="90" w:type="dxa"/>
            </w:tcMar>
          </w:tcPr>
          <w:p>
            <w:pPr>
              <w:pStyle w:val="BDOITable"/>
            </w:pPr>
            <w:r>
              <w:rPr>
                <w:sz w:val="18"/>
              </w:rPr>
              <w:t>WT-A steps 10-17, WT-C</w:t>
            </w:r>
          </w:p>
        </w:tc>
        <w:tc>
          <w:tcPr>
            <w:tcW w:type="dxa" w:w="1700"/>
            <w:tcMar>
              <w:top w:w="50" w:type="dxa"/>
              <w:bottom w:w="50" w:type="dxa"/>
              <w:left w:w="90" w:type="dxa"/>
              <w:right w:w="90" w:type="dxa"/>
            </w:tcMar>
          </w:tcPr>
          <w:p>
            <w:pPr>
              <w:pStyle w:val="BDOITable"/>
            </w:pPr>
            <w:r>
              <w:rPr>
                <w:sz w:val="18"/>
              </w:rPr>
              <w:t>proc, proctl, epol</w:t>
            </w:r>
          </w:p>
        </w:tc>
      </w:tr>
      <w:tr>
        <w:trPr>
          <w:cantSplit w:val="true"/>
        </w:trPr>
        <w:tc>
          <w:tcPr>
            <w:tcW w:type="dxa" w:w="2833"/>
            <w:tcMar>
              <w:top w:w="50" w:type="dxa"/>
              <w:bottom w:w="50" w:type="dxa"/>
              <w:left w:w="90" w:type="dxa"/>
              <w:right w:w="90" w:type="dxa"/>
            </w:tcMar>
            <w:shd w:val="clear" w:color="auto" w:fill="E5F5FF"/>
          </w:tcPr>
          <w:p>
            <w:pPr>
              <w:pStyle w:val="BDOITable"/>
            </w:pPr>
            <w:r>
              <w:rPr>
                <w:sz w:val="18"/>
              </w:rPr>
              <w:t>Comptrollership</w:t>
            </w:r>
          </w:p>
        </w:tc>
        <w:tc>
          <w:tcPr>
            <w:tcW w:type="dxa" w:w="3739"/>
            <w:tcMar>
              <w:top w:w="50" w:type="dxa"/>
              <w:bottom w:w="50" w:type="dxa"/>
              <w:left w:w="90" w:type="dxa"/>
              <w:right w:w="90" w:type="dxa"/>
            </w:tcMar>
            <w:shd w:val="clear" w:color="auto" w:fill="E5F5FF"/>
          </w:tcPr>
          <w:p>
            <w:pPr>
              <w:pStyle w:val="BDOITable"/>
            </w:pPr>
            <w:r>
              <w:rPr>
                <w:sz w:val="18"/>
              </w:rPr>
              <w:t>Booking, booked invoice, service invoices, booking setup (SCR-NB-28 to 34)</w:t>
            </w:r>
          </w:p>
        </w:tc>
        <w:tc>
          <w:tcPr>
            <w:tcW w:type="dxa" w:w="1700"/>
            <w:tcMar>
              <w:top w:w="50" w:type="dxa"/>
              <w:bottom w:w="50" w:type="dxa"/>
              <w:left w:w="90" w:type="dxa"/>
              <w:right w:w="90" w:type="dxa"/>
            </w:tcMar>
            <w:shd w:val="clear" w:color="auto" w:fill="E5F5FF"/>
          </w:tcPr>
          <w:p>
            <w:pPr>
              <w:pStyle w:val="BDOITable"/>
            </w:pPr>
            <w:r>
              <w:rPr>
                <w:sz w:val="18"/>
              </w:rPr>
              <w:t>WT-A steps 16-17</w:t>
            </w:r>
          </w:p>
        </w:tc>
        <w:tc>
          <w:tcPr>
            <w:tcW w:type="dxa" w:w="1700"/>
            <w:tcMar>
              <w:top w:w="50" w:type="dxa"/>
              <w:bottom w:w="50" w:type="dxa"/>
              <w:left w:w="90" w:type="dxa"/>
              <w:right w:w="90" w:type="dxa"/>
            </w:tcMar>
            <w:shd w:val="clear" w:color="auto" w:fill="E5F5FF"/>
          </w:tcPr>
          <w:p>
            <w:pPr>
              <w:pStyle w:val="BDOITable"/>
            </w:pPr>
            <w:r>
              <w:rPr>
                <w:sz w:val="18"/>
              </w:rPr>
              <w:t>proc, badmin</w:t>
            </w:r>
          </w:p>
        </w:tc>
      </w:tr>
      <w:tr>
        <w:trPr>
          <w:cantSplit w:val="true"/>
        </w:trPr>
        <w:tc>
          <w:tcPr>
            <w:tcW w:type="dxa" w:w="2833"/>
            <w:tcMar>
              <w:top w:w="50" w:type="dxa"/>
              <w:bottom w:w="50" w:type="dxa"/>
              <w:left w:w="90" w:type="dxa"/>
              <w:right w:w="90" w:type="dxa"/>
            </w:tcMar>
          </w:tcPr>
          <w:p>
            <w:pPr>
              <w:pStyle w:val="BDOITable"/>
            </w:pPr>
            <w:r>
              <w:rPr>
                <w:sz w:val="18"/>
              </w:rPr>
              <w:t>MBS and Business Administration</w:t>
            </w:r>
          </w:p>
        </w:tc>
        <w:tc>
          <w:tcPr>
            <w:tcW w:type="dxa" w:w="3739"/>
            <w:tcMar>
              <w:top w:w="50" w:type="dxa"/>
              <w:bottom w:w="50" w:type="dxa"/>
              <w:left w:w="90" w:type="dxa"/>
              <w:right w:w="90" w:type="dxa"/>
            </w:tcMar>
          </w:tcPr>
          <w:p>
            <w:pPr>
              <w:pStyle w:val="BDOITable"/>
            </w:pPr>
            <w:r>
              <w:rPr>
                <w:sz w:val="18"/>
              </w:rPr>
              <w:t>Bulk uploads, reports, dashboard, lists of values, templates, retention (SCR-NB-35 to 46)</w:t>
            </w:r>
          </w:p>
        </w:tc>
        <w:tc>
          <w:tcPr>
            <w:tcW w:type="dxa" w:w="1700"/>
            <w:tcMar>
              <w:top w:w="50" w:type="dxa"/>
              <w:bottom w:w="50" w:type="dxa"/>
              <w:left w:w="90" w:type="dxa"/>
              <w:right w:w="90" w:type="dxa"/>
            </w:tcMar>
          </w:tcPr>
          <w:p>
            <w:pPr>
              <w:pStyle w:val="BDOITable"/>
            </w:pPr>
            <w:r>
              <w:rPr>
                <w:sz w:val="18"/>
              </w:rPr>
              <w:t>-</w:t>
            </w:r>
          </w:p>
        </w:tc>
        <w:tc>
          <w:tcPr>
            <w:tcW w:type="dxa" w:w="1700"/>
            <w:tcMar>
              <w:top w:w="50" w:type="dxa"/>
              <w:bottom w:w="50" w:type="dxa"/>
              <w:left w:w="90" w:type="dxa"/>
              <w:right w:w="90" w:type="dxa"/>
            </w:tcMar>
          </w:tcPr>
          <w:p>
            <w:pPr>
              <w:pStyle w:val="BDOITable"/>
            </w:pPr>
            <w:r>
              <w:rPr>
                <w:sz w:val="18"/>
              </w:rPr>
              <w:t>badmin, admin</w:t>
            </w:r>
          </w:p>
        </w:tc>
      </w:tr>
    </w:tbl>
    <w:p>
      <w:pPr>
        <w:pStyle w:val="BDOISpacer"/>
      </w:pPr>
    </w:p>
    <w:p>
      <w:r>
        <w:rPr/>
        <w:t>The screenshots and the SIT environment use fictitious seed data only. The SIT passwords are sent separately to the named reviewers.</w:t>
      </w:r>
    </w:p>
    <w:p>
      <w:pPr>
        <w:pStyle w:val="Heading1"/>
        <w:pBdr>
          <w:bottom w:val="single" w:sz="4" w:space="4" w:color="99C1E7"/>
        </w:pBdr>
      </w:pPr>
      <w:bookmarkStart w:id="103" w:name="_Toc000103"/>
      <w:r>
        <w:rPr/>
        <w:t>3 Review sessions</w:t>
      </w:r>
      <w:bookmarkEnd w:id="103"/>
    </w:p>
    <w:p>
      <w:r>
        <w:rPr/>
        <w:t>The project team walks through the screens on the SIT environment with each business unit. Each session follows the walkthroughs of FRS chapter 14 and answers questions on the spot; the invitation gives the room and the video-call details.</w:t>
      </w:r>
    </w:p>
    <w:p>
      <w:pPr>
        <w:pStyle w:val="Caption"/>
        <w:keepNext/>
        <w:spacing w:after="60"/>
      </w:pPr>
      <w:r>
        <w:rPr>
          <w:b/>
          <w:i w:val="0"/>
        </w:rPr>
        <w:t xml:space="preserve">Table 3: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359"/>
        <w:gridCol w:w="4193"/>
        <w:gridCol w:w="2493"/>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Business units</w:t>
            </w:r>
          </w:p>
        </w:tc>
      </w:tr>
      <w:tr>
        <w:trPr>
          <w:cantSplit w:val="true"/>
        </w:trPr>
        <w:tc>
          <w:tcPr>
            <w:tcW w:type="dxa" w:w="1926"/>
            <w:tcMar>
              <w:top w:w="50" w:type="dxa"/>
              <w:bottom w:w="50" w:type="dxa"/>
              <w:left w:w="90" w:type="dxa"/>
              <w:right w:w="90" w:type="dxa"/>
            </w:tcMar>
          </w:tcPr>
          <w:p>
            <w:pPr>
              <w:pStyle w:val="BDOITable"/>
            </w:pPr>
            <w:r>
              <w:rPr>
                <w:sz w:val="18"/>
              </w:rPr>
              <w:t>Thu 1-Oct-2026</w:t>
            </w:r>
          </w:p>
        </w:tc>
        <w:tc>
          <w:tcPr>
            <w:tcW w:type="dxa" w:w="1360"/>
            <w:tcMar>
              <w:top w:w="50" w:type="dxa"/>
              <w:bottom w:w="50" w:type="dxa"/>
              <w:left w:w="90" w:type="dxa"/>
              <w:right w:w="90" w:type="dxa"/>
            </w:tcMar>
          </w:tcPr>
          <w:p>
            <w:pPr>
              <w:pStyle w:val="BDOITable"/>
            </w:pPr>
            <w:r>
              <w:rPr>
                <w:sz w:val="18"/>
              </w:rPr>
              <w:t>09:30-12:00</w:t>
            </w:r>
          </w:p>
        </w:tc>
        <w:tc>
          <w:tcPr>
            <w:tcW w:type="dxa" w:w="4193"/>
            <w:tcMar>
              <w:top w:w="50" w:type="dxa"/>
              <w:bottom w:w="50" w:type="dxa"/>
              <w:left w:w="90" w:type="dxa"/>
              <w:right w:w="90" w:type="dxa"/>
            </w:tcMar>
          </w:tcPr>
          <w:p>
            <w:pPr>
              <w:pStyle w:val="BDOITable"/>
            </w:pPr>
            <w:r>
              <w:rPr>
                <w:sz w:val="18"/>
              </w:rPr>
              <w:t>Client onboarding, KYC and package quotation (WT-A steps 1-9)</w:t>
            </w:r>
          </w:p>
        </w:tc>
        <w:tc>
          <w:tcPr>
            <w:tcW w:type="dxa" w:w="2493"/>
            <w:tcMar>
              <w:top w:w="50" w:type="dxa"/>
              <w:bottom w:w="50" w:type="dxa"/>
              <w:left w:w="90" w:type="dxa"/>
              <w:right w:w="90" w:type="dxa"/>
            </w:tcMar>
          </w:tcPr>
          <w:p>
            <w:pPr>
              <w:pStyle w:val="BDOITable"/>
            </w:pPr>
            <w:r>
              <w:rPr>
                <w:sz w:val="18"/>
              </w:rPr>
              <w:t>Marketing, MBS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Fri 2-Oct-2026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193"/>
            <w:tcMar>
              <w:top w:w="50" w:type="dxa"/>
              <w:bottom w:w="50" w:type="dxa"/>
              <w:left w:w="90" w:type="dxa"/>
              <w:right w:w="90" w:type="dxa"/>
            </w:tcMar>
            <w:shd w:val="clear" w:color="auto" w:fill="E5F5FF"/>
          </w:tcPr>
          <w:p>
            <w:pPr>
              <w:pStyle w:val="BDOITable"/>
            </w:pPr>
            <w:r>
              <w:rPr>
                <w:sz w:val="18"/>
              </w:rPr>
              <w:t>Non-package placement: PRF, quotation slip, insurer responses, proposal slip (WT-B)</w:t>
            </w:r>
          </w:p>
        </w:tc>
        <w:tc>
          <w:tcPr>
            <w:tcW w:type="dxa" w:w="2493"/>
            <w:tcMar>
              <w:top w:w="50" w:type="dxa"/>
              <w:bottom w:w="50" w:type="dxa"/>
              <w:left w:w="90" w:type="dxa"/>
              <w:right w:w="90" w:type="dxa"/>
            </w:tcMar>
            <w:shd w:val="clear" w:color="auto" w:fill="E5F5FF"/>
          </w:tcPr>
          <w:p>
            <w:pPr>
              <w:pStyle w:val="BDOITable"/>
            </w:pPr>
            <w:r>
              <w:rPr>
                <w:sz w:val="18"/>
              </w:rPr>
              <w:t>TSU, Marketing</w:t>
            </w:r>
          </w:p>
        </w:tc>
      </w:tr>
      <w:tr>
        <w:trPr>
          <w:cantSplit w:val="true"/>
        </w:trPr>
        <w:tc>
          <w:tcPr>
            <w:tcW w:type="dxa" w:w="1926"/>
            <w:tcMar>
              <w:top w:w="50" w:type="dxa"/>
              <w:bottom w:w="50" w:type="dxa"/>
              <w:left w:w="90" w:type="dxa"/>
              <w:right w:w="90" w:type="dxa"/>
            </w:tcMar>
          </w:tcPr>
          <w:p>
            <w:pPr>
              <w:pStyle w:val="BDOITable"/>
            </w:pPr>
            <w:r>
              <w:rPr>
                <w:sz w:val="18"/>
              </w:rPr>
              <w:t>Mon 5-Oct-2026</w:t>
            </w:r>
          </w:p>
        </w:tc>
        <w:tc>
          <w:tcPr>
            <w:tcW w:type="dxa" w:w="1360"/>
            <w:tcMar>
              <w:top w:w="50" w:type="dxa"/>
              <w:bottom w:w="50" w:type="dxa"/>
              <w:left w:w="90" w:type="dxa"/>
              <w:right w:w="90" w:type="dxa"/>
            </w:tcMar>
          </w:tcPr>
          <w:p>
            <w:pPr>
              <w:pStyle w:val="BDOITable"/>
            </w:pPr>
            <w:r>
              <w:rPr>
                <w:sz w:val="18"/>
              </w:rPr>
              <w:t>09:30-12:30</w:t>
            </w:r>
          </w:p>
        </w:tc>
        <w:tc>
          <w:tcPr>
            <w:tcW w:type="dxa" w:w="4193"/>
            <w:tcMar>
              <w:top w:w="50" w:type="dxa"/>
              <w:bottom w:w="50" w:type="dxa"/>
              <w:left w:w="90" w:type="dxa"/>
              <w:right w:w="90" w:type="dxa"/>
            </w:tcMar>
          </w:tcPr>
          <w:p>
            <w:pPr>
              <w:pStyle w:val="BDOITable"/>
            </w:pPr>
            <w:r>
              <w:rPr>
                <w:sz w:val="18"/>
              </w:rPr>
              <w:t>Account validation, payment, placement, issuance and booking; returns and messages (WT-A steps 10-17, WT-C)</w:t>
            </w:r>
          </w:p>
        </w:tc>
        <w:tc>
          <w:tcPr>
            <w:tcW w:type="dxa" w:w="2493"/>
            <w:tcMar>
              <w:top w:w="50" w:type="dxa"/>
              <w:bottom w:w="50" w:type="dxa"/>
              <w:left w:w="90" w:type="dxa"/>
              <w:right w:w="90" w:type="dxa"/>
            </w:tcMar>
          </w:tcPr>
          <w:p>
            <w:pPr>
              <w:pStyle w:val="BDOITable"/>
            </w:pPr>
            <w:r>
              <w:rPr>
                <w:sz w:val="18"/>
              </w:rPr>
              <w:t>Processing, Comptrollership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Tue 6-Oct-2026</w:t>
            </w:r>
          </w:p>
        </w:tc>
        <w:tc>
          <w:tcPr>
            <w:tcW w:type="dxa" w:w="1360"/>
            <w:tcMar>
              <w:top w:w="50" w:type="dxa"/>
              <w:bottom w:w="50" w:type="dxa"/>
              <w:left w:w="90" w:type="dxa"/>
              <w:right w:w="90" w:type="dxa"/>
            </w:tcMar>
            <w:shd w:val="clear" w:color="auto" w:fill="E5F5FF"/>
          </w:tcPr>
          <w:p>
            <w:pPr>
              <w:pStyle w:val="BDOITable"/>
            </w:pPr>
            <w:r>
              <w:rPr>
                <w:sz w:val="18"/>
              </w:rPr>
              <w:t>09:30-11:30</w:t>
            </w:r>
          </w:p>
        </w:tc>
        <w:tc>
          <w:tcPr>
            <w:tcW w:type="dxa" w:w="4193"/>
            <w:tcMar>
              <w:top w:w="50" w:type="dxa"/>
              <w:bottom w:w="50" w:type="dxa"/>
              <w:left w:w="90" w:type="dxa"/>
              <w:right w:w="90" w:type="dxa"/>
            </w:tcMar>
            <w:shd w:val="clear" w:color="auto" w:fill="E5F5FF"/>
          </w:tcPr>
          <w:p>
            <w:pPr>
              <w:pStyle w:val="BDOITable"/>
            </w:pPr>
            <w:r>
              <w:rPr>
                <w:sz w:val="18"/>
              </w:rPr>
              <w:t>Bulk uploads, reports and dashboard, administration screens</w:t>
            </w:r>
          </w:p>
        </w:tc>
        <w:tc>
          <w:tcPr>
            <w:tcW w:type="dxa" w:w="2493"/>
            <w:tcMar>
              <w:top w:w="50" w:type="dxa"/>
              <w:bottom w:w="50" w:type="dxa"/>
              <w:left w:w="90" w:type="dxa"/>
              <w:right w:w="90" w:type="dxa"/>
            </w:tcMar>
            <w:shd w:val="clear" w:color="auto" w:fill="E5F5FF"/>
          </w:tcPr>
          <w:p>
            <w:pPr>
              <w:pStyle w:val="BDOITable"/>
            </w:pPr>
            <w:r>
              <w:rPr>
                <w:sz w:val="18"/>
              </w:rPr>
              <w:t>MBS, Business Administration, all units</w:t>
            </w:r>
          </w:p>
        </w:tc>
      </w:tr>
    </w:tbl>
    <w:p>
      <w:pPr>
        <w:pStyle w:val="BDOISpacer"/>
      </w:pPr>
    </w:p>
    <w:p>
      <w:pPr>
        <w:pStyle w:val="Heading1"/>
        <w:pBdr>
          <w:bottom w:val="single" w:sz="4" w:space="4" w:color="99C1E7"/>
        </w:pBdr>
      </w:pPr>
      <w:bookmarkStart w:id="104" w:name="_Toc000104"/>
      <w:r>
        <w:rPr/>
        <w:t>4 Timeline for comments and sign-off</w:t>
      </w:r>
      <w:bookmarkEnd w:id="104"/>
    </w:p>
    <w:p>
      <w:pPr>
        <w:pStyle w:val="Caption"/>
        <w:keepNext/>
        <w:spacing w:after="60"/>
      </w:pPr>
      <w:r>
        <w:rPr>
          <w:b/>
          <w:i w:val="0"/>
        </w:rPr>
        <w:t xml:space="preserve">Table 4: </w:t>
      </w:r>
      <w:r>
        <w:rPr/>
        <w:t>Dates of the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Step</w:t>
            </w:r>
          </w:p>
        </w:tc>
      </w:tr>
      <w:tr>
        <w:trPr>
          <w:cantSplit w:val="true"/>
        </w:trPr>
        <w:tc>
          <w:tcPr>
            <w:tcW w:type="dxa" w:w="2040"/>
            <w:tcMar>
              <w:top w:w="50" w:type="dxa"/>
              <w:bottom w:w="50" w:type="dxa"/>
              <w:left w:w="90" w:type="dxa"/>
              <w:right w:w="90" w:type="dxa"/>
            </w:tcMar>
          </w:tcPr>
          <w:p>
            <w:pPr>
              <w:pStyle w:val="BDOITable"/>
            </w:pPr>
            <w:r>
              <w:rPr>
                <w:sz w:val="18"/>
              </w:rPr>
              <w:t>Mon 28-Sep-2026</w:t>
            </w:r>
          </w:p>
        </w:tc>
        <w:tc>
          <w:tcPr>
            <w:tcW w:type="dxa" w:w="7932"/>
            <w:tcMar>
              <w:top w:w="50" w:type="dxa"/>
              <w:bottom w:w="50" w:type="dxa"/>
              <w:left w:w="90" w:type="dxa"/>
              <w:right w:w="90" w:type="dxa"/>
            </w:tcMar>
          </w:tcPr>
          <w:p>
            <w:pPr>
              <w:pStyle w:val="BDOITable"/>
            </w:pPr>
            <w:r>
              <w:rPr>
                <w:sz w:val="18"/>
              </w:rPr>
              <w:t>Release set issued to the business units</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1 to 6-Oct-2026</w:t>
            </w:r>
          </w:p>
        </w:tc>
        <w:tc>
          <w:tcPr>
            <w:tcW w:type="dxa" w:w="7932"/>
            <w:tcMar>
              <w:top w:w="50" w:type="dxa"/>
              <w:bottom w:w="50" w:type="dxa"/>
              <w:left w:w="90" w:type="dxa"/>
              <w:right w:w="90" w:type="dxa"/>
            </w:tcMar>
            <w:shd w:val="clear" w:color="auto" w:fill="E5F5FF"/>
          </w:tcPr>
          <w:p>
            <w:pPr>
              <w:pStyle w:val="BDOITable"/>
            </w:pPr>
            <w:r>
              <w:rPr>
                <w:sz w:val="18"/>
              </w:rPr>
              <w:t>SIT walkthrough sessions</w:t>
            </w:r>
          </w:p>
        </w:tc>
      </w:tr>
      <w:tr>
        <w:trPr>
          <w:cantSplit w:val="true"/>
        </w:trPr>
        <w:tc>
          <w:tcPr>
            <w:tcW w:type="dxa" w:w="2040"/>
            <w:tcMar>
              <w:top w:w="50" w:type="dxa"/>
              <w:bottom w:w="50" w:type="dxa"/>
              <w:left w:w="90" w:type="dxa"/>
              <w:right w:w="90" w:type="dxa"/>
            </w:tcMar>
          </w:tcPr>
          <w:p>
            <w:pPr>
              <w:pStyle w:val="BDOITable"/>
            </w:pPr>
            <w:r>
              <w:rPr>
                <w:sz w:val="18"/>
              </w:rPr>
              <w:t>Fri 16-Oct-2026</w:t>
            </w:r>
          </w:p>
        </w:tc>
        <w:tc>
          <w:tcPr>
            <w:tcW w:type="dxa" w:w="7932"/>
            <w:tcMar>
              <w:top w:w="50" w:type="dxa"/>
              <w:bottom w:w="50" w:type="dxa"/>
              <w:left w:w="90" w:type="dxa"/>
              <w:right w:w="90" w:type="dxa"/>
            </w:tcMar>
          </w:tcPr>
          <w:p>
            <w:pPr>
              <w:pStyle w:val="BDOITable"/>
            </w:pPr>
            <w:r>
              <w:rPr>
                <w:sz w:val="18"/>
              </w:rPr>
              <w:t>Comment deadline: sign-off workbooks returned with the BU review columns filled in</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Fri 23-Oct-2026</w:t>
            </w:r>
          </w:p>
        </w:tc>
        <w:tc>
          <w:tcPr>
            <w:tcW w:type="dxa" w:w="7932"/>
            <w:tcMar>
              <w:top w:w="50" w:type="dxa"/>
              <w:bottom w:w="50" w:type="dxa"/>
              <w:left w:w="90" w:type="dxa"/>
              <w:right w:w="90" w:type="dxa"/>
            </w:tcMar>
            <w:shd w:val="clear" w:color="auto" w:fill="E5F5FF"/>
          </w:tcPr>
          <w:p>
            <w:pPr>
              <w:pStyle w:val="BDOITable"/>
            </w:pPr>
            <w:r>
              <w:rPr>
                <w:sz w:val="18"/>
              </w:rPr>
              <w:t>Every Change requested row answered in the sign-off tracker: corrected in the set, or raised as a change request</w:t>
            </w:r>
          </w:p>
        </w:tc>
      </w:tr>
      <w:tr>
        <w:trPr>
          <w:cantSplit w:val="true"/>
        </w:trPr>
        <w:tc>
          <w:tcPr>
            <w:tcW w:type="dxa" w:w="2040"/>
            <w:tcMar>
              <w:top w:w="50" w:type="dxa"/>
              <w:bottom w:w="50" w:type="dxa"/>
              <w:left w:w="90" w:type="dxa"/>
              <w:right w:w="90" w:type="dxa"/>
            </w:tcMar>
          </w:tcPr>
          <w:p>
            <w:pPr>
              <w:pStyle w:val="BDOITable"/>
            </w:pPr>
            <w:r>
              <w:rPr>
                <w:sz w:val="18"/>
              </w:rPr>
              <w:t>Fri 30-Oct-2026</w:t>
            </w:r>
          </w:p>
        </w:tc>
        <w:tc>
          <w:tcPr>
            <w:tcW w:type="dxa" w:w="7932"/>
            <w:tcMar>
              <w:top w:w="50" w:type="dxa"/>
              <w:bottom w:w="50" w:type="dxa"/>
              <w:left w:w="90" w:type="dxa"/>
              <w:right w:w="90" w:type="dxa"/>
            </w:tcMar>
          </w:tcPr>
          <w:p>
            <w:pPr>
              <w:pStyle w:val="BDOITable"/>
            </w:pPr>
            <w:r>
              <w:rPr>
                <w:sz w:val="18"/>
              </w:rPr>
              <w:t>Sign-off of release set v2.0 (FRS chapter 20 and the Sign-off sheet of the workbook)</w:t>
            </w:r>
          </w:p>
        </w:tc>
      </w:tr>
    </w:tbl>
    <w:p>
      <w:pPr>
        <w:pStyle w:val="BDOISpacer"/>
      </w:pPr>
    </w:p>
    <w:p>
      <w:r>
        <w:rPr/>
        <w:t>A correction agreed during the review is issued as v2.1 of the set before sign-off, with the changed rows marked.</w:t>
      </w:r>
    </w:p>
    <w:p>
      <w:pPr>
        <w:pStyle w:val="Heading1"/>
        <w:pBdr>
          <w:bottom w:val="single" w:sz="4" w:space="4" w:color="99C1E7"/>
        </w:pBdr>
      </w:pPr>
      <w:bookmarkStart w:id="105" w:name="_Toc000105"/>
      <w:r>
        <w:rPr/>
        <w:t>5 Change control after sign-off</w:t>
      </w:r>
      <w:bookmarkEnd w:id="105"/>
    </w:p>
    <w:p>
      <w:r>
        <w:rPr/>
        <w:t>Signing freezes the New Business screens, fields, navigation, actions, business rules, messages, notifications, documents, upload templates and the interface contract with the other BRDs as specified in this set. Configuration values marked "default" (SLA hours, thresholds, list entries, templates) are not frozen; the Business Administrator and the System Administrator change them in BIBS.</w:t>
      </w:r>
    </w:p>
    <w:p>
      <w:r>
        <w:rPr/>
        <w:t>A change to anything frozen is raised in the Change Management Register with the screen, field, rule or message concerned, the reason and the priority. The project team assesses the effect on the other BRDs through the cross-BRD contract of FRS chapter 19; the owners of every BRD concerned approve it; and it is delivered as a new version of the release set with its own release note. The set describes the system as built; the final as-built refresh at the end of the build re-issues it with the system as delivered.</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Release Note BRD-1 New Business</w:t>
    </w:r>
    <w:r>
      <w:rPr>
        <w:color w:val="656565"/>
        <w:sz w:val="16"/>
      </w:rPr>
      <w:t xml:space="preserve">   Release Note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 New Business Release Note</dc:title>
  <dc:subject>BIBS – BDOI Broker System</dc:subject>
  <dc:creator>iorta TechNXT</dc:creator>
  <cp:keywords>ReleaseNote, BRD-01,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