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START HERE GUIDE</w:t>
      </w:r>
    </w:p>
    <w:p>
      <w:pPr>
        <w:spacing w:after="80" w:line="240" w:lineRule="auto"/>
      </w:pPr>
      <w:r>
        <w:rPr>
          <w:b/>
          <w:color w:val="004EA8"/>
          <w:sz w:val="56"/>
        </w:rPr>
        <w:t>Start Here</w:t>
      </w:r>
    </w:p>
    <w:p>
      <w:pPr>
        <w:spacing w:after="40"/>
      </w:pPr>
      <w:r>
        <w:rPr>
          <w:color w:val="2E2E2E"/>
          <w:sz w:val="28"/>
        </w:rPr>
        <w:t>Guide to the BRD-02 Operations Sign-off Pack, release set v2.1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BIBS-SH-BRD-02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28 Sep 2026</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First issue with the BRD-2 Operations business sign-off pack (replaces the release note of the set)</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2.1</w:t>
            </w:r>
          </w:p>
        </w:tc>
        <w:tc>
          <w:tcPr>
            <w:tcW w:type="dxa" w:w="1360"/>
            <w:tcMar>
              <w:top w:w="50" w:type="dxa"/>
              <w:bottom w:w="50" w:type="dxa"/>
              <w:left w:w="90" w:type="dxa"/>
              <w:right w:w="90" w:type="dxa"/>
            </w:tcMar>
            <w:shd w:val="clear" w:color="auto" w:fill="E5F5FF"/>
          </w:tcPr>
          <w:p>
            <w:pPr>
              <w:pStyle w:val="BDOITable"/>
            </w:pPr>
            <w:r>
              <w:rPr>
                <w:sz w:val="18"/>
              </w:rPr>
              <w:t>08 Oct 2026</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p>
        </w:tc>
        <w:tc>
          <w:tcPr>
            <w:tcW w:type="dxa" w:w="2606"/>
            <w:tcMar>
              <w:top w:w="50" w:type="dxa"/>
              <w:bottom w:w="50" w:type="dxa"/>
              <w:left w:w="90" w:type="dxa"/>
              <w:right w:w="90" w:type="dxa"/>
            </w:tcMar>
            <w:shd w:val="clear" w:color="auto" w:fill="E5F5FF"/>
          </w:tcPr>
          <w:p>
            <w:pPr>
              <w:pStyle w:val="BDOITable"/>
            </w:pPr>
            <w:r>
              <w:rPr>
                <w:sz w:val="18"/>
              </w:rPr>
              <w:t>Re-based on the Operations BRD v1.01 (15-Apr-2026) and the five Operations Central Addendum 1 annexes of May 2026; user-story view and storyboard index added to the FRS; every file of the set re-issued at v2.1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Shellah Marie C. Miranda, AVP,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Jose Melvin M. Jarin, Operations: Financial Transactions and Processing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 for Operations</w:t>
            </w:r>
          </w:p>
        </w:tc>
      </w:tr>
      <w:tr>
        <w:trPr>
          <w:cantSplit w:val="true"/>
        </w:trPr>
        <w:tc>
          <w:tcPr>
            <w:tcW w:type="dxa" w:w="2606"/>
            <w:tcMar>
              <w:top w:w="50" w:type="dxa"/>
              <w:bottom w:w="50" w:type="dxa"/>
              <w:left w:w="90" w:type="dxa"/>
              <w:right w:w="90" w:type="dxa"/>
            </w:tcMar>
          </w:tcPr>
          <w:p>
            <w:pPr>
              <w:pStyle w:val="BDOITable"/>
            </w:pPr>
            <w:r>
              <w:rPr>
                <w:sz w:val="18"/>
              </w:rPr>
              <w:t>Pia Grace M. Pinili, Collections and Marketing Support</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Marketing Collection 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Angel Lou R. Kabigting (Marketing Collections) and Rodrigo R. Dela Cruz (Comptrollership)</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Marketing Collection items and the accounting events</w:t>
            </w:r>
          </w:p>
        </w:tc>
      </w:tr>
      <w:tr>
        <w:trPr>
          <w:cantSplit w:val="true"/>
        </w:trPr>
        <w:tc>
          <w:tcPr>
            <w:tcW w:type="dxa" w:w="2606"/>
            <w:tcMar>
              <w:top w:w="50" w:type="dxa"/>
              <w:bottom w:w="50" w:type="dxa"/>
              <w:left w:w="90" w:type="dxa"/>
              <w:right w:w="90" w:type="dxa"/>
            </w:tcMar>
          </w:tcPr>
          <w:p>
            <w:pPr>
              <w:pStyle w:val="BDOITable"/>
            </w:pPr>
            <w:r>
              <w:rPr>
                <w:sz w:val="18"/>
              </w:rPr>
              <w:t>Shirley Catapang and Perjelyn Joy Gutierrez, Operations: FT&amp;P</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screens and rows of their teams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Cashiering, Remittance, Adjustment, Production Reconciliation, Commission Receivables, Marketing Collection, Comptrollership and Disbursement</w:t>
            </w:r>
          </w:p>
        </w:tc>
        <w:tc>
          <w:tcPr>
            <w:tcW w:type="dxa" w:w="2266"/>
            <w:tcMar>
              <w:top w:w="50" w:type="dxa"/>
              <w:bottom w:w="50" w:type="dxa"/>
              <w:left w:w="90" w:type="dxa"/>
              <w:right w:w="90" w:type="dxa"/>
            </w:tcMar>
            <w:shd w:val="clear" w:color="auto" w:fill="E5F5FF"/>
          </w:tcPr>
          <w:p>
            <w:pPr>
              <w:pStyle w:val="BDOITable"/>
            </w:pPr>
            <w:r>
              <w:rPr>
                <w:sz w:val="18"/>
              </w:rPr>
              <w:t>Reviewers</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their screens and rows</w:t>
            </w:r>
          </w:p>
        </w:tc>
      </w:tr>
      <w:tr>
        <w:trPr>
          <w:cantSplit w:val="true"/>
        </w:trPr>
        <w:tc>
          <w:tcPr>
            <w:tcW w:type="dxa" w:w="2606"/>
            <w:tcMar>
              <w:top w:w="50" w:type="dxa"/>
              <w:bottom w:w="50" w:type="dxa"/>
              <w:left w:w="90" w:type="dxa"/>
              <w:right w:w="90" w:type="dxa"/>
            </w:tcMar>
          </w:tcPr>
          <w:p>
            <w:pPr>
              <w:pStyle w:val="BDOITable"/>
            </w:pPr>
            <w:r>
              <w:rPr>
                <w:sz w:val="18"/>
              </w:rPr>
              <w:t>Information Technology Group</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Interfaces, jobs, access; the Technical Specification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Dan Ace Cauton and Zean C. Ibay, ESG - 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and sign-off coordination</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Sessions, answers, revisions, change requests</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1 What this pack is for</w:t>
        </w:r>
        <w:r>
          <w:t xml:space="preserve">	</w:t>
        </w:r>
        <w:r>
          <w:t xml:space="preserve">4</w:t>
        </w:r>
      </w:hyperlink>
    </w:p>
    <w:p>
      <w:pPr>
        <w:pStyle w:val="toc1"/>
      </w:pPr>
      <w:hyperlink w:anchor="_Toc000102" w:history="1">
        <w:r>
          <w:t xml:space="preserve">2 The pack at a glance</w:t>
        </w:r>
        <w:r>
          <w:t xml:space="preserve">	</w:t>
        </w:r>
        <w:r>
          <w:t xml:space="preserve">4</w:t>
        </w:r>
      </w:hyperlink>
    </w:p>
    <w:p>
      <w:pPr>
        <w:pStyle w:val="toc1"/>
      </w:pPr>
      <w:hyperlink w:anchor="_Toc000103" w:history="1">
        <w:r>
          <w:t xml:space="preserve">3 Where to start</w:t>
        </w:r>
        <w:r>
          <w:t xml:space="preserve">	</w:t>
        </w:r>
        <w:r>
          <w:t xml:space="preserve">5</w:t>
        </w:r>
      </w:hyperlink>
    </w:p>
    <w:p>
      <w:pPr>
        <w:pStyle w:val="toc1"/>
      </w:pPr>
      <w:hyperlink w:anchor="_Toc000104" w:history="1">
        <w:r>
          <w:t xml:space="preserve">4 Steps up to closure</w:t>
        </w:r>
        <w:r>
          <w:t xml:space="preserve">	</w:t>
        </w:r>
        <w:r>
          <w:t xml:space="preserve">5</w:t>
        </w:r>
      </w:hyperlink>
    </w:p>
    <w:p>
      <w:pPr>
        <w:pStyle w:val="toc1"/>
      </w:pPr>
      <w:hyperlink w:anchor="_Toc000105" w:history="1">
        <w:r>
          <w:t xml:space="preserve">5 Who signs what</w:t>
        </w:r>
        <w:r>
          <w:t xml:space="preserve">	</w:t>
        </w:r>
        <w:r>
          <w:t xml:space="preserve">7</w:t>
        </w:r>
      </w:hyperlink>
    </w:p>
    <w:p>
      <w:pPr>
        <w:pStyle w:val="toc1"/>
      </w:pPr>
      <w:hyperlink w:anchor="_Toc000106" w:history="1">
        <w:r>
          <w:t xml:space="preserve">6 Change control after sign-off</w:t>
        </w:r>
        <w:r>
          <w:t xml:space="preserve">	</w:t>
        </w:r>
        <w:r>
          <w:t xml:space="preserve">8</w:t>
        </w:r>
      </w:hyperlink>
      <w:r>
        <w:fldChar w:fldCharType="end"/>
      </w:r>
    </w:p>
    <w:p>
      <w:pPr>
        <w:pStyle w:val="Heading1"/>
        <w:pageBreakBefore/>
        <w:pBdr>
          <w:bottom w:val="single" w:sz="4" w:space="4" w:color="99C1E7"/>
        </w:pBdr>
      </w:pPr>
      <w:bookmarkStart w:id="101" w:name="_Toc000101"/>
      <w:r>
        <w:rPr/>
        <w:t>1 What this pack is for</w:t>
      </w:r>
      <w:bookmarkEnd w:id="101"/>
    </w:p>
    <w:p>
      <w:r>
        <w:rPr/>
        <w:t>This pack shows the proposed BRD-2 Operations of BIBS, screen by screen, so that each Operations team can confirm what it will get and sign it off: the invoice ledger and Invoice 360, Cashiering, Remittance, Adjustment, Production Reconciliation and Commission Receivables, with the Disbursement queue, the interfaces and the Operations reports. Signing freezes the content, the screens and the navigation of Operations; a later change goes through the Change Management Register with its mandays. The screenshots use fictitious seed data only.</w:t>
      </w:r>
    </w:p>
    <w:p>
      <w:r>
        <w:rPr>
          <w:b/>
        </w:rPr>
        <w:t>What is new in v2.1.</w:t>
      </w:r>
      <w:r>
        <w:rPr/>
        <w:t xml:space="preserve"> The set is re-based on the Operations BRD v1.01 of 15 April 2026 and on the five annexes signed in May 2026 (file Operations_WS Addendum). Check pick-up is removed from scope; the PR 2307 reversal is done by Marketing Collection and Disbursement only releases the certificates; minimal balances are cleared when the payment is processed; Remittance, Production Reconciliation and Adjustment take the clarifications of the annexes; Commission Receivables works from the system tagging with read-only review, rule-based exclusion, SLA incentives and invoice-level ageing. The screenshots are those of v2.0: where a screen changes, its specification says what changes and chapter 21 of the FRS lists what BDOI is asked to confirm (CLR-OP-36 to 62). The FRS now ends with a user-story view of every BRD requirement and a storyboard index of the walkthroughs.</w:t>
      </w:r>
    </w:p>
    <w:p>
      <w:pPr>
        <w:pStyle w:val="Heading1"/>
        <w:pBdr>
          <w:bottom w:val="single" w:sz="4" w:space="4" w:color="99C1E7"/>
        </w:pBdr>
      </w:pPr>
      <w:bookmarkStart w:id="102" w:name="_Toc000102"/>
      <w:r>
        <w:rPr/>
        <w:t>2 The pack at a glance</w:t>
      </w:r>
      <w:bookmarkEnd w:id="102"/>
    </w:p>
    <w:p>
      <w:r>
        <w:rPr/>
        <w:t>The files are numbered so that they sort in reading order in the folder BRD-02_Operations of Drop 1.</w:t>
      </w:r>
    </w:p>
    <w:p>
      <w:pPr>
        <w:pStyle w:val="Caption"/>
        <w:keepNext/>
        <w:spacing w:after="60"/>
      </w:pPr>
      <w:r>
        <w:rPr>
          <w:b/>
          <w:i w:val="0"/>
        </w:rPr>
        <w:t xml:space="preserve">Table 1: </w:t>
      </w:r>
      <w:r>
        <w:rPr/>
        <w:t>The documents of the set, in reading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3626"/>
        <w:gridCol w:w="1926"/>
        <w:gridCol w:w="147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File</w:t>
            </w:r>
          </w:p>
        </w:tc>
        <w:tc>
          <w:tcPr>
            <w:tcW w:type="dxa" w:w="3626"/>
            <w:shd w:val="clear" w:color="auto" w:fill="004EA8"/>
            <w:tcMar>
              <w:top w:w="50" w:type="dxa"/>
              <w:bottom w:w="50" w:type="dxa"/>
              <w:left w:w="90" w:type="dxa"/>
              <w:right w:w="90" w:type="dxa"/>
            </w:tcMar>
            <w:vAlign w:val="center"/>
          </w:tcPr>
          <w:p>
            <w:pPr>
              <w:pStyle w:val="BDOITableHeader"/>
            </w:pPr>
            <w:r>
              <w:rPr>
                <w:b/>
                <w:color w:val="FFFFFF"/>
                <w:sz w:val="15"/>
              </w:rPr>
              <w:t>What it is for</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Who reads it</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5"/>
              </w:rPr>
              <w:t>When</w:t>
            </w:r>
          </w:p>
        </w:tc>
      </w:tr>
      <w:tr>
        <w:tc>
          <w:tcPr>
            <w:tcW w:type="dxa" w:w="2946"/>
            <w:tcMar>
              <w:top w:w="50" w:type="dxa"/>
              <w:bottom w:w="50" w:type="dxa"/>
              <w:left w:w="90" w:type="dxa"/>
              <w:right w:w="90" w:type="dxa"/>
            </w:tcMar>
          </w:tcPr>
          <w:p>
            <w:pPr>
              <w:pStyle w:val="BDOITable"/>
            </w:pPr>
            <w:r>
              <w:rPr>
                <w:sz w:val="15"/>
              </w:rPr>
              <w:t>00_BIBS_StartHere_BRD-02_Operations_v2.1.docx</w:t>
            </w:r>
          </w:p>
        </w:tc>
        <w:tc>
          <w:tcPr>
            <w:tcW w:type="dxa" w:w="3626"/>
            <w:tcMar>
              <w:top w:w="50" w:type="dxa"/>
              <w:bottom w:w="50" w:type="dxa"/>
              <w:left w:w="90" w:type="dxa"/>
              <w:right w:w="90" w:type="dxa"/>
            </w:tcMar>
          </w:tcPr>
          <w:p>
            <w:pPr>
              <w:pStyle w:val="BDOITable"/>
            </w:pPr>
            <w:r>
              <w:rPr>
                <w:sz w:val="15"/>
              </w:rPr>
              <w:t>Start Here: the map of the pack, who reads what, the steps and the dates</w:t>
            </w:r>
          </w:p>
        </w:tc>
        <w:tc>
          <w:tcPr>
            <w:tcW w:type="dxa" w:w="1926"/>
            <w:tcMar>
              <w:top w:w="50" w:type="dxa"/>
              <w:bottom w:w="50" w:type="dxa"/>
              <w:left w:w="90" w:type="dxa"/>
              <w:right w:w="90" w:type="dxa"/>
            </w:tcMar>
          </w:tcPr>
          <w:p>
            <w:pPr>
              <w:pStyle w:val="BDOITable"/>
            </w:pPr>
            <w:r>
              <w:rPr>
                <w:sz w:val="15"/>
              </w:rPr>
              <w:t>Everyone</w:t>
            </w:r>
          </w:p>
        </w:tc>
        <w:tc>
          <w:tcPr>
            <w:tcW w:type="dxa" w:w="1473"/>
            <w:tcMar>
              <w:top w:w="50" w:type="dxa"/>
              <w:bottom w:w="50" w:type="dxa"/>
              <w:left w:w="90" w:type="dxa"/>
              <w:right w:w="90" w:type="dxa"/>
            </w:tcMar>
          </w:tcPr>
          <w:p>
            <w:pPr>
              <w:pStyle w:val="BDOITable"/>
            </w:pPr>
            <w:r>
              <w:rPr>
                <w:sz w:val="15"/>
              </w:rPr>
              <w:t>First, on issue</w:t>
            </w:r>
          </w:p>
        </w:tc>
      </w:tr>
      <w:tr>
        <w:tc>
          <w:tcPr>
            <w:tcW w:type="dxa" w:w="2946"/>
            <w:tcMar>
              <w:top w:w="50" w:type="dxa"/>
              <w:bottom w:w="50" w:type="dxa"/>
              <w:left w:w="90" w:type="dxa"/>
              <w:right w:w="90" w:type="dxa"/>
            </w:tcMar>
            <w:shd w:val="clear" w:color="auto" w:fill="E5F5FF"/>
          </w:tcPr>
          <w:p>
            <w:pPr>
              <w:pStyle w:val="BDOITable"/>
            </w:pPr>
            <w:r>
              <w:rPr>
                <w:sz w:val="15"/>
              </w:rPr>
              <w:t>01_BIBS_GuideDeck_BRD-02_Operations_v2.1.pptx</w:t>
            </w:r>
          </w:p>
        </w:tc>
        <w:tc>
          <w:tcPr>
            <w:tcW w:type="dxa" w:w="3626"/>
            <w:tcMar>
              <w:top w:w="50" w:type="dxa"/>
              <w:bottom w:w="50" w:type="dxa"/>
              <w:left w:w="90" w:type="dxa"/>
              <w:right w:w="90" w:type="dxa"/>
            </w:tcMar>
            <w:shd w:val="clear" w:color="auto" w:fill="E5F5FF"/>
          </w:tcPr>
          <w:p>
            <w:pPr>
              <w:pStyle w:val="BDOITable"/>
            </w:pPr>
            <w:r>
              <w:rPr>
                <w:sz w:val="15"/>
              </w:rPr>
              <w:t>Sign-off Pack Guide: purpose, approach, the module at a glance, caveats and impacts on other modules, entry and exit criteria, change control</w:t>
            </w:r>
          </w:p>
        </w:tc>
        <w:tc>
          <w:tcPr>
            <w:tcW w:type="dxa" w:w="1926"/>
            <w:tcMar>
              <w:top w:w="50" w:type="dxa"/>
              <w:bottom w:w="50" w:type="dxa"/>
              <w:left w:w="90" w:type="dxa"/>
              <w:right w:w="90" w:type="dxa"/>
            </w:tcMar>
            <w:shd w:val="clear" w:color="auto" w:fill="E5F5FF"/>
          </w:tcPr>
          <w:p>
            <w:pPr>
              <w:pStyle w:val="BDOITable"/>
            </w:pPr>
            <w:r>
              <w:rPr>
                <w:sz w:val="15"/>
              </w:rPr>
              <w:t>Business owner, unit heads; presented at the kick-off</w:t>
            </w:r>
          </w:p>
        </w:tc>
        <w:tc>
          <w:tcPr>
            <w:tcW w:type="dxa" w:w="1473"/>
            <w:tcMar>
              <w:top w:w="50" w:type="dxa"/>
              <w:bottom w:w="50" w:type="dxa"/>
              <w:left w:w="90" w:type="dxa"/>
              <w:right w:w="90" w:type="dxa"/>
            </w:tcMar>
            <w:shd w:val="clear" w:color="auto" w:fill="E5F5FF"/>
          </w:tcPr>
          <w:p>
            <w:pPr>
              <w:pStyle w:val="BDOITable"/>
            </w:pPr>
            <w:r>
              <w:rPr>
                <w:sz w:val="15"/>
              </w:rPr>
              <w:t>Kick-off session</w:t>
            </w:r>
          </w:p>
        </w:tc>
      </w:tr>
      <w:tr>
        <w:tc>
          <w:tcPr>
            <w:tcW w:type="dxa" w:w="2946"/>
            <w:tcMar>
              <w:top w:w="50" w:type="dxa"/>
              <w:bottom w:w="50" w:type="dxa"/>
              <w:left w:w="90" w:type="dxa"/>
              <w:right w:w="90" w:type="dxa"/>
            </w:tcMar>
          </w:tcPr>
          <w:p>
            <w:pPr>
              <w:pStyle w:val="BDOITable"/>
            </w:pPr>
            <w:r>
              <w:rPr>
                <w:sz w:val="15"/>
              </w:rPr>
              <w:t>02_BIBS_FRS_BRD-02_Operations_v2.1.docx</w:t>
            </w:r>
          </w:p>
        </w:tc>
        <w:tc>
          <w:tcPr>
            <w:tcW w:type="dxa" w:w="3626"/>
            <w:tcMar>
              <w:top w:w="50" w:type="dxa"/>
              <w:bottom w:w="50" w:type="dxa"/>
              <w:left w:w="90" w:type="dxa"/>
              <w:right w:w="90" w:type="dxa"/>
            </w:tcMar>
          </w:tcPr>
          <w:p>
            <w:pPr>
              <w:pStyle w:val="BDOITable"/>
            </w:pPr>
            <w:r>
              <w:rPr>
                <w:sz w:val="15"/>
              </w:rPr>
              <w:t>Functional Requirements Specification v2.1 on the Operations BRD v1.01 and the May 2026 annexes: requirements, navigation, 63 screen specifications with screenshots, walkthroughs, messages, notifications, documents, uploads, cross-BRD contract, user-story view and storyboard index</w:t>
            </w:r>
          </w:p>
        </w:tc>
        <w:tc>
          <w:tcPr>
            <w:tcW w:type="dxa" w:w="1926"/>
            <w:tcMar>
              <w:top w:w="50" w:type="dxa"/>
              <w:bottom w:w="50" w:type="dxa"/>
              <w:left w:w="90" w:type="dxa"/>
              <w:right w:w="90" w:type="dxa"/>
            </w:tcMar>
          </w:tcPr>
          <w:p>
            <w:pPr>
              <w:pStyle w:val="BDOITable"/>
            </w:pPr>
            <w:r>
              <w:rPr>
                <w:sz w:val="15"/>
              </w:rPr>
              <w:t>Business users of each Operations team; Comptrollership, Disbursement and BDOI IT for their chapters</w:t>
            </w:r>
          </w:p>
        </w:tc>
        <w:tc>
          <w:tcPr>
            <w:tcW w:type="dxa" w:w="1473"/>
            <w:tcMar>
              <w:top w:w="50" w:type="dxa"/>
              <w:bottom w:w="50" w:type="dxa"/>
              <w:left w:w="90" w:type="dxa"/>
              <w:right w:w="90" w:type="dxa"/>
            </w:tcMar>
          </w:tcPr>
          <w:p>
            <w:pPr>
              <w:pStyle w:val="BDOITable"/>
            </w:pPr>
            <w:r>
              <w:rPr>
                <w:sz w:val="15"/>
              </w:rPr>
              <w:t>During the review, with the SIT walkthroughs</w:t>
            </w:r>
          </w:p>
        </w:tc>
      </w:tr>
      <w:tr>
        <w:tc>
          <w:tcPr>
            <w:tcW w:type="dxa" w:w="2946"/>
            <w:tcMar>
              <w:top w:w="50" w:type="dxa"/>
              <w:bottom w:w="50" w:type="dxa"/>
              <w:left w:w="90" w:type="dxa"/>
              <w:right w:w="90" w:type="dxa"/>
            </w:tcMar>
            <w:shd w:val="clear" w:color="auto" w:fill="E5F5FF"/>
          </w:tcPr>
          <w:p>
            <w:pPr>
              <w:pStyle w:val="BDOITable"/>
            </w:pPr>
            <w:r>
              <w:rPr>
                <w:sz w:val="15"/>
              </w:rPr>
              <w:t>03_BIBS_Signoff_BRD-02_Operations_v2.1.xlsx</w:t>
            </w:r>
          </w:p>
        </w:tc>
        <w:tc>
          <w:tcPr>
            <w:tcW w:type="dxa" w:w="3626"/>
            <w:tcMar>
              <w:top w:w="50" w:type="dxa"/>
              <w:bottom w:w="50" w:type="dxa"/>
              <w:left w:w="90" w:type="dxa"/>
              <w:right w:w="90" w:type="dxa"/>
            </w:tcMar>
            <w:shd w:val="clear" w:color="auto" w:fill="E5F5FF"/>
          </w:tcPr>
          <w:p>
            <w:pPr>
              <w:pStyle w:val="BDOITable"/>
            </w:pPr>
            <w:r>
              <w:rPr>
                <w:sz w:val="15"/>
              </w:rPr>
              <w:t>Sign-off workbook: one row per screen, field, rule and message with the BU review columns; comments log, meeting minutes, version history, sign-off certificate</w:t>
            </w:r>
          </w:p>
        </w:tc>
        <w:tc>
          <w:tcPr>
            <w:tcW w:type="dxa" w:w="1926"/>
            <w:tcMar>
              <w:top w:w="50" w:type="dxa"/>
              <w:bottom w:w="50" w:type="dxa"/>
              <w:left w:w="90" w:type="dxa"/>
              <w:right w:w="90" w:type="dxa"/>
            </w:tcMar>
            <w:shd w:val="clear" w:color="auto" w:fill="E5F5FF"/>
          </w:tcPr>
          <w:p>
            <w:pPr>
              <w:pStyle w:val="BDOITable"/>
            </w:pPr>
            <w:r>
              <w:rPr>
                <w:sz w:val="15"/>
              </w:rPr>
              <w:t>Every reviewer; the business owner signs it</w:t>
            </w:r>
          </w:p>
        </w:tc>
        <w:tc>
          <w:tcPr>
            <w:tcW w:type="dxa" w:w="1473"/>
            <w:tcMar>
              <w:top w:w="50" w:type="dxa"/>
              <w:bottom w:w="50" w:type="dxa"/>
              <w:left w:w="90" w:type="dxa"/>
              <w:right w:w="90" w:type="dxa"/>
            </w:tcMar>
            <w:shd w:val="clear" w:color="auto" w:fill="E5F5FF"/>
          </w:tcPr>
          <w:p>
            <w:pPr>
              <w:pStyle w:val="BDOITable"/>
            </w:pPr>
            <w:r>
              <w:rPr>
                <w:sz w:val="15"/>
              </w:rPr>
              <w:t>During the review and at sign-off</w:t>
            </w:r>
          </w:p>
        </w:tc>
      </w:tr>
      <w:tr>
        <w:tc>
          <w:tcPr>
            <w:tcW w:type="dxa" w:w="2946"/>
            <w:tcMar>
              <w:top w:w="50" w:type="dxa"/>
              <w:bottom w:w="50" w:type="dxa"/>
              <w:left w:w="90" w:type="dxa"/>
              <w:right w:w="90" w:type="dxa"/>
            </w:tcMar>
          </w:tcPr>
          <w:p>
            <w:pPr>
              <w:pStyle w:val="BDOITable"/>
            </w:pPr>
            <w:r>
              <w:rPr>
                <w:sz w:val="15"/>
              </w:rPr>
              <w:t>04_BIBS_TestPlan_BRD-02_Operations_v2.1.xlsx</w:t>
            </w:r>
          </w:p>
        </w:tc>
        <w:tc>
          <w:tcPr>
            <w:tcW w:type="dxa" w:w="3626"/>
            <w:tcMar>
              <w:top w:w="50" w:type="dxa"/>
              <w:bottom w:w="50" w:type="dxa"/>
              <w:left w:w="90" w:type="dxa"/>
              <w:right w:w="90" w:type="dxa"/>
            </w:tcMar>
          </w:tcPr>
          <w:p>
            <w:pPr>
              <w:pStyle w:val="BDOITable"/>
            </w:pPr>
            <w:r>
              <w:rPr>
                <w:sz w:val="15"/>
              </w:rPr>
              <w:t>Test plan workbook: the test cases traced to the FRs and to the screens, including one screen case and one message case per screen</w:t>
            </w:r>
          </w:p>
        </w:tc>
        <w:tc>
          <w:tcPr>
            <w:tcW w:type="dxa" w:w="1926"/>
            <w:tcMar>
              <w:top w:w="50" w:type="dxa"/>
              <w:bottom w:w="50" w:type="dxa"/>
              <w:left w:w="90" w:type="dxa"/>
              <w:right w:w="90" w:type="dxa"/>
            </w:tcMar>
          </w:tcPr>
          <w:p>
            <w:pPr>
              <w:pStyle w:val="BDOITable"/>
            </w:pPr>
            <w:r>
              <w:rPr>
                <w:sz w:val="15"/>
              </w:rPr>
              <w:t>Business users who will run UAT; BDOI IT</w:t>
            </w:r>
          </w:p>
        </w:tc>
        <w:tc>
          <w:tcPr>
            <w:tcW w:type="dxa" w:w="1473"/>
            <w:tcMar>
              <w:top w:w="50" w:type="dxa"/>
              <w:bottom w:w="50" w:type="dxa"/>
              <w:left w:w="90" w:type="dxa"/>
              <w:right w:w="90" w:type="dxa"/>
            </w:tcMar>
          </w:tcPr>
          <w:p>
            <w:pPr>
              <w:pStyle w:val="BDOITable"/>
            </w:pPr>
            <w:r>
              <w:rPr>
                <w:sz w:val="15"/>
              </w:rPr>
              <w:t>After the screens; used again in SIT and UAT</w:t>
            </w:r>
          </w:p>
        </w:tc>
      </w:tr>
      <w:tr>
        <w:tc>
          <w:tcPr>
            <w:tcW w:type="dxa" w:w="2946"/>
            <w:tcMar>
              <w:top w:w="50" w:type="dxa"/>
              <w:bottom w:w="50" w:type="dxa"/>
              <w:left w:w="90" w:type="dxa"/>
              <w:right w:w="90" w:type="dxa"/>
            </w:tcMar>
            <w:shd w:val="clear" w:color="auto" w:fill="E5F5FF"/>
          </w:tcPr>
          <w:p>
            <w:pPr>
              <w:pStyle w:val="BDOITable"/>
            </w:pPr>
            <w:r>
              <w:rPr>
                <w:sz w:val="15"/>
              </w:rPr>
              <w:t>05_BIBS_TestPlan_BRD-02_Operations_Summary_v2.1.docx</w:t>
            </w:r>
          </w:p>
        </w:tc>
        <w:tc>
          <w:tcPr>
            <w:tcW w:type="dxa" w:w="3626"/>
            <w:tcMar>
              <w:top w:w="50" w:type="dxa"/>
              <w:bottom w:w="50" w:type="dxa"/>
              <w:left w:w="90" w:type="dxa"/>
              <w:right w:w="90" w:type="dxa"/>
            </w:tcMar>
            <w:shd w:val="clear" w:color="auto" w:fill="E5F5FF"/>
          </w:tcPr>
          <w:p>
            <w:pPr>
              <w:pStyle w:val="BDOITable"/>
            </w:pPr>
            <w:r>
              <w:rPr>
                <w:sz w:val="15"/>
              </w:rPr>
              <w:t>Test plan summary: scope, approach, coverage and the cases by area</w:t>
            </w:r>
          </w:p>
        </w:tc>
        <w:tc>
          <w:tcPr>
            <w:tcW w:type="dxa" w:w="1926"/>
            <w:tcMar>
              <w:top w:w="50" w:type="dxa"/>
              <w:bottom w:w="50" w:type="dxa"/>
              <w:left w:w="90" w:type="dxa"/>
              <w:right w:w="90" w:type="dxa"/>
            </w:tcMar>
            <w:shd w:val="clear" w:color="auto" w:fill="E5F5FF"/>
          </w:tcPr>
          <w:p>
            <w:pPr>
              <w:pStyle w:val="BDOITable"/>
            </w:pPr>
            <w:r>
              <w:rPr>
                <w:sz w:val="15"/>
              </w:rPr>
              <w:t>Business owner, BDOI IT</w:t>
            </w:r>
          </w:p>
        </w:tc>
        <w:tc>
          <w:tcPr>
            <w:tcW w:type="dxa" w:w="1473"/>
            <w:tcMar>
              <w:top w:w="50" w:type="dxa"/>
              <w:bottom w:w="50" w:type="dxa"/>
              <w:left w:w="90" w:type="dxa"/>
              <w:right w:w="90" w:type="dxa"/>
            </w:tcMar>
            <w:shd w:val="clear" w:color="auto" w:fill="E5F5FF"/>
          </w:tcPr>
          <w:p>
            <w:pPr>
              <w:pStyle w:val="BDOITable"/>
            </w:pPr>
            <w:r>
              <w:rPr>
                <w:sz w:val="15"/>
              </w:rPr>
              <w:t>Before sign-off</w:t>
            </w:r>
          </w:p>
        </w:tc>
      </w:tr>
      <w:tr>
        <w:tc>
          <w:tcPr>
            <w:tcW w:type="dxa" w:w="2946"/>
            <w:tcMar>
              <w:top w:w="50" w:type="dxa"/>
              <w:bottom w:w="50" w:type="dxa"/>
              <w:left w:w="90" w:type="dxa"/>
              <w:right w:w="90" w:type="dxa"/>
            </w:tcMar>
          </w:tcPr>
          <w:p>
            <w:pPr>
              <w:pStyle w:val="BDOITable"/>
            </w:pPr>
            <w:r>
              <w:rPr>
                <w:sz w:val="15"/>
              </w:rPr>
              <w:t>07_BIBS_UXDeck_BRD-02_Operations_v2.1.pptx</w:t>
            </w:r>
          </w:p>
        </w:tc>
        <w:tc>
          <w:tcPr>
            <w:tcW w:type="dxa" w:w="3626"/>
            <w:tcMar>
              <w:top w:w="50" w:type="dxa"/>
              <w:bottom w:w="50" w:type="dxa"/>
              <w:left w:w="90" w:type="dxa"/>
              <w:right w:w="90" w:type="dxa"/>
            </w:tcMar>
          </w:tcPr>
          <w:p>
            <w:pPr>
              <w:pStyle w:val="BDOITable"/>
            </w:pPr>
            <w:r>
              <w:rPr>
                <w:sz w:val="15"/>
              </w:rPr>
              <w:t>UX Screen Deck for the BDOI UX Design team: design foundation, navigation and personas, every walkthrough step by step and every screen with all its states</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From the issue, in parallel with the review; re-issued with each version of the set</w:t>
            </w:r>
          </w:p>
        </w:tc>
      </w:tr>
      <w:tr>
        <w:tc>
          <w:tcPr>
            <w:tcW w:type="dxa" w:w="2946"/>
            <w:tcMar>
              <w:top w:w="50" w:type="dxa"/>
              <w:bottom w:w="50" w:type="dxa"/>
              <w:left w:w="90" w:type="dxa"/>
              <w:right w:w="90" w:type="dxa"/>
            </w:tcMar>
            <w:shd w:val="clear" w:color="auto" w:fill="E5F5FF"/>
          </w:tcPr>
          <w:p>
            <w:pPr>
              <w:pStyle w:val="BDOITable"/>
            </w:pPr>
            <w:r>
              <w:rPr>
                <w:sz w:val="15"/>
              </w:rPr>
              <w:t>08_BIBS_UXScreens_BRD-02_Operations_v2.1.xlsx</w:t>
            </w:r>
          </w:p>
        </w:tc>
        <w:tc>
          <w:tcPr>
            <w:tcW w:type="dxa" w:w="3626"/>
            <w:tcMar>
              <w:top w:w="50" w:type="dxa"/>
              <w:bottom w:w="50" w:type="dxa"/>
              <w:left w:w="90" w:type="dxa"/>
              <w:right w:w="90" w:type="dxa"/>
            </w:tcMar>
            <w:shd w:val="clear" w:color="auto" w:fill="E5F5FF"/>
          </w:tcPr>
          <w:p>
            <w:pPr>
              <w:pStyle w:val="BDOITable"/>
            </w:pPr>
            <w:r>
              <w:rPr>
                <w:sz w:val="15"/>
              </w:rPr>
              <w:t>UX screen register: one row per screen image with the screen, personas, walkthrough and step, state, FRS section and requirements, UXD status and comments, and the Changed in this issue flag</w:t>
            </w:r>
          </w:p>
        </w:tc>
        <w:tc>
          <w:tcPr>
            <w:tcW w:type="dxa" w:w="1926"/>
            <w:tcMar>
              <w:top w:w="50" w:type="dxa"/>
              <w:bottom w:w="50" w:type="dxa"/>
              <w:left w:w="90" w:type="dxa"/>
              <w:right w:w="90" w:type="dxa"/>
            </w:tcMar>
            <w:shd w:val="clear" w:color="auto" w:fill="E5F5FF"/>
          </w:tcPr>
          <w:p>
            <w:pPr>
              <w:pStyle w:val="BDOITable"/>
            </w:pPr>
            <w:r>
              <w:rPr>
                <w:sz w:val="15"/>
              </w:rPr>
              <w:t>BDOI UX Design team</w:t>
            </w:r>
          </w:p>
        </w:tc>
        <w:tc>
          <w:tcPr>
            <w:tcW w:type="dxa" w:w="1473"/>
            <w:tcMar>
              <w:top w:w="50" w:type="dxa"/>
              <w:bottom w:w="50" w:type="dxa"/>
              <w:left w:w="90" w:type="dxa"/>
              <w:right w:w="90" w:type="dxa"/>
            </w:tcMar>
            <w:shd w:val="clear" w:color="auto" w:fill="E5F5FF"/>
          </w:tcPr>
          <w:p>
            <w:pPr>
              <w:pStyle w:val="BDOITable"/>
            </w:pPr>
            <w:r>
              <w:rPr>
                <w:sz w:val="15"/>
              </w:rPr>
              <w:t>Kept by the UX Design team; the changed rows are flagged at each issue</w:t>
            </w:r>
          </w:p>
        </w:tc>
      </w:tr>
      <w:tr>
        <w:tc>
          <w:tcPr>
            <w:tcW w:type="dxa" w:w="2946"/>
            <w:tcMar>
              <w:top w:w="50" w:type="dxa"/>
              <w:bottom w:w="50" w:type="dxa"/>
              <w:left w:w="90" w:type="dxa"/>
              <w:right w:w="90" w:type="dxa"/>
            </w:tcMar>
          </w:tcPr>
          <w:p>
            <w:pPr>
              <w:pStyle w:val="BDOITable"/>
            </w:pPr>
            <w:r>
              <w:rPr>
                <w:sz w:val="15"/>
              </w:rPr>
              <w:t>09_BIBS_UXScreens_BRD-02_Operations_v2.1.zip</w:t>
            </w:r>
          </w:p>
        </w:tc>
        <w:tc>
          <w:tcPr>
            <w:tcW w:type="dxa" w:w="3626"/>
            <w:tcMar>
              <w:top w:w="50" w:type="dxa"/>
              <w:bottom w:w="50" w:type="dxa"/>
              <w:left w:w="90" w:type="dxa"/>
              <w:right w:w="90" w:type="dxa"/>
            </w:tcMar>
          </w:tcPr>
          <w:p>
            <w:pPr>
              <w:pStyle w:val="BDOITable"/>
            </w:pPr>
            <w:r>
              <w:rPr>
                <w:sz w:val="15"/>
              </w:rPr>
              <w:t>Image package: every screen image at twice the screen resolution (PNG), the component crops and the register as CSV</w:t>
            </w:r>
          </w:p>
        </w:tc>
        <w:tc>
          <w:tcPr>
            <w:tcW w:type="dxa" w:w="1926"/>
            <w:tcMar>
              <w:top w:w="50" w:type="dxa"/>
              <w:bottom w:w="50" w:type="dxa"/>
              <w:left w:w="90" w:type="dxa"/>
              <w:right w:w="90" w:type="dxa"/>
            </w:tcMar>
          </w:tcPr>
          <w:p>
            <w:pPr>
              <w:pStyle w:val="BDOITable"/>
            </w:pPr>
            <w:r>
              <w:rPr>
                <w:sz w:val="15"/>
              </w:rPr>
              <w:t>BDOI UX Design team</w:t>
            </w:r>
          </w:p>
        </w:tc>
        <w:tc>
          <w:tcPr>
            <w:tcW w:type="dxa" w:w="1473"/>
            <w:tcMar>
              <w:top w:w="50" w:type="dxa"/>
              <w:bottom w:w="50" w:type="dxa"/>
              <w:left w:w="90" w:type="dxa"/>
              <w:right w:w="90" w:type="dxa"/>
            </w:tcMar>
          </w:tcPr>
          <w:p>
            <w:pPr>
              <w:pStyle w:val="BDOITable"/>
            </w:pPr>
            <w:r>
              <w:rPr>
                <w:sz w:val="15"/>
              </w:rPr>
              <w:t>Imported into the design tool at each issue</w:t>
            </w:r>
          </w:p>
        </w:tc>
      </w:tr>
    </w:tbl>
    <w:p>
      <w:pPr>
        <w:pStyle w:val="BDOISpacer"/>
      </w:pPr>
    </w:p>
    <w:p>
      <w:pPr>
        <w:pStyle w:val="Heading1"/>
        <w:pBdr>
          <w:bottom w:val="single" w:sz="4" w:space="4" w:color="99C1E7"/>
        </w:pBdr>
      </w:pPr>
      <w:bookmarkStart w:id="103" w:name="_Toc000103"/>
      <w:r>
        <w:rPr/>
        <w:t>3 Where to start</w:t>
      </w:r>
      <w:bookmarkEnd w:id="103"/>
    </w:p>
    <w:p>
      <w:pPr>
        <w:pStyle w:val="Caption"/>
        <w:keepNext/>
        <w:spacing w:after="60"/>
      </w:pPr>
      <w:r>
        <w:rPr>
          <w:b/>
          <w:i w:val="0"/>
        </w:rPr>
        <w:t xml:space="preserve">Table 2: </w:t>
      </w:r>
      <w:r>
        <w:rPr/>
        <w:t>Reading order per role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6"/>
              </w:rPr>
              <w:t>Role</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6"/>
              </w:rPr>
              <w:t>Where to start</w:t>
            </w:r>
          </w:p>
        </w:tc>
      </w:tr>
      <w:tr>
        <w:tc>
          <w:tcPr>
            <w:tcW w:type="dxa" w:w="2380"/>
            <w:tcMar>
              <w:top w:w="50" w:type="dxa"/>
              <w:bottom w:w="50" w:type="dxa"/>
              <w:left w:w="90" w:type="dxa"/>
              <w:right w:w="90" w:type="dxa"/>
            </w:tcMar>
          </w:tcPr>
          <w:p>
            <w:pPr>
              <w:pStyle w:val="BDOITable"/>
            </w:pPr>
            <w:r>
              <w:rPr>
                <w:b/>
                <w:sz w:val="16"/>
              </w:rPr>
              <w:t>Business owner (Product Owner; Operations FT&amp;P)</w:t>
            </w:r>
          </w:p>
        </w:tc>
        <w:tc>
          <w:tcPr>
            <w:tcW w:type="dxa" w:w="7592"/>
            <w:tcMar>
              <w:top w:w="50" w:type="dxa"/>
              <w:bottom w:w="50" w:type="dxa"/>
              <w:left w:w="90" w:type="dxa"/>
              <w:right w:w="90" w:type="dxa"/>
            </w:tcMar>
          </w:tcPr>
          <w:p>
            <w:pPr>
              <w:pStyle w:val="BDOITable"/>
            </w:pPr>
            <w:r>
              <w:rPr>
                <w:sz w:val="16"/>
              </w:rPr>
              <w:t>00 Start Here; 01 Guide deck; FRS chapters 1-3 (context and personas), 14 (walkthroughs), 20 (sign-off), 21 (proposed rules for confirmation, CLR-OP-36 to 62 new in v2.1) and 22 (user-story view); workbook Sign-off certificate</w:t>
            </w:r>
          </w:p>
        </w:tc>
      </w:tr>
      <w:tr>
        <w:tc>
          <w:tcPr>
            <w:tcW w:type="dxa" w:w="2380"/>
            <w:tcMar>
              <w:top w:w="50" w:type="dxa"/>
              <w:bottom w:w="50" w:type="dxa"/>
              <w:left w:w="90" w:type="dxa"/>
              <w:right w:w="90" w:type="dxa"/>
            </w:tcMar>
            <w:shd w:val="clear" w:color="auto" w:fill="E5F5FF"/>
          </w:tcPr>
          <w:p>
            <w:pPr>
              <w:pStyle w:val="BDOITable"/>
            </w:pPr>
            <w:r>
              <w:rPr>
                <w:b/>
                <w:sz w:val="16"/>
              </w:rPr>
              <w:t>Cashiering (cashiers and Team Leader)</w:t>
            </w:r>
          </w:p>
        </w:tc>
        <w:tc>
          <w:tcPr>
            <w:tcW w:type="dxa" w:w="7592"/>
            <w:tcMar>
              <w:top w:w="50" w:type="dxa"/>
              <w:bottom w:w="50" w:type="dxa"/>
              <w:left w:w="90" w:type="dxa"/>
              <w:right w:w="90" w:type="dxa"/>
            </w:tcMar>
            <w:shd w:val="clear" w:color="auto" w:fill="E5F5FF"/>
          </w:tcPr>
          <w:p>
            <w:pPr>
              <w:pStyle w:val="BDOITable"/>
            </w:pPr>
            <w:r>
              <w:rPr>
                <w:sz w:val="16"/>
              </w:rPr>
              <w:t>FRS chapter 4 Cashiering; the Cashiering screens of chapter 13 (SCR-OP-07 to 22); walkthroughs A (steps 3-4), B (steps 8-9) and D (steps 3-4); messages in chapter 15; documents DO-01 and DO-02 in chapter 17; upload templates in chapter 18</w:t>
            </w:r>
          </w:p>
        </w:tc>
      </w:tr>
      <w:tr>
        <w:tc>
          <w:tcPr>
            <w:tcW w:type="dxa" w:w="2380"/>
            <w:tcMar>
              <w:top w:w="50" w:type="dxa"/>
              <w:bottom w:w="50" w:type="dxa"/>
              <w:left w:w="90" w:type="dxa"/>
              <w:right w:w="90" w:type="dxa"/>
            </w:tcMar>
          </w:tcPr>
          <w:p>
            <w:pPr>
              <w:pStyle w:val="BDOITable"/>
            </w:pPr>
            <w:r>
              <w:rPr>
                <w:b/>
                <w:sz w:val="16"/>
              </w:rPr>
              <w:t>Remittance (processors and Team Leader)</w:t>
            </w:r>
          </w:p>
        </w:tc>
        <w:tc>
          <w:tcPr>
            <w:tcW w:type="dxa" w:w="7592"/>
            <w:tcMar>
              <w:top w:w="50" w:type="dxa"/>
              <w:bottom w:w="50" w:type="dxa"/>
              <w:left w:w="90" w:type="dxa"/>
              <w:right w:w="90" w:type="dxa"/>
            </w:tcMar>
          </w:tcPr>
          <w:p>
            <w:pPr>
              <w:pStyle w:val="BDOITable"/>
            </w:pPr>
            <w:r>
              <w:rPr>
                <w:sz w:val="16"/>
              </w:rPr>
              <w:t>FRS chapter 4 Remittance; screens SCR-OP-23 to 36; walkthroughs A (steps 5-10) and D (step 5); notifications in chapter 16; documents DO-03 and DO-04</w:t>
            </w:r>
          </w:p>
        </w:tc>
      </w:tr>
      <w:tr>
        <w:tc>
          <w:tcPr>
            <w:tcW w:type="dxa" w:w="2380"/>
            <w:tcMar>
              <w:top w:w="50" w:type="dxa"/>
              <w:bottom w:w="50" w:type="dxa"/>
              <w:left w:w="90" w:type="dxa"/>
              <w:right w:w="90" w:type="dxa"/>
            </w:tcMar>
            <w:shd w:val="clear" w:color="auto" w:fill="E5F5FF"/>
          </w:tcPr>
          <w:p>
            <w:pPr>
              <w:pStyle w:val="BDOITable"/>
            </w:pPr>
            <w:r>
              <w:rPr>
                <w:b/>
                <w:sz w:val="16"/>
              </w:rPr>
              <w:t>Adjustment (processors and Team Leader)</w:t>
            </w:r>
          </w:p>
        </w:tc>
        <w:tc>
          <w:tcPr>
            <w:tcW w:type="dxa" w:w="7592"/>
            <w:tcMar>
              <w:top w:w="50" w:type="dxa"/>
              <w:bottom w:w="50" w:type="dxa"/>
              <w:left w:w="90" w:type="dxa"/>
              <w:right w:w="90" w:type="dxa"/>
            </w:tcMar>
            <w:shd w:val="clear" w:color="auto" w:fill="E5F5FF"/>
          </w:tcPr>
          <w:p>
            <w:pPr>
              <w:pStyle w:val="BDOITable"/>
            </w:pPr>
            <w:r>
              <w:rPr>
                <w:sz w:val="16"/>
              </w:rPr>
              <w:t>FRS chapter 4 Adjustment / Cancellation; screens SCR-OP-37 to 42; walkthrough B; documents DO-05 and DO-06; Policy Transactions in chapter 12</w:t>
            </w:r>
          </w:p>
        </w:tc>
      </w:tr>
      <w:tr>
        <w:tc>
          <w:tcPr>
            <w:tcW w:type="dxa" w:w="2380"/>
            <w:tcMar>
              <w:top w:w="50" w:type="dxa"/>
              <w:bottom w:w="50" w:type="dxa"/>
              <w:left w:w="90" w:type="dxa"/>
              <w:right w:w="90" w:type="dxa"/>
            </w:tcMar>
          </w:tcPr>
          <w:p>
            <w:pPr>
              <w:pStyle w:val="BDOITable"/>
            </w:pPr>
            <w:r>
              <w:rPr>
                <w:b/>
                <w:sz w:val="16"/>
              </w:rPr>
              <w:t>Production Reconciliation and Commission Receivables</w:t>
            </w:r>
          </w:p>
        </w:tc>
        <w:tc>
          <w:tcPr>
            <w:tcW w:type="dxa" w:w="7592"/>
            <w:tcMar>
              <w:top w:w="50" w:type="dxa"/>
              <w:bottom w:w="50" w:type="dxa"/>
              <w:left w:w="90" w:type="dxa"/>
              <w:right w:w="90" w:type="dxa"/>
            </w:tcMar>
          </w:tcPr>
          <w:p>
            <w:pPr>
              <w:pStyle w:val="BDOITable"/>
            </w:pPr>
            <w:r>
              <w:rPr>
                <w:sz w:val="16"/>
              </w:rPr>
              <w:t>FRS chapter 4 Production Reconciliation and Commission Receivables; screens SCR-OP-43 to 60; walkthrough C; documents DO-07 and DO-08</w:t>
            </w:r>
          </w:p>
        </w:tc>
      </w:tr>
      <w:tr>
        <w:tc>
          <w:tcPr>
            <w:tcW w:type="dxa" w:w="2380"/>
            <w:tcMar>
              <w:top w:w="50" w:type="dxa"/>
              <w:bottom w:w="50" w:type="dxa"/>
              <w:left w:w="90" w:type="dxa"/>
              <w:right w:w="90" w:type="dxa"/>
            </w:tcMar>
            <w:shd w:val="clear" w:color="auto" w:fill="E5F5FF"/>
          </w:tcPr>
          <w:p>
            <w:pPr>
              <w:pStyle w:val="BDOITable"/>
            </w:pPr>
            <w:r>
              <w:rPr>
                <w:b/>
                <w:sz w:val="16"/>
              </w:rPr>
              <w:t>Marketing Collection and Marketing Team Leader</w:t>
            </w:r>
          </w:p>
        </w:tc>
        <w:tc>
          <w:tcPr>
            <w:tcW w:type="dxa" w:w="7592"/>
            <w:tcMar>
              <w:top w:w="50" w:type="dxa"/>
              <w:bottom w:w="50" w:type="dxa"/>
              <w:left w:w="90" w:type="dxa"/>
              <w:right w:w="90" w:type="dxa"/>
            </w:tcMar>
            <w:shd w:val="clear" w:color="auto" w:fill="E5F5FF"/>
          </w:tcPr>
          <w:p>
            <w:pPr>
              <w:pStyle w:val="BDOITable"/>
            </w:pPr>
            <w:r>
              <w:rPr>
                <w:sz w:val="16"/>
              </w:rPr>
              <w:t>The PR 2307 reversal now owned by Marketing Collection (FR-OP-113, SCR-OP-19, CLR-OP-40 to 43); holds, special remittance and endorsement requests with their returns (SCR-OP-28 to 31, 38, 39); walkthrough B steps 1-3 and D steps 1-2; the Marketing rows of the user-story view (chapter 22)</w:t>
            </w:r>
          </w:p>
        </w:tc>
      </w:tr>
      <w:tr>
        <w:tc>
          <w:tcPr>
            <w:tcW w:type="dxa" w:w="2380"/>
            <w:tcMar>
              <w:top w:w="50" w:type="dxa"/>
              <w:bottom w:w="50" w:type="dxa"/>
              <w:left w:w="90" w:type="dxa"/>
              <w:right w:w="90" w:type="dxa"/>
            </w:tcMar>
          </w:tcPr>
          <w:p>
            <w:pPr>
              <w:pStyle w:val="BDOITable"/>
            </w:pPr>
            <w:r>
              <w:rPr>
                <w:b/>
                <w:sz w:val="16"/>
              </w:rPr>
              <w:t>Comptrollership, Disbursement and ACSL (BRD-5)</w:t>
            </w:r>
          </w:p>
        </w:tc>
        <w:tc>
          <w:tcPr>
            <w:tcW w:type="dxa" w:w="7592"/>
            <w:tcMar>
              <w:top w:w="50" w:type="dxa"/>
              <w:bottom w:w="50" w:type="dxa"/>
              <w:left w:w="90" w:type="dxa"/>
              <w:right w:w="90" w:type="dxa"/>
            </w:tcMar>
          </w:tcPr>
          <w:p>
            <w:pPr>
              <w:pStyle w:val="BDOITable"/>
            </w:pPr>
            <w:r>
              <w:rPr>
                <w:sz w:val="16"/>
              </w:rPr>
              <w:t>Accounting events (chapter 5); Disbursement Queue and Remittance Deductions (SCR-OP-33, 34, 36); BIR certificates (SCR-OP-58, 59); cross-BRD contract (chapter 19)</w:t>
            </w:r>
          </w:p>
        </w:tc>
      </w:tr>
      <w:tr>
        <w:tc>
          <w:tcPr>
            <w:tcW w:type="dxa" w:w="2380"/>
            <w:tcMar>
              <w:top w:w="50" w:type="dxa"/>
              <w:bottom w:w="50" w:type="dxa"/>
              <w:left w:w="90" w:type="dxa"/>
              <w:right w:w="90" w:type="dxa"/>
            </w:tcMar>
            <w:shd w:val="clear" w:color="auto" w:fill="E5F5FF"/>
          </w:tcPr>
          <w:p>
            <w:pPr>
              <w:pStyle w:val="BDOITable"/>
            </w:pPr>
            <w:r>
              <w:rPr>
                <w:b/>
                <w:sz w:val="16"/>
              </w:rPr>
              <w:t>BDOI IT</w:t>
            </w:r>
          </w:p>
        </w:tc>
        <w:tc>
          <w:tcPr>
            <w:tcW w:type="dxa" w:w="7592"/>
            <w:tcMar>
              <w:top w:w="50" w:type="dxa"/>
              <w:bottom w:w="50" w:type="dxa"/>
              <w:left w:w="90" w:type="dxa"/>
              <w:right w:w="90" w:type="dxa"/>
            </w:tcMar>
            <w:shd w:val="clear" w:color="auto" w:fill="E5F5FF"/>
          </w:tcPr>
          <w:p>
            <w:pPr>
              <w:pStyle w:val="BDOITable"/>
            </w:pPr>
            <w:r>
              <w:rPr>
                <w:sz w:val="16"/>
              </w:rPr>
              <w:t>Interfaces and integration (chapter 7), non-functional requirements (chapter 8), configuration and jobs (chapter 9), Interfaces screen (SCR-OP-61), cross-BRD contract (chapter 19); the Technical Specification, reviewed by BDOI IT</w:t>
            </w:r>
          </w:p>
        </w:tc>
      </w:tr>
      <w:tr>
        <w:tc>
          <w:tcPr>
            <w:tcW w:type="dxa" w:w="2380"/>
            <w:tcMar>
              <w:top w:w="50" w:type="dxa"/>
              <w:bottom w:w="50" w:type="dxa"/>
              <w:left w:w="90" w:type="dxa"/>
              <w:right w:w="90" w:type="dxa"/>
            </w:tcMar>
          </w:tcPr>
          <w:p>
            <w:pPr>
              <w:pStyle w:val="BDOITable"/>
            </w:pPr>
            <w:r>
              <w:rPr>
                <w:b/>
                <w:sz w:val="16"/>
              </w:rPr>
              <w:t>BDOI UX Design team</w:t>
            </w:r>
          </w:p>
        </w:tc>
        <w:tc>
          <w:tcPr>
            <w:tcW w:type="dxa" w:w="7592"/>
            <w:tcMar>
              <w:top w:w="50" w:type="dxa"/>
              <w:bottom w:w="50" w:type="dxa"/>
              <w:left w:w="90" w:type="dxa"/>
              <w:right w:w="90" w:type="dxa"/>
            </w:tcMar>
          </w:tcPr>
          <w:p>
            <w:pPr>
              <w:pStyle w:val="BDOITable"/>
            </w:pPr>
            <w:r>
              <w:rPr>
                <w:sz w:val="16"/>
              </w:rPr>
              <w:t>07 UX Screen Deck: design foundation and navigation first, then the personas, walkthroughs and screens of the design work; 08 UX screen register (filter Changed in this issue at each new issue); 09 image package in the design tool</w:t>
            </w:r>
          </w:p>
        </w:tc>
      </w:tr>
      <w:tr>
        <w:tc>
          <w:tcPr>
            <w:tcW w:type="dxa" w:w="2380"/>
            <w:tcMar>
              <w:top w:w="50" w:type="dxa"/>
              <w:bottom w:w="50" w:type="dxa"/>
              <w:left w:w="90" w:type="dxa"/>
              <w:right w:w="90" w:type="dxa"/>
            </w:tcMar>
            <w:shd w:val="clear" w:color="auto" w:fill="E5F5FF"/>
          </w:tcPr>
          <w:p>
            <w:pPr>
              <w:pStyle w:val="BDOITable"/>
            </w:pPr>
            <w:r>
              <w:rPr>
                <w:b/>
                <w:sz w:val="16"/>
              </w:rPr>
              <w:t>iorta TechNXT project team</w:t>
            </w:r>
          </w:p>
        </w:tc>
        <w:tc>
          <w:tcPr>
            <w:tcW w:type="dxa" w:w="7592"/>
            <w:tcMar>
              <w:top w:w="50" w:type="dxa"/>
              <w:bottom w:w="50" w:type="dxa"/>
              <w:left w:w="90" w:type="dxa"/>
              <w:right w:w="90" w:type="dxa"/>
            </w:tcMar>
            <w:shd w:val="clear" w:color="auto" w:fill="E5F5FF"/>
          </w:tcPr>
          <w:p>
            <w:pPr>
              <w:pStyle w:val="BDOITable"/>
            </w:pPr>
            <w:r>
              <w:rPr>
                <w:sz w:val="16"/>
              </w:rPr>
              <w:t>All documents; keeps the comments log, the meeting minutes and the version history of the workbook, answers every comment and keeps the traceability to SIT and UAT</w:t>
            </w:r>
          </w:p>
        </w:tc>
      </w:tr>
    </w:tbl>
    <w:p>
      <w:pPr>
        <w:pStyle w:val="BDOISpacer"/>
      </w:pPr>
    </w:p>
    <w:p>
      <w:r>
        <w:rPr/>
        <w:t>SIT users of the seed data for the review: cashier, cashbr and cashtl (Cashiering), remit and remittl (Remittance), adjust and adjtl (Adjustment), recon (Production Reconciliation), commrec and commtl (Commission Receivables), mktcoll and mkttl (Marketing Collection), acsl and acsltl (ACSL), comptrol (Comptrollership), disb (Disbursement), admin (System Administrator) and auditor. The passwords are sent separately to the named reviewers.</w:t>
      </w:r>
    </w:p>
    <w:p>
      <w:pPr>
        <w:pStyle w:val="Heading1"/>
        <w:pBdr>
          <w:bottom w:val="single" w:sz="4" w:space="4" w:color="99C1E7"/>
        </w:pBdr>
      </w:pPr>
      <w:bookmarkStart w:id="104" w:name="_Toc000104"/>
      <w:r>
        <w:rPr/>
        <w:t>4 Steps up to closure</w:t>
      </w:r>
      <w:bookmarkEnd w:id="104"/>
    </w:p>
    <w:p>
      <w:pPr>
        <w:pStyle w:val="Caption"/>
        <w:keepNext/>
        <w:spacing w:after="60"/>
      </w:pPr>
      <w:r>
        <w:rPr>
          <w:b/>
          <w:i w:val="0"/>
        </w:rPr>
        <w:t xml:space="preserve">Table 3: </w:t>
      </w:r>
      <w:r>
        <w:rPr/>
        <w:t>From issue to closure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699"/>
        <w:gridCol w:w="2946"/>
        <w:gridCol w:w="2946"/>
        <w:gridCol w:w="1926"/>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Step</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Who (R, A, C, I)</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5"/>
              </w:rPr>
              <w:t>Output</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When / duration</w:t>
            </w:r>
          </w:p>
        </w:tc>
      </w:tr>
      <w:tr>
        <w:tc>
          <w:tcPr>
            <w:tcW w:type="dxa" w:w="453"/>
            <w:tcMar>
              <w:top w:w="50" w:type="dxa"/>
              <w:bottom w:w="50" w:type="dxa"/>
              <w:left w:w="90" w:type="dxa"/>
              <w:right w:w="90" w:type="dxa"/>
            </w:tcMar>
          </w:tcPr>
          <w:p>
            <w:pPr>
              <w:pStyle w:val="BDOITable"/>
            </w:pPr>
            <w:r>
              <w:rPr>
                <w:sz w:val="15"/>
              </w:rPr>
              <w:t>1</w:t>
            </w:r>
          </w:p>
        </w:tc>
        <w:tc>
          <w:tcPr>
            <w:tcW w:type="dxa" w:w="1700"/>
            <w:tcMar>
              <w:top w:w="50" w:type="dxa"/>
              <w:bottom w:w="50" w:type="dxa"/>
              <w:left w:w="90" w:type="dxa"/>
              <w:right w:w="90" w:type="dxa"/>
            </w:tcMar>
          </w:tcPr>
          <w:p>
            <w:pPr>
              <w:pStyle w:val="BDOITable"/>
            </w:pPr>
            <w:r>
              <w:rPr>
                <w:sz w:val="15"/>
              </w:rPr>
              <w:t>Pack issued</w:t>
            </w:r>
          </w:p>
        </w:tc>
        <w:tc>
          <w:tcPr>
            <w:tcW w:type="dxa" w:w="2946"/>
            <w:tcMar>
              <w:top w:w="50" w:type="dxa"/>
              <w:bottom w:w="50" w:type="dxa"/>
              <w:left w:w="90" w:type="dxa"/>
              <w:right w:w="90" w:type="dxa"/>
            </w:tcMar>
          </w:tcPr>
          <w:p>
            <w:pPr>
              <w:pStyle w:val="BDOITable"/>
            </w:pPr>
            <w:r>
              <w:rPr>
                <w:sz w:val="15"/>
              </w:rPr>
              <w:t>R: iorta TechNXT Project Manager; A: iorta TechNXT delivery lead; I: all reviewers</w:t>
            </w:r>
          </w:p>
        </w:tc>
        <w:tc>
          <w:tcPr>
            <w:tcW w:type="dxa" w:w="2946"/>
            <w:tcMar>
              <w:top w:w="50" w:type="dxa"/>
              <w:bottom w:w="50" w:type="dxa"/>
              <w:left w:w="90" w:type="dxa"/>
              <w:right w:w="90" w:type="dxa"/>
            </w:tcMar>
          </w:tcPr>
          <w:p>
            <w:pPr>
              <w:pStyle w:val="BDOITable"/>
            </w:pPr>
            <w:r>
              <w:rPr>
                <w:sz w:val="15"/>
              </w:rPr>
              <w:t>Release set v2.1 in the BRD-02 folder (re-based on the BRD v1.01 and the May 2026 annexes; v2.0 was issued on Mon 28-Sep-2026); invitations to the sessions</w:t>
            </w:r>
          </w:p>
        </w:tc>
        <w:tc>
          <w:tcPr>
            <w:tcW w:type="dxa" w:w="1926"/>
            <w:tcMar>
              <w:top w:w="50" w:type="dxa"/>
              <w:bottom w:w="50" w:type="dxa"/>
              <w:left w:w="90" w:type="dxa"/>
              <w:right w:w="90" w:type="dxa"/>
            </w:tcMar>
          </w:tcPr>
          <w:p>
            <w:pPr>
              <w:pStyle w:val="BDOITable"/>
            </w:pPr>
            <w:r>
              <w:rPr>
                <w:sz w:val="15"/>
              </w:rPr>
              <w:t>Day 0 (Thu 08-Oct-2026); sessions scheduled after the BRD-10, 12, 6 and 9 sign-offs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700"/>
            <w:tcMar>
              <w:top w:w="50" w:type="dxa"/>
              <w:bottom w:w="50" w:type="dxa"/>
              <w:left w:w="90" w:type="dxa"/>
              <w:right w:w="90" w:type="dxa"/>
            </w:tcMar>
            <w:shd w:val="clear" w:color="auto" w:fill="E5F5FF"/>
          </w:tcPr>
          <w:p>
            <w:pPr>
              <w:pStyle w:val="BDOITable"/>
            </w:pPr>
            <w:r>
              <w:rPr>
                <w:sz w:val="15"/>
              </w:rPr>
              <w:t>Kick-off and screen walkthrough on SIT</w:t>
            </w:r>
          </w:p>
        </w:tc>
        <w:tc>
          <w:tcPr>
            <w:tcW w:type="dxa" w:w="2946"/>
            <w:tcMar>
              <w:top w:w="50" w:type="dxa"/>
              <w:bottom w:w="50" w:type="dxa"/>
              <w:left w:w="90" w:type="dxa"/>
              <w:right w:w="90" w:type="dxa"/>
            </w:tcMar>
            <w:shd w:val="clear" w:color="auto" w:fill="E5F5FF"/>
          </w:tcPr>
          <w:p>
            <w:pPr>
              <w:pStyle w:val="BDOITable"/>
            </w:pPr>
            <w:r>
              <w:rPr>
                <w:sz w:val="15"/>
              </w:rPr>
              <w:t>R: iorta TechNXT Business Analysis; A: BDOI Product Owner; C: Operations FT&amp;P unit heads; I: BDOI IT</w:t>
            </w:r>
          </w:p>
        </w:tc>
        <w:tc>
          <w:tcPr>
            <w:tcW w:type="dxa" w:w="2946"/>
            <w:tcMar>
              <w:top w:w="50" w:type="dxa"/>
              <w:bottom w:w="50" w:type="dxa"/>
              <w:left w:w="90" w:type="dxa"/>
              <w:right w:w="90" w:type="dxa"/>
            </w:tcMar>
            <w:shd w:val="clear" w:color="auto" w:fill="E5F5FF"/>
          </w:tcPr>
          <w:p>
            <w:pPr>
              <w:pStyle w:val="BDOITable"/>
            </w:pPr>
            <w:r>
              <w:rPr>
                <w:sz w:val="15"/>
              </w:rPr>
              <w:t>Screens shown live per team (Cashiering, Remittance, Adjustment, Production Reconciliation and Commission Receivables); first questions logged in the comments log; minutes</w:t>
            </w:r>
          </w:p>
        </w:tc>
        <w:tc>
          <w:tcPr>
            <w:tcW w:type="dxa" w:w="1926"/>
            <w:tcMar>
              <w:top w:w="50" w:type="dxa"/>
              <w:bottom w:w="50" w:type="dxa"/>
              <w:left w:w="90" w:type="dxa"/>
              <w:right w:w="90" w:type="dxa"/>
            </w:tcMar>
            <w:shd w:val="clear" w:color="auto" w:fill="E5F5FF"/>
          </w:tcPr>
          <w:p>
            <w:pPr>
              <w:pStyle w:val="BDOITable"/>
            </w:pPr>
            <w:r>
              <w:rPr>
                <w:sz w:val="15"/>
              </w:rPr>
              <w:t>5 sessions, 16 to 20-Nov-2026</w:t>
            </w:r>
          </w:p>
        </w:tc>
      </w:tr>
      <w:tr>
        <w:tc>
          <w:tcPr>
            <w:tcW w:type="dxa" w:w="453"/>
            <w:tcMar>
              <w:top w:w="50" w:type="dxa"/>
              <w:bottom w:w="50" w:type="dxa"/>
              <w:left w:w="90" w:type="dxa"/>
              <w:right w:w="90" w:type="dxa"/>
            </w:tcMar>
          </w:tcPr>
          <w:p>
            <w:pPr>
              <w:pStyle w:val="BDOITable"/>
            </w:pPr>
            <w:r>
              <w:rPr>
                <w:sz w:val="15"/>
              </w:rPr>
              <w:t>3</w:t>
            </w:r>
          </w:p>
        </w:tc>
        <w:tc>
          <w:tcPr>
            <w:tcW w:type="dxa" w:w="1700"/>
            <w:tcMar>
              <w:top w:w="50" w:type="dxa"/>
              <w:bottom w:w="50" w:type="dxa"/>
              <w:left w:w="90" w:type="dxa"/>
              <w:right w:w="90" w:type="dxa"/>
            </w:tcMar>
          </w:tcPr>
          <w:p>
            <w:pPr>
              <w:pStyle w:val="BDOITable"/>
            </w:pPr>
            <w:r>
              <w:rPr>
                <w:sz w:val="15"/>
              </w:rPr>
              <w:t>Review with the workbook</w:t>
            </w:r>
          </w:p>
        </w:tc>
        <w:tc>
          <w:tcPr>
            <w:tcW w:type="dxa" w:w="2946"/>
            <w:tcMar>
              <w:top w:w="50" w:type="dxa"/>
              <w:bottom w:w="50" w:type="dxa"/>
              <w:left w:w="90" w:type="dxa"/>
              <w:right w:w="90" w:type="dxa"/>
            </w:tcMar>
          </w:tcPr>
          <w:p>
            <w:pPr>
              <w:pStyle w:val="BDOITable"/>
            </w:pPr>
            <w:r>
              <w:rPr>
                <w:sz w:val="15"/>
              </w:rPr>
              <w:t>R: business users of each Operations team; A: Operations FT&amp;P unit heads; C: iorta TechNXT (questions)</w:t>
            </w:r>
          </w:p>
        </w:tc>
        <w:tc>
          <w:tcPr>
            <w:tcW w:type="dxa" w:w="2946"/>
            <w:tcMar>
              <w:top w:w="50" w:type="dxa"/>
              <w:bottom w:w="50" w:type="dxa"/>
              <w:left w:w="90" w:type="dxa"/>
              <w:right w:w="90" w:type="dxa"/>
            </w:tcMar>
          </w:tcPr>
          <w:p>
            <w:pPr>
              <w:pStyle w:val="BDOITable"/>
            </w:pPr>
            <w:r>
              <w:rPr>
                <w:sz w:val="15"/>
              </w:rPr>
              <w:t>Every row marked Accept, Change requested or Comment; comments log entries</w:t>
            </w:r>
          </w:p>
        </w:tc>
        <w:tc>
          <w:tcPr>
            <w:tcW w:type="dxa" w:w="1926"/>
            <w:tcMar>
              <w:top w:w="50" w:type="dxa"/>
              <w:bottom w:w="50" w:type="dxa"/>
              <w:left w:w="90" w:type="dxa"/>
              <w:right w:w="90" w:type="dxa"/>
            </w:tcMar>
          </w:tcPr>
          <w:p>
            <w:pPr>
              <w:pStyle w:val="BDOITable"/>
            </w:pPr>
            <w:r>
              <w:rPr>
                <w:sz w:val="15"/>
              </w:rPr>
              <w:t>10 working days after the walkthroughs, until Fri 4-Dec-2026</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700"/>
            <w:tcMar>
              <w:top w:w="50" w:type="dxa"/>
              <w:bottom w:w="50" w:type="dxa"/>
              <w:left w:w="90" w:type="dxa"/>
              <w:right w:w="90" w:type="dxa"/>
            </w:tcMar>
            <w:shd w:val="clear" w:color="auto" w:fill="E5F5FF"/>
          </w:tcPr>
          <w:p>
            <w:pPr>
              <w:pStyle w:val="BDOITable"/>
            </w:pPr>
            <w:r>
              <w:rPr>
                <w:sz w:val="15"/>
              </w:rPr>
              <w:t>Comments consolidated and a Q&amp;A session</w:t>
            </w:r>
          </w:p>
        </w:tc>
        <w:tc>
          <w:tcPr>
            <w:tcW w:type="dxa" w:w="2946"/>
            <w:tcMar>
              <w:top w:w="50" w:type="dxa"/>
              <w:bottom w:w="50" w:type="dxa"/>
              <w:left w:w="90" w:type="dxa"/>
              <w:right w:w="90" w:type="dxa"/>
            </w:tcMar>
            <w:shd w:val="clear" w:color="auto" w:fill="E5F5FF"/>
          </w:tcPr>
          <w:p>
            <w:pPr>
              <w:pStyle w:val="BDOITable"/>
            </w:pPr>
            <w:r>
              <w:rPr>
                <w:sz w:val="15"/>
              </w:rPr>
              <w:t>R: iorta TechNXT Project Manager and Business Analysis; A: BDOI Product Owner; C: reviewers</w:t>
            </w:r>
          </w:p>
        </w:tc>
        <w:tc>
          <w:tcPr>
            <w:tcW w:type="dxa" w:w="2946"/>
            <w:tcMar>
              <w:top w:w="50" w:type="dxa"/>
              <w:bottom w:w="50" w:type="dxa"/>
              <w:left w:w="90" w:type="dxa"/>
              <w:right w:w="90" w:type="dxa"/>
            </w:tcMar>
            <w:shd w:val="clear" w:color="auto" w:fill="E5F5FF"/>
          </w:tcPr>
          <w:p>
            <w:pPr>
              <w:pStyle w:val="BDOITable"/>
            </w:pPr>
            <w:r>
              <w:rPr>
                <w:sz w:val="15"/>
              </w:rPr>
              <w:t>One consolidated comments log, each item typed (clarification, correction, change request) and answered; Q&amp;A minutes</w:t>
            </w:r>
          </w:p>
        </w:tc>
        <w:tc>
          <w:tcPr>
            <w:tcW w:type="dxa" w:w="1926"/>
            <w:tcMar>
              <w:top w:w="50" w:type="dxa"/>
              <w:bottom w:w="50" w:type="dxa"/>
              <w:left w:w="90" w:type="dxa"/>
              <w:right w:w="90" w:type="dxa"/>
            </w:tcMar>
            <w:shd w:val="clear" w:color="auto" w:fill="E5F5FF"/>
          </w:tcPr>
          <w:p>
            <w:pPr>
              <w:pStyle w:val="BDOITable"/>
            </w:pPr>
            <w:r>
              <w:rPr>
                <w:sz w:val="15"/>
              </w:rPr>
              <w:t>3 working days, Q&amp;A on Wed 9-Dec-2026</w:t>
            </w:r>
          </w:p>
        </w:tc>
      </w:tr>
      <w:tr>
        <w:tc>
          <w:tcPr>
            <w:tcW w:type="dxa" w:w="453"/>
            <w:tcMar>
              <w:top w:w="50" w:type="dxa"/>
              <w:bottom w:w="50" w:type="dxa"/>
              <w:left w:w="90" w:type="dxa"/>
              <w:right w:w="90" w:type="dxa"/>
            </w:tcMar>
          </w:tcPr>
          <w:p>
            <w:pPr>
              <w:pStyle w:val="BDOITable"/>
            </w:pPr>
            <w:r>
              <w:rPr>
                <w:sz w:val="15"/>
              </w:rPr>
              <w:t>5</w:t>
            </w:r>
          </w:p>
        </w:tc>
        <w:tc>
          <w:tcPr>
            <w:tcW w:type="dxa" w:w="1700"/>
            <w:tcMar>
              <w:top w:w="50" w:type="dxa"/>
              <w:bottom w:w="50" w:type="dxa"/>
              <w:left w:w="90" w:type="dxa"/>
              <w:right w:w="90" w:type="dxa"/>
            </w:tcMar>
          </w:tcPr>
          <w:p>
            <w:pPr>
              <w:pStyle w:val="BDOITable"/>
            </w:pPr>
            <w:r>
              <w:rPr>
                <w:sz w:val="15"/>
              </w:rPr>
              <w:t>One revision cycle (v2.2)</w:t>
            </w:r>
          </w:p>
        </w:tc>
        <w:tc>
          <w:tcPr>
            <w:tcW w:type="dxa" w:w="2946"/>
            <w:tcMar>
              <w:top w:w="50" w:type="dxa"/>
              <w:bottom w:w="50" w:type="dxa"/>
              <w:left w:w="90" w:type="dxa"/>
              <w:right w:w="90" w:type="dxa"/>
            </w:tcMar>
          </w:tcPr>
          <w:p>
            <w:pPr>
              <w:pStyle w:val="BDOITable"/>
            </w:pPr>
            <w:r>
              <w:rPr>
                <w:sz w:val="15"/>
              </w:rPr>
              <w:t>R: iorta TechNXT Business Analysis; A: iorta TechNXT delivery lead; C: reviewers who raised the items</w:t>
            </w:r>
          </w:p>
        </w:tc>
        <w:tc>
          <w:tcPr>
            <w:tcW w:type="dxa" w:w="2946"/>
            <w:tcMar>
              <w:top w:w="50" w:type="dxa"/>
              <w:bottom w:w="50" w:type="dxa"/>
              <w:left w:w="90" w:type="dxa"/>
              <w:right w:w="90" w:type="dxa"/>
            </w:tcMar>
          </w:tcPr>
          <w:p>
            <w:pPr>
              <w:pStyle w:val="BDOITable"/>
            </w:pPr>
            <w:r>
              <w:rPr>
                <w:sz w:val="15"/>
              </w:rPr>
              <w:t>Release set v2.2 with the changed rows marked; change requests raised for the rest</w:t>
            </w:r>
          </w:p>
        </w:tc>
        <w:tc>
          <w:tcPr>
            <w:tcW w:type="dxa" w:w="1926"/>
            <w:tcMar>
              <w:top w:w="50" w:type="dxa"/>
              <w:bottom w:w="50" w:type="dxa"/>
              <w:left w:w="90" w:type="dxa"/>
              <w:right w:w="90" w:type="dxa"/>
            </w:tcMar>
          </w:tcPr>
          <w:p>
            <w:pPr>
              <w:pStyle w:val="BDOITable"/>
            </w:pPr>
            <w:r>
              <w:rPr>
                <w:sz w:val="15"/>
              </w:rPr>
              <w:t>2 working days, v2.2 on Fri 11-Dec-2026; check by the reviewers until Wed 16-Dec-2026</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700"/>
            <w:tcMar>
              <w:top w:w="50" w:type="dxa"/>
              <w:bottom w:w="50" w:type="dxa"/>
              <w:left w:w="90" w:type="dxa"/>
              <w:right w:w="90" w:type="dxa"/>
            </w:tcMar>
            <w:shd w:val="clear" w:color="auto" w:fill="E5F5FF"/>
          </w:tcPr>
          <w:p>
            <w:pPr>
              <w:pStyle w:val="BDOITable"/>
            </w:pPr>
            <w:r>
              <w:rPr>
                <w:sz w:val="15"/>
              </w:rPr>
              <w:t>Sign-off meeting and signature</w:t>
            </w:r>
          </w:p>
        </w:tc>
        <w:tc>
          <w:tcPr>
            <w:tcW w:type="dxa" w:w="2946"/>
            <w:tcMar>
              <w:top w:w="50" w:type="dxa"/>
              <w:bottom w:w="50" w:type="dxa"/>
              <w:left w:w="90" w:type="dxa"/>
              <w:right w:w="90" w:type="dxa"/>
            </w:tcMar>
            <w:shd w:val="clear" w:color="auto" w:fill="E5F5FF"/>
          </w:tcPr>
          <w:p>
            <w:pPr>
              <w:pStyle w:val="BDOITable"/>
            </w:pPr>
            <w:r>
              <w:rPr>
                <w:sz w:val="15"/>
              </w:rPr>
              <w:t>R: iorta TechNXT Project Manager; A: BDOI Product Owner; C: Operations FT&amp;P, Comptrollership, BDOI IT</w:t>
            </w:r>
          </w:p>
        </w:tc>
        <w:tc>
          <w:tcPr>
            <w:tcW w:type="dxa" w:w="2946"/>
            <w:tcMar>
              <w:top w:w="50" w:type="dxa"/>
              <w:bottom w:w="50" w:type="dxa"/>
              <w:left w:w="90" w:type="dxa"/>
              <w:right w:w="90" w:type="dxa"/>
            </w:tcMar>
            <w:shd w:val="clear" w:color="auto" w:fill="E5F5FF"/>
          </w:tcPr>
          <w:p>
            <w:pPr>
              <w:pStyle w:val="BDOITable"/>
            </w:pPr>
            <w:r>
              <w:rPr>
                <w:sz w:val="15"/>
              </w:rPr>
              <w:t>Signed sign-off certificate; minutes; open items accepted as assumptions or change requests</w:t>
            </w:r>
          </w:p>
        </w:tc>
        <w:tc>
          <w:tcPr>
            <w:tcW w:type="dxa" w:w="1926"/>
            <w:tcMar>
              <w:top w:w="50" w:type="dxa"/>
              <w:bottom w:w="50" w:type="dxa"/>
              <w:left w:w="90" w:type="dxa"/>
              <w:right w:w="90" w:type="dxa"/>
            </w:tcMar>
            <w:shd w:val="clear" w:color="auto" w:fill="E5F5FF"/>
          </w:tcPr>
          <w:p>
            <w:pPr>
              <w:pStyle w:val="BDOITable"/>
            </w:pPr>
            <w:r>
              <w:rPr>
                <w:sz w:val="15"/>
              </w:rPr>
              <w:t>Fri 18-Dec-2026</w:t>
            </w:r>
          </w:p>
        </w:tc>
      </w:tr>
      <w:tr>
        <w:tc>
          <w:tcPr>
            <w:tcW w:type="dxa" w:w="453"/>
            <w:tcMar>
              <w:top w:w="50" w:type="dxa"/>
              <w:bottom w:w="50" w:type="dxa"/>
              <w:left w:w="90" w:type="dxa"/>
              <w:right w:w="90" w:type="dxa"/>
            </w:tcMar>
          </w:tcPr>
          <w:p>
            <w:pPr>
              <w:pStyle w:val="BDOITable"/>
            </w:pPr>
            <w:r>
              <w:rPr>
                <w:sz w:val="15"/>
              </w:rPr>
              <w:t>7</w:t>
            </w:r>
          </w:p>
        </w:tc>
        <w:tc>
          <w:tcPr>
            <w:tcW w:type="dxa" w:w="1700"/>
            <w:tcMar>
              <w:top w:w="50" w:type="dxa"/>
              <w:bottom w:w="50" w:type="dxa"/>
              <w:left w:w="90" w:type="dxa"/>
              <w:right w:w="90" w:type="dxa"/>
            </w:tcMar>
          </w:tcPr>
          <w:p>
            <w:pPr>
              <w:pStyle w:val="BDOITable"/>
            </w:pPr>
            <w:r>
              <w:rPr>
                <w:sz w:val="15"/>
              </w:rPr>
              <w:t>Content freeze</w:t>
            </w:r>
          </w:p>
        </w:tc>
        <w:tc>
          <w:tcPr>
            <w:tcW w:type="dxa" w:w="2946"/>
            <w:tcMar>
              <w:top w:w="50" w:type="dxa"/>
              <w:bottom w:w="50" w:type="dxa"/>
              <w:left w:w="90" w:type="dxa"/>
              <w:right w:w="90" w:type="dxa"/>
            </w:tcMar>
          </w:tcPr>
          <w:p>
            <w:pPr>
              <w:pStyle w:val="BDOITable"/>
            </w:pPr>
            <w:r>
              <w:rPr>
                <w:sz w:val="15"/>
              </w:rPr>
              <w:t>R: iorta TechNXT delivery lead; A: BDOI Product Owner; I: BDOI IT, other BRD owners</w:t>
            </w:r>
          </w:p>
        </w:tc>
        <w:tc>
          <w:tcPr>
            <w:tcW w:type="dxa" w:w="2946"/>
            <w:tcMar>
              <w:top w:w="50" w:type="dxa"/>
              <w:bottom w:w="50" w:type="dxa"/>
              <w:left w:w="90" w:type="dxa"/>
              <w:right w:w="90" w:type="dxa"/>
            </w:tcMar>
          </w:tcPr>
          <w:p>
            <w:pPr>
              <w:pStyle w:val="BDOITable"/>
            </w:pPr>
            <w:r>
              <w:rPr>
                <w:sz w:val="15"/>
              </w:rPr>
              <w:t>Content frozen as signed; approved deltas scheduled in the Change Management Register</w:t>
            </w:r>
          </w:p>
        </w:tc>
        <w:tc>
          <w:tcPr>
            <w:tcW w:type="dxa" w:w="1926"/>
            <w:tcMar>
              <w:top w:w="50" w:type="dxa"/>
              <w:bottom w:w="50" w:type="dxa"/>
              <w:left w:w="90" w:type="dxa"/>
              <w:right w:w="90" w:type="dxa"/>
            </w:tcMar>
          </w:tcPr>
          <w:p>
            <w:pPr>
              <w:pStyle w:val="BDOITable"/>
            </w:pPr>
            <w:r>
              <w:rPr>
                <w:sz w:val="15"/>
              </w:rPr>
              <w:t>From Mon 21-Dec-2026</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700"/>
            <w:tcMar>
              <w:top w:w="50" w:type="dxa"/>
              <w:bottom w:w="50" w:type="dxa"/>
              <w:left w:w="90" w:type="dxa"/>
              <w:right w:w="90" w:type="dxa"/>
            </w:tcMar>
            <w:shd w:val="clear" w:color="auto" w:fill="E5F5FF"/>
          </w:tcPr>
          <w:p>
            <w:pPr>
              <w:pStyle w:val="BDOITable"/>
            </w:pPr>
            <w:r>
              <w:rPr>
                <w:sz w:val="15"/>
              </w:rPr>
              <w:t>Traceability into SIT and UAT</w:t>
            </w:r>
          </w:p>
        </w:tc>
        <w:tc>
          <w:tcPr>
            <w:tcW w:type="dxa" w:w="2946"/>
            <w:tcMar>
              <w:top w:w="50" w:type="dxa"/>
              <w:bottom w:w="50" w:type="dxa"/>
              <w:left w:w="90" w:type="dxa"/>
              <w:right w:w="90" w:type="dxa"/>
            </w:tcMar>
            <w:shd w:val="clear" w:color="auto" w:fill="E5F5FF"/>
          </w:tcPr>
          <w:p>
            <w:pPr>
              <w:pStyle w:val="BDOITable"/>
            </w:pPr>
            <w:r>
              <w:rPr>
                <w:sz w:val="15"/>
              </w:rPr>
              <w:t>R: iorta TechNXT test lead; A: BDOI Product Owner; C: business users</w:t>
            </w:r>
          </w:p>
        </w:tc>
        <w:tc>
          <w:tcPr>
            <w:tcW w:type="dxa" w:w="2946"/>
            <w:tcMar>
              <w:top w:w="50" w:type="dxa"/>
              <w:bottom w:w="50" w:type="dxa"/>
              <w:left w:w="90" w:type="dxa"/>
              <w:right w:w="90" w:type="dxa"/>
            </w:tcMar>
            <w:shd w:val="clear" w:color="auto" w:fill="E5F5FF"/>
          </w:tcPr>
          <w:p>
            <w:pPr>
              <w:pStyle w:val="BDOITable"/>
            </w:pPr>
            <w:r>
              <w:rPr>
                <w:sz w:val="15"/>
              </w:rPr>
              <w:t>SIT and UAT runs traced to the signed screens, rules and messages; results against each row</w:t>
            </w:r>
          </w:p>
        </w:tc>
        <w:tc>
          <w:tcPr>
            <w:tcW w:type="dxa" w:w="1926"/>
            <w:tcMar>
              <w:top w:w="50" w:type="dxa"/>
              <w:bottom w:w="50" w:type="dxa"/>
              <w:left w:w="90" w:type="dxa"/>
              <w:right w:w="90" w:type="dxa"/>
            </w:tcMar>
            <w:shd w:val="clear" w:color="auto" w:fill="E5F5FF"/>
          </w:tcPr>
          <w:p>
            <w:pPr>
              <w:pStyle w:val="BDOITable"/>
            </w:pPr>
            <w:r>
              <w:rPr>
                <w:sz w:val="15"/>
              </w:rPr>
              <w:t>SIT Jan - Jul 2027; UAT Aug - Dec 2027</w:t>
            </w:r>
          </w:p>
        </w:tc>
      </w:tr>
    </w:tbl>
    <w:p>
      <w:pPr>
        <w:pStyle w:val="BDOISpacer"/>
      </w:pPr>
    </w:p>
    <w:p>
      <w:r>
        <w:rPr>
          <w:b/>
        </w:rPr>
        <w:t>How to review.</w:t>
      </w:r>
      <w:r>
        <w:rPr/>
        <w:t xml:space="preserve"> Open the FRS chapters of your team or the same screens on SIT. In the sign-off workbook, set BU review to Accept, Change requested or Comment on each row you review (sheets Screen standards, Screen catalogue, Field register, Business rules, Messages), write the change in BU comment, and add your name and the date. Questions go to the Comments log sheet. One workbook per team is enough. Chapter 21 of the FRS lists the proposed rules and clarifications on which BDOI is asked to decide.</w:t>
      </w:r>
    </w:p>
    <w:p>
      <w:pPr>
        <w:pStyle w:val="Caption"/>
        <w:keepNext/>
        <w:spacing w:after="60"/>
      </w:pPr>
      <w:r>
        <w:rPr>
          <w:b/>
          <w:i w:val="0"/>
        </w:rPr>
        <w:t xml:space="preserve">Table 4: </w:t>
      </w:r>
      <w:r>
        <w:rPr/>
        <w:t>SIT walkthrough sessions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1359"/>
        <w:gridCol w:w="4079"/>
        <w:gridCol w:w="249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Time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Session</w:t>
            </w:r>
          </w:p>
        </w:tc>
        <w:tc>
          <w:tcPr>
            <w:tcW w:type="dxa" w:w="2493"/>
            <w:shd w:val="clear" w:color="auto" w:fill="004EA8"/>
            <w:tcMar>
              <w:top w:w="50" w:type="dxa"/>
              <w:bottom w:w="50" w:type="dxa"/>
              <w:left w:w="90" w:type="dxa"/>
              <w:right w:w="90" w:type="dxa"/>
            </w:tcMar>
            <w:vAlign w:val="center"/>
          </w:tcPr>
          <w:p>
            <w:pPr>
              <w:pStyle w:val="BDOITableHeader"/>
            </w:pPr>
            <w:r>
              <w:rPr>
                <w:b/>
                <w:color w:val="FFFFFF"/>
                <w:sz w:val="18"/>
              </w:rPr>
              <w:t>Teams</w:t>
            </w:r>
          </w:p>
        </w:tc>
      </w:tr>
      <w:tr>
        <w:trPr>
          <w:cantSplit w:val="true"/>
        </w:trPr>
        <w:tc>
          <w:tcPr>
            <w:tcW w:type="dxa" w:w="2040"/>
            <w:tcMar>
              <w:top w:w="50" w:type="dxa"/>
              <w:bottom w:w="50" w:type="dxa"/>
              <w:left w:w="90" w:type="dxa"/>
              <w:right w:w="90" w:type="dxa"/>
            </w:tcMar>
          </w:tcPr>
          <w:p>
            <w:pPr>
              <w:pStyle w:val="BDOITable"/>
            </w:pPr>
            <w:r>
              <w:rPr>
                <w:sz w:val="18"/>
              </w:rPr>
              <w:t>Mon 16-Nov-2026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Kick-off; the invoice ledger and Invoice 360; Cashiering: receipts, application, unapplied payments and dispositions (walkthrough A steps 1-4, walkthrough D steps 3-4)</w:t>
            </w:r>
          </w:p>
        </w:tc>
        <w:tc>
          <w:tcPr>
            <w:tcW w:type="dxa" w:w="2493"/>
            <w:tcMar>
              <w:top w:w="50" w:type="dxa"/>
              <w:bottom w:w="50" w:type="dxa"/>
              <w:left w:w="90" w:type="dxa"/>
              <w:right w:w="90" w:type="dxa"/>
            </w:tcMar>
          </w:tcPr>
          <w:p>
            <w:pPr>
              <w:pStyle w:val="BDOITable"/>
            </w:pPr>
            <w:r>
              <w:rPr>
                <w:sz w:val="18"/>
              </w:rPr>
              <w:t>Cashiering, Operations FT&amp;P</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Tue 17-Nov-2026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Remittance: extraction, batches, approval, Disbursement queue, insurer ORs, holds and special remittance (walkthrough A steps 5-10, walkthrough D steps 1, 2 and 5)</w:t>
            </w:r>
          </w:p>
        </w:tc>
        <w:tc>
          <w:tcPr>
            <w:tcW w:type="dxa" w:w="2493"/>
            <w:tcMar>
              <w:top w:w="50" w:type="dxa"/>
              <w:bottom w:w="50" w:type="dxa"/>
              <w:left w:w="90" w:type="dxa"/>
              <w:right w:w="90" w:type="dxa"/>
            </w:tcMar>
            <w:shd w:val="clear" w:color="auto" w:fill="E5F5FF"/>
          </w:tcPr>
          <w:p>
            <w:pPr>
              <w:pStyle w:val="BDOITable"/>
            </w:pPr>
            <w:r>
              <w:rPr>
                <w:sz w:val="18"/>
              </w:rPr>
              <w:t>Remittance, Marketing Collection, Disbursement</w:t>
            </w:r>
          </w:p>
        </w:tc>
      </w:tr>
      <w:tr>
        <w:trPr>
          <w:cantSplit w:val="true"/>
        </w:trPr>
        <w:tc>
          <w:tcPr>
            <w:tcW w:type="dxa" w:w="2040"/>
            <w:tcMar>
              <w:top w:w="50" w:type="dxa"/>
              <w:bottom w:w="50" w:type="dxa"/>
              <w:left w:w="90" w:type="dxa"/>
              <w:right w:w="90" w:type="dxa"/>
            </w:tcMar>
          </w:tcPr>
          <w:p>
            <w:pPr>
              <w:pStyle w:val="BDOITable"/>
            </w:pPr>
            <w:r>
              <w:rPr>
                <w:sz w:val="18"/>
              </w:rPr>
              <w:t>Wed 18-Nov-2026</w:t>
            </w:r>
          </w:p>
        </w:tc>
        <w:tc>
          <w:tcPr>
            <w:tcW w:type="dxa" w:w="1360"/>
            <w:tcMar>
              <w:top w:w="50" w:type="dxa"/>
              <w:bottom w:w="50" w:type="dxa"/>
              <w:left w:w="90" w:type="dxa"/>
              <w:right w:w="90" w:type="dxa"/>
            </w:tcMar>
          </w:tcPr>
          <w:p>
            <w:pPr>
              <w:pStyle w:val="BDOITable"/>
            </w:pPr>
            <w:r>
              <w:rPr>
                <w:sz w:val="18"/>
              </w:rPr>
              <w:t>09:30-12:00</w:t>
            </w:r>
          </w:p>
        </w:tc>
        <w:tc>
          <w:tcPr>
            <w:tcW w:type="dxa" w:w="4079"/>
            <w:tcMar>
              <w:top w:w="50" w:type="dxa"/>
              <w:bottom w:w="50" w:type="dxa"/>
              <w:left w:w="90" w:type="dxa"/>
              <w:right w:w="90" w:type="dxa"/>
            </w:tcMar>
          </w:tcPr>
          <w:p>
            <w:pPr>
              <w:pStyle w:val="BDOITable"/>
            </w:pPr>
            <w:r>
              <w:rPr>
                <w:sz w:val="18"/>
              </w:rPr>
              <w:t>Adjustment: endorsement and cancellation requests, posting, Policy Transactions, refund (walkthrough B)</w:t>
            </w:r>
          </w:p>
        </w:tc>
        <w:tc>
          <w:tcPr>
            <w:tcW w:type="dxa" w:w="2493"/>
            <w:tcMar>
              <w:top w:w="50" w:type="dxa"/>
              <w:bottom w:w="50" w:type="dxa"/>
              <w:left w:w="90" w:type="dxa"/>
              <w:right w:w="90" w:type="dxa"/>
            </w:tcMar>
          </w:tcPr>
          <w:p>
            <w:pPr>
              <w:pStyle w:val="BDOITable"/>
            </w:pPr>
            <w:r>
              <w:rPr>
                <w:sz w:val="18"/>
              </w:rPr>
              <w:t>Adjustment, Marketing Collection, Cashiering</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Thu 19-Nov-2026</w:t>
            </w:r>
          </w:p>
        </w:tc>
        <w:tc>
          <w:tcPr>
            <w:tcW w:type="dxa" w:w="1360"/>
            <w:tcMar>
              <w:top w:w="50" w:type="dxa"/>
              <w:bottom w:w="50" w:type="dxa"/>
              <w:left w:w="90" w:type="dxa"/>
              <w:right w:w="90" w:type="dxa"/>
            </w:tcMar>
            <w:shd w:val="clear" w:color="auto" w:fill="E5F5FF"/>
          </w:tcPr>
          <w:p>
            <w:pPr>
              <w:pStyle w:val="BDOITable"/>
            </w:pPr>
            <w:r>
              <w:rPr>
                <w:sz w:val="18"/>
              </w:rPr>
              <w:t>09:30-12:00</w:t>
            </w:r>
          </w:p>
        </w:tc>
        <w:tc>
          <w:tcPr>
            <w:tcW w:type="dxa" w:w="4079"/>
            <w:tcMar>
              <w:top w:w="50" w:type="dxa"/>
              <w:bottom w:w="50" w:type="dxa"/>
              <w:left w:w="90" w:type="dxa"/>
              <w:right w:w="90" w:type="dxa"/>
            </w:tcMar>
            <w:shd w:val="clear" w:color="auto" w:fill="E5F5FF"/>
          </w:tcPr>
          <w:p>
            <w:pPr>
              <w:pStyle w:val="BDOITable"/>
            </w:pPr>
            <w:r>
              <w:rPr>
                <w:sz w:val="18"/>
              </w:rPr>
              <w:t>Production Reconciliation and Commission Receivables: registers, feedback, DP billing and collection, incentives, BIR certificates (walkthrough C)</w:t>
            </w:r>
          </w:p>
        </w:tc>
        <w:tc>
          <w:tcPr>
            <w:tcW w:type="dxa" w:w="2493"/>
            <w:tcMar>
              <w:top w:w="50" w:type="dxa"/>
              <w:bottom w:w="50" w:type="dxa"/>
              <w:left w:w="90" w:type="dxa"/>
              <w:right w:w="90" w:type="dxa"/>
            </w:tcMar>
            <w:shd w:val="clear" w:color="auto" w:fill="E5F5FF"/>
          </w:tcPr>
          <w:p>
            <w:pPr>
              <w:pStyle w:val="BDOITable"/>
            </w:pPr>
            <w:r>
              <w:rPr>
                <w:sz w:val="18"/>
              </w:rPr>
              <w:t>Production Reconciliation, Commission Receivables, Comptrollership</w:t>
            </w:r>
          </w:p>
        </w:tc>
      </w:tr>
      <w:tr>
        <w:trPr>
          <w:cantSplit w:val="true"/>
        </w:trPr>
        <w:tc>
          <w:tcPr>
            <w:tcW w:type="dxa" w:w="2040"/>
            <w:tcMar>
              <w:top w:w="50" w:type="dxa"/>
              <w:bottom w:w="50" w:type="dxa"/>
              <w:left w:w="90" w:type="dxa"/>
              <w:right w:w="90" w:type="dxa"/>
            </w:tcMar>
          </w:tcPr>
          <w:p>
            <w:pPr>
              <w:pStyle w:val="BDOITable"/>
            </w:pPr>
            <w:r>
              <w:rPr>
                <w:sz w:val="18"/>
              </w:rPr>
              <w:t>Fri 20-Nov-2026</w:t>
            </w:r>
          </w:p>
        </w:tc>
        <w:tc>
          <w:tcPr>
            <w:tcW w:type="dxa" w:w="1360"/>
            <w:tcMar>
              <w:top w:w="50" w:type="dxa"/>
              <w:bottom w:w="50" w:type="dxa"/>
              <w:left w:w="90" w:type="dxa"/>
              <w:right w:w="90" w:type="dxa"/>
            </w:tcMar>
          </w:tcPr>
          <w:p>
            <w:pPr>
              <w:pStyle w:val="BDOITable"/>
            </w:pPr>
            <w:r>
              <w:rPr>
                <w:sz w:val="18"/>
              </w:rPr>
              <w:t>09:30-11:30</w:t>
            </w:r>
          </w:p>
        </w:tc>
        <w:tc>
          <w:tcPr>
            <w:tcW w:type="dxa" w:w="4079"/>
            <w:tcMar>
              <w:top w:w="50" w:type="dxa"/>
              <w:bottom w:w="50" w:type="dxa"/>
              <w:left w:w="90" w:type="dxa"/>
              <w:right w:w="90" w:type="dxa"/>
            </w:tcMar>
          </w:tcPr>
          <w:p>
            <w:pPr>
              <w:pStyle w:val="BDOITable"/>
            </w:pPr>
            <w:r>
              <w:rPr>
                <w:sz w:val="18"/>
              </w:rPr>
              <w:t>Uploads with the error file, reports, interfaces and the accounting of Operations</w:t>
            </w:r>
          </w:p>
        </w:tc>
        <w:tc>
          <w:tcPr>
            <w:tcW w:type="dxa" w:w="2493"/>
            <w:tcMar>
              <w:top w:w="50" w:type="dxa"/>
              <w:bottom w:w="50" w:type="dxa"/>
              <w:left w:w="90" w:type="dxa"/>
              <w:right w:w="90" w:type="dxa"/>
            </w:tcMar>
          </w:tcPr>
          <w:p>
            <w:pPr>
              <w:pStyle w:val="BDOITable"/>
            </w:pPr>
            <w:r>
              <w:rPr>
                <w:sz w:val="18"/>
              </w:rPr>
              <w:t>Operations FT&amp;P, Comptrollership, BDOI IT</w:t>
            </w:r>
          </w:p>
        </w:tc>
      </w:tr>
    </w:tbl>
    <w:p>
      <w:pPr>
        <w:pStyle w:val="BDOISpacer"/>
      </w:pPr>
    </w:p>
    <w:p>
      <w:pPr>
        <w:pStyle w:val="Heading1"/>
        <w:pBdr>
          <w:bottom w:val="single" w:sz="4" w:space="4" w:color="99C1E7"/>
        </w:pBdr>
      </w:pPr>
      <w:bookmarkStart w:id="105" w:name="_Toc000105"/>
      <w:r>
        <w:rPr/>
        <w:t>5 Who signs what</w:t>
      </w:r>
      <w:bookmarkEnd w:id="105"/>
    </w:p>
    <w:p>
      <w:r>
        <w:rPr/>
        <w:t>The set holds business content only: the screens and fields, the columns of the lists, reports and templates that the user sees or fills in, the validations, business rules, messages, notifications, documents, walkthroughs and reports. The business users sign that content. Technical content (the interfaces between systems, data storage, security set-up) is not part of the set: it is in the Technical Specification, a separate document reviewed by BDOI IT. The roles are those of the approval sheet of the Operations BRD v1.01: iorta TechNXT and the Business Analyst of Business Project Services prepare the set, Operations: Financial Transactions and Processing provides the input, Marketing Collections and Comptrollership review the Marketing items and the accounting, BDOI IT reviews the interfaces, the user access and the Technical Specification, and the Program Manager of Business Project Services, Operations: Financial Transactions and Processing, Collections and Marketing Support and the Product Owner approve it.</w:t>
      </w:r>
    </w:p>
    <w:p>
      <w:pPr>
        <w:pStyle w:val="Caption"/>
        <w:keepNext/>
        <w:spacing w:after="60"/>
      </w:pPr>
      <w:r>
        <w:rPr>
          <w:b/>
          <w:i w:val="0"/>
        </w:rPr>
        <w:t xml:space="preserve">Table 5: </w:t>
      </w:r>
      <w:r>
        <w:rPr/>
        <w:t>Who signs what: responsibility per part of the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946"/>
        <w:gridCol w:w="1359"/>
        <w:gridCol w:w="1813"/>
        <w:gridCol w:w="1699"/>
        <w:gridCol w:w="2153"/>
      </w:tblGrid>
      <w:tr>
        <w:trPr>
          <w:tblHeader w:val="true"/>
          <w:cantSplit w:val="true"/>
        </w:trPr>
        <w:tc>
          <w:tcPr>
            <w:tcW w:type="dxa" w:w="2946"/>
            <w:shd w:val="clear" w:color="auto" w:fill="004EA8"/>
            <w:tcMar>
              <w:top w:w="50" w:type="dxa"/>
              <w:bottom w:w="50" w:type="dxa"/>
              <w:left w:w="90" w:type="dxa"/>
              <w:right w:w="90" w:type="dxa"/>
            </w:tcMar>
            <w:vAlign w:val="center"/>
          </w:tcPr>
          <w:p>
            <w:pPr>
              <w:pStyle w:val="BDOITableHeader"/>
            </w:pPr>
            <w:r>
              <w:rPr>
                <w:b/>
                <w:color w:val="FFFFFF"/>
                <w:sz w:val="15"/>
              </w:rPr>
              <w:t>Part of the set</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5"/>
              </w:rPr>
              <w:t>Prepares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5"/>
              </w:rPr>
              <w:t>Provides input</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5"/>
              </w:rPr>
              <w:t>Reviews</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Approves</w:t>
            </w:r>
          </w:p>
        </w:tc>
      </w:tr>
      <w:tr>
        <w:tc>
          <w:tcPr>
            <w:tcW w:type="dxa" w:w="2946"/>
            <w:tcMar>
              <w:top w:w="50" w:type="dxa"/>
              <w:bottom w:w="50" w:type="dxa"/>
              <w:left w:w="90" w:type="dxa"/>
              <w:right w:w="90" w:type="dxa"/>
            </w:tcMar>
          </w:tcPr>
          <w:p>
            <w:pPr>
              <w:pStyle w:val="BDOITable"/>
            </w:pPr>
            <w:r>
              <w:rPr>
                <w:b/>
                <w:sz w:val="15"/>
              </w:rPr>
              <w:t>Screens and fields (FRS screen specifications; workbook Screen catalogue, Field register)</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Operations FT&amp;P</w:t>
            </w:r>
          </w:p>
        </w:tc>
      </w:tr>
      <w:tr>
        <w:tc>
          <w:tcPr>
            <w:tcW w:type="dxa" w:w="2946"/>
            <w:tcMar>
              <w:top w:w="50" w:type="dxa"/>
              <w:bottom w:w="50" w:type="dxa"/>
              <w:left w:w="90" w:type="dxa"/>
              <w:right w:w="90" w:type="dxa"/>
            </w:tcMar>
            <w:shd w:val="clear" w:color="auto" w:fill="E5F5FF"/>
          </w:tcPr>
          <w:p>
            <w:pPr>
              <w:pStyle w:val="BDOITable"/>
            </w:pPr>
            <w:r>
              <w:rPr>
                <w:b/>
                <w:sz w:val="15"/>
              </w:rPr>
              <w:t>Business rules and validations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 BA (BPS)</w:t>
            </w:r>
          </w:p>
        </w:tc>
        <w:tc>
          <w:tcPr>
            <w:tcW w:type="dxa" w:w="1700"/>
            <w:tcMar>
              <w:top w:w="50" w:type="dxa"/>
              <w:bottom w:w="50" w:type="dxa"/>
              <w:left w:w="90" w:type="dxa"/>
              <w:right w:w="90" w:type="dxa"/>
            </w:tcMar>
            <w:shd w:val="clear" w:color="auto" w:fill="E5F5FF"/>
          </w:tcPr>
          <w:p>
            <w:pPr>
              <w:pStyle w:val="BDOITable"/>
            </w:pPr>
            <w:r>
              <w:rPr>
                <w:sz w:val="15"/>
              </w:rPr>
              <w:t>Program Manager (BPS), Marketing Collections review, Comptrollership review</w:t>
            </w:r>
          </w:p>
        </w:tc>
        <w:tc>
          <w:tcPr>
            <w:tcW w:type="dxa" w:w="2153"/>
            <w:tcMar>
              <w:top w:w="50" w:type="dxa"/>
              <w:bottom w:w="50" w:type="dxa"/>
              <w:left w:w="90" w:type="dxa"/>
              <w:right w:w="90" w:type="dxa"/>
            </w:tcMar>
            <w:shd w:val="clear" w:color="auto" w:fill="E5F5FF"/>
          </w:tcPr>
          <w:p>
            <w:pPr>
              <w:pStyle w:val="BDOITable"/>
            </w:pPr>
            <w:r>
              <w:rPr>
                <w:sz w:val="15"/>
              </w:rPr>
              <w:t>Product Owner, Operations FT&amp;P, Collections and Marketing Support</w:t>
            </w:r>
          </w:p>
        </w:tc>
      </w:tr>
      <w:tr>
        <w:tc>
          <w:tcPr>
            <w:tcW w:type="dxa" w:w="2946"/>
            <w:tcMar>
              <w:top w:w="50" w:type="dxa"/>
              <w:bottom w:w="50" w:type="dxa"/>
              <w:left w:w="90" w:type="dxa"/>
              <w:right w:w="90" w:type="dxa"/>
            </w:tcMar>
          </w:tcPr>
          <w:p>
            <w:pPr>
              <w:pStyle w:val="BDOITable"/>
            </w:pPr>
            <w:r>
              <w:rPr>
                <w:b/>
                <w:sz w:val="15"/>
              </w:rPr>
              <w:t>Messages and notifications</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 Operations FT&amp;P</w:t>
            </w:r>
          </w:p>
        </w:tc>
      </w:tr>
      <w:tr>
        <w:tc>
          <w:tcPr>
            <w:tcW w:type="dxa" w:w="2946"/>
            <w:tcMar>
              <w:top w:w="50" w:type="dxa"/>
              <w:bottom w:w="50" w:type="dxa"/>
              <w:left w:w="90" w:type="dxa"/>
              <w:right w:w="90" w:type="dxa"/>
            </w:tcMar>
            <w:shd w:val="clear" w:color="auto" w:fill="E5F5FF"/>
          </w:tcPr>
          <w:p>
            <w:pPr>
              <w:pStyle w:val="BDOITable"/>
            </w:pPr>
            <w:r>
              <w:rPr>
                <w:b/>
                <w:sz w:val="15"/>
              </w:rPr>
              <w:t>Documents and reports (receipts, remittance schedules, slips, registers, billings, reports)</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w:t>
            </w:r>
          </w:p>
        </w:tc>
        <w:tc>
          <w:tcPr>
            <w:tcW w:type="dxa" w:w="1700"/>
            <w:tcMar>
              <w:top w:w="50" w:type="dxa"/>
              <w:bottom w:w="50" w:type="dxa"/>
              <w:left w:w="90" w:type="dxa"/>
              <w:right w:w="90" w:type="dxa"/>
            </w:tcMar>
            <w:shd w:val="clear" w:color="auto" w:fill="E5F5FF"/>
          </w:tcPr>
          <w:p>
            <w:pPr>
              <w:pStyle w:val="BDOITable"/>
            </w:pPr>
            <w:r>
              <w:rPr>
                <w:sz w:val="15"/>
              </w:rPr>
              <w:t>Program Manager (BPS)</w:t>
            </w:r>
          </w:p>
        </w:tc>
        <w:tc>
          <w:tcPr>
            <w:tcW w:type="dxa" w:w="2153"/>
            <w:tcMar>
              <w:top w:w="50" w:type="dxa"/>
              <w:bottom w:w="50" w:type="dxa"/>
              <w:left w:w="90" w:type="dxa"/>
              <w:right w:w="90" w:type="dxa"/>
            </w:tcMar>
            <w:shd w:val="clear" w:color="auto" w:fill="E5F5FF"/>
          </w:tcPr>
          <w:p>
            <w:pPr>
              <w:pStyle w:val="BDOITable"/>
            </w:pPr>
            <w:r>
              <w:rPr>
                <w:sz w:val="15"/>
              </w:rPr>
              <w:t>Product Owner, Operations FT&amp;P</w:t>
            </w:r>
          </w:p>
        </w:tc>
      </w:tr>
      <w:tr>
        <w:tc>
          <w:tcPr>
            <w:tcW w:type="dxa" w:w="2946"/>
            <w:tcMar>
              <w:top w:w="50" w:type="dxa"/>
              <w:bottom w:w="50" w:type="dxa"/>
              <w:left w:w="90" w:type="dxa"/>
              <w:right w:w="90" w:type="dxa"/>
            </w:tcMar>
          </w:tcPr>
          <w:p>
            <w:pPr>
              <w:pStyle w:val="BDOITable"/>
            </w:pPr>
            <w:r>
              <w:rPr>
                <w:b/>
                <w:sz w:val="15"/>
              </w:rPr>
              <w:t>Walkthroughs (end-to-end, screen by screen)</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Proposed business rules and clarifications for confirmation</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BA (BPS), FT&amp;P input</w:t>
            </w:r>
          </w:p>
        </w:tc>
        <w:tc>
          <w:tcPr>
            <w:tcW w:type="dxa" w:w="1700"/>
            <w:tcMar>
              <w:top w:w="50" w:type="dxa"/>
              <w:bottom w:w="50" w:type="dxa"/>
              <w:left w:w="90" w:type="dxa"/>
              <w:right w:w="90" w:type="dxa"/>
            </w:tcMar>
            <w:shd w:val="clear" w:color="auto" w:fill="E5F5FF"/>
          </w:tcPr>
          <w:p>
            <w:pPr>
              <w:pStyle w:val="BDOITable"/>
            </w:pPr>
            <w:r>
              <w:rPr>
                <w:sz w:val="15"/>
              </w:rPr>
              <w:t>Program Manager (BPS), Marketing Collections review, Comptrollership review</w:t>
            </w:r>
          </w:p>
        </w:tc>
        <w:tc>
          <w:tcPr>
            <w:tcW w:type="dxa" w:w="2153"/>
            <w:tcMar>
              <w:top w:w="50" w:type="dxa"/>
              <w:bottom w:w="50" w:type="dxa"/>
              <w:left w:w="90" w:type="dxa"/>
              <w:right w:w="90" w:type="dxa"/>
            </w:tcMar>
            <w:shd w:val="clear" w:color="auto" w:fill="E5F5FF"/>
          </w:tcPr>
          <w:p>
            <w:pPr>
              <w:pStyle w:val="BDOITable"/>
            </w:pPr>
            <w:r>
              <w:rPr>
                <w:sz w:val="15"/>
              </w:rPr>
              <w:t>Product Owner, Operations FT&amp;P, Collections and Marketing Support</w:t>
            </w:r>
          </w:p>
        </w:tc>
      </w:tr>
      <w:tr>
        <w:tc>
          <w:tcPr>
            <w:tcW w:type="dxa" w:w="2946"/>
            <w:tcMar>
              <w:top w:w="50" w:type="dxa"/>
              <w:bottom w:w="50" w:type="dxa"/>
              <w:left w:w="90" w:type="dxa"/>
              <w:right w:w="90" w:type="dxa"/>
            </w:tcMar>
          </w:tcPr>
          <w:p>
            <w:pPr>
              <w:pStyle w:val="BDOITable"/>
            </w:pPr>
            <w:r>
              <w:rPr>
                <w:b/>
                <w:sz w:val="15"/>
              </w:rPr>
              <w:t>Interfaces, scheduled runs, user access and menus by persona</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BDOI IT</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Test plan (04 workbook, 05 summary)</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FT&amp;P input</w:t>
            </w:r>
          </w:p>
        </w:tc>
        <w:tc>
          <w:tcPr>
            <w:tcW w:type="dxa" w:w="1700"/>
            <w:tcMar>
              <w:top w:w="50" w:type="dxa"/>
              <w:bottom w:w="50" w:type="dxa"/>
              <w:left w:w="90" w:type="dxa"/>
              <w:right w:w="90" w:type="dxa"/>
            </w:tcMar>
            <w:shd w:val="clear" w:color="auto" w:fill="E5F5FF"/>
          </w:tcPr>
          <w:p>
            <w:pPr>
              <w:pStyle w:val="BDOITable"/>
            </w:pPr>
            <w:r>
              <w:rPr>
                <w:sz w:val="15"/>
              </w:rPr>
              <w:t>Program Manager (BPS), BDOI IT</w:t>
            </w:r>
          </w:p>
        </w:tc>
        <w:tc>
          <w:tcPr>
            <w:tcW w:type="dxa" w:w="2153"/>
            <w:tcMar>
              <w:top w:w="50" w:type="dxa"/>
              <w:bottom w:w="50" w:type="dxa"/>
              <w:left w:w="90" w:type="dxa"/>
              <w:right w:w="90" w:type="dxa"/>
            </w:tcMar>
            <w:shd w:val="clear" w:color="auto" w:fill="E5F5FF"/>
          </w:tcPr>
          <w:p>
            <w:pPr>
              <w:pStyle w:val="BDOITable"/>
            </w:pPr>
            <w:r>
              <w:rPr>
                <w:sz w:val="15"/>
              </w:rPr>
              <w:t>Product Owner</w:t>
            </w:r>
          </w:p>
        </w:tc>
      </w:tr>
      <w:tr>
        <w:tc>
          <w:tcPr>
            <w:tcW w:type="dxa" w:w="2946"/>
            <w:tcMar>
              <w:top w:w="50" w:type="dxa"/>
              <w:bottom w:w="50" w:type="dxa"/>
              <w:left w:w="90" w:type="dxa"/>
              <w:right w:w="90" w:type="dxa"/>
            </w:tcMar>
          </w:tcPr>
          <w:p>
            <w:pPr>
              <w:pStyle w:val="BDOITable"/>
            </w:pPr>
            <w:r>
              <w:rPr>
                <w:b/>
                <w:sz w:val="15"/>
              </w:rPr>
              <w:t>UX screen deck, UX screen register and image package (07 to 09, for the BDOI UX Design team; the screens as specified in this set)</w:t>
            </w:r>
          </w:p>
        </w:tc>
        <w:tc>
          <w:tcPr>
            <w:tcW w:type="dxa" w:w="1360"/>
            <w:tcMar>
              <w:top w:w="50" w:type="dxa"/>
              <w:bottom w:w="50" w:type="dxa"/>
              <w:left w:w="90" w:type="dxa"/>
              <w:right w:w="90" w:type="dxa"/>
            </w:tcMar>
          </w:tcPr>
          <w:p>
            <w:pPr>
              <w:pStyle w:val="BDOITable"/>
            </w:pPr>
            <w:r>
              <w:rPr>
                <w:sz w:val="15"/>
              </w:rPr>
              <w:t>iorta TechNXT</w:t>
            </w:r>
          </w:p>
        </w:tc>
        <w:tc>
          <w:tcPr>
            <w:tcW w:type="dxa" w:w="1813"/>
            <w:tcMar>
              <w:top w:w="50" w:type="dxa"/>
              <w:bottom w:w="50" w:type="dxa"/>
              <w:left w:w="90" w:type="dxa"/>
              <w:right w:w="90" w:type="dxa"/>
            </w:tcMar>
          </w:tcPr>
          <w:p>
            <w:pPr>
              <w:pStyle w:val="BDOITable"/>
            </w:pPr>
            <w:r>
              <w:rPr>
                <w:sz w:val="15"/>
              </w:rPr>
              <w:t>FT&amp;P input</w:t>
            </w:r>
          </w:p>
        </w:tc>
        <w:tc>
          <w:tcPr>
            <w:tcW w:type="dxa" w:w="1700"/>
            <w:tcMar>
              <w:top w:w="50" w:type="dxa"/>
              <w:bottom w:w="50" w:type="dxa"/>
              <w:left w:w="90" w:type="dxa"/>
              <w:right w:w="90" w:type="dxa"/>
            </w:tcMar>
          </w:tcPr>
          <w:p>
            <w:pPr>
              <w:pStyle w:val="BDOITable"/>
            </w:pPr>
            <w:r>
              <w:rPr>
                <w:sz w:val="15"/>
              </w:rPr>
              <w:t>Program Manager (BPS)</w:t>
            </w:r>
          </w:p>
        </w:tc>
        <w:tc>
          <w:tcPr>
            <w:tcW w:type="dxa" w:w="2153"/>
            <w:tcMar>
              <w:top w:w="50" w:type="dxa"/>
              <w:bottom w:w="50" w:type="dxa"/>
              <w:left w:w="90" w:type="dxa"/>
              <w:right w:w="90" w:type="dxa"/>
            </w:tcMar>
          </w:tcPr>
          <w:p>
            <w:pPr>
              <w:pStyle w:val="BDOITable"/>
            </w:pPr>
            <w:r>
              <w:rPr>
                <w:sz w:val="15"/>
              </w:rPr>
              <w:t>Product Owner</w:t>
            </w:r>
          </w:p>
        </w:tc>
      </w:tr>
      <w:tr>
        <w:tc>
          <w:tcPr>
            <w:tcW w:type="dxa" w:w="2946"/>
            <w:tcMar>
              <w:top w:w="50" w:type="dxa"/>
              <w:bottom w:w="50" w:type="dxa"/>
              <w:left w:w="90" w:type="dxa"/>
              <w:right w:w="90" w:type="dxa"/>
            </w:tcMar>
            <w:shd w:val="clear" w:color="auto" w:fill="E5F5FF"/>
          </w:tcPr>
          <w:p>
            <w:pPr>
              <w:pStyle w:val="BDOITable"/>
            </w:pPr>
            <w:r>
              <w:rPr>
                <w:b/>
                <w:sz w:val="15"/>
              </w:rPr>
              <w:t>Technical Specification (separate document, not part of the business sign-off)</w:t>
            </w:r>
          </w:p>
        </w:tc>
        <w:tc>
          <w:tcPr>
            <w:tcW w:type="dxa" w:w="1360"/>
            <w:tcMar>
              <w:top w:w="50" w:type="dxa"/>
              <w:bottom w:w="50" w:type="dxa"/>
              <w:left w:w="90" w:type="dxa"/>
              <w:right w:w="90" w:type="dxa"/>
            </w:tcMar>
            <w:shd w:val="clear" w:color="auto" w:fill="E5F5FF"/>
          </w:tcPr>
          <w:p>
            <w:pPr>
              <w:pStyle w:val="BDOITable"/>
            </w:pPr>
            <w:r>
              <w:rPr>
                <w:sz w:val="15"/>
              </w:rPr>
              <w:t>iorta TechNXT</w:t>
            </w:r>
          </w:p>
        </w:tc>
        <w:tc>
          <w:tcPr>
            <w:tcW w:type="dxa" w:w="1813"/>
            <w:tcMar>
              <w:top w:w="50" w:type="dxa"/>
              <w:bottom w:w="50" w:type="dxa"/>
              <w:left w:w="90" w:type="dxa"/>
              <w:right w:w="90" w:type="dxa"/>
            </w:tcMar>
            <w:shd w:val="clear" w:color="auto" w:fill="E5F5FF"/>
          </w:tcPr>
          <w:p>
            <w:pPr>
              <w:pStyle w:val="BDOITable"/>
            </w:pPr>
            <w:r>
              <w:rPr>
                <w:sz w:val="15"/>
              </w:rPr>
              <w:t>BDOI IT</w:t>
            </w:r>
          </w:p>
        </w:tc>
        <w:tc>
          <w:tcPr>
            <w:tcW w:type="dxa" w:w="1700"/>
            <w:tcMar>
              <w:top w:w="50" w:type="dxa"/>
              <w:bottom w:w="50" w:type="dxa"/>
              <w:left w:w="90" w:type="dxa"/>
              <w:right w:w="90" w:type="dxa"/>
            </w:tcMar>
            <w:shd w:val="clear" w:color="auto" w:fill="E5F5FF"/>
          </w:tcPr>
          <w:p>
            <w:pPr>
              <w:pStyle w:val="BDOITable"/>
            </w:pPr>
            <w:r>
              <w:rPr>
                <w:sz w:val="15"/>
              </w:rPr>
              <w:t>BDOI IT</w:t>
            </w:r>
          </w:p>
        </w:tc>
        <w:tc>
          <w:tcPr>
            <w:tcW w:type="dxa" w:w="2153"/>
            <w:tcMar>
              <w:top w:w="50" w:type="dxa"/>
              <w:bottom w:w="50" w:type="dxa"/>
              <w:left w:w="90" w:type="dxa"/>
              <w:right w:w="90" w:type="dxa"/>
            </w:tcMar>
            <w:shd w:val="clear" w:color="auto" w:fill="E5F5FF"/>
          </w:tcPr>
          <w:p>
            <w:pPr>
              <w:pStyle w:val="BDOITable"/>
            </w:pPr>
            <w:r>
              <w:rPr>
                <w:sz w:val="15"/>
              </w:rPr>
              <w:t>BDOI IT</w:t>
            </w:r>
          </w:p>
        </w:tc>
      </w:tr>
    </w:tbl>
    <w:p>
      <w:pPr>
        <w:pStyle w:val="BDOISpacer"/>
      </w:pPr>
    </w:p>
    <w:p>
      <w:pPr>
        <w:pStyle w:val="Caption"/>
        <w:keepNext/>
        <w:spacing w:after="60"/>
      </w:pPr>
      <w:r>
        <w:rPr>
          <w:b/>
          <w:i w:val="0"/>
        </w:rPr>
        <w:t xml:space="preserve">Table 6: </w:t>
      </w:r>
      <w:r>
        <w:rPr/>
        <w:t>Signatories and what each confirms (Operations BRD v1.01 approval sheet p.184-185 of the file Operations_WS Addendum (Prepared by, Reviewed by, Approved by), with the input providers of the original sheet)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6"/>
        <w:gridCol w:w="2833"/>
        <w:gridCol w:w="3853"/>
        <w:gridCol w:w="2039"/>
      </w:tblGrid>
      <w:tr>
        <w:trPr>
          <w:tblHeader w:val="true"/>
          <w:cantSplit w:val="true"/>
        </w:trPr>
        <w:tc>
          <w:tcPr>
            <w:tcW w:type="dxa" w:w="1246"/>
            <w:shd w:val="clear" w:color="auto" w:fill="004EA8"/>
            <w:tcMar>
              <w:top w:w="50" w:type="dxa"/>
              <w:bottom w:w="50" w:type="dxa"/>
              <w:left w:w="90" w:type="dxa"/>
              <w:right w:w="90" w:type="dxa"/>
            </w:tcMar>
            <w:vAlign w:val="center"/>
          </w:tcPr>
          <w:p>
            <w:pPr>
              <w:pStyle w:val="BDOITableHeader"/>
            </w:pPr>
            <w:r>
              <w:rPr>
                <w:b/>
                <w:color w:val="FFFFFF"/>
                <w:sz w:val="15"/>
              </w:rPr>
              <w:t>Capacity</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5"/>
              </w:rPr>
              <w:t>Role</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5"/>
              </w:rPr>
              <w:t>Confirms by signing</w:t>
            </w:r>
          </w:p>
        </w:tc>
        <w:tc>
          <w:tcPr>
            <w:tcW w:type="dxa" w:w="2040"/>
            <w:shd w:val="clear" w:color="auto" w:fill="004EA8"/>
            <w:tcMar>
              <w:top w:w="50" w:type="dxa"/>
              <w:bottom w:w="50" w:type="dxa"/>
              <w:left w:w="90" w:type="dxa"/>
              <w:right w:w="90" w:type="dxa"/>
            </w:tcMar>
            <w:vAlign w:val="center"/>
          </w:tcPr>
          <w:p>
            <w:pPr>
              <w:pStyle w:val="BDOITableHeader"/>
            </w:pPr>
            <w:r>
              <w:rPr>
                <w:b/>
                <w:color w:val="FFFFFF"/>
                <w:sz w:val="15"/>
              </w:rPr>
              <w:t>On the BRD approval sheet</w:t>
            </w:r>
          </w:p>
        </w:tc>
      </w:tr>
      <w:tr>
        <w:tc>
          <w:tcPr>
            <w:tcW w:type="dxa" w:w="1246"/>
            <w:tcMar>
              <w:top w:w="50" w:type="dxa"/>
              <w:bottom w:w="50" w:type="dxa"/>
              <w:left w:w="90" w:type="dxa"/>
              <w:right w:w="90" w:type="dxa"/>
            </w:tcMar>
          </w:tcPr>
          <w:p>
            <w:pPr>
              <w:pStyle w:val="BDOITable"/>
            </w:pPr>
            <w:r>
              <w:rPr>
                <w:sz w:val="15"/>
              </w:rPr>
              <w:t>Prepared by</w:t>
            </w:r>
          </w:p>
        </w:tc>
        <w:tc>
          <w:tcPr>
            <w:tcW w:type="dxa" w:w="2833"/>
            <w:tcMar>
              <w:top w:w="50" w:type="dxa"/>
              <w:bottom w:w="50" w:type="dxa"/>
              <w:left w:w="90" w:type="dxa"/>
              <w:right w:w="90" w:type="dxa"/>
            </w:tcMar>
          </w:tcPr>
          <w:p>
            <w:pPr>
              <w:pStyle w:val="BDOITable"/>
            </w:pPr>
            <w:r>
              <w:rPr>
                <w:sz w:val="15"/>
              </w:rPr>
              <w:t>iorta TechNXT project team: Project Manager, Business Analysis, test lead (iorta TechNXT)</w:t>
            </w:r>
          </w:p>
        </w:tc>
        <w:tc>
          <w:tcPr>
            <w:tcW w:type="dxa" w:w="3853"/>
            <w:tcMar>
              <w:top w:w="50" w:type="dxa"/>
              <w:bottom w:w="50" w:type="dxa"/>
              <w:left w:w="90" w:type="dxa"/>
              <w:right w:w="90" w:type="dxa"/>
            </w:tcMar>
          </w:tcPr>
          <w:p>
            <w:pPr>
              <w:pStyle w:val="BDOITable"/>
            </w:pPr>
            <w:r>
              <w:rPr>
                <w:sz w:val="15"/>
              </w:rPr>
              <w:t>The set is complete and consistent as issued, traced to the BRD and to the screens; every comment is answered in the comments log</w:t>
            </w:r>
          </w:p>
        </w:tc>
        <w:tc>
          <w:tcPr>
            <w:tcW w:type="dxa" w:w="2040"/>
            <w:tcMar>
              <w:top w:w="50" w:type="dxa"/>
              <w:bottom w:w="50" w:type="dxa"/>
              <w:left w:w="90" w:type="dxa"/>
              <w:right w:w="90" w:type="dxa"/>
            </w:tcMar>
          </w:tcPr>
          <w:p>
            <w:pPr>
              <w:pStyle w:val="BDOITable"/>
            </w:pPr>
            <w:r>
              <w:rPr>
                <w:sz w:val="15"/>
              </w:rPr>
              <w:t>Added for this set (author of the FRS set)</w:t>
            </w:r>
          </w:p>
        </w:tc>
      </w:tr>
      <w:tr>
        <w:tc>
          <w:tcPr>
            <w:tcW w:type="dxa" w:w="1246"/>
            <w:tcMar>
              <w:top w:w="50" w:type="dxa"/>
              <w:bottom w:w="50" w:type="dxa"/>
              <w:left w:w="90" w:type="dxa"/>
              <w:right w:w="90" w:type="dxa"/>
            </w:tcMar>
            <w:shd w:val="clear" w:color="auto" w:fill="E5F5FF"/>
          </w:tcPr>
          <w:p>
            <w:pPr>
              <w:pStyle w:val="BDOITable"/>
            </w:pPr>
            <w:r>
              <w:rPr>
                <w:sz w:val="15"/>
              </w:rPr>
              <w:t>Prepared by</w:t>
            </w:r>
          </w:p>
        </w:tc>
        <w:tc>
          <w:tcPr>
            <w:tcW w:type="dxa" w:w="2833"/>
            <w:tcMar>
              <w:top w:w="50" w:type="dxa"/>
              <w:bottom w:w="50" w:type="dxa"/>
              <w:left w:w="90" w:type="dxa"/>
              <w:right w:w="90" w:type="dxa"/>
            </w:tcMar>
            <w:shd w:val="clear" w:color="auto" w:fill="E5F5FF"/>
          </w:tcPr>
          <w:p>
            <w:pPr>
              <w:pStyle w:val="BDOITable"/>
            </w:pPr>
            <w:r>
              <w:rPr>
                <w:sz w:val="15"/>
              </w:rPr>
              <w:t>Business Analyst, Enterprise Services Group - Business Project Services (BPS) (Zean C. Ibay) (BDO Unibank ESG)</w:t>
            </w:r>
          </w:p>
        </w:tc>
        <w:tc>
          <w:tcPr>
            <w:tcW w:type="dxa" w:w="3853"/>
            <w:tcMar>
              <w:top w:w="50" w:type="dxa"/>
              <w:bottom w:w="50" w:type="dxa"/>
              <w:left w:w="90" w:type="dxa"/>
              <w:right w:w="90" w:type="dxa"/>
            </w:tcMar>
            <w:shd w:val="clear" w:color="auto" w:fill="E5F5FF"/>
          </w:tcPr>
          <w:p>
            <w:pPr>
              <w:pStyle w:val="BDOITable"/>
            </w:pPr>
            <w:r>
              <w:rPr>
                <w:sz w:val="15"/>
              </w:rPr>
              <w:t>The set states the BRD requirements as written; every departure is listed in the proposed rules and clarifications</w:t>
            </w:r>
          </w:p>
        </w:tc>
        <w:tc>
          <w:tcPr>
            <w:tcW w:type="dxa" w:w="2040"/>
            <w:tcMar>
              <w:top w:w="50" w:type="dxa"/>
              <w:bottom w:w="50" w:type="dxa"/>
              <w:left w:w="90" w:type="dxa"/>
              <w:right w:w="90" w:type="dxa"/>
            </w:tcMar>
            <w:shd w:val="clear" w:color="auto" w:fill="E5F5FF"/>
          </w:tcPr>
          <w:p>
            <w:pPr>
              <w:pStyle w:val="BDOITable"/>
            </w:pPr>
            <w:r>
              <w:rPr>
                <w:sz w:val="15"/>
              </w:rPr>
              <w:t>Prepared by (p.184)</w:t>
            </w:r>
          </w:p>
        </w:tc>
      </w:tr>
      <w:tr>
        <w:tc>
          <w:tcPr>
            <w:tcW w:type="dxa" w:w="1246"/>
            <w:tcMar>
              <w:top w:w="50" w:type="dxa"/>
              <w:bottom w:w="50" w:type="dxa"/>
              <w:left w:w="90" w:type="dxa"/>
              <w:right w:w="90" w:type="dxa"/>
            </w:tcMar>
          </w:tcPr>
          <w:p>
            <w:pPr>
              <w:pStyle w:val="BDOITable"/>
            </w:pPr>
            <w:r>
              <w:rPr>
                <w:sz w:val="15"/>
              </w:rPr>
              <w:t>Input provided by</w:t>
            </w:r>
          </w:p>
        </w:tc>
        <w:tc>
          <w:tcPr>
            <w:tcW w:type="dxa" w:w="2833"/>
            <w:tcMar>
              <w:top w:w="50" w:type="dxa"/>
              <w:bottom w:w="50" w:type="dxa"/>
              <w:left w:w="90" w:type="dxa"/>
              <w:right w:w="90" w:type="dxa"/>
            </w:tcMar>
          </w:tcPr>
          <w:p>
            <w:pPr>
              <w:pStyle w:val="BDOITable"/>
            </w:pPr>
            <w:r>
              <w:rPr>
                <w:sz w:val="15"/>
              </w:rPr>
              <w:t>Operations: Financial Transactions and Processing, BU representatives (Shirley Catapang, Perjelyn Joy Gutierrez) (BDOI)</w:t>
            </w:r>
          </w:p>
        </w:tc>
        <w:tc>
          <w:tcPr>
            <w:tcW w:type="dxa" w:w="3853"/>
            <w:tcMar>
              <w:top w:w="50" w:type="dxa"/>
              <w:bottom w:w="50" w:type="dxa"/>
              <w:left w:w="90" w:type="dxa"/>
              <w:right w:w="90" w:type="dxa"/>
            </w:tcMar>
          </w:tcPr>
          <w:p>
            <w:pPr>
              <w:pStyle w:val="BDOITable"/>
            </w:pPr>
            <w:r>
              <w:rPr>
                <w:sz w:val="15"/>
              </w:rPr>
              <w:t>The Cashiering, Remittance, Adjustment, Production Reconciliation and Commission Receivables screens, fields, rules and messages match the business input</w:t>
            </w:r>
          </w:p>
        </w:tc>
        <w:tc>
          <w:tcPr>
            <w:tcW w:type="dxa" w:w="2040"/>
            <w:tcMar>
              <w:top w:w="50" w:type="dxa"/>
              <w:bottom w:w="50" w:type="dxa"/>
              <w:left w:w="90" w:type="dxa"/>
              <w:right w:w="90" w:type="dxa"/>
            </w:tcMar>
          </w:tcPr>
          <w:p>
            <w:pPr>
              <w:pStyle w:val="BDOITable"/>
            </w:pPr>
            <w:r>
              <w:rPr>
                <w:sz w:val="15"/>
              </w:rPr>
              <w:t>Reviewed by (p.184); input providers of the original sheet</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Marketing Head Office, Admin and Collections; BBG (Angel Lou R. Kabigting) (BDOI)</w:t>
            </w:r>
          </w:p>
        </w:tc>
        <w:tc>
          <w:tcPr>
            <w:tcW w:type="dxa" w:w="3853"/>
            <w:tcMar>
              <w:top w:w="50" w:type="dxa"/>
              <w:bottom w:w="50" w:type="dxa"/>
              <w:left w:w="90" w:type="dxa"/>
              <w:right w:w="90" w:type="dxa"/>
            </w:tcMar>
            <w:shd w:val="clear" w:color="auto" w:fill="E5F5FF"/>
          </w:tcPr>
          <w:p>
            <w:pPr>
              <w:pStyle w:val="BDOITable"/>
            </w:pPr>
            <w:r>
              <w:rPr>
                <w:sz w:val="15"/>
              </w:rPr>
              <w:t>The Marketing Collection items: holds, special remittances, the PR 2307 reversal, the direct payment tagging and the endorsement activities</w:t>
            </w:r>
          </w:p>
        </w:tc>
        <w:tc>
          <w:tcPr>
            <w:tcW w:type="dxa" w:w="2040"/>
            <w:tcMar>
              <w:top w:w="50" w:type="dxa"/>
              <w:bottom w:w="50" w:type="dxa"/>
              <w:left w:w="90" w:type="dxa"/>
              <w:right w:w="90" w:type="dxa"/>
            </w:tcMar>
            <w:shd w:val="clear" w:color="auto" w:fill="E5F5FF"/>
          </w:tcPr>
          <w:p>
            <w:pPr>
              <w:pStyle w:val="BDOITable"/>
            </w:pPr>
            <w:r>
              <w:rPr>
                <w:sz w:val="15"/>
              </w:rPr>
              <w:t>Reviewed by (p.184)</w:t>
            </w:r>
          </w:p>
        </w:tc>
      </w:tr>
      <w:tr>
        <w:tc>
          <w:tcPr>
            <w:tcW w:type="dxa" w:w="1246"/>
            <w:tcMar>
              <w:top w:w="50" w:type="dxa"/>
              <w:bottom w:w="50" w:type="dxa"/>
              <w:left w:w="90" w:type="dxa"/>
              <w:right w:w="90" w:type="dxa"/>
            </w:tcMar>
          </w:tcPr>
          <w:p>
            <w:pPr>
              <w:pStyle w:val="BDOITable"/>
            </w:pPr>
            <w:r>
              <w:rPr>
                <w:sz w:val="15"/>
              </w:rPr>
              <w:t>Reviewed by</w:t>
            </w:r>
          </w:p>
        </w:tc>
        <w:tc>
          <w:tcPr>
            <w:tcW w:type="dxa" w:w="2833"/>
            <w:tcMar>
              <w:top w:w="50" w:type="dxa"/>
              <w:bottom w:w="50" w:type="dxa"/>
              <w:left w:w="90" w:type="dxa"/>
              <w:right w:w="90" w:type="dxa"/>
            </w:tcMar>
          </w:tcPr>
          <w:p>
            <w:pPr>
              <w:pStyle w:val="BDOITable"/>
            </w:pPr>
            <w:r>
              <w:rPr>
                <w:sz w:val="15"/>
              </w:rPr>
              <w:t>Comptrollership (Rodrigo R. Dela Cruz) (BDOI)</w:t>
            </w:r>
          </w:p>
        </w:tc>
        <w:tc>
          <w:tcPr>
            <w:tcW w:type="dxa" w:w="3853"/>
            <w:tcMar>
              <w:top w:w="50" w:type="dxa"/>
              <w:bottom w:w="50" w:type="dxa"/>
              <w:left w:w="90" w:type="dxa"/>
              <w:right w:w="90" w:type="dxa"/>
            </w:tcMar>
          </w:tcPr>
          <w:p>
            <w:pPr>
              <w:pStyle w:val="BDOITable"/>
            </w:pPr>
            <w:r>
              <w:rPr>
                <w:sz w:val="15"/>
              </w:rPr>
              <w:t>The accounting events, including the PR 2307 entry, and the BIR certificates</w:t>
            </w:r>
          </w:p>
        </w:tc>
        <w:tc>
          <w:tcPr>
            <w:tcW w:type="dxa" w:w="2040"/>
            <w:tcMar>
              <w:top w:w="50" w:type="dxa"/>
              <w:bottom w:w="50" w:type="dxa"/>
              <w:left w:w="90" w:type="dxa"/>
              <w:right w:w="90" w:type="dxa"/>
            </w:tcMar>
          </w:tcPr>
          <w:p>
            <w:pPr>
              <w:pStyle w:val="BDOITable"/>
            </w:pPr>
            <w:r>
              <w:rPr>
                <w:sz w:val="15"/>
              </w:rPr>
              <w:t>Reviewed by (p.184)</w:t>
            </w:r>
          </w:p>
        </w:tc>
      </w:tr>
      <w:tr>
        <w:tc>
          <w:tcPr>
            <w:tcW w:type="dxa" w:w="1246"/>
            <w:tcMar>
              <w:top w:w="50" w:type="dxa"/>
              <w:bottom w:w="50" w:type="dxa"/>
              <w:left w:w="90" w:type="dxa"/>
              <w:right w:w="90" w:type="dxa"/>
            </w:tcMar>
            <w:shd w:val="clear" w:color="auto" w:fill="E5F5FF"/>
          </w:tcPr>
          <w:p>
            <w:pPr>
              <w:pStyle w:val="BDOITable"/>
            </w:pPr>
            <w:r>
              <w:rPr>
                <w:sz w:val="15"/>
              </w:rPr>
              <w:t>Reviewed by</w:t>
            </w:r>
          </w:p>
        </w:tc>
        <w:tc>
          <w:tcPr>
            <w:tcW w:type="dxa" w:w="2833"/>
            <w:tcMar>
              <w:top w:w="50" w:type="dxa"/>
              <w:bottom w:w="50" w:type="dxa"/>
              <w:left w:w="90" w:type="dxa"/>
              <w:right w:w="90" w:type="dxa"/>
            </w:tcMar>
            <w:shd w:val="clear" w:color="auto" w:fill="E5F5FF"/>
          </w:tcPr>
          <w:p>
            <w:pPr>
              <w:pStyle w:val="BDOITable"/>
            </w:pPr>
            <w:r>
              <w:rPr>
                <w:sz w:val="15"/>
              </w:rPr>
              <w:t>BDOI Information Technology Group (BDOI IT) (BDOI)</w:t>
            </w:r>
          </w:p>
        </w:tc>
        <w:tc>
          <w:tcPr>
            <w:tcW w:type="dxa" w:w="3853"/>
            <w:tcMar>
              <w:top w:w="50" w:type="dxa"/>
              <w:bottom w:w="50" w:type="dxa"/>
              <w:left w:w="90" w:type="dxa"/>
              <w:right w:w="90" w:type="dxa"/>
            </w:tcMar>
            <w:shd w:val="clear" w:color="auto" w:fill="E5F5FF"/>
          </w:tcPr>
          <w:p>
            <w:pPr>
              <w:pStyle w:val="BDOITable"/>
            </w:pPr>
            <w:r>
              <w:rPr>
                <w:sz w:val="15"/>
              </w:rPr>
              <w:t>Interfaces and scheduled runs, user access and menus, the Disbursement queue and the uploads that stand in for other systems, and the Technical Specification (a separate document); not the business screens</w:t>
            </w:r>
          </w:p>
        </w:tc>
        <w:tc>
          <w:tcPr>
            <w:tcW w:type="dxa" w:w="2040"/>
            <w:tcMar>
              <w:top w:w="50" w:type="dxa"/>
              <w:bottom w:w="50" w:type="dxa"/>
              <w:left w:w="90" w:type="dxa"/>
              <w:right w:w="90" w:type="dxa"/>
            </w:tcMar>
            <w:shd w:val="clear" w:color="auto" w:fill="E5F5FF"/>
          </w:tcPr>
          <w:p>
            <w:pPr>
              <w:pStyle w:val="BDOITable"/>
            </w:pPr>
            <w:r>
              <w:rPr>
                <w:sz w:val="15"/>
              </w:rPr>
              <w:t>Reviewed by (BRD-1 and BRD-2 sheets; added to this set)</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Collections and Marketing Support (Pia Grace M. Pinili) (BDOI)</w:t>
            </w:r>
          </w:p>
        </w:tc>
        <w:tc>
          <w:tcPr>
            <w:tcW w:type="dxa" w:w="3853"/>
            <w:tcMar>
              <w:top w:w="50" w:type="dxa"/>
              <w:bottom w:w="50" w:type="dxa"/>
              <w:left w:w="90" w:type="dxa"/>
              <w:right w:w="90" w:type="dxa"/>
            </w:tcMar>
          </w:tcPr>
          <w:p>
            <w:pPr>
              <w:pStyle w:val="BDOITable"/>
            </w:pPr>
            <w:r>
              <w:rPr>
                <w:sz w:val="15"/>
              </w:rPr>
              <w:t>The Marketing Collection items of the set, including the PR 2307 reversal and the direct payment tagging</w:t>
            </w:r>
          </w:p>
        </w:tc>
        <w:tc>
          <w:tcPr>
            <w:tcW w:type="dxa" w:w="2040"/>
            <w:tcMar>
              <w:top w:w="50" w:type="dxa"/>
              <w:bottom w:w="50" w:type="dxa"/>
              <w:left w:w="90" w:type="dxa"/>
              <w:right w:w="90" w:type="dxa"/>
            </w:tcMar>
          </w:tcPr>
          <w:p>
            <w:pPr>
              <w:pStyle w:val="BDOITable"/>
            </w:pPr>
            <w:r>
              <w:rPr>
                <w:sz w:val="15"/>
              </w:rPr>
              <w:t>Approved by (p.184)</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Program Manager, Enterprise Services Group - Business Project Services (BPS) (Dan Ace Cauton) (BDO Unibank ESG)</w:t>
            </w:r>
          </w:p>
        </w:tc>
        <w:tc>
          <w:tcPr>
            <w:tcW w:type="dxa" w:w="3853"/>
            <w:tcMar>
              <w:top w:w="50" w:type="dxa"/>
              <w:bottom w:w="50" w:type="dxa"/>
              <w:left w:w="90" w:type="dxa"/>
              <w:right w:w="90" w:type="dxa"/>
            </w:tcMar>
            <w:shd w:val="clear" w:color="auto" w:fill="E5F5FF"/>
          </w:tcPr>
          <w:p>
            <w:pPr>
              <w:pStyle w:val="BDOITable"/>
            </w:pPr>
            <w:r>
              <w:rPr>
                <w:sz w:val="15"/>
              </w:rPr>
              <w:t>Traceability of every BRD requirement to the set and completeness of the set</w:t>
            </w:r>
          </w:p>
        </w:tc>
        <w:tc>
          <w:tcPr>
            <w:tcW w:type="dxa" w:w="2040"/>
            <w:tcMar>
              <w:top w:w="50" w:type="dxa"/>
              <w:bottom w:w="50" w:type="dxa"/>
              <w:left w:w="90" w:type="dxa"/>
              <w:right w:w="90" w:type="dxa"/>
            </w:tcMar>
            <w:shd w:val="clear" w:color="auto" w:fill="E5F5FF"/>
          </w:tcPr>
          <w:p>
            <w:pPr>
              <w:pStyle w:val="BDOITable"/>
            </w:pPr>
            <w:r>
              <w:rPr>
                <w:sz w:val="15"/>
              </w:rPr>
              <w:t>Approved by (p.184)</w:t>
            </w:r>
          </w:p>
        </w:tc>
      </w:tr>
      <w:tr>
        <w:tc>
          <w:tcPr>
            <w:tcW w:type="dxa" w:w="1246"/>
            <w:tcMar>
              <w:top w:w="50" w:type="dxa"/>
              <w:bottom w:w="50" w:type="dxa"/>
              <w:left w:w="90" w:type="dxa"/>
              <w:right w:w="90" w:type="dxa"/>
            </w:tcMar>
          </w:tcPr>
          <w:p>
            <w:pPr>
              <w:pStyle w:val="BDOITable"/>
            </w:pPr>
            <w:r>
              <w:rPr>
                <w:sz w:val="15"/>
              </w:rPr>
              <w:t>Approved by</w:t>
            </w:r>
          </w:p>
        </w:tc>
        <w:tc>
          <w:tcPr>
            <w:tcW w:type="dxa" w:w="2833"/>
            <w:tcMar>
              <w:top w:w="50" w:type="dxa"/>
              <w:bottom w:w="50" w:type="dxa"/>
              <w:left w:w="90" w:type="dxa"/>
              <w:right w:w="90" w:type="dxa"/>
            </w:tcMar>
          </w:tcPr>
          <w:p>
            <w:pPr>
              <w:pStyle w:val="BDOITable"/>
            </w:pPr>
            <w:r>
              <w:rPr>
                <w:sz w:val="15"/>
              </w:rPr>
              <w:t>Operations: Financial Transactions and Processing (Jose Melvin M. Jarin) (BDOI)</w:t>
            </w:r>
          </w:p>
        </w:tc>
        <w:tc>
          <w:tcPr>
            <w:tcW w:type="dxa" w:w="3853"/>
            <w:tcMar>
              <w:top w:w="50" w:type="dxa"/>
              <w:bottom w:w="50" w:type="dxa"/>
              <w:left w:w="90" w:type="dxa"/>
              <w:right w:w="90" w:type="dxa"/>
            </w:tcMar>
          </w:tcPr>
          <w:p>
            <w:pPr>
              <w:pStyle w:val="BDOITable"/>
            </w:pPr>
            <w:r>
              <w:rPr>
                <w:sz w:val="15"/>
              </w:rPr>
              <w:t>The Operations screens, rules, messages, notifications, documents and accounting events</w:t>
            </w:r>
          </w:p>
        </w:tc>
        <w:tc>
          <w:tcPr>
            <w:tcW w:type="dxa" w:w="2040"/>
            <w:tcMar>
              <w:top w:w="50" w:type="dxa"/>
              <w:bottom w:w="50" w:type="dxa"/>
              <w:left w:w="90" w:type="dxa"/>
              <w:right w:w="90" w:type="dxa"/>
            </w:tcMar>
          </w:tcPr>
          <w:p>
            <w:pPr>
              <w:pStyle w:val="BDOITable"/>
            </w:pPr>
            <w:r>
              <w:rPr>
                <w:sz w:val="15"/>
              </w:rPr>
              <w:t>Approved by (p.185)</w:t>
            </w:r>
          </w:p>
        </w:tc>
      </w:tr>
      <w:tr>
        <w:tc>
          <w:tcPr>
            <w:tcW w:type="dxa" w:w="1246"/>
            <w:tcMar>
              <w:top w:w="50" w:type="dxa"/>
              <w:bottom w:w="50" w:type="dxa"/>
              <w:left w:w="90" w:type="dxa"/>
              <w:right w:w="90" w:type="dxa"/>
            </w:tcMar>
            <w:shd w:val="clear" w:color="auto" w:fill="E5F5FF"/>
          </w:tcPr>
          <w:p>
            <w:pPr>
              <w:pStyle w:val="BDOITable"/>
            </w:pPr>
            <w:r>
              <w:rPr>
                <w:sz w:val="15"/>
              </w:rPr>
              <w:t>Approved by</w:t>
            </w:r>
          </w:p>
        </w:tc>
        <w:tc>
          <w:tcPr>
            <w:tcW w:type="dxa" w:w="2833"/>
            <w:tcMar>
              <w:top w:w="50" w:type="dxa"/>
              <w:bottom w:w="50" w:type="dxa"/>
              <w:left w:w="90" w:type="dxa"/>
              <w:right w:w="90" w:type="dxa"/>
            </w:tcMar>
            <w:shd w:val="clear" w:color="auto" w:fill="E5F5FF"/>
          </w:tcPr>
          <w:p>
            <w:pPr>
              <w:pStyle w:val="BDOITable"/>
            </w:pPr>
            <w:r>
              <w:rPr>
                <w:sz w:val="15"/>
              </w:rPr>
              <w:t>Product Owner, AVP (Shellah Marie C. Miranda) (BDOI)</w:t>
            </w:r>
          </w:p>
        </w:tc>
        <w:tc>
          <w:tcPr>
            <w:tcW w:type="dxa" w:w="3853"/>
            <w:tcMar>
              <w:top w:w="50" w:type="dxa"/>
              <w:bottom w:w="50" w:type="dxa"/>
              <w:left w:w="90" w:type="dxa"/>
              <w:right w:w="90" w:type="dxa"/>
            </w:tcMar>
            <w:shd w:val="clear" w:color="auto" w:fill="E5F5FF"/>
          </w:tcPr>
          <w:p>
            <w:pPr>
              <w:pStyle w:val="BDOITable"/>
            </w:pPr>
            <w:r>
              <w:rPr>
                <w:sz w:val="15"/>
              </w:rPr>
              <w:t>Owns the set and approves all of its contents</w:t>
            </w:r>
          </w:p>
        </w:tc>
        <w:tc>
          <w:tcPr>
            <w:tcW w:type="dxa" w:w="2040"/>
            <w:tcMar>
              <w:top w:w="50" w:type="dxa"/>
              <w:bottom w:w="50" w:type="dxa"/>
              <w:left w:w="90" w:type="dxa"/>
              <w:right w:w="90" w:type="dxa"/>
            </w:tcMar>
            <w:shd w:val="clear" w:color="auto" w:fill="E5F5FF"/>
          </w:tcPr>
          <w:p>
            <w:pPr>
              <w:pStyle w:val="BDOITable"/>
            </w:pPr>
            <w:r>
              <w:rPr>
                <w:sz w:val="15"/>
              </w:rPr>
              <w:t>Approved by (p.185)</w:t>
            </w:r>
          </w:p>
        </w:tc>
      </w:tr>
    </w:tbl>
    <w:p>
      <w:pPr>
        <w:pStyle w:val="BDOISpacer"/>
      </w:pPr>
    </w:p>
    <w:p>
      <w:r>
        <w:rPr/>
        <w:t>The signatories sign the Sign-off certificate sheet of the sign-off workbook in the same order: prepared by, input provided by, reviewed by, approved by.</w:t>
      </w:r>
    </w:p>
    <w:p>
      <w:pPr>
        <w:pStyle w:val="Heading1"/>
        <w:pBdr>
          <w:bottom w:val="single" w:sz="4" w:space="4" w:color="99C1E7"/>
        </w:pBdr>
      </w:pPr>
      <w:bookmarkStart w:id="106" w:name="_Toc000106"/>
      <w:r>
        <w:rPr/>
        <w:t>6 Change control after sign-off</w:t>
      </w:r>
      <w:bookmarkEnd w:id="106"/>
    </w:p>
    <w:p>
      <w:r>
        <w:rPr/>
        <w:t>Signing freezes the Operations screens, fields, navigation, actions, business rules, messages, notifications, documents, upload templates and the cross-BRD contract as specified. Configuration values marked "default" (receipt series, tolerances, thresholds, schedules, list entries, templates, incentive rules) are not frozen. A change to anything frozen is raised in the Change Management Register with the screen, field, rule or message concerned, assessed with its mandays and its effect on the other BRDs (Operations feeds Collections, Accounting, Disbursement and ACSL), approved by the owners of every BRD it touches, and delivered as a new version of the set; only the affected pages are signed again.</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Start Here BRD-2 Operations</w:t>
    </w:r>
    <w:r>
      <w:rPr>
        <w:color w:val="656565"/>
        <w:sz w:val="16"/>
      </w:rPr>
      <w:t xml:space="preserve">   Start Here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 Guide Start Here</dc:title>
  <dc:subject>BIBS – BDOI Broker System</dc:subject>
  <dc:creator>iorta TechNXT</dc:creator>
  <cp:keywords>StartHere, BRD-02, BIBS, BDOI</cp:keywords>
  <dc:description>Version 2.1. Confidential.</dc:description>
  <cp:lastModifiedBy>iorta TechNXT</cp:lastModifiedBy>
  <cp:revision>1</cp:revision>
  <dcterms:created xsi:type="dcterms:W3CDTF">2013-12-23T23:15:00Z</dcterms:created>
  <dcterms:modified xsi:type="dcterms:W3CDTF">2013-12-23T23:15:00Z</dcterms:modified>
  <cp:category/>
</cp:coreProperties>
</file>