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sign-off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8</w:t>
        </w:r>
      </w:hyperlink>
    </w:p>
    <w:p>
      <w:pPr>
        <w:pStyle w:val="toc1"/>
      </w:pPr>
      <w:hyperlink w:anchor="_Toc000105" w:history="1">
        <w:r>
          <w:t xml:space="preserve">5 Consolidated decisions BDOI takes</w:t>
        </w:r>
        <w:r>
          <w:t xml:space="preserve">	</w:t>
        </w:r>
        <w:r>
          <w:t xml:space="preserve">9</w:t>
        </w:r>
      </w:hyperlink>
    </w:p>
    <w:p>
      <w:pPr>
        <w:pStyle w:val="toc1"/>
      </w:pPr>
      <w:hyperlink w:anchor="_Toc000106" w:history="1">
        <w:r>
          <w:t xml:space="preserve">6 Configuration inputs</w:t>
        </w:r>
        <w:r>
          <w:t xml:space="preserve">	</w:t>
        </w:r>
        <w:r>
          <w:t xml:space="preserve">11</w:t>
        </w:r>
      </w:hyperlink>
    </w:p>
    <w:p>
      <w:pPr>
        <w:pStyle w:val="toc2"/>
      </w:pPr>
      <w:hyperlink w:anchor="_Toc000107" w:history="1">
        <w:r>
          <w:t xml:space="preserve">6.1 Timeline</w:t>
        </w:r>
        <w:r>
          <w:t xml:space="preserve">	</w:t>
        </w:r>
        <w:r>
          <w:t xml:space="preserve">12</w:t>
        </w:r>
      </w:hyperlink>
    </w:p>
    <w:p>
      <w:pPr>
        <w:pStyle w:val="toc1"/>
      </w:pPr>
      <w:hyperlink w:anchor="_Toc000108" w:history="1">
        <w:r>
          <w:t xml:space="preserve">7 Entry and exit criteria</w:t>
        </w:r>
        <w:r>
          <w:t xml:space="preserve">	</w:t>
        </w:r>
        <w:r>
          <w:t xml:space="preserve">14</w:t>
        </w:r>
      </w:hyperlink>
    </w:p>
    <w:p>
      <w:pPr>
        <w:pStyle w:val="toc2"/>
      </w:pPr>
      <w:hyperlink w:anchor="_Toc000109" w:history="1">
        <w:r>
          <w:t xml:space="preserve">7.1 Entry criteria for closing Drop 0</w:t>
        </w:r>
        <w:r>
          <w:t xml:space="preserve">	</w:t>
        </w:r>
        <w:r>
          <w:t xml:space="preserve">14</w:t>
        </w:r>
      </w:hyperlink>
    </w:p>
    <w:p>
      <w:pPr>
        <w:pStyle w:val="toc2"/>
      </w:pPr>
      <w:hyperlink w:anchor="_Toc000110" w:history="1">
        <w:r>
          <w:t xml:space="preserve">7.2 Exit criteria: Drop 0 is closed when</w:t>
        </w:r>
        <w:r>
          <w:t xml:space="preserve">	</w:t>
        </w:r>
        <w:r>
          <w:t xml:space="preserve">14</w:t>
        </w:r>
      </w:hyperlink>
    </w:p>
    <w:p>
      <w:pPr>
        <w:pStyle w:val="toc2"/>
      </w:pPr>
      <w:hyperlink w:anchor="_Toc000111" w:history="1">
        <w:r>
          <w:t xml:space="preserve">7.3 Entry criteria for Drop 1</w:t>
        </w:r>
        <w:r>
          <w:t xml:space="preserve">	</w:t>
        </w:r>
        <w:r>
          <w:t xml:space="preserve">14</w:t>
        </w:r>
      </w:hyperlink>
    </w:p>
    <w:p>
      <w:pPr>
        <w:pStyle w:val="toc1"/>
      </w:pPr>
      <w:hyperlink w:anchor="_Toc000112" w:history="1">
        <w:r>
          <w:t xml:space="preserve">8 Risks and dependencies</w:t>
        </w:r>
        <w:r>
          <w:t xml:space="preserve">	</w:t>
        </w:r>
        <w:r>
          <w:t xml:space="preserve">15</w:t>
        </w:r>
      </w:hyperlink>
    </w:p>
    <w:p>
      <w:pPr>
        <w:pStyle w:val="toc1"/>
      </w:pPr>
      <w:hyperlink w:anchor="_Toc000113" w:history="1">
        <w:r>
          <w:t xml:space="preserve">9 Change control</w:t>
        </w:r>
        <w:r>
          <w:t xml:space="preserve">	</w:t>
        </w:r>
        <w:r>
          <w:t xml:space="preserve">16</w:t>
        </w:r>
      </w:hyperlink>
    </w:p>
    <w:p>
      <w:pPr>
        <w:pStyle w:val="toc1"/>
      </w:pPr>
      <w:hyperlink w:anchor="_Toc000114" w:history="1">
        <w:r>
          <w:t xml:space="preserve">10 Closure sign-off</w:t>
        </w:r>
        <w:r>
          <w:t xml:space="preserve">	</w:t>
        </w:r>
        <w:r>
          <w:t xml:space="preserve">17</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01_BIBS_Drop-0_Configuration_Inputs_v2.0.xlsx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sign-off sets</w:t>
      </w:r>
      <w:bookmarkEnd w:id="103"/>
    </w:p>
    <w:p>
      <w:r>
        <w:rPr/>
        <w:t>Each set is issued as one release set in its own folder of Drop 0 and is signed as one unit by the roles of its BRD approval sheet (the Who signs what chapter of its 00 Start Here): iorta TechNXT prepares it, the business units provide the input and review their parts, BDOI IT reviews the interfaces, the user access and the Technical Specification (a separate document), the Program Manager of Business Project Services reviews the traceability and the completeness, and the Product Owner approves the whole set. The sets hold business content only. Signing a set freezes its screens, fields, rules, messages, notifications and interface contract as specified.</w:t>
      </w:r>
    </w:p>
    <w:p>
      <w:pPr>
        <w:pStyle w:val="Caption"/>
        <w:keepNext/>
        <w:spacing w:after="60"/>
      </w:pPr>
      <w:r>
        <w:rPr>
          <w:b/>
          <w:i w:val="0"/>
        </w:rPr>
        <w:t xml:space="preserve">Table 1: </w:t>
      </w:r>
      <w:r>
        <w:rPr/>
        <w:t>The three sign-off sets of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493"/>
        <w:gridCol w:w="2833"/>
        <w:gridCol w:w="2606"/>
        <w:gridCol w:w="793"/>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Sign-off set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Files (v2.0)</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246"/>
            <w:tcMar>
              <w:top w:w="50" w:type="dxa"/>
              <w:bottom w:w="50" w:type="dxa"/>
              <w:left w:w="90" w:type="dxa"/>
              <w:right w:w="90" w:type="dxa"/>
            </w:tcMar>
          </w:tcPr>
          <w:p>
            <w:pPr>
              <w:pStyle w:val="BDOITable"/>
            </w:pPr>
            <w:r>
              <w:rPr>
                <w:sz w:val="15"/>
              </w:rPr>
              <w:t>BRD-03 Product Maintenance</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00_BIBS_StartHere_BRD-03_Product_Maintenance_v2.0.docx</w:t>
            </w:r>
          </w:p>
          <w:p>
            <w:pPr>
              <w:pStyle w:val="BDOITable"/>
              <w:ind w:left="170" w:hanging="170"/>
            </w:pPr>
            <w:r>
              <w:rPr>
                <w:sz w:val="15"/>
              </w:rPr>
              <w:t xml:space="preserve">• </w:t>
            </w:r>
            <w:r>
              <w:rPr>
                <w:sz w:val="15"/>
              </w:rPr>
              <w:t>01_BIBS_GuideDeck_BRD-03_Product_Maintenance_v2.0.pptx</w:t>
            </w:r>
          </w:p>
          <w:p>
            <w:pPr>
              <w:pStyle w:val="BDOITable"/>
              <w:ind w:left="170" w:hanging="170"/>
            </w:pPr>
            <w:r>
              <w:rPr>
                <w:sz w:val="15"/>
              </w:rPr>
              <w:t xml:space="preserve">• </w:t>
            </w:r>
            <w:r>
              <w:rPr>
                <w:sz w:val="15"/>
              </w:rPr>
              <w:t>02_BIBS_FRS_BRD-03_Product_Maintenance_v2.0.docx</w:t>
            </w:r>
          </w:p>
          <w:p>
            <w:pPr>
              <w:pStyle w:val="BDOITable"/>
              <w:ind w:left="170" w:hanging="170"/>
            </w:pPr>
            <w:r>
              <w:rPr>
                <w:sz w:val="15"/>
              </w:rPr>
              <w:t xml:space="preserve">• </w:t>
            </w:r>
            <w:r>
              <w:rPr>
                <w:sz w:val="15"/>
              </w:rPr>
              <w:t>03_BIBS_Signoff_BRD-03_Product_Maintenance_v2.0.xlsx</w:t>
            </w:r>
          </w:p>
          <w:p>
            <w:pPr>
              <w:pStyle w:val="BDOITable"/>
              <w:ind w:left="170" w:hanging="170"/>
            </w:pPr>
            <w:r>
              <w:rPr>
                <w:sz w:val="15"/>
              </w:rPr>
              <w:t xml:space="preserve">• </w:t>
            </w:r>
            <w:r>
              <w:rPr>
                <w:sz w:val="15"/>
              </w:rPr>
              <w:t>04_BIBS_TestPlan_BRD-03_Product_Maintenance_v2.0.xlsx</w:t>
            </w:r>
          </w:p>
          <w:p>
            <w:pPr>
              <w:pStyle w:val="BDOITable"/>
              <w:ind w:left="170" w:hanging="170"/>
            </w:pPr>
            <w:r>
              <w:rPr>
                <w:sz w:val="15"/>
              </w:rPr>
              <w:t xml:space="preserve">• </w:t>
            </w:r>
            <w:r>
              <w:rPr>
                <w:sz w:val="15"/>
              </w:rPr>
              <w:t>05_BIBS_TestPlan_BRD-03_Product_Maintenance_Summary_v2.0.docx</w:t>
            </w:r>
          </w:p>
          <w:p>
            <w:pPr>
              <w:pStyle w:val="BDOITable"/>
              <w:ind w:left="170" w:hanging="170"/>
            </w:pPr>
            <w:r>
              <w:rPr>
                <w:sz w:val="15"/>
              </w:rPr>
              <w:t xml:space="preserve">• </w:t>
            </w:r>
            <w:r>
              <w:rPr>
                <w:sz w:val="15"/>
              </w:rPr>
              <w:t>06_BIBS_Templates_BRD-03_Configuration_Inputs_v2.0.xlsx</w:t>
            </w:r>
          </w:p>
          <w:p>
            <w:pPr>
              <w:pStyle w:val="BDOITable"/>
              <w:ind w:left="170" w:hanging="170"/>
            </w:pPr>
            <w:r>
              <w:rPr>
                <w:sz w:val="15"/>
              </w:rPr>
              <w:t xml:space="preserve">• </w:t>
            </w:r>
            <w:r>
              <w:rPr>
                <w:sz w:val="15"/>
              </w:rPr>
              <w:t>07_BIBS_UXDeck_BRD-03_Product_Maintenance_v2.0.pptx</w:t>
            </w:r>
          </w:p>
          <w:p>
            <w:pPr>
              <w:pStyle w:val="BDOITable"/>
              <w:ind w:left="170" w:hanging="170"/>
            </w:pPr>
            <w:r>
              <w:rPr>
                <w:sz w:val="15"/>
              </w:rPr>
              <w:t xml:space="preserve">• </w:t>
            </w:r>
            <w:r>
              <w:rPr>
                <w:sz w:val="15"/>
              </w:rPr>
              <w:t>08_BIBS_UXScreens_BRD-03_Product_Maintenance_v2.0.xlsx</w:t>
            </w:r>
          </w:p>
          <w:p>
            <w:pPr>
              <w:pStyle w:val="BDOITable"/>
              <w:ind w:left="170" w:hanging="170"/>
            </w:pPr>
            <w:r>
              <w:rPr>
                <w:sz w:val="15"/>
              </w:rPr>
              <w:t xml:space="preserve">• </w:t>
            </w:r>
            <w:r>
              <w:rPr>
                <w:sz w:val="15"/>
              </w:rPr>
              <w:t>09_BIBS_UXScreens_BRD-03_Product_Maintenance_v2.0.zip</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Unit Head - Claims, Analytics, Risk Management, Reinsurance and Technical Underwriting; Unit Head - Combank and Corbank; Head - Retail Marketing; Head - Corporate and Retail Marketing; Head - Comptrollership</w:t>
            </w:r>
          </w:p>
          <w:p>
            <w:pPr>
              <w:pStyle w:val="BDOITable"/>
              <w:ind w:left="170" w:hanging="170"/>
            </w:pPr>
            <w:r>
              <w:rPr>
                <w:sz w:val="15"/>
              </w:rPr>
              <w:t xml:space="preserve">• </w:t>
            </w:r>
            <w:r>
              <w:rPr>
                <w:sz w:val="15"/>
              </w:rPr>
              <w:t>Reviewed by: Program Manager, Enterprise Services Group - Business Project Services (BPS); BDOI Information Technology Group (BDOI IT)</w:t>
            </w:r>
          </w:p>
        </w:tc>
        <w:tc>
          <w:tcPr>
            <w:tcW w:type="dxa" w:w="793"/>
            <w:tcMar>
              <w:top w:w="50" w:type="dxa"/>
              <w:bottom w:w="50" w:type="dxa"/>
              <w:left w:w="90" w:type="dxa"/>
              <w:right w:w="90" w:type="dxa"/>
            </w:tcMar>
          </w:tcPr>
          <w:p>
            <w:pPr>
              <w:pStyle w:val="BDOITable"/>
            </w:pPr>
            <w:r>
              <w:rPr>
                <w:sz w:val="15"/>
              </w:rPr>
              <w:t>30-Nov-2026</w:t>
            </w:r>
          </w:p>
        </w:tc>
      </w:tr>
      <w:tr>
        <w:tc>
          <w:tcPr>
            <w:tcW w:type="dxa" w:w="1246"/>
            <w:tcMar>
              <w:top w:w="50" w:type="dxa"/>
              <w:bottom w:w="50" w:type="dxa"/>
              <w:left w:w="90" w:type="dxa"/>
              <w:right w:w="90" w:type="dxa"/>
            </w:tcMar>
            <w:shd w:val="clear" w:color="auto" w:fill="E5F5FF"/>
          </w:tcPr>
          <w:p>
            <w:pPr>
              <w:pStyle w:val="BDOITable"/>
            </w:pPr>
            <w:r>
              <w:rPr>
                <w:sz w:val="15"/>
              </w:rPr>
              <w:t>BRD-11 User Access Maintenance</w:t>
            </w:r>
          </w:p>
        </w:tc>
        <w:tc>
          <w:tcPr>
            <w:tcW w:type="dxa" w:w="2493"/>
            <w:tcMar>
              <w:top w:w="50" w:type="dxa"/>
              <w:bottom w:w="50" w:type="dxa"/>
              <w:left w:w="90" w:type="dxa"/>
              <w:right w:w="90" w:type="dxa"/>
            </w:tcMar>
            <w:shd w:val="clear" w:color="auto" w:fill="E5F5FF"/>
          </w:tcPr>
          <w:p>
            <w:pPr>
              <w:pStyle w:val="BDOITable"/>
              <w:ind w:left="170" w:hanging="170"/>
            </w:pPr>
            <w:r>
              <w:rPr>
                <w:sz w:val="15"/>
              </w:rPr>
              <w:t xml:space="preserve">• </w:t>
            </w:r>
            <w:r>
              <w:rPr>
                <w:sz w:val="15"/>
              </w:rPr>
              <w:t>00_BIBS_StartHere_BRD-11_User_Access_Maintenance_v2.0.docx</w:t>
            </w:r>
          </w:p>
          <w:p>
            <w:pPr>
              <w:pStyle w:val="BDOITable"/>
              <w:ind w:left="170" w:hanging="170"/>
            </w:pPr>
            <w:r>
              <w:rPr>
                <w:sz w:val="15"/>
              </w:rPr>
              <w:t xml:space="preserve">• </w:t>
            </w:r>
            <w:r>
              <w:rPr>
                <w:sz w:val="15"/>
              </w:rPr>
              <w:t>01_BIBS_GuideDeck_BRD-11_User_Access_Maintenance_v2.0.pptx</w:t>
            </w:r>
          </w:p>
          <w:p>
            <w:pPr>
              <w:pStyle w:val="BDOITable"/>
              <w:ind w:left="170" w:hanging="170"/>
            </w:pPr>
            <w:r>
              <w:rPr>
                <w:sz w:val="15"/>
              </w:rPr>
              <w:t xml:space="preserve">• </w:t>
            </w:r>
            <w:r>
              <w:rPr>
                <w:sz w:val="15"/>
              </w:rPr>
              <w:t>02_BIBS_FRS_BRD-11_User_Access_Maintenance_v2.0.docx</w:t>
            </w:r>
          </w:p>
          <w:p>
            <w:pPr>
              <w:pStyle w:val="BDOITable"/>
              <w:ind w:left="170" w:hanging="170"/>
            </w:pPr>
            <w:r>
              <w:rPr>
                <w:sz w:val="15"/>
              </w:rPr>
              <w:t xml:space="preserve">• </w:t>
            </w:r>
            <w:r>
              <w:rPr>
                <w:sz w:val="15"/>
              </w:rPr>
              <w:t>03_BIBS_Signoff_BRD-11_User_Access_Maintenance_v2.0.xlsx</w:t>
            </w:r>
          </w:p>
          <w:p>
            <w:pPr>
              <w:pStyle w:val="BDOITable"/>
              <w:ind w:left="170" w:hanging="170"/>
            </w:pPr>
            <w:r>
              <w:rPr>
                <w:sz w:val="15"/>
              </w:rPr>
              <w:t xml:space="preserve">• </w:t>
            </w:r>
            <w:r>
              <w:rPr>
                <w:sz w:val="15"/>
              </w:rPr>
              <w:t>04_BIBS_TestPlan_BRD-11_User_Access_Maintenance_v2.0.xlsx</w:t>
            </w:r>
          </w:p>
          <w:p>
            <w:pPr>
              <w:pStyle w:val="BDOITable"/>
              <w:ind w:left="170" w:hanging="170"/>
            </w:pPr>
            <w:r>
              <w:rPr>
                <w:sz w:val="15"/>
              </w:rPr>
              <w:t xml:space="preserve">• </w:t>
            </w:r>
            <w:r>
              <w:rPr>
                <w:sz w:val="15"/>
              </w:rPr>
              <w:t>05_BIBS_TestPlan_BRD-11_User_Access_Maintenance_Summary_v2.0.docx</w:t>
            </w:r>
          </w:p>
          <w:p>
            <w:pPr>
              <w:pStyle w:val="BDOITable"/>
              <w:ind w:left="170" w:hanging="170"/>
            </w:pPr>
            <w:r>
              <w:rPr>
                <w:sz w:val="15"/>
              </w:rPr>
              <w:t xml:space="preserve">• </w:t>
            </w:r>
            <w:r>
              <w:rPr>
                <w:sz w:val="15"/>
              </w:rPr>
              <w:t>06_BIBS_Templates_BRD-11_Configuration_Inputs_v2.0.xlsx</w:t>
            </w:r>
          </w:p>
          <w:p>
            <w:pPr>
              <w:pStyle w:val="BDOITable"/>
              <w:ind w:left="170" w:hanging="170"/>
            </w:pPr>
            <w:r>
              <w:rPr>
                <w:sz w:val="15"/>
              </w:rPr>
              <w:t xml:space="preserve">• </w:t>
            </w:r>
            <w:r>
              <w:rPr>
                <w:sz w:val="15"/>
              </w:rPr>
              <w:t>07_BIBS_UXDeck_BRD-11_User_Access_Maintenance_v2.0.pptx</w:t>
            </w:r>
          </w:p>
          <w:p>
            <w:pPr>
              <w:pStyle w:val="BDOITable"/>
              <w:ind w:left="170" w:hanging="170"/>
            </w:pPr>
            <w:r>
              <w:rPr>
                <w:sz w:val="15"/>
              </w:rPr>
              <w:t xml:space="preserve">• </w:t>
            </w:r>
            <w:r>
              <w:rPr>
                <w:sz w:val="15"/>
              </w:rPr>
              <w:t>08_BIBS_UXScreens_BRD-11_User_Access_Maintenance_v2.0.xlsx</w:t>
            </w:r>
          </w:p>
          <w:p>
            <w:pPr>
              <w:pStyle w:val="BDOITable"/>
              <w:ind w:left="170" w:hanging="170"/>
            </w:pPr>
            <w:r>
              <w:rPr>
                <w:sz w:val="15"/>
              </w:rPr>
              <w:t xml:space="preserve">• </w:t>
            </w:r>
            <w:r>
              <w:rPr>
                <w:sz w:val="15"/>
              </w:rPr>
              <w:t>09_BIBS_UXScreens_BRD-11_User_Access_Maintenance_v2.0.zip</w:t>
            </w:r>
          </w:p>
        </w:tc>
        <w:tc>
          <w:tcPr>
            <w:tcW w:type="dxa" w:w="283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2606"/>
            <w:tcMar>
              <w:top w:w="50" w:type="dxa"/>
              <w:bottom w:w="50" w:type="dxa"/>
              <w:left w:w="90" w:type="dxa"/>
              <w:right w:w="90" w:type="dxa"/>
            </w:tcMar>
            <w:shd w:val="clear" w:color="auto" w:fill="E5F5FF"/>
          </w:tcPr>
          <w:p>
            <w:pPr>
              <w:pStyle w:val="BDOITable"/>
              <w:ind w:left="170" w:hanging="170"/>
            </w:pPr>
            <w:r>
              <w:rPr>
                <w:sz w:val="15"/>
              </w:rPr>
              <w:t xml:space="preserve">• </w:t>
            </w:r>
            <w:r>
              <w:rPr>
                <w:sz w:val="15"/>
              </w:rPr>
              <w:t>Approved by: Product Owner, Marketing Business System; Unit Head - Claims and Risk Management; Unit Head - Combank and Corbank Marketing / Corporate Processing; Head - Comptrollership; Head - Retail Marketing; Head - Corporate and Retail Marketing</w:t>
            </w:r>
          </w:p>
          <w:p>
            <w:pPr>
              <w:pStyle w:val="BDOITable"/>
              <w:ind w:left="170" w:hanging="170"/>
            </w:pPr>
            <w:r>
              <w:rPr>
                <w:sz w:val="15"/>
              </w:rPr>
              <w:t xml:space="preserve">• </w:t>
            </w:r>
            <w:r>
              <w:rPr>
                <w:sz w:val="15"/>
              </w:rPr>
              <w:t>Reviewed by: Program Manager, Enterprise Services - Business Process Services (BPS); BDOI Information Security; BDOI Information Technology Group (BDOI IT)</w:t>
            </w:r>
          </w:p>
        </w:tc>
        <w:tc>
          <w:tcPr>
            <w:tcW w:type="dxa" w:w="793"/>
            <w:tcMar>
              <w:top w:w="50" w:type="dxa"/>
              <w:bottom w:w="50" w:type="dxa"/>
              <w:left w:w="90" w:type="dxa"/>
              <w:right w:w="90" w:type="dxa"/>
            </w:tcMar>
            <w:shd w:val="clear" w:color="auto" w:fill="E5F5FF"/>
          </w:tcPr>
          <w:p>
            <w:pPr>
              <w:pStyle w:val="BDOITable"/>
            </w:pPr>
            <w:r>
              <w:rPr>
                <w:sz w:val="15"/>
              </w:rPr>
              <w:t>1-Dec-2026</w:t>
            </w:r>
          </w:p>
        </w:tc>
      </w:tr>
      <w:tr>
        <w:tc>
          <w:tcPr>
            <w:tcW w:type="dxa" w:w="1246"/>
            <w:tcMar>
              <w:top w:w="50" w:type="dxa"/>
              <w:bottom w:w="50" w:type="dxa"/>
              <w:left w:w="90" w:type="dxa"/>
              <w:right w:w="90" w:type="dxa"/>
            </w:tcMar>
          </w:tcPr>
          <w:p>
            <w:pPr>
              <w:pStyle w:val="BDOITable"/>
            </w:pPr>
            <w:r>
              <w:rPr>
                <w:sz w:val="15"/>
              </w:rPr>
              <w:t>BRD-13 Data Migration</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00_BIBS_StartHere_BRD-13_Data_Migration_v2.0.docx</w:t>
            </w:r>
          </w:p>
          <w:p>
            <w:pPr>
              <w:pStyle w:val="BDOITable"/>
              <w:ind w:left="170" w:hanging="170"/>
            </w:pPr>
            <w:r>
              <w:rPr>
                <w:sz w:val="15"/>
              </w:rPr>
              <w:t xml:space="preserve">• </w:t>
            </w:r>
            <w:r>
              <w:rPr>
                <w:sz w:val="15"/>
              </w:rPr>
              <w:t>01_BIBS_GuideDeck_BRD-13_Data_Migration_v2.0.pptx</w:t>
            </w:r>
          </w:p>
          <w:p>
            <w:pPr>
              <w:pStyle w:val="BDOITable"/>
              <w:ind w:left="170" w:hanging="170"/>
            </w:pPr>
            <w:r>
              <w:rPr>
                <w:sz w:val="15"/>
              </w:rPr>
              <w:t xml:space="preserve">• </w:t>
            </w:r>
            <w:r>
              <w:rPr>
                <w:sz w:val="15"/>
              </w:rPr>
              <w:t>02_BIBS_Handbook_BRD-13_Data_Migration_v2.0.docx</w:t>
            </w:r>
          </w:p>
          <w:p>
            <w:pPr>
              <w:pStyle w:val="BDOITable"/>
              <w:ind w:left="170" w:hanging="170"/>
            </w:pPr>
            <w:r>
              <w:rPr>
                <w:sz w:val="15"/>
              </w:rPr>
              <w:t xml:space="preserve">• </w:t>
            </w:r>
            <w:r>
              <w:rPr>
                <w:sz w:val="15"/>
              </w:rPr>
              <w:t>03_BIBS_Workbook_BRD-13_Data_Migration_v2.0.xlsx</w:t>
            </w:r>
          </w:p>
          <w:p>
            <w:pPr>
              <w:pStyle w:val="BDOITable"/>
              <w:ind w:left="170" w:hanging="170"/>
            </w:pPr>
            <w:r>
              <w:rPr>
                <w:sz w:val="15"/>
              </w:rPr>
              <w:t xml:space="preserve">• </w:t>
            </w:r>
            <w:r>
              <w:rPr>
                <w:sz w:val="15"/>
              </w:rPr>
              <w:t>04_BIBS_TestPlan_BRD-13_Data_Migration_v2.0.xlsx</w:t>
            </w:r>
          </w:p>
          <w:p>
            <w:pPr>
              <w:pStyle w:val="BDOITable"/>
              <w:ind w:left="170" w:hanging="170"/>
            </w:pPr>
            <w:r>
              <w:rPr>
                <w:sz w:val="15"/>
              </w:rPr>
              <w:t xml:space="preserve">• </w:t>
            </w:r>
            <w:r>
              <w:rPr>
                <w:sz w:val="15"/>
              </w:rPr>
              <w:t>05_BIBS_TestPlan_BRD-13_Data_Migration_Summary_v2.0.docx</w:t>
            </w:r>
          </w:p>
          <w:p>
            <w:pPr>
              <w:pStyle w:val="BDOITable"/>
              <w:ind w:left="170" w:hanging="170"/>
            </w:pPr>
            <w:r>
              <w:rPr>
                <w:sz w:val="15"/>
              </w:rPr>
              <w:t xml:space="preserve">• </w:t>
            </w:r>
            <w:r>
              <w:rPr>
                <w:sz w:val="15"/>
              </w:rPr>
              <w:t>07_BIBS_UXDeck_BRD-13_Data_Migration_v2.0.pptx</w:t>
            </w:r>
          </w:p>
          <w:p>
            <w:pPr>
              <w:pStyle w:val="BDOITable"/>
              <w:ind w:left="170" w:hanging="170"/>
            </w:pPr>
            <w:r>
              <w:rPr>
                <w:sz w:val="15"/>
              </w:rPr>
              <w:t xml:space="preserve">• </w:t>
            </w:r>
            <w:r>
              <w:rPr>
                <w:sz w:val="15"/>
              </w:rPr>
              <w:t>08_BIBS_UXScreens_BRD-13_Data_Migration_v2.0.xlsx</w:t>
            </w:r>
          </w:p>
          <w:p>
            <w:pPr>
              <w:pStyle w:val="BDOITable"/>
              <w:ind w:left="170" w:hanging="170"/>
            </w:pPr>
            <w:r>
              <w:rPr>
                <w:sz w:val="15"/>
              </w:rPr>
              <w:t xml:space="preserve">• </w:t>
            </w:r>
            <w:r>
              <w:rPr>
                <w:sz w:val="15"/>
              </w:rPr>
              <w:t>09_BIBS_UXScreens_BRD-13_Data_Migration_v2.0.zip</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Product Owner - Comptrollership - Disbursement; Product Owner - Comptrollership - FRBS and ACSL; Operations: Financial Transactions and Processing; Head - Operations; Unit Head - Analytics and Risk Management; Unit Head - Claims, Analytics, Risk Management, Reinsurance and Technical Underwriting; Unit Head - Combank and Corbank; Head - Comptrollership; Head - Retail Marketing; Head - Corporate and Retail Marketing</w:t>
            </w:r>
          </w:p>
          <w:p>
            <w:pPr>
              <w:pStyle w:val="BDOITable"/>
              <w:ind w:left="170" w:hanging="170"/>
            </w:pPr>
            <w:r>
              <w:rPr>
                <w:sz w:val="15"/>
              </w:rPr>
              <w:t xml:space="preserve">• </w:t>
            </w:r>
            <w:r>
              <w:rPr>
                <w:sz w:val="15"/>
              </w:rPr>
              <w:t>Reviewed by: Marketing Business System (MBS); BDOI Information Technology Group (BDOI IT)</w:t>
            </w:r>
          </w:p>
        </w:tc>
        <w:tc>
          <w:tcPr>
            <w:tcW w:type="dxa" w:w="793"/>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closes with a chapter of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20</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20</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28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68</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opens on a Start here sheet: a few plain steps and the index of every configuration input, one row per item, by due date and, within a due date, with the templates in the order they are filled in (a template whose codes others use comes first). Each row shows its owner, due date, route, the rows entered and the mandatory cells still missing in its template, a status (Not started, In progress, Ready for review, Confirmed, Not applicable) and a link to the sheet. The items cover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Each template sheet is self-contained: what it is for, who provides it, when it is due, how it is loaded and which templates it depends on, then above each column its guide (mandatory or not, format, allowed values, what to enter), one example row to overwrite, and drop-downs with the allowed values and the codes of the templates filled in before. The allowed values are listed on the sheet Reference lists; questions per template and column go to the sheet Questions and comments.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its row of the Start here index.</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reference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5</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11</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32</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78</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134</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208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11</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88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87</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Group, subsidiaries and inter-company relationships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sign-off sets v2.0 of Drop 0 are issued: BRD-03 Product Maintenance, BRD-11 User Access Maintenance and BRD-13 Data Migration, each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certificate of each of the three sets is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comments logs of the three sets are closed: answered, corrected in v2.1, or raised as change requests.</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v2.0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the comments log of its sign-off workbook without changing the text; a correction is made once, in version 2.1 of the set, with the changed rows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