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Interface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PRJ0012475-PM-ICD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product master transfer file and e-mail channel of Product Maintenance.</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IF-PM-01 Product Master Transfer</w:t>
      </w:r>
      <w:r>
        <w:tab/>
      </w:r>
      <w:r>
        <w:t xml:space="preserve">6</w:t>
      </w:r>
    </w:p>
    <w:p>
      <w:pPr>
        <w:pStyle w:val="TOC2"/>
        <w:tabs>
          <w:tab w:val="right" w:leader="dot" w:pos="9630"/>
        </w:tabs>
      </w:pPr>
      <w:r>
        <w:t xml:space="preserve">Trigger and content</w:t>
      </w:r>
      <w:r>
        <w:tab/>
      </w:r>
      <w:r>
        <w:t xml:space="preserve">6</w:t>
      </w:r>
    </w:p>
    <w:p>
      <w:pPr>
        <w:pStyle w:val="TOC2"/>
        <w:tabs>
          <w:tab w:val="right" w:leader="dot" w:pos="9630"/>
        </w:tabs>
      </w:pPr>
      <w:r>
        <w:t xml:space="preserve">File</w:t>
      </w:r>
      <w:r>
        <w:tab/>
      </w:r>
      <w:r>
        <w:t xml:space="preserve">6</w:t>
      </w:r>
    </w:p>
    <w:p>
      <w:pPr>
        <w:pStyle w:val="TOC2"/>
        <w:tabs>
          <w:tab w:val="right" w:leader="dot" w:pos="9630"/>
        </w:tabs>
      </w:pPr>
      <w:r>
        <w:t xml:space="preserve">Errors and recovery</w:t>
      </w:r>
      <w:r>
        <w:tab/>
      </w:r>
      <w:r>
        <w:t xml:space="preserve">6</w:t>
      </w:r>
    </w:p>
    <w:p>
      <w:pPr>
        <w:pStyle w:val="TOC1"/>
        <w:tabs>
          <w:tab w:val="right" w:leader="dot" w:pos="9630"/>
        </w:tabs>
      </w:pPr>
      <w:r>
        <w:t xml:space="preserve">IF-PM-02 E-mail Channel</w:t>
      </w:r>
      <w:r>
        <w:tab/>
      </w:r>
      <w:r>
        <w:t xml:space="preserve">8</w:t>
      </w:r>
    </w:p>
    <w:p>
      <w:pPr>
        <w:pStyle w:val="TOC1"/>
        <w:tabs>
          <w:tab w:val="right" w:leader="dot" w:pos="9630"/>
        </w:tabs>
      </w:pPr>
      <w:r>
        <w:t xml:space="preserve">Open Points</w:t>
      </w:r>
      <w:r>
        <w:tab/>
      </w:r>
      <w:r>
        <w:t xml:space="preserve">9</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specifies the interfaces of Product Maintenance with systems outside BIBS. Both are Integration scope (FRS v1.4, FRPM.029.02 and FRPM.027.01). The links with other BIBS modules (New Business, Operations, Renewal, User Access) are internal and not listed here.</w:t>
      </w:r>
    </w:p>
    <w:p>
      <w:pPr>
        <w:keepNext/>
        <w:spacing w:before="120" w:after="60"/>
        <w:ind w:left="363"/>
      </w:pPr>
      <w:r>
        <w:rPr>
          <w:rFonts w:ascii="Arial" w:hAnsi="Arial" w:cs="Arial" w:eastAsia="Arial"/>
          <w:b/>
          <w:i w:val="0"/>
          <w:sz w:val="18"/>
        </w:rPr>
        <w:t>Table 1: Interfaces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90"/>
        <w:gridCol w:w="1514"/>
        <w:gridCol w:w="1959"/>
        <w:gridCol w:w="1425"/>
        <w:gridCol w:w="1425"/>
        <w:gridCol w:w="1425"/>
      </w:tblGrid>
      <w:tr>
        <w:trPr>
          <w:tblHeader/>
          <w:cantSplit/>
        </w:trPr>
        <w:tc>
          <w:tcPr>
            <w:tcW w:type="dxa" w:w="890"/>
            <w:shd w:val="clear" w:color="auto" w:fill="D9E2F3"/>
          </w:tcPr>
          <w:p>
            <w:pPr>
              <w:spacing w:before="20" w:after="20"/>
            </w:pPr>
            <w:r>
              <w:rPr>
                <w:rFonts w:ascii="Arial" w:hAnsi="Arial" w:cs="Arial" w:eastAsia="Arial"/>
                <w:b/>
                <w:i w:val="0"/>
                <w:sz w:val="18"/>
              </w:rPr>
              <w:t>ID</w:t>
            </w:r>
          </w:p>
        </w:tc>
        <w:tc>
          <w:tcPr>
            <w:tcW w:type="dxa" w:w="1514"/>
            <w:shd w:val="clear" w:color="auto" w:fill="D9E2F3"/>
          </w:tcPr>
          <w:p>
            <w:pPr>
              <w:spacing w:before="20" w:after="20"/>
            </w:pPr>
            <w:r>
              <w:rPr>
                <w:rFonts w:ascii="Arial" w:hAnsi="Arial" w:cs="Arial" w:eastAsia="Arial"/>
                <w:b/>
                <w:i w:val="0"/>
                <w:sz w:val="18"/>
              </w:rPr>
              <w:t>Interface</w:t>
            </w:r>
          </w:p>
        </w:tc>
        <w:tc>
          <w:tcPr>
            <w:tcW w:type="dxa" w:w="1959"/>
            <w:shd w:val="clear" w:color="auto" w:fill="D9E2F3"/>
          </w:tcPr>
          <w:p>
            <w:pPr>
              <w:spacing w:before="20" w:after="20"/>
            </w:pPr>
            <w:r>
              <w:rPr>
                <w:rFonts w:ascii="Arial" w:hAnsi="Arial" w:cs="Arial" w:eastAsia="Arial"/>
                <w:b/>
                <w:i w:val="0"/>
                <w:sz w:val="18"/>
              </w:rPr>
              <w:t>Direction</w:t>
            </w:r>
          </w:p>
        </w:tc>
        <w:tc>
          <w:tcPr>
            <w:tcW w:type="dxa" w:w="1425"/>
            <w:shd w:val="clear" w:color="auto" w:fill="D9E2F3"/>
          </w:tcPr>
          <w:p>
            <w:pPr>
              <w:spacing w:before="20" w:after="20"/>
            </w:pPr>
            <w:r>
              <w:rPr>
                <w:rFonts w:ascii="Arial" w:hAnsi="Arial" w:cs="Arial" w:eastAsia="Arial"/>
                <w:b/>
                <w:i w:val="0"/>
                <w:sz w:val="18"/>
              </w:rPr>
              <w:t>Means</w:t>
            </w:r>
          </w:p>
        </w:tc>
        <w:tc>
          <w:tcPr>
            <w:tcW w:type="dxa" w:w="1425"/>
            <w:shd w:val="clear" w:color="auto" w:fill="D9E2F3"/>
          </w:tcPr>
          <w:p>
            <w:pPr>
              <w:spacing w:before="20" w:after="20"/>
            </w:pPr>
            <w:r>
              <w:rPr>
                <w:rFonts w:ascii="Arial" w:hAnsi="Arial" w:cs="Arial" w:eastAsia="Arial"/>
                <w:b/>
                <w:i w:val="0"/>
                <w:sz w:val="18"/>
              </w:rPr>
              <w:t>Frequency</w:t>
            </w:r>
          </w:p>
        </w:tc>
        <w:tc>
          <w:tcPr>
            <w:tcW w:type="dxa" w:w="1425"/>
            <w:shd w:val="clear" w:color="auto" w:fill="D9E2F3"/>
          </w:tcPr>
          <w:p>
            <w:pPr>
              <w:spacing w:before="20" w:after="20"/>
            </w:pPr>
            <w:r>
              <w:rPr>
                <w:rFonts w:ascii="Arial" w:hAnsi="Arial" w:cs="Arial" w:eastAsia="Arial"/>
                <w:b/>
                <w:i w:val="0"/>
                <w:sz w:val="18"/>
              </w:rPr>
              <w:t>Content</w:t>
            </w:r>
          </w:p>
        </w:tc>
      </w:tr>
      <w:tr>
        <w:trPr>
          <w:cantSplit/>
        </w:trPr>
        <w:tc>
          <w:tcPr>
            <w:tcW w:type="dxa" w:w="890"/>
          </w:tcPr>
          <w:p>
            <w:pPr>
              <w:spacing w:before="20" w:after="20"/>
            </w:pPr>
            <w:r>
              <w:rPr>
                <w:rFonts w:ascii="Arial" w:hAnsi="Arial" w:cs="Arial" w:eastAsia="Arial"/>
                <w:b w:val="0"/>
                <w:i w:val="0"/>
                <w:sz w:val="18"/>
              </w:rPr>
              <w:t>IF-PM-01</w:t>
            </w:r>
          </w:p>
        </w:tc>
        <w:tc>
          <w:tcPr>
            <w:tcW w:type="dxa" w:w="1514"/>
          </w:tcPr>
          <w:p>
            <w:pPr>
              <w:spacing w:before="20" w:after="20"/>
            </w:pPr>
            <w:r>
              <w:rPr>
                <w:rFonts w:ascii="Arial" w:hAnsi="Arial" w:cs="Arial" w:eastAsia="Arial"/>
                <w:b w:val="0"/>
                <w:i w:val="0"/>
                <w:sz w:val="18"/>
              </w:rPr>
              <w:t>Product master transfer</w:t>
            </w:r>
          </w:p>
        </w:tc>
        <w:tc>
          <w:tcPr>
            <w:tcW w:type="dxa" w:w="1959"/>
          </w:tcPr>
          <w:p>
            <w:pPr>
              <w:spacing w:before="20" w:after="20"/>
            </w:pPr>
            <w:r>
              <w:rPr>
                <w:rFonts w:ascii="Arial" w:hAnsi="Arial" w:cs="Arial" w:eastAsia="Arial"/>
                <w:b w:val="0"/>
                <w:i w:val="0"/>
                <w:sz w:val="18"/>
              </w:rPr>
              <w:t>BIBS to the receiving BDOI systems (to be named by BDOI IT)</w:t>
            </w:r>
          </w:p>
        </w:tc>
        <w:tc>
          <w:tcPr>
            <w:tcW w:type="dxa" w:w="1425"/>
          </w:tcPr>
          <w:p>
            <w:pPr>
              <w:spacing w:before="20" w:after="20"/>
            </w:pPr>
            <w:r>
              <w:rPr>
                <w:rFonts w:ascii="Arial" w:hAnsi="Arial" w:cs="Arial" w:eastAsia="Arial"/>
                <w:b w:val="0"/>
                <w:i w:val="0"/>
                <w:sz w:val="18"/>
              </w:rPr>
              <w:t>CSV file in a folder</w:t>
            </w:r>
          </w:p>
        </w:tc>
        <w:tc>
          <w:tcPr>
            <w:tcW w:type="dxa" w:w="1425"/>
          </w:tcPr>
          <w:p>
            <w:pPr>
              <w:spacing w:before="20" w:after="20"/>
            </w:pPr>
            <w:r>
              <w:rPr>
                <w:rFonts w:ascii="Arial" w:hAnsi="Arial" w:cs="Arial" w:eastAsia="Arial"/>
                <w:b w:val="0"/>
                <w:i w:val="0"/>
                <w:sz w:val="18"/>
              </w:rPr>
              <w:t>Every 30 minutes and Send Now</w:t>
            </w:r>
          </w:p>
        </w:tc>
        <w:tc>
          <w:tcPr>
            <w:tcW w:type="dxa" w:w="1425"/>
          </w:tcPr>
          <w:p>
            <w:pPr>
              <w:spacing w:before="20" w:after="20"/>
            </w:pPr>
            <w:r>
              <w:rPr>
                <w:rFonts w:ascii="Arial" w:hAnsi="Arial" w:cs="Arial" w:eastAsia="Arial"/>
                <w:b w:val="0"/>
                <w:i w:val="0"/>
                <w:sz w:val="18"/>
              </w:rPr>
              <w:t>Released, retired and expired packages</w:t>
            </w:r>
          </w:p>
        </w:tc>
      </w:tr>
      <w:tr>
        <w:trPr>
          <w:cantSplit/>
        </w:trPr>
        <w:tc>
          <w:tcPr>
            <w:tcW w:type="dxa" w:w="890"/>
          </w:tcPr>
          <w:p>
            <w:pPr>
              <w:spacing w:before="20" w:after="20"/>
            </w:pPr>
            <w:r>
              <w:rPr>
                <w:rFonts w:ascii="Arial" w:hAnsi="Arial" w:cs="Arial" w:eastAsia="Arial"/>
                <w:b w:val="0"/>
                <w:i w:val="0"/>
                <w:sz w:val="18"/>
              </w:rPr>
              <w:t>IF-PM-02</w:t>
            </w:r>
          </w:p>
        </w:tc>
        <w:tc>
          <w:tcPr>
            <w:tcW w:type="dxa" w:w="1514"/>
          </w:tcPr>
          <w:p>
            <w:pPr>
              <w:spacing w:before="20" w:after="20"/>
            </w:pPr>
            <w:r>
              <w:rPr>
                <w:rFonts w:ascii="Arial" w:hAnsi="Arial" w:cs="Arial" w:eastAsia="Arial"/>
                <w:b w:val="0"/>
                <w:i w:val="0"/>
                <w:sz w:val="18"/>
              </w:rPr>
              <w:t>E-mail channel</w:t>
            </w:r>
          </w:p>
        </w:tc>
        <w:tc>
          <w:tcPr>
            <w:tcW w:type="dxa" w:w="1959"/>
          </w:tcPr>
          <w:p>
            <w:pPr>
              <w:spacing w:before="20" w:after="20"/>
            </w:pPr>
            <w:r>
              <w:rPr>
                <w:rFonts w:ascii="Arial" w:hAnsi="Arial" w:cs="Arial" w:eastAsia="Arial"/>
                <w:b w:val="0"/>
                <w:i w:val="0"/>
                <w:sz w:val="18"/>
              </w:rPr>
              <w:t>BIBS to insurers and recipients of advisories</w:t>
            </w:r>
          </w:p>
        </w:tc>
        <w:tc>
          <w:tcPr>
            <w:tcW w:type="dxa" w:w="1425"/>
          </w:tcPr>
          <w:p>
            <w:pPr>
              <w:spacing w:before="20" w:after="20"/>
            </w:pPr>
            <w:r>
              <w:rPr>
                <w:rFonts w:ascii="Arial" w:hAnsi="Arial" w:cs="Arial" w:eastAsia="Arial"/>
                <w:b w:val="0"/>
                <w:i w:val="0"/>
                <w:sz w:val="18"/>
              </w:rPr>
              <w:t>SMTP through BDOI's mail relay</w:t>
            </w:r>
          </w:p>
        </w:tc>
        <w:tc>
          <w:tcPr>
            <w:tcW w:type="dxa" w:w="1425"/>
          </w:tcPr>
          <w:p>
            <w:pPr>
              <w:spacing w:before="20" w:after="20"/>
            </w:pPr>
            <w:r>
              <w:rPr>
                <w:rFonts w:ascii="Arial" w:hAnsi="Arial" w:cs="Arial" w:eastAsia="Arial"/>
                <w:b w:val="0"/>
                <w:i w:val="0"/>
                <w:sz w:val="18"/>
              </w:rPr>
              <w:t>On each send; queue every 2 minutes</w:t>
            </w:r>
          </w:p>
        </w:tc>
        <w:tc>
          <w:tcPr>
            <w:tcW w:type="dxa" w:w="1425"/>
          </w:tcPr>
          <w:p>
            <w:pPr>
              <w:spacing w:before="20" w:after="20"/>
            </w:pPr>
            <w:r>
              <w:rPr>
                <w:rFonts w:ascii="Arial" w:hAnsi="Arial" w:cs="Arial" w:eastAsia="Arial"/>
                <w:b w:val="0"/>
                <w:i w:val="0"/>
                <w:sz w:val="18"/>
              </w:rPr>
              <w:t>Quotation slips, advisories, password e-mails</w:t>
            </w:r>
          </w:p>
        </w:tc>
      </w:tr>
    </w:tbl>
    <w:p>
      <w:pPr>
        <w:spacing w:after="40"/>
      </w:pPr>
    </w:p>
    <w:p>
      <w:pPr>
        <w:pStyle w:val="Heading1"/>
        <w:pageBreakBefore/>
      </w:pPr>
      <w:r>
        <w:t>IF-PM-01 Product Master Transfer</w:t>
      </w:r>
    </w:p>
    <w:p>
      <w:pPr>
        <w:pStyle w:val="Heading2"/>
      </w:pPr>
      <w:r>
        <w:t>Trigger and content</w:t>
      </w:r>
    </w:p>
    <w:p>
      <w:pPr>
        <w:pStyle w:val="ListParagraph"/>
        <w:tabs>
          <w:tab w:pos="680" w:val="left"/>
        </w:tabs>
        <w:spacing w:after="60"/>
        <w:ind w:left="680" w:hanging="283"/>
      </w:pPr>
      <w:r>
        <w:rPr>
          <w:rFonts w:ascii="Arial" w:hAnsi="Arial" w:cs="Arial" w:eastAsia="Arial"/>
          <w:b w:val="0"/>
          <w:i w:val="0"/>
          <w:sz w:val="20"/>
        </w:rPr>
        <w:t>•</w:t>
        <w:tab/>
        <w:t>A package version is released (change RELEASED), a package is retired (RETIRED) or a package expires without a newer version (EXPIRED): BIBS records a product master change.</w:t>
      </w:r>
    </w:p>
    <w:p>
      <w:pPr>
        <w:pStyle w:val="ListParagraph"/>
        <w:tabs>
          <w:tab w:pos="680" w:val="left"/>
        </w:tabs>
        <w:spacing w:after="60"/>
        <w:ind w:left="680" w:hanging="283"/>
      </w:pPr>
      <w:r>
        <w:rPr>
          <w:rFonts w:ascii="Arial" w:hAnsi="Arial" w:cs="Arial" w:eastAsia="Arial"/>
          <w:b w:val="0"/>
          <w:i w:val="0"/>
          <w:sz w:val="20"/>
        </w:rPr>
        <w:t>•</w:t>
        <w:tab/>
        <w:t>The job PRODUCT_MASTER_TRANSFER runs every 30 minutes; Send Now on Product Master Transfers runs it at once. It writes every pending change, oldest first, in one file.</w:t>
      </w:r>
    </w:p>
    <w:p>
      <w:pPr>
        <w:pStyle w:val="ListParagraph"/>
        <w:tabs>
          <w:tab w:pos="680" w:val="left"/>
        </w:tabs>
        <w:spacing w:after="60"/>
        <w:ind w:left="680" w:hanging="283"/>
      </w:pPr>
      <w:r>
        <w:rPr>
          <w:rFonts w:ascii="Arial" w:hAnsi="Arial" w:cs="Arial" w:eastAsia="Arial"/>
          <w:b w:val="0"/>
          <w:i w:val="0"/>
          <w:sz w:val="20"/>
        </w:rPr>
        <w:t>•</w:t>
        <w:tab/>
        <w:t>No file is written when no change is pending or no folder is set; the changes wait.</w:t>
      </w:r>
    </w:p>
    <w:p>
      <w:pPr>
        <w:pStyle w:val="Heading2"/>
      </w:pPr>
      <w:r>
        <w:t>File</w:t>
      </w:r>
    </w:p>
    <w:p>
      <w:pPr>
        <w:keepNext/>
        <w:spacing w:before="120" w:after="60"/>
        <w:ind w:left="363"/>
      </w:pPr>
      <w:r>
        <w:rPr>
          <w:rFonts w:ascii="Arial" w:hAnsi="Arial" w:cs="Arial" w:eastAsia="Arial"/>
          <w:b/>
          <w:i w:val="0"/>
          <w:sz w:val="18"/>
        </w:rPr>
        <w:t>Table 2: File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Name</w:t>
            </w:r>
          </w:p>
        </w:tc>
        <w:tc>
          <w:tcPr>
            <w:tcW w:type="dxa" w:w="6573"/>
          </w:tcPr>
          <w:p>
            <w:pPr>
              <w:spacing w:before="20" w:after="20"/>
            </w:pPr>
            <w:r>
              <w:rPr>
                <w:rFonts w:ascii="Arial" w:hAnsi="Arial" w:cs="Arial" w:eastAsia="Arial"/>
                <w:b w:val="0"/>
                <w:i w:val="0"/>
                <w:sz w:val="18"/>
              </w:rPr>
              <w:t>ProductMaster_yyyyMMddHHmmss.csv (Manila time of the run)</w:t>
            </w:r>
          </w:p>
        </w:tc>
      </w:tr>
      <w:tr>
        <w:trPr>
          <w:cantSplit/>
        </w:trPr>
        <w:tc>
          <w:tcPr>
            <w:tcW w:type="dxa" w:w="2066"/>
          </w:tcPr>
          <w:p>
            <w:pPr>
              <w:spacing w:before="20" w:after="20"/>
            </w:pPr>
            <w:r>
              <w:rPr>
                <w:rFonts w:ascii="Arial" w:hAnsi="Arial" w:cs="Arial" w:eastAsia="Arial"/>
                <w:b w:val="0"/>
                <w:i w:val="0"/>
                <w:sz w:val="18"/>
              </w:rPr>
              <w:t>Format</w:t>
            </w:r>
          </w:p>
        </w:tc>
        <w:tc>
          <w:tcPr>
            <w:tcW w:type="dxa" w:w="6573"/>
          </w:tcPr>
          <w:p>
            <w:pPr>
              <w:spacing w:before="20" w:after="20"/>
            </w:pPr>
            <w:r>
              <w:rPr>
                <w:rFonts w:ascii="Arial" w:hAnsi="Arial" w:cs="Arial" w:eastAsia="Arial"/>
                <w:b w:val="0"/>
                <w:i w:val="0"/>
                <w:sz w:val="18"/>
              </w:rPr>
              <w:t>Text, UTF-8, comma separated, one record per line</w:t>
            </w:r>
          </w:p>
        </w:tc>
      </w:tr>
      <w:tr>
        <w:trPr>
          <w:cantSplit/>
        </w:trPr>
        <w:tc>
          <w:tcPr>
            <w:tcW w:type="dxa" w:w="2066"/>
          </w:tcPr>
          <w:p>
            <w:pPr>
              <w:spacing w:before="20" w:after="20"/>
            </w:pPr>
            <w:r>
              <w:rPr>
                <w:rFonts w:ascii="Arial" w:hAnsi="Arial" w:cs="Arial" w:eastAsia="Arial"/>
                <w:b w:val="0"/>
                <w:i w:val="0"/>
                <w:sz w:val="18"/>
              </w:rPr>
              <w:t>Records</w:t>
            </w:r>
          </w:p>
        </w:tc>
        <w:tc>
          <w:tcPr>
            <w:tcW w:type="dxa" w:w="6573"/>
          </w:tcPr>
          <w:p>
            <w:pPr>
              <w:spacing w:before="20" w:after="20"/>
            </w:pPr>
            <w:r>
              <w:rPr>
                <w:rFonts w:ascii="Arial" w:hAnsi="Arial" w:cs="Arial" w:eastAsia="Arial"/>
                <w:b w:val="0"/>
                <w:i w:val="0"/>
                <w:sz w:val="18"/>
              </w:rPr>
              <w:t>One header (H), one detail (D) per change, one trailer (T)</w:t>
            </w:r>
          </w:p>
        </w:tc>
      </w:tr>
      <w:tr>
        <w:trPr>
          <w:cantSplit/>
        </w:trPr>
        <w:tc>
          <w:tcPr>
            <w:tcW w:type="dxa" w:w="2066"/>
          </w:tcPr>
          <w:p>
            <w:pPr>
              <w:spacing w:before="20" w:after="20"/>
            </w:pPr>
            <w:r>
              <w:rPr>
                <w:rFonts w:ascii="Arial" w:hAnsi="Arial" w:cs="Arial" w:eastAsia="Arial"/>
                <w:b w:val="0"/>
                <w:i w:val="0"/>
                <w:sz w:val="18"/>
              </w:rPr>
              <w:t>Delivery</w:t>
            </w:r>
          </w:p>
        </w:tc>
        <w:tc>
          <w:tcPr>
            <w:tcW w:type="dxa" w:w="6573"/>
          </w:tcPr>
          <w:p>
            <w:pPr>
              <w:spacing w:before="20" w:after="20"/>
            </w:pPr>
            <w:r>
              <w:rPr>
                <w:rFonts w:ascii="Arial" w:hAnsi="Arial" w:cs="Arial" w:eastAsia="Arial"/>
                <w:b w:val="0"/>
                <w:i w:val="0"/>
                <w:sz w:val="18"/>
              </w:rPr>
              <w:t>Written to the folder of the receiving systems under the name .part, then renamed, so that a reader never sees half a file</w:t>
            </w:r>
          </w:p>
        </w:tc>
      </w:tr>
      <w:tr>
        <w:trPr>
          <w:cantSplit/>
        </w:trPr>
        <w:tc>
          <w:tcPr>
            <w:tcW w:type="dxa" w:w="2066"/>
          </w:tcPr>
          <w:p>
            <w:pPr>
              <w:spacing w:before="20" w:after="20"/>
            </w:pPr>
            <w:r>
              <w:rPr>
                <w:rFonts w:ascii="Arial" w:hAnsi="Arial" w:cs="Arial" w:eastAsia="Arial"/>
                <w:b w:val="0"/>
                <w:i w:val="0"/>
                <w:sz w:val="18"/>
              </w:rPr>
              <w:t>Folder</w:t>
            </w:r>
          </w:p>
        </w:tc>
        <w:tc>
          <w:tcPr>
            <w:tcW w:type="dxa" w:w="6573"/>
          </w:tcPr>
          <w:p>
            <w:pPr>
              <w:spacing w:before="20" w:after="20"/>
            </w:pPr>
            <w:r>
              <w:rPr>
                <w:rFonts w:ascii="Arial" w:hAnsi="Arial" w:cs="Arial" w:eastAsia="Arial"/>
                <w:b w:val="0"/>
                <w:i w:val="0"/>
                <w:sz w:val="18"/>
              </w:rPr>
              <w:t>Set at deployment with the details given by BDOI IT (D-PM-01)</w:t>
            </w:r>
          </w:p>
        </w:tc>
      </w:tr>
    </w:tbl>
    <w:p>
      <w:pPr>
        <w:spacing w:after="40"/>
      </w:pPr>
    </w:p>
    <w:p>
      <w:pPr>
        <w:keepNext/>
        <w:spacing w:before="120" w:after="60"/>
        <w:ind w:left="363"/>
      </w:pPr>
      <w:r>
        <w:rPr>
          <w:rFonts w:ascii="Arial" w:hAnsi="Arial" w:cs="Arial" w:eastAsia="Arial"/>
          <w:b/>
          <w:i w:val="0"/>
          <w:sz w:val="18"/>
        </w:rPr>
        <w:t>Table 3: Records of the file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70"/>
        <w:gridCol w:w="643"/>
        <w:gridCol w:w="2389"/>
        <w:gridCol w:w="2389"/>
        <w:gridCol w:w="1746"/>
      </w:tblGrid>
      <w:tr>
        <w:trPr>
          <w:tblHeader/>
          <w:cantSplit/>
        </w:trPr>
        <w:tc>
          <w:tcPr>
            <w:tcW w:type="dxa" w:w="1470"/>
            <w:shd w:val="clear" w:color="auto" w:fill="D9E2F3"/>
          </w:tcPr>
          <w:p>
            <w:pPr>
              <w:spacing w:before="20" w:after="20"/>
            </w:pPr>
            <w:r>
              <w:rPr>
                <w:rFonts w:ascii="Arial" w:hAnsi="Arial" w:cs="Arial" w:eastAsia="Arial"/>
                <w:b/>
                <w:i w:val="0"/>
                <w:sz w:val="18"/>
              </w:rPr>
              <w:t>Record</w:t>
            </w:r>
          </w:p>
        </w:tc>
        <w:tc>
          <w:tcPr>
            <w:tcW w:type="dxa" w:w="643"/>
            <w:shd w:val="clear" w:color="auto" w:fill="D9E2F3"/>
          </w:tcPr>
          <w:p>
            <w:pPr>
              <w:spacing w:before="20" w:after="20"/>
            </w:pPr>
            <w:r>
              <w:rPr>
                <w:rFonts w:ascii="Arial" w:hAnsi="Arial" w:cs="Arial" w:eastAsia="Arial"/>
                <w:b/>
                <w:i w:val="0"/>
                <w:sz w:val="18"/>
              </w:rPr>
              <w:t>No.</w:t>
            </w:r>
          </w:p>
        </w:tc>
        <w:tc>
          <w:tcPr>
            <w:tcW w:type="dxa" w:w="2389"/>
            <w:shd w:val="clear" w:color="auto" w:fill="D9E2F3"/>
          </w:tcPr>
          <w:p>
            <w:pPr>
              <w:spacing w:before="20" w:after="20"/>
            </w:pPr>
            <w:r>
              <w:rPr>
                <w:rFonts w:ascii="Arial" w:hAnsi="Arial" w:cs="Arial" w:eastAsia="Arial"/>
                <w:b/>
                <w:i w:val="0"/>
                <w:sz w:val="18"/>
              </w:rPr>
              <w:t>Field</w:t>
            </w:r>
          </w:p>
        </w:tc>
        <w:tc>
          <w:tcPr>
            <w:tcW w:type="dxa" w:w="2389"/>
            <w:shd w:val="clear" w:color="auto" w:fill="D9E2F3"/>
          </w:tcPr>
          <w:p>
            <w:pPr>
              <w:spacing w:before="20" w:after="20"/>
            </w:pPr>
            <w:r>
              <w:rPr>
                <w:rFonts w:ascii="Arial" w:hAnsi="Arial" w:cs="Arial" w:eastAsia="Arial"/>
                <w:b/>
                <w:i w:val="0"/>
                <w:sz w:val="18"/>
              </w:rPr>
              <w:t>Format</w:t>
            </w:r>
          </w:p>
        </w:tc>
        <w:tc>
          <w:tcPr>
            <w:tcW w:type="dxa" w:w="1746"/>
            <w:shd w:val="clear" w:color="auto" w:fill="D9E2F3"/>
          </w:tcPr>
          <w:p>
            <w:pPr>
              <w:spacing w:before="20" w:after="20"/>
            </w:pPr>
            <w:r>
              <w:rPr>
                <w:rFonts w:ascii="Arial" w:hAnsi="Arial" w:cs="Arial" w:eastAsia="Arial"/>
                <w:b/>
                <w:i w:val="0"/>
                <w:sz w:val="18"/>
              </w:rPr>
              <w:t>Example</w:t>
            </w:r>
          </w:p>
        </w:tc>
      </w:tr>
      <w:tr>
        <w:trPr>
          <w:cantSplit/>
        </w:trPr>
        <w:tc>
          <w:tcPr>
            <w:tcW w:type="dxa" w:w="1470"/>
          </w:tcPr>
          <w:p>
            <w:pPr>
              <w:spacing w:before="20" w:after="20"/>
            </w:pPr>
            <w:r>
              <w:rPr>
                <w:rFonts w:ascii="Arial" w:hAnsi="Arial" w:cs="Arial" w:eastAsia="Arial"/>
                <w:b w:val="0"/>
                <w:i w:val="0"/>
                <w:sz w:val="18"/>
              </w:rPr>
              <w:t>H (header)</w:t>
            </w:r>
          </w:p>
        </w:tc>
        <w:tc>
          <w:tcPr>
            <w:tcW w:type="dxa" w:w="643"/>
          </w:tcPr>
          <w:p>
            <w:pPr>
              <w:spacing w:before="20" w:after="20"/>
            </w:pPr>
            <w:r>
              <w:rPr>
                <w:rFonts w:ascii="Arial" w:hAnsi="Arial" w:cs="Arial" w:eastAsia="Arial"/>
                <w:b w:val="0"/>
                <w:i w:val="0"/>
                <w:sz w:val="18"/>
              </w:rPr>
              <w:t>1</w:t>
            </w:r>
          </w:p>
        </w:tc>
        <w:tc>
          <w:tcPr>
            <w:tcW w:type="dxa" w:w="2389"/>
          </w:tcPr>
          <w:p>
            <w:pPr>
              <w:spacing w:before="20" w:after="20"/>
            </w:pPr>
            <w:r>
              <w:rPr>
                <w:rFonts w:ascii="Arial" w:hAnsi="Arial" w:cs="Arial" w:eastAsia="Arial"/>
                <w:b w:val="0"/>
                <w:i w:val="0"/>
                <w:sz w:val="18"/>
              </w:rPr>
              <w:t>Record type</w:t>
            </w:r>
          </w:p>
        </w:tc>
        <w:tc>
          <w:tcPr>
            <w:tcW w:type="dxa" w:w="2389"/>
          </w:tcPr>
          <w:p>
            <w:pPr>
              <w:spacing w:before="20" w:after="20"/>
            </w:pPr>
            <w:r>
              <w:rPr>
                <w:rFonts w:ascii="Arial" w:hAnsi="Arial" w:cs="Arial" w:eastAsia="Arial"/>
                <w:b w:val="0"/>
                <w:i w:val="0"/>
                <w:sz w:val="18"/>
              </w:rPr>
              <w:t>H</w:t>
            </w:r>
          </w:p>
        </w:tc>
        <w:tc>
          <w:tcPr>
            <w:tcW w:type="dxa" w:w="1746"/>
          </w:tcPr>
          <w:p>
            <w:pPr>
              <w:spacing w:before="20" w:after="20"/>
            </w:pPr>
            <w:r>
              <w:rPr>
                <w:rFonts w:ascii="Arial" w:hAnsi="Arial" w:cs="Arial" w:eastAsia="Arial"/>
                <w:b w:val="0"/>
                <w:i w:val="0"/>
                <w:sz w:val="18"/>
              </w:rPr>
              <w:t>H</w:t>
            </w:r>
          </w:p>
        </w:tc>
      </w:tr>
      <w:tr>
        <w:trPr>
          <w:cantSplit/>
        </w:trPr>
        <w:tc>
          <w:tcPr>
            <w:tcW w:type="dxa" w:w="1470"/>
          </w:tcPr>
          <w:p>
            <w:pPr>
              <w:spacing w:before="20" w:after="20"/>
            </w:pPr>
            <w:r>
              <w:rPr>
                <w:rFonts w:ascii="Arial" w:hAnsi="Arial" w:cs="Arial" w:eastAsia="Arial"/>
                <w:b w:val="0"/>
                <w:i w:val="0"/>
                <w:sz w:val="18"/>
              </w:rPr>
              <w:t>H</w:t>
            </w:r>
          </w:p>
        </w:tc>
        <w:tc>
          <w:tcPr>
            <w:tcW w:type="dxa" w:w="643"/>
          </w:tcPr>
          <w:p>
            <w:pPr>
              <w:spacing w:before="20" w:after="20"/>
            </w:pPr>
            <w:r>
              <w:rPr>
                <w:rFonts w:ascii="Arial" w:hAnsi="Arial" w:cs="Arial" w:eastAsia="Arial"/>
                <w:b w:val="0"/>
                <w:i w:val="0"/>
                <w:sz w:val="18"/>
              </w:rPr>
              <w:t>2</w:t>
            </w:r>
          </w:p>
        </w:tc>
        <w:tc>
          <w:tcPr>
            <w:tcW w:type="dxa" w:w="2389"/>
          </w:tcPr>
          <w:p>
            <w:pPr>
              <w:spacing w:before="20" w:after="20"/>
            </w:pPr>
            <w:r>
              <w:rPr>
                <w:rFonts w:ascii="Arial" w:hAnsi="Arial" w:cs="Arial" w:eastAsia="Arial"/>
                <w:b w:val="0"/>
                <w:i w:val="0"/>
                <w:sz w:val="18"/>
              </w:rPr>
              <w:t>File name</w:t>
            </w:r>
          </w:p>
        </w:tc>
        <w:tc>
          <w:tcPr>
            <w:tcW w:type="dxa" w:w="2389"/>
          </w:tcPr>
          <w:p>
            <w:pPr>
              <w:spacing w:before="20" w:after="20"/>
            </w:pPr>
            <w:r>
              <w:rPr>
                <w:rFonts w:ascii="Arial" w:hAnsi="Arial" w:cs="Arial" w:eastAsia="Arial"/>
                <w:b w:val="0"/>
                <w:i w:val="0"/>
                <w:sz w:val="18"/>
              </w:rPr>
              <w:t>ProductMaster_yyyyMMddHHmmss.csv</w:t>
            </w:r>
          </w:p>
        </w:tc>
        <w:tc>
          <w:tcPr>
            <w:tcW w:type="dxa" w:w="1746"/>
          </w:tcPr>
          <w:p>
            <w:pPr>
              <w:spacing w:before="20" w:after="20"/>
            </w:pPr>
            <w:r>
              <w:rPr>
                <w:rFonts w:ascii="Arial" w:hAnsi="Arial" w:cs="Arial" w:eastAsia="Arial"/>
                <w:b w:val="0"/>
                <w:i w:val="0"/>
                <w:sz w:val="18"/>
              </w:rPr>
              <w:t>ProductMaster_20261016093000.csv</w:t>
            </w:r>
          </w:p>
        </w:tc>
      </w:tr>
      <w:tr>
        <w:trPr>
          <w:cantSplit/>
        </w:trPr>
        <w:tc>
          <w:tcPr>
            <w:tcW w:type="dxa" w:w="1470"/>
          </w:tcPr>
          <w:p>
            <w:pPr>
              <w:spacing w:before="20" w:after="20"/>
            </w:pPr>
            <w:r>
              <w:rPr>
                <w:rFonts w:ascii="Arial" w:hAnsi="Arial" w:cs="Arial" w:eastAsia="Arial"/>
                <w:b w:val="0"/>
                <w:i w:val="0"/>
                <w:sz w:val="18"/>
              </w:rPr>
              <w:t>H</w:t>
            </w:r>
          </w:p>
        </w:tc>
        <w:tc>
          <w:tcPr>
            <w:tcW w:type="dxa" w:w="643"/>
          </w:tcPr>
          <w:p>
            <w:pPr>
              <w:spacing w:before="20" w:after="20"/>
            </w:pPr>
            <w:r>
              <w:rPr>
                <w:rFonts w:ascii="Arial" w:hAnsi="Arial" w:cs="Arial" w:eastAsia="Arial"/>
                <w:b w:val="0"/>
                <w:i w:val="0"/>
                <w:sz w:val="18"/>
              </w:rPr>
              <w:t>3</w:t>
            </w:r>
          </w:p>
        </w:tc>
        <w:tc>
          <w:tcPr>
            <w:tcW w:type="dxa" w:w="2389"/>
          </w:tcPr>
          <w:p>
            <w:pPr>
              <w:spacing w:before="20" w:after="20"/>
            </w:pPr>
            <w:r>
              <w:rPr>
                <w:rFonts w:ascii="Arial" w:hAnsi="Arial" w:cs="Arial" w:eastAsia="Arial"/>
                <w:b w:val="0"/>
                <w:i w:val="0"/>
                <w:sz w:val="18"/>
              </w:rPr>
              <w:t>Business date</w:t>
            </w:r>
          </w:p>
        </w:tc>
        <w:tc>
          <w:tcPr>
            <w:tcW w:type="dxa" w:w="2389"/>
          </w:tcPr>
          <w:p>
            <w:pPr>
              <w:spacing w:before="20" w:after="20"/>
            </w:pPr>
            <w:r>
              <w:rPr>
                <w:rFonts w:ascii="Arial" w:hAnsi="Arial" w:cs="Arial" w:eastAsia="Arial"/>
                <w:b w:val="0"/>
                <w:i w:val="0"/>
                <w:sz w:val="18"/>
              </w:rPr>
              <w:t>yyyy-MM-dd (Manila)</w:t>
            </w:r>
          </w:p>
        </w:tc>
        <w:tc>
          <w:tcPr>
            <w:tcW w:type="dxa" w:w="1746"/>
          </w:tcPr>
          <w:p>
            <w:pPr>
              <w:spacing w:before="20" w:after="20"/>
            </w:pPr>
            <w:r>
              <w:rPr>
                <w:rFonts w:ascii="Arial" w:hAnsi="Arial" w:cs="Arial" w:eastAsia="Arial"/>
                <w:b w:val="0"/>
                <w:i w:val="0"/>
                <w:sz w:val="18"/>
              </w:rPr>
              <w:t>2026-10-16</w:t>
            </w:r>
          </w:p>
        </w:tc>
      </w:tr>
      <w:tr>
        <w:trPr>
          <w:cantSplit/>
        </w:trPr>
        <w:tc>
          <w:tcPr>
            <w:tcW w:type="dxa" w:w="1470"/>
          </w:tcPr>
          <w:p>
            <w:pPr>
              <w:spacing w:before="20" w:after="20"/>
            </w:pPr>
            <w:r>
              <w:rPr>
                <w:rFonts w:ascii="Arial" w:hAnsi="Arial" w:cs="Arial" w:eastAsia="Arial"/>
                <w:b w:val="0"/>
                <w:i w:val="0"/>
                <w:sz w:val="18"/>
              </w:rPr>
              <w:t>H</w:t>
            </w:r>
          </w:p>
        </w:tc>
        <w:tc>
          <w:tcPr>
            <w:tcW w:type="dxa" w:w="643"/>
          </w:tcPr>
          <w:p>
            <w:pPr>
              <w:spacing w:before="20" w:after="20"/>
            </w:pPr>
            <w:r>
              <w:rPr>
                <w:rFonts w:ascii="Arial" w:hAnsi="Arial" w:cs="Arial" w:eastAsia="Arial"/>
                <w:b w:val="0"/>
                <w:i w:val="0"/>
                <w:sz w:val="18"/>
              </w:rPr>
              <w:t>4</w:t>
            </w:r>
          </w:p>
        </w:tc>
        <w:tc>
          <w:tcPr>
            <w:tcW w:type="dxa" w:w="2389"/>
          </w:tcPr>
          <w:p>
            <w:pPr>
              <w:spacing w:before="20" w:after="20"/>
            </w:pPr>
            <w:r>
              <w:rPr>
                <w:rFonts w:ascii="Arial" w:hAnsi="Arial" w:cs="Arial" w:eastAsia="Arial"/>
                <w:b w:val="0"/>
                <w:i w:val="0"/>
                <w:sz w:val="18"/>
              </w:rPr>
              <w:t>Source system</w:t>
            </w:r>
          </w:p>
        </w:tc>
        <w:tc>
          <w:tcPr>
            <w:tcW w:type="dxa" w:w="2389"/>
          </w:tcPr>
          <w:p>
            <w:pPr>
              <w:spacing w:before="20" w:after="20"/>
            </w:pPr>
            <w:r>
              <w:rPr>
                <w:rFonts w:ascii="Arial" w:hAnsi="Arial" w:cs="Arial" w:eastAsia="Arial"/>
                <w:b w:val="0"/>
                <w:i w:val="0"/>
                <w:sz w:val="18"/>
              </w:rPr>
              <w:t>BIBS</w:t>
            </w:r>
          </w:p>
        </w:tc>
        <w:tc>
          <w:tcPr>
            <w:tcW w:type="dxa" w:w="1746"/>
          </w:tcPr>
          <w:p>
            <w:pPr>
              <w:spacing w:before="20" w:after="20"/>
            </w:pPr>
            <w:r>
              <w:rPr>
                <w:rFonts w:ascii="Arial" w:hAnsi="Arial" w:cs="Arial" w:eastAsia="Arial"/>
                <w:b w:val="0"/>
                <w:i w:val="0"/>
                <w:sz w:val="18"/>
              </w:rPr>
              <w:t>BIBS</w:t>
            </w:r>
          </w:p>
        </w:tc>
      </w:tr>
      <w:tr>
        <w:trPr>
          <w:cantSplit/>
        </w:trPr>
        <w:tc>
          <w:tcPr>
            <w:tcW w:type="dxa" w:w="1470"/>
          </w:tcPr>
          <w:p>
            <w:pPr>
              <w:spacing w:before="20" w:after="20"/>
            </w:pPr>
            <w:r>
              <w:rPr>
                <w:rFonts w:ascii="Arial" w:hAnsi="Arial" w:cs="Arial" w:eastAsia="Arial"/>
                <w:b w:val="0"/>
                <w:i w:val="0"/>
                <w:sz w:val="18"/>
              </w:rPr>
              <w:t>D (detail)</w:t>
            </w:r>
          </w:p>
        </w:tc>
        <w:tc>
          <w:tcPr>
            <w:tcW w:type="dxa" w:w="643"/>
          </w:tcPr>
          <w:p>
            <w:pPr>
              <w:spacing w:before="20" w:after="20"/>
            </w:pPr>
            <w:r>
              <w:rPr>
                <w:rFonts w:ascii="Arial" w:hAnsi="Arial" w:cs="Arial" w:eastAsia="Arial"/>
                <w:b w:val="0"/>
                <w:i w:val="0"/>
                <w:sz w:val="18"/>
              </w:rPr>
              <w:t>1</w:t>
            </w:r>
          </w:p>
        </w:tc>
        <w:tc>
          <w:tcPr>
            <w:tcW w:type="dxa" w:w="2389"/>
          </w:tcPr>
          <w:p>
            <w:pPr>
              <w:spacing w:before="20" w:after="20"/>
            </w:pPr>
            <w:r>
              <w:rPr>
                <w:rFonts w:ascii="Arial" w:hAnsi="Arial" w:cs="Arial" w:eastAsia="Arial"/>
                <w:b w:val="0"/>
                <w:i w:val="0"/>
                <w:sz w:val="18"/>
              </w:rPr>
              <w:t>Record type</w:t>
            </w:r>
          </w:p>
        </w:tc>
        <w:tc>
          <w:tcPr>
            <w:tcW w:type="dxa" w:w="2389"/>
          </w:tcPr>
          <w:p>
            <w:pPr>
              <w:spacing w:before="20" w:after="20"/>
            </w:pPr>
            <w:r>
              <w:rPr>
                <w:rFonts w:ascii="Arial" w:hAnsi="Arial" w:cs="Arial" w:eastAsia="Arial"/>
                <w:b w:val="0"/>
                <w:i w:val="0"/>
                <w:sz w:val="18"/>
              </w:rPr>
              <w:t>D</w:t>
            </w:r>
          </w:p>
        </w:tc>
        <w:tc>
          <w:tcPr>
            <w:tcW w:type="dxa" w:w="1746"/>
          </w:tcPr>
          <w:p>
            <w:pPr>
              <w:spacing w:before="20" w:after="20"/>
            </w:pPr>
            <w:r>
              <w:rPr>
                <w:rFonts w:ascii="Arial" w:hAnsi="Arial" w:cs="Arial" w:eastAsia="Arial"/>
                <w:b w:val="0"/>
                <w:i w:val="0"/>
                <w:sz w:val="18"/>
              </w:rPr>
              <w:t>D</w:t>
            </w:r>
          </w:p>
        </w:tc>
      </w:tr>
      <w:tr>
        <w:trPr>
          <w:cantSplit/>
        </w:trPr>
        <w:tc>
          <w:tcPr>
            <w:tcW w:type="dxa" w:w="1470"/>
          </w:tcPr>
          <w:p>
            <w:pPr>
              <w:spacing w:before="20" w:after="20"/>
            </w:pPr>
            <w:r>
              <w:rPr>
                <w:rFonts w:ascii="Arial" w:hAnsi="Arial" w:cs="Arial" w:eastAsia="Arial"/>
                <w:b w:val="0"/>
                <w:i w:val="0"/>
                <w:sz w:val="18"/>
              </w:rPr>
              <w:t>D</w:t>
            </w:r>
          </w:p>
        </w:tc>
        <w:tc>
          <w:tcPr>
            <w:tcW w:type="dxa" w:w="643"/>
          </w:tcPr>
          <w:p>
            <w:pPr>
              <w:spacing w:before="20" w:after="20"/>
            </w:pPr>
            <w:r>
              <w:rPr>
                <w:rFonts w:ascii="Arial" w:hAnsi="Arial" w:cs="Arial" w:eastAsia="Arial"/>
                <w:b w:val="0"/>
                <w:i w:val="0"/>
                <w:sz w:val="18"/>
              </w:rPr>
              <w:t>2</w:t>
            </w:r>
          </w:p>
        </w:tc>
        <w:tc>
          <w:tcPr>
            <w:tcW w:type="dxa" w:w="2389"/>
          </w:tcPr>
          <w:p>
            <w:pPr>
              <w:spacing w:before="20" w:after="20"/>
            </w:pPr>
            <w:r>
              <w:rPr>
                <w:rFonts w:ascii="Arial" w:hAnsi="Arial" w:cs="Arial" w:eastAsia="Arial"/>
                <w:b w:val="0"/>
                <w:i w:val="0"/>
                <w:sz w:val="18"/>
              </w:rPr>
              <w:t>Product code (risk code)</w:t>
            </w:r>
          </w:p>
        </w:tc>
        <w:tc>
          <w:tcPr>
            <w:tcW w:type="dxa" w:w="2389"/>
          </w:tcPr>
          <w:p>
            <w:pPr>
              <w:spacing w:before="20" w:after="20"/>
            </w:pPr>
            <w:r>
              <w:rPr>
                <w:rFonts w:ascii="Arial" w:hAnsi="Arial" w:cs="Arial" w:eastAsia="Arial"/>
                <w:b w:val="0"/>
                <w:i w:val="0"/>
                <w:sz w:val="18"/>
              </w:rPr>
              <w:t>Text, up to 30</w:t>
            </w:r>
          </w:p>
        </w:tc>
        <w:tc>
          <w:tcPr>
            <w:tcW w:type="dxa" w:w="1746"/>
          </w:tcPr>
          <w:p>
            <w:pPr>
              <w:spacing w:before="20" w:after="20"/>
            </w:pPr>
            <w:r>
              <w:rPr>
                <w:rFonts w:ascii="Arial" w:hAnsi="Arial" w:cs="Arial" w:eastAsia="Arial"/>
                <w:b w:val="0"/>
                <w:i w:val="0"/>
                <w:sz w:val="18"/>
              </w:rPr>
              <w:t>MTR30</w:t>
            </w:r>
          </w:p>
        </w:tc>
      </w:tr>
      <w:tr>
        <w:trPr>
          <w:cantSplit/>
        </w:trPr>
        <w:tc>
          <w:tcPr>
            <w:tcW w:type="dxa" w:w="1470"/>
          </w:tcPr>
          <w:p>
            <w:pPr>
              <w:spacing w:before="20" w:after="20"/>
            </w:pPr>
            <w:r>
              <w:rPr>
                <w:rFonts w:ascii="Arial" w:hAnsi="Arial" w:cs="Arial" w:eastAsia="Arial"/>
                <w:b w:val="0"/>
                <w:i w:val="0"/>
                <w:sz w:val="18"/>
              </w:rPr>
              <w:t>D</w:t>
            </w:r>
          </w:p>
        </w:tc>
        <w:tc>
          <w:tcPr>
            <w:tcW w:type="dxa" w:w="643"/>
          </w:tcPr>
          <w:p>
            <w:pPr>
              <w:spacing w:before="20" w:after="20"/>
            </w:pPr>
            <w:r>
              <w:rPr>
                <w:rFonts w:ascii="Arial" w:hAnsi="Arial" w:cs="Arial" w:eastAsia="Arial"/>
                <w:b w:val="0"/>
                <w:i w:val="0"/>
                <w:sz w:val="18"/>
              </w:rPr>
              <w:t>3</w:t>
            </w:r>
          </w:p>
        </w:tc>
        <w:tc>
          <w:tcPr>
            <w:tcW w:type="dxa" w:w="2389"/>
          </w:tcPr>
          <w:p>
            <w:pPr>
              <w:spacing w:before="20" w:after="20"/>
            </w:pPr>
            <w:r>
              <w:rPr>
                <w:rFonts w:ascii="Arial" w:hAnsi="Arial" w:cs="Arial" w:eastAsia="Arial"/>
                <w:b w:val="0"/>
                <w:i w:val="0"/>
                <w:sz w:val="18"/>
              </w:rPr>
              <w:t>Product name</w:t>
            </w:r>
          </w:p>
        </w:tc>
        <w:tc>
          <w:tcPr>
            <w:tcW w:type="dxa" w:w="2389"/>
          </w:tcPr>
          <w:p>
            <w:pPr>
              <w:spacing w:before="20" w:after="20"/>
            </w:pPr>
            <w:r>
              <w:rPr>
                <w:rFonts w:ascii="Arial" w:hAnsi="Arial" w:cs="Arial" w:eastAsia="Arial"/>
                <w:b w:val="0"/>
                <w:i w:val="0"/>
                <w:sz w:val="18"/>
              </w:rPr>
              <w:t>Text; quoted when it holds a comma or quote</w:t>
            </w:r>
          </w:p>
        </w:tc>
        <w:tc>
          <w:tcPr>
            <w:tcW w:type="dxa" w:w="1746"/>
          </w:tcPr>
          <w:p>
            <w:pPr>
              <w:spacing w:before="20" w:after="20"/>
            </w:pPr>
            <w:r>
              <w:rPr>
                <w:rFonts w:ascii="Arial" w:hAnsi="Arial" w:cs="Arial" w:eastAsia="Arial"/>
                <w:b w:val="0"/>
                <w:i w:val="0"/>
                <w:sz w:val="18"/>
              </w:rPr>
              <w:t>Motor Fleet Plus</w:t>
            </w:r>
          </w:p>
        </w:tc>
      </w:tr>
      <w:tr>
        <w:trPr>
          <w:cantSplit/>
        </w:trPr>
        <w:tc>
          <w:tcPr>
            <w:tcW w:type="dxa" w:w="1470"/>
          </w:tcPr>
          <w:p>
            <w:pPr>
              <w:spacing w:before="20" w:after="20"/>
            </w:pPr>
            <w:r>
              <w:rPr>
                <w:rFonts w:ascii="Arial" w:hAnsi="Arial" w:cs="Arial" w:eastAsia="Arial"/>
                <w:b w:val="0"/>
                <w:i w:val="0"/>
                <w:sz w:val="18"/>
              </w:rPr>
              <w:t>D</w:t>
            </w:r>
          </w:p>
        </w:tc>
        <w:tc>
          <w:tcPr>
            <w:tcW w:type="dxa" w:w="643"/>
          </w:tcPr>
          <w:p>
            <w:pPr>
              <w:spacing w:before="20" w:after="20"/>
            </w:pPr>
            <w:r>
              <w:rPr>
                <w:rFonts w:ascii="Arial" w:hAnsi="Arial" w:cs="Arial" w:eastAsia="Arial"/>
                <w:b w:val="0"/>
                <w:i w:val="0"/>
                <w:sz w:val="18"/>
              </w:rPr>
              <w:t>4</w:t>
            </w:r>
          </w:p>
        </w:tc>
        <w:tc>
          <w:tcPr>
            <w:tcW w:type="dxa" w:w="2389"/>
          </w:tcPr>
          <w:p>
            <w:pPr>
              <w:spacing w:before="20" w:after="20"/>
            </w:pPr>
            <w:r>
              <w:rPr>
                <w:rFonts w:ascii="Arial" w:hAnsi="Arial" w:cs="Arial" w:eastAsia="Arial"/>
                <w:b w:val="0"/>
                <w:i w:val="0"/>
                <w:sz w:val="18"/>
              </w:rPr>
              <w:t>Line of insurance</w:t>
            </w:r>
          </w:p>
        </w:tc>
        <w:tc>
          <w:tcPr>
            <w:tcW w:type="dxa" w:w="2389"/>
          </w:tcPr>
          <w:p>
            <w:pPr>
              <w:spacing w:before="20" w:after="20"/>
            </w:pPr>
            <w:r>
              <w:rPr>
                <w:rFonts w:ascii="Arial" w:hAnsi="Arial" w:cs="Arial" w:eastAsia="Arial"/>
                <w:b w:val="0"/>
                <w:i w:val="0"/>
                <w:sz w:val="18"/>
              </w:rPr>
              <w:t>Code</w:t>
            </w:r>
          </w:p>
        </w:tc>
        <w:tc>
          <w:tcPr>
            <w:tcW w:type="dxa" w:w="1746"/>
          </w:tcPr>
          <w:p>
            <w:pPr>
              <w:spacing w:before="20" w:after="20"/>
            </w:pPr>
            <w:r>
              <w:rPr>
                <w:rFonts w:ascii="Arial" w:hAnsi="Arial" w:cs="Arial" w:eastAsia="Arial"/>
                <w:b w:val="0"/>
                <w:i w:val="0"/>
                <w:sz w:val="18"/>
              </w:rPr>
              <w:t>MOTOR</w:t>
            </w:r>
          </w:p>
        </w:tc>
      </w:tr>
      <w:tr>
        <w:trPr>
          <w:cantSplit/>
        </w:trPr>
        <w:tc>
          <w:tcPr>
            <w:tcW w:type="dxa" w:w="1470"/>
          </w:tcPr>
          <w:p>
            <w:pPr>
              <w:spacing w:before="20" w:after="20"/>
            </w:pPr>
            <w:r>
              <w:rPr>
                <w:rFonts w:ascii="Arial" w:hAnsi="Arial" w:cs="Arial" w:eastAsia="Arial"/>
                <w:b w:val="0"/>
                <w:i w:val="0"/>
                <w:sz w:val="18"/>
              </w:rPr>
              <w:t>D</w:t>
            </w:r>
          </w:p>
        </w:tc>
        <w:tc>
          <w:tcPr>
            <w:tcW w:type="dxa" w:w="643"/>
          </w:tcPr>
          <w:p>
            <w:pPr>
              <w:spacing w:before="20" w:after="20"/>
            </w:pPr>
            <w:r>
              <w:rPr>
                <w:rFonts w:ascii="Arial" w:hAnsi="Arial" w:cs="Arial" w:eastAsia="Arial"/>
                <w:b w:val="0"/>
                <w:i w:val="0"/>
                <w:sz w:val="18"/>
              </w:rPr>
              <w:t>5</w:t>
            </w:r>
          </w:p>
        </w:tc>
        <w:tc>
          <w:tcPr>
            <w:tcW w:type="dxa" w:w="2389"/>
          </w:tcPr>
          <w:p>
            <w:pPr>
              <w:spacing w:before="20" w:after="20"/>
            </w:pPr>
            <w:r>
              <w:rPr>
                <w:rFonts w:ascii="Arial" w:hAnsi="Arial" w:cs="Arial" w:eastAsia="Arial"/>
                <w:b w:val="0"/>
                <w:i w:val="0"/>
                <w:sz w:val="18"/>
              </w:rPr>
              <w:t>Version</w:t>
            </w:r>
          </w:p>
        </w:tc>
        <w:tc>
          <w:tcPr>
            <w:tcW w:type="dxa" w:w="2389"/>
          </w:tcPr>
          <w:p>
            <w:pPr>
              <w:spacing w:before="20" w:after="20"/>
            </w:pPr>
            <w:r>
              <w:rPr>
                <w:rFonts w:ascii="Arial" w:hAnsi="Arial" w:cs="Arial" w:eastAsia="Arial"/>
                <w:b w:val="0"/>
                <w:i w:val="0"/>
                <w:sz w:val="18"/>
              </w:rPr>
              <w:t>Whole number; empty for a retirement</w:t>
            </w:r>
          </w:p>
        </w:tc>
        <w:tc>
          <w:tcPr>
            <w:tcW w:type="dxa" w:w="1746"/>
          </w:tcPr>
          <w:p>
            <w:pPr>
              <w:spacing w:before="20" w:after="20"/>
            </w:pPr>
            <w:r>
              <w:rPr>
                <w:rFonts w:ascii="Arial" w:hAnsi="Arial" w:cs="Arial" w:eastAsia="Arial"/>
                <w:b w:val="0"/>
                <w:i w:val="0"/>
                <w:sz w:val="18"/>
              </w:rPr>
              <w:t>1</w:t>
            </w:r>
          </w:p>
        </w:tc>
      </w:tr>
      <w:tr>
        <w:trPr>
          <w:cantSplit/>
        </w:trPr>
        <w:tc>
          <w:tcPr>
            <w:tcW w:type="dxa" w:w="1470"/>
          </w:tcPr>
          <w:p>
            <w:pPr>
              <w:spacing w:before="20" w:after="20"/>
            </w:pPr>
            <w:r>
              <w:rPr>
                <w:rFonts w:ascii="Arial" w:hAnsi="Arial" w:cs="Arial" w:eastAsia="Arial"/>
                <w:b w:val="0"/>
                <w:i w:val="0"/>
                <w:sz w:val="18"/>
              </w:rPr>
              <w:t>D</w:t>
            </w:r>
          </w:p>
        </w:tc>
        <w:tc>
          <w:tcPr>
            <w:tcW w:type="dxa" w:w="643"/>
          </w:tcPr>
          <w:p>
            <w:pPr>
              <w:spacing w:before="20" w:after="20"/>
            </w:pPr>
            <w:r>
              <w:rPr>
                <w:rFonts w:ascii="Arial" w:hAnsi="Arial" w:cs="Arial" w:eastAsia="Arial"/>
                <w:b w:val="0"/>
                <w:i w:val="0"/>
                <w:sz w:val="18"/>
              </w:rPr>
              <w:t>6</w:t>
            </w:r>
          </w:p>
        </w:tc>
        <w:tc>
          <w:tcPr>
            <w:tcW w:type="dxa" w:w="2389"/>
          </w:tcPr>
          <w:p>
            <w:pPr>
              <w:spacing w:before="20" w:after="20"/>
            </w:pPr>
            <w:r>
              <w:rPr>
                <w:rFonts w:ascii="Arial" w:hAnsi="Arial" w:cs="Arial" w:eastAsia="Arial"/>
                <w:b w:val="0"/>
                <w:i w:val="0"/>
                <w:sz w:val="18"/>
              </w:rPr>
              <w:t>Change</w:t>
            </w:r>
          </w:p>
        </w:tc>
        <w:tc>
          <w:tcPr>
            <w:tcW w:type="dxa" w:w="2389"/>
          </w:tcPr>
          <w:p>
            <w:pPr>
              <w:spacing w:before="20" w:after="20"/>
            </w:pPr>
            <w:r>
              <w:rPr>
                <w:rFonts w:ascii="Arial" w:hAnsi="Arial" w:cs="Arial" w:eastAsia="Arial"/>
                <w:b w:val="0"/>
                <w:i w:val="0"/>
                <w:sz w:val="18"/>
              </w:rPr>
              <w:t>RELEASED, RETIRED or EXPIRED</w:t>
            </w:r>
          </w:p>
        </w:tc>
        <w:tc>
          <w:tcPr>
            <w:tcW w:type="dxa" w:w="1746"/>
          </w:tcPr>
          <w:p>
            <w:pPr>
              <w:spacing w:before="20" w:after="20"/>
            </w:pPr>
            <w:r>
              <w:rPr>
                <w:rFonts w:ascii="Arial" w:hAnsi="Arial" w:cs="Arial" w:eastAsia="Arial"/>
                <w:b w:val="0"/>
                <w:i w:val="0"/>
                <w:sz w:val="18"/>
              </w:rPr>
              <w:t>RELEASED</w:t>
            </w:r>
          </w:p>
        </w:tc>
      </w:tr>
      <w:tr>
        <w:trPr>
          <w:cantSplit/>
        </w:trPr>
        <w:tc>
          <w:tcPr>
            <w:tcW w:type="dxa" w:w="1470"/>
          </w:tcPr>
          <w:p>
            <w:pPr>
              <w:spacing w:before="20" w:after="20"/>
            </w:pPr>
            <w:r>
              <w:rPr>
                <w:rFonts w:ascii="Arial" w:hAnsi="Arial" w:cs="Arial" w:eastAsia="Arial"/>
                <w:b w:val="0"/>
                <w:i w:val="0"/>
                <w:sz w:val="18"/>
              </w:rPr>
              <w:t>D</w:t>
            </w:r>
          </w:p>
        </w:tc>
        <w:tc>
          <w:tcPr>
            <w:tcW w:type="dxa" w:w="643"/>
          </w:tcPr>
          <w:p>
            <w:pPr>
              <w:spacing w:before="20" w:after="20"/>
            </w:pPr>
            <w:r>
              <w:rPr>
                <w:rFonts w:ascii="Arial" w:hAnsi="Arial" w:cs="Arial" w:eastAsia="Arial"/>
                <w:b w:val="0"/>
                <w:i w:val="0"/>
                <w:sz w:val="18"/>
              </w:rPr>
              <w:t>7</w:t>
            </w:r>
          </w:p>
        </w:tc>
        <w:tc>
          <w:tcPr>
            <w:tcW w:type="dxa" w:w="2389"/>
          </w:tcPr>
          <w:p>
            <w:pPr>
              <w:spacing w:before="20" w:after="20"/>
            </w:pPr>
            <w:r>
              <w:rPr>
                <w:rFonts w:ascii="Arial" w:hAnsi="Arial" w:cs="Arial" w:eastAsia="Arial"/>
                <w:b w:val="0"/>
                <w:i w:val="0"/>
                <w:sz w:val="18"/>
              </w:rPr>
              <w:t>Effective date</w:t>
            </w:r>
          </w:p>
        </w:tc>
        <w:tc>
          <w:tcPr>
            <w:tcW w:type="dxa" w:w="2389"/>
          </w:tcPr>
          <w:p>
            <w:pPr>
              <w:spacing w:before="20" w:after="20"/>
            </w:pPr>
            <w:r>
              <w:rPr>
                <w:rFonts w:ascii="Arial" w:hAnsi="Arial" w:cs="Arial" w:eastAsia="Arial"/>
                <w:b w:val="0"/>
                <w:i w:val="0"/>
                <w:sz w:val="18"/>
              </w:rPr>
              <w:t>yyyy-MM-dd</w:t>
            </w:r>
          </w:p>
        </w:tc>
        <w:tc>
          <w:tcPr>
            <w:tcW w:type="dxa" w:w="1746"/>
          </w:tcPr>
          <w:p>
            <w:pPr>
              <w:spacing w:before="20" w:after="20"/>
            </w:pPr>
            <w:r>
              <w:rPr>
                <w:rFonts w:ascii="Arial" w:hAnsi="Arial" w:cs="Arial" w:eastAsia="Arial"/>
                <w:b w:val="0"/>
                <w:i w:val="0"/>
                <w:sz w:val="18"/>
              </w:rPr>
              <w:t>2026-10-16</w:t>
            </w:r>
          </w:p>
        </w:tc>
      </w:tr>
      <w:tr>
        <w:trPr>
          <w:cantSplit/>
        </w:trPr>
        <w:tc>
          <w:tcPr>
            <w:tcW w:type="dxa" w:w="1470"/>
          </w:tcPr>
          <w:p>
            <w:pPr>
              <w:spacing w:before="20" w:after="20"/>
            </w:pPr>
            <w:r>
              <w:rPr>
                <w:rFonts w:ascii="Arial" w:hAnsi="Arial" w:cs="Arial" w:eastAsia="Arial"/>
                <w:b w:val="0"/>
                <w:i w:val="0"/>
                <w:sz w:val="18"/>
              </w:rPr>
              <w:t>D</w:t>
            </w:r>
          </w:p>
        </w:tc>
        <w:tc>
          <w:tcPr>
            <w:tcW w:type="dxa" w:w="643"/>
          </w:tcPr>
          <w:p>
            <w:pPr>
              <w:spacing w:before="20" w:after="20"/>
            </w:pPr>
            <w:r>
              <w:rPr>
                <w:rFonts w:ascii="Arial" w:hAnsi="Arial" w:cs="Arial" w:eastAsia="Arial"/>
                <w:b w:val="0"/>
                <w:i w:val="0"/>
                <w:sz w:val="18"/>
              </w:rPr>
              <w:t>8</w:t>
            </w:r>
          </w:p>
        </w:tc>
        <w:tc>
          <w:tcPr>
            <w:tcW w:type="dxa" w:w="2389"/>
          </w:tcPr>
          <w:p>
            <w:pPr>
              <w:spacing w:before="20" w:after="20"/>
            </w:pPr>
            <w:r>
              <w:rPr>
                <w:rFonts w:ascii="Arial" w:hAnsi="Arial" w:cs="Arial" w:eastAsia="Arial"/>
                <w:b w:val="0"/>
                <w:i w:val="0"/>
                <w:sz w:val="18"/>
              </w:rPr>
              <w:t>Source package request</w:t>
            </w:r>
          </w:p>
        </w:tc>
        <w:tc>
          <w:tcPr>
            <w:tcW w:type="dxa" w:w="2389"/>
          </w:tcPr>
          <w:p>
            <w:pPr>
              <w:spacing w:before="20" w:after="20"/>
            </w:pPr>
            <w:r>
              <w:rPr>
                <w:rFonts w:ascii="Arial" w:hAnsi="Arial" w:cs="Arial" w:eastAsia="Arial"/>
                <w:b w:val="0"/>
                <w:i w:val="0"/>
                <w:sz w:val="18"/>
              </w:rPr>
              <w:t>PKR-yyyy-n; empty when none</w:t>
            </w:r>
          </w:p>
        </w:tc>
        <w:tc>
          <w:tcPr>
            <w:tcW w:type="dxa" w:w="1746"/>
          </w:tcPr>
          <w:p>
            <w:pPr>
              <w:spacing w:before="20" w:after="20"/>
            </w:pPr>
            <w:r>
              <w:rPr>
                <w:rFonts w:ascii="Arial" w:hAnsi="Arial" w:cs="Arial" w:eastAsia="Arial"/>
                <w:b w:val="0"/>
                <w:i w:val="0"/>
                <w:sz w:val="18"/>
              </w:rPr>
              <w:t>PKR-2026-000107</w:t>
            </w:r>
          </w:p>
        </w:tc>
      </w:tr>
      <w:tr>
        <w:trPr>
          <w:cantSplit/>
        </w:trPr>
        <w:tc>
          <w:tcPr>
            <w:tcW w:type="dxa" w:w="1470"/>
          </w:tcPr>
          <w:p>
            <w:pPr>
              <w:spacing w:before="20" w:after="20"/>
            </w:pPr>
            <w:r>
              <w:rPr>
                <w:rFonts w:ascii="Arial" w:hAnsi="Arial" w:cs="Arial" w:eastAsia="Arial"/>
                <w:b w:val="0"/>
                <w:i w:val="0"/>
                <w:sz w:val="18"/>
              </w:rPr>
              <w:t>T (trailer)</w:t>
            </w:r>
          </w:p>
        </w:tc>
        <w:tc>
          <w:tcPr>
            <w:tcW w:type="dxa" w:w="643"/>
          </w:tcPr>
          <w:p>
            <w:pPr>
              <w:spacing w:before="20" w:after="20"/>
            </w:pPr>
            <w:r>
              <w:rPr>
                <w:rFonts w:ascii="Arial" w:hAnsi="Arial" w:cs="Arial" w:eastAsia="Arial"/>
                <w:b w:val="0"/>
                <w:i w:val="0"/>
                <w:sz w:val="18"/>
              </w:rPr>
              <w:t>1</w:t>
            </w:r>
          </w:p>
        </w:tc>
        <w:tc>
          <w:tcPr>
            <w:tcW w:type="dxa" w:w="2389"/>
          </w:tcPr>
          <w:p>
            <w:pPr>
              <w:spacing w:before="20" w:after="20"/>
            </w:pPr>
            <w:r>
              <w:rPr>
                <w:rFonts w:ascii="Arial" w:hAnsi="Arial" w:cs="Arial" w:eastAsia="Arial"/>
                <w:b w:val="0"/>
                <w:i w:val="0"/>
                <w:sz w:val="18"/>
              </w:rPr>
              <w:t>Record type</w:t>
            </w:r>
          </w:p>
        </w:tc>
        <w:tc>
          <w:tcPr>
            <w:tcW w:type="dxa" w:w="2389"/>
          </w:tcPr>
          <w:p>
            <w:pPr>
              <w:spacing w:before="20" w:after="20"/>
            </w:pPr>
            <w:r>
              <w:rPr>
                <w:rFonts w:ascii="Arial" w:hAnsi="Arial" w:cs="Arial" w:eastAsia="Arial"/>
                <w:b w:val="0"/>
                <w:i w:val="0"/>
                <w:sz w:val="18"/>
              </w:rPr>
              <w:t>T</w:t>
            </w:r>
          </w:p>
        </w:tc>
        <w:tc>
          <w:tcPr>
            <w:tcW w:type="dxa" w:w="1746"/>
          </w:tcPr>
          <w:p>
            <w:pPr>
              <w:spacing w:before="20" w:after="20"/>
            </w:pPr>
            <w:r>
              <w:rPr>
                <w:rFonts w:ascii="Arial" w:hAnsi="Arial" w:cs="Arial" w:eastAsia="Arial"/>
                <w:b w:val="0"/>
                <w:i w:val="0"/>
                <w:sz w:val="18"/>
              </w:rPr>
              <w:t>T</w:t>
            </w:r>
          </w:p>
        </w:tc>
      </w:tr>
      <w:tr>
        <w:trPr>
          <w:cantSplit/>
        </w:trPr>
        <w:tc>
          <w:tcPr>
            <w:tcW w:type="dxa" w:w="1470"/>
          </w:tcPr>
          <w:p>
            <w:pPr>
              <w:spacing w:before="20" w:after="20"/>
            </w:pPr>
            <w:r>
              <w:rPr>
                <w:rFonts w:ascii="Arial" w:hAnsi="Arial" w:cs="Arial" w:eastAsia="Arial"/>
                <w:b w:val="0"/>
                <w:i w:val="0"/>
                <w:sz w:val="18"/>
              </w:rPr>
              <w:t>T</w:t>
            </w:r>
          </w:p>
        </w:tc>
        <w:tc>
          <w:tcPr>
            <w:tcW w:type="dxa" w:w="643"/>
          </w:tcPr>
          <w:p>
            <w:pPr>
              <w:spacing w:before="20" w:after="20"/>
            </w:pPr>
            <w:r>
              <w:rPr>
                <w:rFonts w:ascii="Arial" w:hAnsi="Arial" w:cs="Arial" w:eastAsia="Arial"/>
                <w:b w:val="0"/>
                <w:i w:val="0"/>
                <w:sz w:val="18"/>
              </w:rPr>
              <w:t>2</w:t>
            </w:r>
          </w:p>
        </w:tc>
        <w:tc>
          <w:tcPr>
            <w:tcW w:type="dxa" w:w="2389"/>
          </w:tcPr>
          <w:p>
            <w:pPr>
              <w:spacing w:before="20" w:after="20"/>
            </w:pPr>
            <w:r>
              <w:rPr>
                <w:rFonts w:ascii="Arial" w:hAnsi="Arial" w:cs="Arial" w:eastAsia="Arial"/>
                <w:b w:val="0"/>
                <w:i w:val="0"/>
                <w:sz w:val="18"/>
              </w:rPr>
              <w:t>Number of detail records</w:t>
            </w:r>
          </w:p>
        </w:tc>
        <w:tc>
          <w:tcPr>
            <w:tcW w:type="dxa" w:w="2389"/>
          </w:tcPr>
          <w:p>
            <w:pPr>
              <w:spacing w:before="20" w:after="20"/>
            </w:pPr>
            <w:r>
              <w:rPr>
                <w:rFonts w:ascii="Arial" w:hAnsi="Arial" w:cs="Arial" w:eastAsia="Arial"/>
                <w:b w:val="0"/>
                <w:i w:val="0"/>
                <w:sz w:val="18"/>
              </w:rPr>
              <w:t>Whole number</w:t>
            </w:r>
          </w:p>
        </w:tc>
        <w:tc>
          <w:tcPr>
            <w:tcW w:type="dxa" w:w="1746"/>
          </w:tcPr>
          <w:p>
            <w:pPr>
              <w:spacing w:before="20" w:after="20"/>
            </w:pPr>
            <w:r>
              <w:rPr>
                <w:rFonts w:ascii="Arial" w:hAnsi="Arial" w:cs="Arial" w:eastAsia="Arial"/>
                <w:b w:val="0"/>
                <w:i w:val="0"/>
                <w:sz w:val="18"/>
              </w:rPr>
              <w:t>1</w:t>
            </w:r>
          </w:p>
        </w:tc>
      </w:tr>
    </w:tbl>
    <w:p>
      <w:pPr>
        <w:spacing w:after="40"/>
      </w:pPr>
    </w:p>
    <w:p>
      <w:pPr>
        <w:pStyle w:val="Heading2"/>
      </w:pPr>
      <w:r>
        <w:t>Errors and recovery</w:t>
      </w:r>
    </w:p>
    <w:p>
      <w:pPr>
        <w:pStyle w:val="ListParagraph"/>
        <w:tabs>
          <w:tab w:pos="680" w:val="left"/>
        </w:tabs>
        <w:spacing w:after="60"/>
        <w:ind w:left="680" w:hanging="283"/>
      </w:pPr>
      <w:r>
        <w:rPr>
          <w:rFonts w:ascii="Arial" w:hAnsi="Arial" w:cs="Arial" w:eastAsia="Arial"/>
          <w:b w:val="0"/>
          <w:i w:val="0"/>
          <w:sz w:val="20"/>
        </w:rPr>
        <w:t>•</w:t>
        <w:tab/>
        <w:t>A file that cannot be written marks its changes Failed with the error and raises the alert PM_MASTER_TRANSFER_FAILED on the Alerts screen.</w:t>
      </w:r>
    </w:p>
    <w:p>
      <w:pPr>
        <w:pStyle w:val="ListParagraph"/>
        <w:tabs>
          <w:tab w:pos="680" w:val="left"/>
        </w:tabs>
        <w:spacing w:after="60"/>
        <w:ind w:left="680" w:hanging="283"/>
      </w:pPr>
      <w:r>
        <w:rPr>
          <w:rFonts w:ascii="Arial" w:hAnsi="Arial" w:cs="Arial" w:eastAsia="Arial"/>
          <w:b w:val="0"/>
          <w:i w:val="0"/>
          <w:sz w:val="20"/>
        </w:rPr>
        <w:t>•</w:t>
        <w:tab/>
        <w:t>Process Again on a failed change returns it to the queue and runs the transfer; a change that did not fail is refused ("Only a failed product master change is processed again").</w:t>
      </w:r>
    </w:p>
    <w:p>
      <w:pPr>
        <w:pStyle w:val="ListParagraph"/>
        <w:tabs>
          <w:tab w:pos="680" w:val="left"/>
        </w:tabs>
        <w:spacing w:after="60"/>
        <w:ind w:left="680" w:hanging="283"/>
      </w:pPr>
      <w:r>
        <w:rPr>
          <w:rFonts w:ascii="Arial" w:hAnsi="Arial" w:cs="Arial" w:eastAsia="Arial"/>
          <w:b w:val="0"/>
          <w:i w:val="0"/>
          <w:sz w:val="20"/>
        </w:rPr>
        <w:t>•</w:t>
        <w:tab/>
        <w:t>Each delivered file is recorded in the audit trail with the number of changes and the target.</w:t>
      </w:r>
    </w:p>
    <w:p>
      <w:pPr>
        <w:pStyle w:val="ListParagraph"/>
        <w:tabs>
          <w:tab w:pos="680" w:val="left"/>
        </w:tabs>
        <w:spacing w:after="60"/>
        <w:ind w:left="680" w:hanging="283"/>
      </w:pPr>
      <w:r>
        <w:rPr>
          <w:rFonts w:ascii="Arial" w:hAnsi="Arial" w:cs="Arial" w:eastAsia="Arial"/>
          <w:b w:val="0"/>
          <w:i w:val="0"/>
          <w:sz w:val="20"/>
        </w:rPr>
        <w:t>•</w:t>
        <w:tab/>
        <w:t>In test environments the file goes to a simulated receiving system whose files are listed on Product Master Transfers.</w:t>
      </w:r>
    </w:p>
    <w:p>
      <w:pPr>
        <w:keepNext/>
        <w:pageBreakBefore/>
        <w:jc w:val="center"/>
      </w:pPr>
      <w:r>
        <w:drawing>
          <wp:inline>
            <wp:extent cx="5760000" cy="3600000"/>
            <wp:docPr id="3" name="Picture 3"/>
            <wp:cNvGraphicFramePr>
              <a:graphicFrameLocks noChangeAspect="1"/>
            </wp:cNvGraphicFramePr>
            <a:graphic>
              <a:graphicData uri="http://schemas.openxmlformats.org/drawingml/2006/picture">
                <pic:pic>
                  <pic:nvPicPr>
                    <pic:cNvPr id="0" name="ux-25-transfers.png"/>
                    <pic:cNvPicPr/>
                  </pic:nvPicPr>
                  <pic:blipFill>
                    <a:blip r:embed="rId2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 Product Master Transfers (SCR-PM-25)</w:t>
      </w:r>
    </w:p>
    <w:p>
      <w:pPr>
        <w:pStyle w:val="Heading1"/>
        <w:pageBreakBefore/>
      </w:pPr>
      <w:r>
        <w:t>IF-PM-02 E-mail Channel</w:t>
      </w:r>
    </w:p>
    <w:p>
      <w:pPr>
        <w:pStyle w:val="ListParagraph"/>
        <w:tabs>
          <w:tab w:pos="680" w:val="left"/>
        </w:tabs>
        <w:spacing w:after="60"/>
        <w:ind w:left="680" w:hanging="283"/>
      </w:pPr>
      <w:r>
        <w:rPr>
          <w:rFonts w:ascii="Arial" w:hAnsi="Arial" w:cs="Arial" w:eastAsia="Arial"/>
          <w:b w:val="0"/>
          <w:i w:val="0"/>
          <w:sz w:val="20"/>
        </w:rPr>
        <w:t>•</w:t>
        <w:tab/>
        <w:t>Quotation slips (NT-04), advisories (NT-09) and the password e-mails (NT-05) are queued by BIBS and sent through the mail relay of BDOI; the job MAIL_DISPATCH sends the queue every 2 minutes.</w:t>
      </w:r>
    </w:p>
    <w:p>
      <w:pPr>
        <w:pStyle w:val="ListParagraph"/>
        <w:tabs>
          <w:tab w:pos="680" w:val="left"/>
        </w:tabs>
        <w:spacing w:after="60"/>
        <w:ind w:left="680" w:hanging="283"/>
      </w:pPr>
      <w:r>
        <w:rPr>
          <w:rFonts w:ascii="Arial" w:hAnsi="Arial" w:cs="Arial" w:eastAsia="Arial"/>
          <w:b w:val="0"/>
          <w:i w:val="0"/>
          <w:sz w:val="20"/>
        </w:rPr>
        <w:t>•</w:t>
        <w:tab/>
        <w:t>Each e-mail is logged on its record with recipients, subject, attachment and status; a failed e-mail can be resent.</w:t>
      </w:r>
    </w:p>
    <w:p>
      <w:pPr>
        <w:pStyle w:val="ListParagraph"/>
        <w:tabs>
          <w:tab w:pos="680" w:val="left"/>
        </w:tabs>
        <w:spacing w:after="60"/>
        <w:ind w:left="680" w:hanging="283"/>
      </w:pPr>
      <w:r>
        <w:rPr>
          <w:rFonts w:ascii="Arial" w:hAnsi="Arial" w:cs="Arial" w:eastAsia="Arial"/>
          <w:b w:val="0"/>
          <w:i w:val="0"/>
          <w:sz w:val="20"/>
        </w:rPr>
        <w:t>•</w:t>
        <w:tab/>
        <w:t>Attachments are password-protected PDF or Excel files; the password follows in a separate e-mail.</w:t>
      </w:r>
    </w:p>
    <w:p>
      <w:pPr>
        <w:pStyle w:val="ListParagraph"/>
        <w:tabs>
          <w:tab w:pos="680" w:val="left"/>
        </w:tabs>
        <w:spacing w:after="60"/>
        <w:ind w:left="680" w:hanging="283"/>
      </w:pPr>
      <w:r>
        <w:rPr>
          <w:rFonts w:ascii="Arial" w:hAnsi="Arial" w:cs="Arial" w:eastAsia="Arial"/>
          <w:b w:val="0"/>
          <w:i w:val="0"/>
          <w:sz w:val="20"/>
        </w:rPr>
        <w:t>•</w:t>
        <w:tab/>
        <w:t>BDOI IT gives the relay, the sender mailbox and its credentials (D-PM-02).</w:t>
      </w:r>
    </w:p>
    <w:p>
      <w:pPr>
        <w:pStyle w:val="Heading1"/>
        <w:pageBreakBefore/>
      </w:pPr>
      <w:r>
        <w:t>Open Points</w:t>
      </w:r>
    </w:p>
    <w:p>
      <w:pPr>
        <w:keepNext/>
        <w:spacing w:before="120" w:after="60"/>
        <w:ind w:left="363"/>
      </w:pPr>
      <w:r>
        <w:rPr>
          <w:rFonts w:ascii="Arial" w:hAnsi="Arial" w:cs="Arial" w:eastAsia="Arial"/>
          <w:b/>
          <w:i w:val="0"/>
          <w:sz w:val="18"/>
        </w:rPr>
        <w:t>Table 4: Open points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14"/>
        <w:gridCol w:w="5446"/>
        <w:gridCol w:w="1878"/>
      </w:tblGrid>
      <w:tr>
        <w:trPr>
          <w:tblHeader/>
          <w:cantSplit/>
        </w:trPr>
        <w:tc>
          <w:tcPr>
            <w:tcW w:type="dxa" w:w="1314"/>
            <w:shd w:val="clear" w:color="auto" w:fill="D9E2F3"/>
          </w:tcPr>
          <w:p>
            <w:pPr>
              <w:spacing w:before="20" w:after="20"/>
            </w:pPr>
            <w:r>
              <w:rPr>
                <w:rFonts w:ascii="Arial" w:hAnsi="Arial" w:cs="Arial" w:eastAsia="Arial"/>
                <w:b/>
                <w:i w:val="0"/>
                <w:sz w:val="18"/>
              </w:rPr>
              <w:t>ID</w:t>
            </w:r>
          </w:p>
        </w:tc>
        <w:tc>
          <w:tcPr>
            <w:tcW w:type="dxa" w:w="5446"/>
            <w:shd w:val="clear" w:color="auto" w:fill="D9E2F3"/>
          </w:tcPr>
          <w:p>
            <w:pPr>
              <w:spacing w:before="20" w:after="20"/>
            </w:pPr>
            <w:r>
              <w:rPr>
                <w:rFonts w:ascii="Arial" w:hAnsi="Arial" w:cs="Arial" w:eastAsia="Arial"/>
                <w:b/>
                <w:i w:val="0"/>
                <w:sz w:val="18"/>
              </w:rPr>
              <w:t>Point</w:t>
            </w:r>
          </w:p>
        </w:tc>
        <w:tc>
          <w:tcPr>
            <w:tcW w:type="dxa" w:w="1878"/>
            <w:shd w:val="clear" w:color="auto" w:fill="D9E2F3"/>
          </w:tcPr>
          <w:p>
            <w:pPr>
              <w:spacing w:before="20" w:after="20"/>
            </w:pPr>
            <w:r>
              <w:rPr>
                <w:rFonts w:ascii="Arial" w:hAnsi="Arial" w:cs="Arial" w:eastAsia="Arial"/>
                <w:b/>
                <w:i w:val="0"/>
                <w:sz w:val="18"/>
              </w:rPr>
              <w:t>Owner</w:t>
            </w:r>
          </w:p>
        </w:tc>
      </w:tr>
      <w:tr>
        <w:trPr>
          <w:cantSplit/>
        </w:trPr>
        <w:tc>
          <w:tcPr>
            <w:tcW w:type="dxa" w:w="1314"/>
          </w:tcPr>
          <w:p>
            <w:pPr>
              <w:spacing w:before="20" w:after="20"/>
            </w:pPr>
            <w:r>
              <w:rPr>
                <w:rFonts w:ascii="Arial" w:hAnsi="Arial" w:cs="Arial" w:eastAsia="Arial"/>
                <w:b w:val="0"/>
                <w:i w:val="0"/>
                <w:sz w:val="18"/>
              </w:rPr>
              <w:t>Q-PM-08</w:t>
            </w:r>
          </w:p>
        </w:tc>
        <w:tc>
          <w:tcPr>
            <w:tcW w:type="dxa" w:w="5446"/>
          </w:tcPr>
          <w:p>
            <w:pPr>
              <w:spacing w:before="20" w:after="20"/>
            </w:pPr>
            <w:r>
              <w:rPr>
                <w:rFonts w:ascii="Arial" w:hAnsi="Arial" w:cs="Arial" w:eastAsia="Arial"/>
                <w:b w:val="0"/>
                <w:i w:val="0"/>
                <w:sz w:val="18"/>
              </w:rPr>
              <w:t>Receiving systems, folder and timing of the product master file.</w:t>
            </w:r>
          </w:p>
        </w:tc>
        <w:tc>
          <w:tcPr>
            <w:tcW w:type="dxa" w:w="1878"/>
          </w:tcPr>
          <w:p>
            <w:pPr>
              <w:spacing w:before="20" w:after="20"/>
            </w:pPr>
            <w:r>
              <w:rPr>
                <w:rFonts w:ascii="Arial" w:hAnsi="Arial" w:cs="Arial" w:eastAsia="Arial"/>
                <w:b w:val="0"/>
                <w:i w:val="0"/>
                <w:sz w:val="18"/>
              </w:rPr>
              <w:t>Product Owner; BDO ITG</w:t>
            </w:r>
          </w:p>
        </w:tc>
      </w:tr>
      <w:tr>
        <w:trPr>
          <w:cantSplit/>
        </w:trPr>
        <w:tc>
          <w:tcPr>
            <w:tcW w:type="dxa" w:w="1314"/>
          </w:tcPr>
          <w:p>
            <w:pPr>
              <w:spacing w:before="20" w:after="20"/>
            </w:pPr>
            <w:r>
              <w:rPr>
                <w:rFonts w:ascii="Arial" w:hAnsi="Arial" w:cs="Arial" w:eastAsia="Arial"/>
                <w:b w:val="0"/>
                <w:i w:val="0"/>
                <w:sz w:val="18"/>
              </w:rPr>
              <w:t>D-PM-02</w:t>
            </w:r>
          </w:p>
        </w:tc>
        <w:tc>
          <w:tcPr>
            <w:tcW w:type="dxa" w:w="5446"/>
          </w:tcPr>
          <w:p>
            <w:pPr>
              <w:spacing w:before="20" w:after="20"/>
            </w:pPr>
            <w:r>
              <w:rPr>
                <w:rFonts w:ascii="Arial" w:hAnsi="Arial" w:cs="Arial" w:eastAsia="Arial"/>
                <w:b w:val="0"/>
                <w:i w:val="0"/>
                <w:sz w:val="18"/>
              </w:rPr>
              <w:t>Mail relay and sender mailbox.</w:t>
            </w:r>
          </w:p>
        </w:tc>
        <w:tc>
          <w:tcPr>
            <w:tcW w:type="dxa" w:w="1878"/>
          </w:tcPr>
          <w:p>
            <w:pPr>
              <w:spacing w:before="20" w:after="20"/>
            </w:pPr>
            <w:r>
              <w:rPr>
                <w:rFonts w:ascii="Arial" w:hAnsi="Arial" w:cs="Arial" w:eastAsia="Arial"/>
                <w:b w:val="0"/>
                <w:i w:val="0"/>
                <w:sz w:val="18"/>
              </w:rPr>
              <w:t>BDO ITG</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Interface Specification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ICD-BDOI BRD-03 Product Maintenance Interface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