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Submitted Policies</w:t>
      </w:r>
    </w:p>
    <w:p>
      <w:pPr>
        <w:spacing w:after="40"/>
      </w:pPr>
      <w:r>
        <w:rPr>
          <w:color w:val="2E2E2E"/>
          <w:sz w:val="28"/>
        </w:rPr>
        <w:t>BRD-12 BDOI Submitted Policies (with the Submitted Policies rows of the Report List of 27-Apr-2026)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BRD-12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and D2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intake, processing and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handling-fee tagging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2.3 Segments and business types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4.1 Intake of submissions</w:t>
        </w:r>
        <w:r>
          <w:t xml:space="preserve">	</w:t>
        </w:r>
        <w:r>
          <w:t xml:space="preserve">14</w:t>
        </w:r>
      </w:hyperlink>
    </w:p>
    <w:p>
      <w:pPr>
        <w:pStyle w:val="toc3"/>
      </w:pPr>
      <w:hyperlink w:anchor="_Toc000117" w:history="1">
        <w:r>
          <w:t xml:space="preserve">FR-SP-001 Receive submitted policy details from the approved sources</w:t>
        </w:r>
        <w:r>
          <w:t xml:space="preserve">	</w:t>
        </w:r>
        <w:r>
          <w:t xml:space="preserve">14</w:t>
        </w:r>
      </w:hyperlink>
    </w:p>
    <w:p>
      <w:pPr>
        <w:pStyle w:val="toc3"/>
      </w:pPr>
      <w:hyperlink w:anchor="_Toc000118" w:history="1">
        <w:r>
          <w:t xml:space="preserve">FR-SP-002 Extract policy details from documents and save them after confirmation</w:t>
        </w:r>
        <w:r>
          <w:t xml:space="preserve">	</w:t>
        </w:r>
        <w:r>
          <w:t xml:space="preserve">15</w:t>
        </w:r>
      </w:hyperlink>
    </w:p>
    <w:p>
      <w:pPr>
        <w:pStyle w:val="toc3"/>
      </w:pPr>
      <w:hyperlink w:anchor="_Toc000119" w:history="1">
        <w:r>
          <w:t xml:space="preserve">FR-SP-003 Create or update a policy manually and tag its renewal opportunity</w:t>
        </w:r>
        <w:r>
          <w:t xml:space="preserve">	</w:t>
        </w:r>
        <w:r>
          <w:t xml:space="preserve">17</w:t>
        </w:r>
      </w:hyperlink>
    </w:p>
    <w:p>
      <w:pPr>
        <w:pStyle w:val="toc3"/>
      </w:pPr>
      <w:hyperlink w:anchor="_Toc000120" w:history="1">
        <w:r>
          <w:t xml:space="preserve">FR-SP-004 Migrate the existing Excel masterlists</w:t>
        </w:r>
        <w:r>
          <w:t xml:space="preserve">	</w:t>
        </w:r>
        <w:r>
          <w:t xml:space="preserve">18</w:t>
        </w:r>
      </w:hyperlink>
    </w:p>
    <w:p>
      <w:pPr>
        <w:pStyle w:val="toc2"/>
      </w:pPr>
      <w:hyperlink w:anchor="_Toc000121" w:history="1">
        <w:r>
          <w:t xml:space="preserve">4.2 Masterlist and access</w:t>
        </w:r>
        <w:r>
          <w:t xml:space="preserve">	</w:t>
        </w:r>
        <w:r>
          <w:t xml:space="preserve">19</w:t>
        </w:r>
      </w:hyperlink>
    </w:p>
    <w:p>
      <w:pPr>
        <w:pStyle w:val="toc3"/>
      </w:pPr>
      <w:hyperlink w:anchor="_Toc000122" w:history="1">
        <w:r>
          <w:t xml:space="preserve">FR-SP-010 Keep one Submitted Masterlist</w:t>
        </w:r>
        <w:r>
          <w:t xml:space="preserve">	</w:t>
        </w:r>
        <w:r>
          <w:t xml:space="preserve">19</w:t>
        </w:r>
      </w:hyperlink>
    </w:p>
    <w:p>
      <w:pPr>
        <w:pStyle w:val="toc3"/>
      </w:pPr>
      <w:hyperlink w:anchor="_Toc000123" w:history="1">
        <w:r>
          <w:t xml:space="preserve">FR-SP-011 View and extract the masterlist by role</w:t>
        </w:r>
        <w:r>
          <w:t xml:space="preserve">	</w:t>
        </w:r>
        <w:r>
          <w:t xml:space="preserve">20</w:t>
        </w:r>
      </w:hyperlink>
    </w:p>
    <w:p>
      <w:pPr>
        <w:pStyle w:val="toc3"/>
      </w:pPr>
      <w:hyperlink w:anchor="_Toc000124" w:history="1">
        <w:r>
          <w:t xml:space="preserve">FR-SP-012 Monitor handler, conversion status and remarks</w:t>
        </w:r>
        <w:r>
          <w:t xml:space="preserve">	</w:t>
        </w:r>
        <w:r>
          <w:t xml:space="preserve">21</w:t>
        </w:r>
      </w:hyperlink>
    </w:p>
    <w:p>
      <w:pPr>
        <w:pStyle w:val="toc2"/>
      </w:pPr>
      <w:hyperlink w:anchor="_Toc000125" w:history="1">
        <w:r>
          <w:t xml:space="preserve">4.3 Rules and processing</w:t>
        </w:r>
        <w:r>
          <w:t xml:space="preserve">	</w:t>
        </w:r>
        <w:r>
          <w:t xml:space="preserve">22</w:t>
        </w:r>
      </w:hyperlink>
    </w:p>
    <w:p>
      <w:pPr>
        <w:pStyle w:val="toc3"/>
      </w:pPr>
      <w:hyperlink w:anchor="_Toc000126" w:history="1">
        <w:r>
          <w:t xml:space="preserve">FR-SP-020 Define sanitation, matching, classification and disposition criteria</w:t>
        </w:r>
        <w:r>
          <w:t xml:space="preserve">	</w:t>
        </w:r>
        <w:r>
          <w:t xml:space="preserve">22</w:t>
        </w:r>
      </w:hyperlink>
    </w:p>
    <w:p>
      <w:pPr>
        <w:pStyle w:val="toc3"/>
      </w:pPr>
      <w:hyperlink w:anchor="_Toc000127" w:history="1">
        <w:r>
          <w:t xml:space="preserve">FR-SP-021 Run processing automatically after intake</w:t>
        </w:r>
        <w:r>
          <w:t xml:space="preserve">	</w:t>
        </w:r>
        <w:r>
          <w:t xml:space="preserve">24</w:t>
        </w:r>
      </w:hyperlink>
    </w:p>
    <w:p>
      <w:pPr>
        <w:pStyle w:val="toc3"/>
      </w:pPr>
      <w:hyperlink w:anchor="_Toc000128" w:history="1">
        <w:r>
          <w:t xml:space="preserve">FR-SP-022 Report fallout after processing</w:t>
        </w:r>
        <w:r>
          <w:t xml:space="preserve">	</w:t>
        </w:r>
        <w:r>
          <w:t xml:space="preserve">25</w:t>
        </w:r>
      </w:hyperlink>
    </w:p>
    <w:p>
      <w:pPr>
        <w:pStyle w:val="toc2"/>
      </w:pPr>
      <w:hyperlink w:anchor="_Toc000129" w:history="1">
        <w:r>
          <w:t xml:space="preserve">4.4 Classification and buckets</w:t>
        </w:r>
        <w:r>
          <w:t xml:space="preserve">	</w:t>
        </w:r>
        <w:r>
          <w:t xml:space="preserve">25</w:t>
        </w:r>
      </w:hyperlink>
    </w:p>
    <w:p>
      <w:pPr>
        <w:pStyle w:val="toc3"/>
      </w:pPr>
      <w:hyperlink w:anchor="_Toc000130" w:history="1">
        <w:r>
          <w:t xml:space="preserve">FR-SP-030 Classify policies as Inforced or Submitted</w:t>
        </w:r>
        <w:r>
          <w:t xml:space="preserve">	</w:t>
        </w:r>
        <w:r>
          <w:t xml:space="preserve">25</w:t>
        </w:r>
      </w:hyperlink>
    </w:p>
    <w:p>
      <w:pPr>
        <w:pStyle w:val="toc3"/>
      </w:pPr>
      <w:hyperlink w:anchor="_Toc000131" w:history="1">
        <w:r>
          <w:t xml:space="preserve">FR-SP-031 Group Submitted policies into qualification buckets</w:t>
        </w:r>
        <w:r>
          <w:t xml:space="preserve">	</w:t>
        </w:r>
        <w:r>
          <w:t xml:space="preserve">26</w:t>
        </w:r>
      </w:hyperlink>
    </w:p>
    <w:p>
      <w:pPr>
        <w:pStyle w:val="toc3"/>
      </w:pPr>
      <w:hyperlink w:anchor="_Toc000132" w:history="1">
        <w:r>
          <w:t xml:space="preserve">FR-SP-032 Choose the RA template from the LAMD loan</w:t>
        </w:r>
        <w:r>
          <w:t xml:space="preserve">	</w:t>
        </w:r>
        <w:r>
          <w:t xml:space="preserve">27</w:t>
        </w:r>
      </w:hyperlink>
    </w:p>
    <w:p>
      <w:pPr>
        <w:pStyle w:val="toc3"/>
      </w:pPr>
      <w:hyperlink w:anchor="_Toc000133" w:history="1">
        <w:r>
          <w:t xml:space="preserve">FR-SP-033 Assign policies to non-renewal buckets</w:t>
        </w:r>
        <w:r>
          <w:t xml:space="preserve">	</w:t>
        </w:r>
        <w:r>
          <w:t xml:space="preserve">28</w:t>
        </w:r>
      </w:hyperlink>
    </w:p>
    <w:p>
      <w:pPr>
        <w:pStyle w:val="toc3"/>
      </w:pPr>
      <w:hyperlink w:anchor="_Toc000134" w:history="1">
        <w:r>
          <w:t xml:space="preserve">FR-SP-034 Group Inforced policies and create RAs and proposals</w:t>
        </w:r>
        <w:r>
          <w:t xml:space="preserve">	</w:t>
        </w:r>
        <w:r>
          <w:t xml:space="preserve">29</w:t>
        </w:r>
      </w:hyperlink>
    </w:p>
    <w:p>
      <w:pPr>
        <w:pStyle w:val="toc2"/>
      </w:pPr>
      <w:hyperlink w:anchor="_Toc000135" w:history="1">
        <w:r>
          <w:t xml:space="preserve">4.5 Policy review and IAAF</w:t>
        </w:r>
        <w:r>
          <w:t xml:space="preserve">	</w:t>
        </w:r>
        <w:r>
          <w:t xml:space="preserve">29</w:t>
        </w:r>
      </w:hyperlink>
    </w:p>
    <w:p>
      <w:pPr>
        <w:pStyle w:val="toc3"/>
      </w:pPr>
      <w:hyperlink w:anchor="_Toc000136" w:history="1">
        <w:r>
          <w:t xml:space="preserve">FR-SP-040 Record policy reviews and generate one IAAF per policy</w:t>
        </w:r>
        <w:r>
          <w:t xml:space="preserve">	</w:t>
        </w:r>
        <w:r>
          <w:t xml:space="preserve">29</w:t>
        </w:r>
      </w:hyperlink>
    </w:p>
    <w:p>
      <w:pPr>
        <w:pStyle w:val="toc3"/>
      </w:pPr>
      <w:hyperlink w:anchor="_Toc000137" w:history="1">
        <w:r>
          <w:t xml:space="preserve">FR-SP-041 Route the IAAF for approval and signature</w:t>
        </w:r>
        <w:r>
          <w:t xml:space="preserve">	</w:t>
        </w:r>
        <w:r>
          <w:t xml:space="preserve">31</w:t>
        </w:r>
      </w:hyperlink>
    </w:p>
    <w:p>
      <w:pPr>
        <w:pStyle w:val="toc2"/>
      </w:pPr>
      <w:hyperlink w:anchor="_Toc000138" w:history="1">
        <w:r>
          <w:t xml:space="preserve">4.6 Limits and TOR</w:t>
        </w:r>
        <w:r>
          <w:t xml:space="preserve">	</w:t>
        </w:r>
        <w:r>
          <w:t xml:space="preserve">32</w:t>
        </w:r>
      </w:hyperlink>
    </w:p>
    <w:p>
      <w:pPr>
        <w:pStyle w:val="toc3"/>
      </w:pPr>
      <w:hyperlink w:anchor="_Toc000139" w:history="1">
        <w:r>
          <w:t xml:space="preserve">FR-SP-050 Detect accounts exceeding acceptance or coverage limits</w:t>
        </w:r>
        <w:r>
          <w:t xml:space="preserve">	</w:t>
        </w:r>
        <w:r>
          <w:t xml:space="preserve">32</w:t>
        </w:r>
      </w:hyperlink>
    </w:p>
    <w:p>
      <w:pPr>
        <w:pStyle w:val="toc3"/>
      </w:pPr>
      <w:hyperlink w:anchor="_Toc000140" w:history="1">
        <w:r>
          <w:t xml:space="preserve">FR-SP-051 Generate the Terms of Reference</w:t>
        </w:r>
        <w:r>
          <w:t xml:space="preserve">	</w:t>
        </w:r>
        <w:r>
          <w:t xml:space="preserve">33</w:t>
        </w:r>
      </w:hyperlink>
    </w:p>
    <w:p>
      <w:pPr>
        <w:pStyle w:val="toc3"/>
      </w:pPr>
      <w:hyperlink w:anchor="_Toc000141" w:history="1">
        <w:r>
          <w:t xml:space="preserve">FR-SP-052 Route the TOR for approval per the TSU Approval Matrix</w:t>
        </w:r>
        <w:r>
          <w:t xml:space="preserve">	</w:t>
        </w:r>
        <w:r>
          <w:t xml:space="preserve">34</w:t>
        </w:r>
      </w:hyperlink>
    </w:p>
    <w:p>
      <w:pPr>
        <w:pStyle w:val="toc3"/>
      </w:pPr>
      <w:hyperlink w:anchor="_Toc000142" w:history="1">
        <w:r>
          <w:t xml:space="preserve">FR-SP-053 Hand the approved TOR over to the Account Officer</w:t>
        </w:r>
        <w:r>
          <w:t xml:space="preserve">	</w:t>
        </w:r>
        <w:r>
          <w:t xml:space="preserve">35</w:t>
        </w:r>
      </w:hyperlink>
    </w:p>
    <w:p>
      <w:pPr>
        <w:pStyle w:val="toc2"/>
      </w:pPr>
      <w:hyperlink w:anchor="_Toc000143" w:history="1">
        <w:r>
          <w:t xml:space="preserve">4.7 Renewal hand-off</w:t>
        </w:r>
        <w:r>
          <w:t xml:space="preserve">	</w:t>
        </w:r>
        <w:r>
          <w:t xml:space="preserve">35</w:t>
        </w:r>
      </w:hyperlink>
    </w:p>
    <w:p>
      <w:pPr>
        <w:pStyle w:val="toc3"/>
      </w:pPr>
      <w:hyperlink w:anchor="_Toc000144" w:history="1">
        <w:r>
          <w:t xml:space="preserve">FR-SP-060 Detect expiring policies and hand them to Renewal</w:t>
        </w:r>
        <w:r>
          <w:t xml:space="preserve">	</w:t>
        </w:r>
        <w:r>
          <w:t xml:space="preserve">35</w:t>
        </w:r>
      </w:hyperlink>
    </w:p>
    <w:p>
      <w:pPr>
        <w:pStyle w:val="toc3"/>
      </w:pPr>
      <w:hyperlink w:anchor="_Toc000145" w:history="1">
        <w:r>
          <w:t xml:space="preserve">FR-SP-061 List the policies subject for renewal</w:t>
        </w:r>
        <w:r>
          <w:t xml:space="preserve">	</w:t>
        </w:r>
        <w:r>
          <w:t xml:space="preserve">37</w:t>
        </w:r>
      </w:hyperlink>
    </w:p>
    <w:p>
      <w:pPr>
        <w:pStyle w:val="toc3"/>
      </w:pPr>
      <w:hyperlink w:anchor="_Toc000146" w:history="1">
        <w:r>
          <w:t xml:space="preserve">FR-SP-062 Send letters and proposals when the criteria are met</w:t>
        </w:r>
        <w:r>
          <w:t xml:space="preserve">	</w:t>
        </w:r>
        <w:r>
          <w:t xml:space="preserve">37</w:t>
        </w:r>
      </w:hyperlink>
    </w:p>
    <w:p>
      <w:pPr>
        <w:pStyle w:val="toc3"/>
      </w:pPr>
      <w:hyperlink w:anchor="_Toc000147" w:history="1">
        <w:r>
          <w:t xml:space="preserve">FR-SP-063 Re-assign the insurer while a hold cover request is open</w:t>
        </w:r>
        <w:r>
          <w:t xml:space="preserve">	</w:t>
        </w:r>
        <w:r>
          <w:t xml:space="preserve">39</w:t>
        </w:r>
      </w:hyperlink>
    </w:p>
    <w:p>
      <w:pPr>
        <w:pStyle w:val="toc3"/>
      </w:pPr>
      <w:hyperlink w:anchor="_Toc000148" w:history="1">
        <w:r>
          <w:t xml:space="preserve">FR-SP-064 Process placement of the renewal account</w:t>
        </w:r>
        <w:r>
          <w:t xml:space="preserve">	</w:t>
        </w:r>
        <w:r>
          <w:t xml:space="preserve">40</w:t>
        </w:r>
      </w:hyperlink>
    </w:p>
    <w:p>
      <w:pPr>
        <w:pStyle w:val="toc3"/>
      </w:pPr>
      <w:hyperlink w:anchor="_Toc000149" w:history="1">
        <w:r>
          <w:t xml:space="preserve">FR-SP-065 Show the booked status in the masterlist</w:t>
        </w:r>
        <w:r>
          <w:t xml:space="preserve">	</w:t>
        </w:r>
        <w:r>
          <w:t xml:space="preserve">40</w:t>
        </w:r>
      </w:hyperlink>
    </w:p>
    <w:p>
      <w:pPr>
        <w:pStyle w:val="toc2"/>
      </w:pPr>
      <w:hyperlink w:anchor="_Toc000150" w:history="1">
        <w:r>
          <w:t xml:space="preserve">4.8 Handling fee</w:t>
        </w:r>
        <w:r>
          <w:t xml:space="preserve">	</w:t>
        </w:r>
        <w:r>
          <w:t xml:space="preserve">41</w:t>
        </w:r>
      </w:hyperlink>
    </w:p>
    <w:p>
      <w:pPr>
        <w:pStyle w:val="toc3"/>
      </w:pPr>
      <w:hyperlink w:anchor="_Toc000151" w:history="1">
        <w:r>
          <w:t xml:space="preserve">FR-SP-070 Tag handling-fee payments in the Unapplied Payment List</w:t>
        </w:r>
        <w:r>
          <w:t xml:space="preserve">	</w:t>
        </w:r>
        <w:r>
          <w:t xml:space="preserve">41</w:t>
        </w:r>
      </w:hyperlink>
    </w:p>
    <w:p>
      <w:pPr>
        <w:pStyle w:val="toc2"/>
      </w:pPr>
      <w:hyperlink w:anchor="_Toc000152" w:history="1">
        <w:r>
          <w:t xml:space="preserve">4.9 Monitoring, reports and notifications</w:t>
        </w:r>
        <w:r>
          <w:t xml:space="preserve">	</w:t>
        </w:r>
        <w:r>
          <w:t xml:space="preserve">43</w:t>
        </w:r>
      </w:hyperlink>
    </w:p>
    <w:p>
      <w:pPr>
        <w:pStyle w:val="toc3"/>
      </w:pPr>
      <w:hyperlink w:anchor="_Toc000153" w:history="1">
        <w:r>
          <w:t xml:space="preserve">FR-SP-080 Generate Submitted Policies reports</w:t>
        </w:r>
        <w:r>
          <w:t xml:space="preserve">	</w:t>
        </w:r>
        <w:r>
          <w:t xml:space="preserve">43</w:t>
        </w:r>
      </w:hyperlink>
    </w:p>
    <w:p>
      <w:pPr>
        <w:pStyle w:val="toc3"/>
      </w:pPr>
      <w:hyperlink w:anchor="_Toc000154" w:history="1">
        <w:r>
          <w:t xml:space="preserve">FR-SP-081 View, download and print reports in several formats</w:t>
        </w:r>
        <w:r>
          <w:t xml:space="preserve">	</w:t>
        </w:r>
        <w:r>
          <w:t xml:space="preserve">44</w:t>
        </w:r>
      </w:hyperlink>
    </w:p>
    <w:p>
      <w:pPr>
        <w:pStyle w:val="toc3"/>
      </w:pPr>
      <w:hyperlink w:anchor="_Toc000155" w:history="1">
        <w:r>
          <w:t xml:space="preserve">FR-SP-082 Send notifications and alerts for key events</w:t>
        </w:r>
        <w:r>
          <w:t xml:space="preserve">	</w:t>
        </w:r>
        <w:r>
          <w:t xml:space="preserve">44</w:t>
        </w:r>
      </w:hyperlink>
    </w:p>
    <w:p>
      <w:pPr>
        <w:pStyle w:val="toc1"/>
      </w:pPr>
      <w:hyperlink w:anchor="_Toc000156" w:history="1">
        <w:r>
          <w:t xml:space="preserve">5 Workflow and status model</w:t>
        </w:r>
        <w:r>
          <w:t xml:space="preserve">	</w:t>
        </w:r>
        <w:r>
          <w:t xml:space="preserve">46</w:t>
        </w:r>
      </w:hyperlink>
    </w:p>
    <w:p>
      <w:pPr>
        <w:pStyle w:val="toc2"/>
      </w:pPr>
      <w:hyperlink w:anchor="_Toc000157" w:history="1">
        <w:r>
          <w:t xml:space="preserve">5.1 Masterlist record (SBM_POLICY)</w:t>
        </w:r>
        <w:r>
          <w:t xml:space="preserve">	</w:t>
        </w:r>
        <w:r>
          <w:t xml:space="preserve">46</w:t>
        </w:r>
      </w:hyperlink>
    </w:p>
    <w:p>
      <w:pPr>
        <w:pStyle w:val="toc2"/>
      </w:pPr>
      <w:hyperlink w:anchor="_Toc000158" w:history="1">
        <w:r>
          <w:t xml:space="preserve">5.2 Processing run</w:t>
        </w:r>
        <w:r>
          <w:t xml:space="preserve">	</w:t>
        </w:r>
        <w:r>
          <w:t xml:space="preserve">47</w:t>
        </w:r>
      </w:hyperlink>
    </w:p>
    <w:p>
      <w:pPr>
        <w:pStyle w:val="toc2"/>
      </w:pPr>
      <w:hyperlink w:anchor="_Toc000159" w:history="1">
        <w:r>
          <w:t xml:space="preserve">5.3 IAAF approval (SBM_IAAF)</w:t>
        </w:r>
        <w:r>
          <w:t xml:space="preserve">	</w:t>
        </w:r>
        <w:r>
          <w:t xml:space="preserve">49</w:t>
        </w:r>
      </w:hyperlink>
    </w:p>
    <w:p>
      <w:pPr>
        <w:pStyle w:val="toc2"/>
      </w:pPr>
      <w:hyperlink w:anchor="_Toc000160" w:history="1">
        <w:r>
          <w:t xml:space="preserve">5.4 TOR approval (SBM_TOR)</w:t>
        </w:r>
        <w:r>
          <w:t xml:space="preserve">	</w:t>
        </w:r>
        <w:r>
          <w:t xml:space="preserve">49</w:t>
        </w:r>
      </w:hyperlink>
    </w:p>
    <w:p>
      <w:pPr>
        <w:pStyle w:val="toc2"/>
      </w:pPr>
      <w:hyperlink w:anchor="_Toc000161" w:history="1">
        <w:r>
          <w:t xml:space="preserve">5.5 Handling-fee tagging</w:t>
        </w:r>
        <w:r>
          <w:t xml:space="preserve">	</w:t>
        </w:r>
        <w:r>
          <w:t xml:space="preserve">50</w:t>
        </w:r>
      </w:hyperlink>
    </w:p>
    <w:p>
      <w:pPr>
        <w:pStyle w:val="toc2"/>
      </w:pPr>
      <w:hyperlink w:anchor="_Toc000162" w:history="1">
        <w:r>
          <w:t xml:space="preserve">5.6 Notifications and alerts</w:t>
        </w:r>
        <w:r>
          <w:t xml:space="preserve">	</w:t>
        </w:r>
        <w:r>
          <w:t xml:space="preserve">50</w:t>
        </w:r>
      </w:hyperlink>
    </w:p>
    <w:p>
      <w:pPr>
        <w:pStyle w:val="toc1"/>
      </w:pPr>
      <w:hyperlink w:anchor="_Toc000163" w:history="1">
        <w:r>
          <w:t xml:space="preserve">6 Reports and documents</w:t>
        </w:r>
        <w:r>
          <w:t xml:space="preserve">	</w:t>
        </w:r>
        <w:r>
          <w:t xml:space="preserve">52</w:t>
        </w:r>
      </w:hyperlink>
    </w:p>
    <w:p>
      <w:pPr>
        <w:pStyle w:val="toc2"/>
      </w:pPr>
      <w:hyperlink w:anchor="_Toc000164" w:history="1">
        <w:r>
          <w:t xml:space="preserve">6.1 Reports</w:t>
        </w:r>
        <w:r>
          <w:t xml:space="preserve">	</w:t>
        </w:r>
        <w:r>
          <w:t xml:space="preserve">52</w:t>
        </w:r>
      </w:hyperlink>
    </w:p>
    <w:p>
      <w:pPr>
        <w:pStyle w:val="toc2"/>
      </w:pPr>
      <w:hyperlink w:anchor="_Toc000165" w:history="1">
        <w:r>
          <w:t xml:space="preserve">6.2 Sanitation report grouping</w:t>
        </w:r>
        <w:r>
          <w:t xml:space="preserve">	</w:t>
        </w:r>
        <w:r>
          <w:t xml:space="preserve">53</w:t>
        </w:r>
      </w:hyperlink>
    </w:p>
    <w:p>
      <w:pPr>
        <w:pStyle w:val="toc2"/>
      </w:pPr>
      <w:hyperlink w:anchor="_Toc000166" w:history="1">
        <w:r>
          <w:t xml:space="preserve">6.3 Documents</w:t>
        </w:r>
        <w:r>
          <w:t xml:space="preserve">	</w:t>
        </w:r>
        <w:r>
          <w:t xml:space="preserve">53</w:t>
        </w:r>
      </w:hyperlink>
    </w:p>
    <w:p>
      <w:pPr>
        <w:pStyle w:val="toc1"/>
      </w:pPr>
      <w:hyperlink w:anchor="_Toc000167" w:history="1">
        <w:r>
          <w:t xml:space="preserve">7 Interfaces and integration</w:t>
        </w:r>
        <w:r>
          <w:t xml:space="preserve">	</w:t>
        </w:r>
        <w:r>
          <w:t xml:space="preserve">54</w:t>
        </w:r>
      </w:hyperlink>
    </w:p>
    <w:p>
      <w:pPr>
        <w:pStyle w:val="toc1"/>
      </w:pPr>
      <w:hyperlink w:anchor="_Toc000168" w:history="1">
        <w:r>
          <w:t xml:space="preserve">8 Non-functional requirements</w:t>
        </w:r>
        <w:r>
          <w:t xml:space="preserve">	</w:t>
        </w:r>
        <w:r>
          <w:t xml:space="preserve">55</w:t>
        </w:r>
      </w:hyperlink>
    </w:p>
    <w:p>
      <w:pPr>
        <w:pStyle w:val="toc1"/>
      </w:pPr>
      <w:hyperlink w:anchor="_Toc000169" w:history="1">
        <w:r>
          <w:t xml:space="preserve">9 Configuration items owned by the business and the System Administrator</w:t>
        </w:r>
        <w:r>
          <w:t xml:space="preserve">	</w:t>
        </w:r>
        <w:r>
          <w:t xml:space="preserve">56</w:t>
        </w:r>
      </w:hyperlink>
    </w:p>
    <w:p>
      <w:pPr>
        <w:pStyle w:val="toc2"/>
      </w:pPr>
      <w:hyperlink w:anchor="_Toc000170" w:history="1">
        <w:r>
          <w:t xml:space="preserve">9.1 Parameters</w:t>
        </w:r>
        <w:r>
          <w:t xml:space="preserve">	</w:t>
        </w:r>
        <w:r>
          <w:t xml:space="preserve">56</w:t>
        </w:r>
      </w:hyperlink>
    </w:p>
    <w:p>
      <w:pPr>
        <w:pStyle w:val="toc2"/>
      </w:pPr>
      <w:hyperlink w:anchor="_Toc000171" w:history="1">
        <w:r>
          <w:t xml:space="preserve">9.2 Lists of values</w:t>
        </w:r>
        <w:r>
          <w:t xml:space="preserve">	</w:t>
        </w:r>
        <w:r>
          <w:t xml:space="preserve">56</w:t>
        </w:r>
      </w:hyperlink>
    </w:p>
    <w:p>
      <w:pPr>
        <w:pStyle w:val="toc2"/>
      </w:pPr>
      <w:hyperlink w:anchor="_Toc000172" w:history="1">
        <w:r>
          <w:t xml:space="preserve">9.3 Masters and rules maintained by the business</w:t>
        </w:r>
        <w:r>
          <w:t xml:space="preserve">	</w:t>
        </w:r>
        <w:r>
          <w:t xml:space="preserve">57</w:t>
        </w:r>
      </w:hyperlink>
    </w:p>
    <w:p>
      <w:pPr>
        <w:pStyle w:val="toc1"/>
      </w:pPr>
      <w:hyperlink w:anchor="_Toc000173" w:history="1">
        <w:r>
          <w:t xml:space="preserve">10 Assumptions, dependencies and open questions</w:t>
        </w:r>
        <w:r>
          <w:t xml:space="preserve">	</w:t>
        </w:r>
        <w:r>
          <w:t xml:space="preserve">58</w:t>
        </w:r>
      </w:hyperlink>
    </w:p>
    <w:p>
      <w:pPr>
        <w:pStyle w:val="toc2"/>
      </w:pPr>
      <w:hyperlink w:anchor="_Toc000174" w:history="1">
        <w:r>
          <w:t xml:space="preserve">10.1 Assumptions</w:t>
        </w:r>
        <w:r>
          <w:t xml:space="preserve">	</w:t>
        </w:r>
        <w:r>
          <w:t xml:space="preserve">58</w:t>
        </w:r>
      </w:hyperlink>
    </w:p>
    <w:p>
      <w:pPr>
        <w:pStyle w:val="toc2"/>
      </w:pPr>
      <w:hyperlink w:anchor="_Toc000175" w:history="1">
        <w:r>
          <w:t xml:space="preserve">10.2 Dependencies</w:t>
        </w:r>
        <w:r>
          <w:t xml:space="preserve">	</w:t>
        </w:r>
        <w:r>
          <w:t xml:space="preserve">58</w:t>
        </w:r>
      </w:hyperlink>
    </w:p>
    <w:p>
      <w:pPr>
        <w:pStyle w:val="toc2"/>
      </w:pPr>
      <w:hyperlink w:anchor="_Toc000176" w:history="1">
        <w:r>
          <w:t xml:space="preserve">10.3 Open questions</w:t>
        </w:r>
        <w:r>
          <w:t xml:space="preserve">	</w:t>
        </w:r>
        <w:r>
          <w:t xml:space="preserve">58</w:t>
        </w:r>
      </w:hyperlink>
    </w:p>
    <w:p>
      <w:pPr>
        <w:pStyle w:val="toc1"/>
      </w:pPr>
      <w:hyperlink w:anchor="_Toc000177" w:history="1">
        <w:r>
          <w:t xml:space="preserve">11 Traceability</w:t>
        </w:r>
        <w:r>
          <w:t xml:space="preserve">	</w:t>
        </w:r>
        <w:r>
          <w:t xml:space="preserve">60</w:t>
        </w:r>
      </w:hyperlink>
    </w:p>
    <w:p>
      <w:pPr>
        <w:pStyle w:val="toc1"/>
      </w:pPr>
      <w:hyperlink w:anchor="_Toc000178" w:history="1">
        <w:r>
          <w:t xml:space="preserve">12 Sign-off</w:t>
        </w:r>
        <w:r>
          <w:t xml:space="preserve">	</w:t>
        </w:r>
        <w:r>
          <w:t xml:space="preserve">62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Submitted Policies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the Submitted Policies module, to test it and to prepare user acceptance testing (UAT). Every functional requirement (FR) cites the BRD requirements it meets and their BRD pages.</w:t>
      </w:r>
    </w:p>
    <w:p>
      <w:r>
        <w:rPr/>
        <w:t xml:space="preserve">Submitted Policies is </w:t>
      </w:r>
      <w:r>
        <w:rPr>
          <w:b/>
        </w:rPr>
        <w:t>designed and not yet built</w:t>
      </w:r>
      <w:r>
        <w:rPr/>
        <w:t>. The FRs describe the behaviour of the build design (R3). Screen names and API paths are those of the design and are confirmed at build. Error codes are assigned at build; this document gives the message text only, except where a check reuses a platform code that already exists (section 1.5).</w:t>
      </w:r>
    </w:p>
    <w:p>
      <w:pPr>
        <w:pStyle w:val="Heading2"/>
      </w:pPr>
      <w:bookmarkStart w:id="103" w:name="_Toc000103"/>
      <w:r>
        <w:rPr/>
        <w:t>1.2 Scope</w:t>
      </w:r>
      <w:bookmarkEnd w:id="103"/>
    </w:p>
    <w:p>
      <w:r>
        <w:rPr/>
        <w:t xml:space="preserve">A </w:t>
      </w:r>
      <w:r>
        <w:rPr>
          <w:b/>
        </w:rPr>
        <w:t>submitted policy</w:t>
      </w:r>
      <w:r>
        <w:rPr/>
        <w:t xml:space="preserve"> is a policy that a bank borrower bought elsewhere and submitted to the bank to insure the collateral of an auto, housing, leasing or corporate loan. BDOI did not place it and earns nothing on it, but it has two interests in it (BRD p.2-5): the adequacy of the collateral cover, which a Policy Reviewer checks and certifies with an IAAF, and the renewal, which BDOI tries to win when the policy expires.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Intake</w:t>
            </w:r>
          </w:p>
        </w:tc>
        <w:tc>
          <w:tcPr>
            <w:tcW w:type="dxa" w:w="5279"/>
            <w:tcMar>
              <w:top w:w="50" w:type="dxa"/>
              <w:bottom w:w="50" w:type="dxa"/>
              <w:left w:w="90" w:type="dxa"/>
              <w:right w:w="90" w:type="dxa"/>
            </w:tcMar>
          </w:tcPr>
          <w:p>
            <w:pPr>
              <w:pStyle w:val="BDOITable"/>
            </w:pPr>
            <w:r>
              <w:rPr>
                <w:sz w:val="18"/>
              </w:rPr>
              <w:t>Submissions from the approved sources, document extraction with confirmation, manual entry and tagging, migration of the Excel masterlists</w:t>
            </w:r>
          </w:p>
        </w:tc>
        <w:tc>
          <w:tcPr>
            <w:tcW w:type="dxa" w:w="2346"/>
            <w:tcMar>
              <w:top w:w="50" w:type="dxa"/>
              <w:bottom w:w="50" w:type="dxa"/>
              <w:left w:w="90" w:type="dxa"/>
              <w:right w:w="90" w:type="dxa"/>
            </w:tcMar>
          </w:tcPr>
          <w:p>
            <w:pPr>
              <w:pStyle w:val="BDOITable"/>
            </w:pPr>
            <w:r>
              <w:rPr>
                <w:sz w:val="18"/>
              </w:rPr>
              <w:t>BRIDSP-01, 02, 03, 33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Masterlist and access</w:t>
            </w:r>
          </w:p>
        </w:tc>
        <w:tc>
          <w:tcPr>
            <w:tcW w:type="dxa" w:w="5279"/>
            <w:tcMar>
              <w:top w:w="50" w:type="dxa"/>
              <w:bottom w:w="50" w:type="dxa"/>
              <w:left w:w="90" w:type="dxa"/>
              <w:right w:w="90" w:type="dxa"/>
            </w:tcMar>
            <w:shd w:val="clear" w:color="auto" w:fill="E5F5FF"/>
          </w:tcPr>
          <w:p>
            <w:pPr>
              <w:pStyle w:val="BDOITable"/>
            </w:pPr>
            <w:r>
              <w:rPr>
                <w:sz w:val="18"/>
              </w:rPr>
              <w:t>One Submitted Masterlist with history; role-based view and extract; handler, conversion status and remarks</w:t>
            </w:r>
          </w:p>
        </w:tc>
        <w:tc>
          <w:tcPr>
            <w:tcW w:type="dxa" w:w="2346"/>
            <w:tcMar>
              <w:top w:w="50" w:type="dxa"/>
              <w:bottom w:w="50" w:type="dxa"/>
              <w:left w:w="90" w:type="dxa"/>
              <w:right w:w="90" w:type="dxa"/>
            </w:tcMar>
            <w:shd w:val="clear" w:color="auto" w:fill="E5F5FF"/>
          </w:tcPr>
          <w:p>
            <w:pPr>
              <w:pStyle w:val="BDOITable"/>
            </w:pPr>
            <w:r>
              <w:rPr>
                <w:sz w:val="18"/>
              </w:rPr>
              <w:t>BRIDSP-04, 28, 29</w:t>
            </w:r>
          </w:p>
        </w:tc>
      </w:tr>
      <w:tr>
        <w:trPr>
          <w:cantSplit w:val="true"/>
        </w:trPr>
        <w:tc>
          <w:tcPr>
            <w:tcW w:type="dxa" w:w="2346"/>
            <w:tcMar>
              <w:top w:w="50" w:type="dxa"/>
              <w:bottom w:w="50" w:type="dxa"/>
              <w:left w:w="90" w:type="dxa"/>
              <w:right w:w="90" w:type="dxa"/>
            </w:tcMar>
          </w:tcPr>
          <w:p>
            <w:pPr>
              <w:pStyle w:val="BDOITable"/>
            </w:pPr>
            <w:r>
              <w:rPr>
                <w:sz w:val="18"/>
              </w:rPr>
              <w:t>Rules and processing</w:t>
            </w:r>
          </w:p>
        </w:tc>
        <w:tc>
          <w:tcPr>
            <w:tcW w:type="dxa" w:w="5279"/>
            <w:tcMar>
              <w:top w:w="50" w:type="dxa"/>
              <w:bottom w:w="50" w:type="dxa"/>
              <w:left w:w="90" w:type="dxa"/>
              <w:right w:w="90" w:type="dxa"/>
            </w:tcMar>
          </w:tcPr>
          <w:p>
            <w:pPr>
              <w:pStyle w:val="BDOITable"/>
            </w:pPr>
            <w:r>
              <w:rPr>
                <w:sz w:val="18"/>
              </w:rPr>
              <w:t>Configurable sanitation, matching, classification and disposition criteria; automatic processing runs; fallout reports</w:t>
            </w:r>
          </w:p>
        </w:tc>
        <w:tc>
          <w:tcPr>
            <w:tcW w:type="dxa" w:w="2346"/>
            <w:tcMar>
              <w:top w:w="50" w:type="dxa"/>
              <w:bottom w:w="50" w:type="dxa"/>
              <w:left w:w="90" w:type="dxa"/>
              <w:right w:w="90" w:type="dxa"/>
            </w:tcMar>
          </w:tcPr>
          <w:p>
            <w:pPr>
              <w:pStyle w:val="BDOITable"/>
            </w:pPr>
            <w:r>
              <w:rPr>
                <w:sz w:val="18"/>
              </w:rPr>
              <w:t>BRIDSP-08, 09, 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Classification</w:t>
            </w:r>
          </w:p>
        </w:tc>
        <w:tc>
          <w:tcPr>
            <w:tcW w:type="dxa" w:w="5279"/>
            <w:tcMar>
              <w:top w:w="50" w:type="dxa"/>
              <w:bottom w:w="50" w:type="dxa"/>
              <w:left w:w="90" w:type="dxa"/>
              <w:right w:w="90" w:type="dxa"/>
            </w:tcMar>
            <w:shd w:val="clear" w:color="auto" w:fill="E5F5FF"/>
          </w:tcPr>
          <w:p>
            <w:pPr>
              <w:pStyle w:val="BDOITable"/>
            </w:pPr>
            <w:r>
              <w:rPr>
                <w:sz w:val="18"/>
              </w:rPr>
              <w:t>Inforced / Submitted; qualification, non-renewal and inforced buckets; RA template choice</w:t>
            </w:r>
          </w:p>
        </w:tc>
        <w:tc>
          <w:tcPr>
            <w:tcW w:type="dxa" w:w="2346"/>
            <w:tcMar>
              <w:top w:w="50" w:type="dxa"/>
              <w:bottom w:w="50" w:type="dxa"/>
              <w:left w:w="90" w:type="dxa"/>
              <w:right w:w="90" w:type="dxa"/>
            </w:tcMar>
            <w:shd w:val="clear" w:color="auto" w:fill="E5F5FF"/>
          </w:tcPr>
          <w:p>
            <w:pPr>
              <w:pStyle w:val="BDOITable"/>
            </w:pPr>
            <w:r>
              <w:rPr>
                <w:sz w:val="18"/>
              </w:rPr>
              <w:t>BRIDSP-11 to 15</w:t>
            </w:r>
          </w:p>
        </w:tc>
      </w:tr>
      <w:tr>
        <w:trPr>
          <w:cantSplit w:val="true"/>
        </w:trPr>
        <w:tc>
          <w:tcPr>
            <w:tcW w:type="dxa" w:w="2346"/>
            <w:tcMar>
              <w:top w:w="50" w:type="dxa"/>
              <w:bottom w:w="50" w:type="dxa"/>
              <w:left w:w="90" w:type="dxa"/>
              <w:right w:w="90" w:type="dxa"/>
            </w:tcMar>
          </w:tcPr>
          <w:p>
            <w:pPr>
              <w:pStyle w:val="BDOITable"/>
            </w:pPr>
            <w:r>
              <w:rPr>
                <w:sz w:val="18"/>
              </w:rPr>
              <w:t>Policy review</w:t>
            </w:r>
          </w:p>
        </w:tc>
        <w:tc>
          <w:tcPr>
            <w:tcW w:type="dxa" w:w="5279"/>
            <w:tcMar>
              <w:top w:w="50" w:type="dxa"/>
              <w:bottom w:w="50" w:type="dxa"/>
              <w:left w:w="90" w:type="dxa"/>
              <w:right w:w="90" w:type="dxa"/>
            </w:tcMar>
          </w:tcPr>
          <w:p>
            <w:pPr>
              <w:pStyle w:val="BDOITable"/>
            </w:pPr>
            <w:r>
              <w:rPr>
                <w:sz w:val="18"/>
              </w:rPr>
              <w:t>IAAF per policy with reviews, approval matrix and signature</w:t>
            </w:r>
          </w:p>
        </w:tc>
        <w:tc>
          <w:tcPr>
            <w:tcW w:type="dxa" w:w="2346"/>
            <w:tcMar>
              <w:top w:w="50" w:type="dxa"/>
              <w:bottom w:w="50" w:type="dxa"/>
              <w:left w:w="90" w:type="dxa"/>
              <w:right w:w="90" w:type="dxa"/>
            </w:tcMar>
          </w:tcPr>
          <w:p>
            <w:pPr>
              <w:pStyle w:val="BDOITable"/>
            </w:pPr>
            <w:r>
              <w:rPr>
                <w:sz w:val="18"/>
              </w:rPr>
              <w:t>BRIDSP-05, 06, 07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Limits and TOR</w:t>
            </w:r>
          </w:p>
        </w:tc>
        <w:tc>
          <w:tcPr>
            <w:tcW w:type="dxa" w:w="5279"/>
            <w:tcMar>
              <w:top w:w="50" w:type="dxa"/>
              <w:bottom w:w="50" w:type="dxa"/>
              <w:left w:w="90" w:type="dxa"/>
              <w:right w:w="90" w:type="dxa"/>
            </w:tcMar>
            <w:shd w:val="clear" w:color="auto" w:fill="E5F5FF"/>
          </w:tcPr>
          <w:p>
            <w:pPr>
              <w:pStyle w:val="BDOITable"/>
            </w:pPr>
            <w:r>
              <w:rPr>
                <w:sz w:val="18"/>
              </w:rPr>
              <w:t>Limit breaches, Terms of Reference, TSU approval, hand-over to the AO</w:t>
            </w:r>
          </w:p>
        </w:tc>
        <w:tc>
          <w:tcPr>
            <w:tcW w:type="dxa" w:w="2346"/>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2346"/>
            <w:tcMar>
              <w:top w:w="50" w:type="dxa"/>
              <w:bottom w:w="50" w:type="dxa"/>
              <w:left w:w="90" w:type="dxa"/>
              <w:right w:w="90" w:type="dxa"/>
            </w:tcMar>
          </w:tcPr>
          <w:p>
            <w:pPr>
              <w:pStyle w:val="BDOITable"/>
            </w:pPr>
            <w:r>
              <w:rPr>
                <w:sz w:val="18"/>
              </w:rPr>
              <w:t>Renewal hand-off</w:t>
            </w:r>
          </w:p>
        </w:tc>
        <w:tc>
          <w:tcPr>
            <w:tcW w:type="dxa" w:w="5279"/>
            <w:tcMar>
              <w:top w:w="50" w:type="dxa"/>
              <w:bottom w:w="50" w:type="dxa"/>
              <w:left w:w="90" w:type="dxa"/>
              <w:right w:w="90" w:type="dxa"/>
            </w:tcMar>
          </w:tcPr>
          <w:p>
            <w:pPr>
              <w:pStyle w:val="BDOITable"/>
            </w:pPr>
            <w:r>
              <w:rPr>
                <w:sz w:val="18"/>
              </w:rPr>
              <w:t>Expiry detection, list of renewable policies, hand-off to Renewal, letters and proposals, hold cover re-assignment, placement and booking status</w:t>
            </w:r>
          </w:p>
        </w:tc>
        <w:tc>
          <w:tcPr>
            <w:tcW w:type="dxa" w:w="2346"/>
            <w:tcMar>
              <w:top w:w="50" w:type="dxa"/>
              <w:bottom w:w="50" w:type="dxa"/>
              <w:left w:w="90" w:type="dxa"/>
              <w:right w:w="90" w:type="dxa"/>
            </w:tcMar>
          </w:tcPr>
          <w:p>
            <w:pPr>
              <w:pStyle w:val="BDOITable"/>
            </w:pPr>
            <w:r>
              <w:rPr>
                <w:sz w:val="18"/>
              </w:rPr>
              <w:t>BRIDSP-22, 23, 25, 26, 27, 32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Handling fee</w:t>
            </w:r>
          </w:p>
        </w:tc>
        <w:tc>
          <w:tcPr>
            <w:tcW w:type="dxa" w:w="5279"/>
            <w:tcMar>
              <w:top w:w="50" w:type="dxa"/>
              <w:bottom w:w="50" w:type="dxa"/>
              <w:left w:w="90" w:type="dxa"/>
              <w:right w:w="90" w:type="dxa"/>
            </w:tcMar>
            <w:shd w:val="clear" w:color="auto" w:fill="E5F5FF"/>
          </w:tcPr>
          <w:p>
            <w:pPr>
              <w:pStyle w:val="BDOITable"/>
            </w:pPr>
            <w:r>
              <w:rPr>
                <w:sz w:val="18"/>
              </w:rPr>
              <w:t>Tagging of handling-fee payments in the Unapplied Payment List</w:t>
            </w:r>
          </w:p>
        </w:tc>
        <w:tc>
          <w:tcPr>
            <w:tcW w:type="dxa" w:w="2346"/>
            <w:tcMar>
              <w:top w:w="50" w:type="dxa"/>
              <w:bottom w:w="50" w:type="dxa"/>
              <w:left w:w="90" w:type="dxa"/>
              <w:right w:w="90" w:type="dxa"/>
            </w:tcMar>
            <w:shd w:val="clear" w:color="auto" w:fill="E5F5FF"/>
          </w:tcPr>
          <w:p>
            <w:pPr>
              <w:pStyle w:val="BDOITable"/>
            </w:pPr>
            <w:r>
              <w:rPr>
                <w:sz w:val="18"/>
              </w:rPr>
              <w:t>BRIDSP-31</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Reports in several formats, notifications and alerts</w:t>
            </w:r>
          </w:p>
        </w:tc>
        <w:tc>
          <w:tcPr>
            <w:tcW w:type="dxa" w:w="2346"/>
            <w:tcMar>
              <w:top w:w="50" w:type="dxa"/>
              <w:bottom w:w="50" w:type="dxa"/>
              <w:left w:w="90" w:type="dxa"/>
              <w:right w:w="90" w:type="dxa"/>
            </w:tcMar>
          </w:tcPr>
          <w:p>
            <w:pPr>
              <w:pStyle w:val="BDOITable"/>
            </w:pPr>
            <w:r>
              <w:rPr>
                <w:sz w:val="18"/>
              </w:rPr>
              <w:t>BRIDSP-20, 21, 24, 30</w:t>
            </w:r>
          </w:p>
        </w:tc>
      </w:tr>
    </w:tbl>
    <w:p>
      <w:pPr>
        <w:pStyle w:val="BDOISpacer"/>
      </w:pPr>
    </w:p>
    <w:p>
      <w:r>
        <w:rPr>
          <w:b/>
        </w:rPr>
        <w:t>Out of scope for this phase:</w:t>
      </w:r>
    </w:p>
    <w:p>
      <w:pPr>
        <w:tabs>
          <w:tab w:pos="312" w:val="left"/>
        </w:tabs>
        <w:spacing w:after="40"/>
        <w:ind w:left="312" w:hanging="283"/>
      </w:pPr>
      <w:r>
        <w:rPr>
          <w:color w:val="004EA8"/>
        </w:rPr>
        <w:t>•</w:t>
        <w:tab/>
      </w:r>
      <w:r>
        <w:rPr/>
        <w:t>The renewal process itself after the hand-off: renewal account, hold cover request, RA, NRNS, NAL and SFU letters. It belongs to BRD-6 Renewal, which implements the hand-off port (cross-BRD decision D2, R5). This document specifies what Submitted Policies does before and around the hand-off.</w:t>
      </w:r>
    </w:p>
    <w:p>
      <w:pPr>
        <w:tabs>
          <w:tab w:pos="312" w:val="left"/>
        </w:tabs>
        <w:spacing w:after="40"/>
        <w:ind w:left="312" w:hanging="283"/>
      </w:pPr>
      <w:r>
        <w:rPr>
          <w:color w:val="004EA8"/>
        </w:rPr>
        <w:t>•</w:t>
        <w:tab/>
      </w:r>
      <w:r>
        <w:rPr/>
        <w:t>Direct feeds from LFS, HLS, CIU, SPI and LAMD, OCR of scanned documents, a qualified electronic signature and the mail-house (COG) transport. They are built as ports whose default is an upload, manual entry, a stamped signature or a print batch.</w:t>
      </w:r>
    </w:p>
    <w:p>
      <w:pPr>
        <w:tabs>
          <w:tab w:pos="312" w:val="left"/>
        </w:tabs>
        <w:spacing w:after="120"/>
        <w:ind w:left="312" w:hanging="283"/>
      </w:pPr>
      <w:r>
        <w:rPr>
          <w:color w:val="004EA8"/>
        </w:rPr>
        <w:t>•</w:t>
        <w:tab/>
      </w:r>
      <w:r>
        <w:rPr/>
        <w:t>The ISYS reference and the ARF of the current process. The BIBS ARN replaces them (SP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BDOI Submitted Policies BRD (16 pages; pages 1-12 scanned)</w:t>
            </w:r>
          </w:p>
        </w:tc>
        <w:tc>
          <w:tcPr>
            <w:tcW w:type="dxa" w:w="2040"/>
            <w:tcMar>
              <w:top w:w="50" w:type="dxa"/>
              <w:bottom w:w="50" w:type="dxa"/>
              <w:left w:w="90" w:type="dxa"/>
              <w:right w:w="90" w:type="dxa"/>
            </w:tcMar>
          </w:tcPr>
          <w:p>
            <w:pPr>
              <w:pStyle w:val="BDOITable"/>
            </w:pPr>
            <w:r>
              <w:rPr>
                <w:sz w:val="18"/>
              </w:rPr>
              <w:t>v1.3, 20-Apr-2026; e-signed 24 to 28-Apr-2026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docs/source-documents/BRD - Submitted Policies (with e-sig MCM 4.24.2026).pdf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Report List (Submitted Policies rows #133-#164)</w:t>
            </w:r>
          </w:p>
        </w:tc>
        <w:tc>
          <w:tcPr>
            <w:tcW w:type="dxa" w:w="2040"/>
            <w:tcMar>
              <w:top w:w="50" w:type="dxa"/>
              <w:bottom w:w="50" w:type="dxa"/>
              <w:left w:w="90" w:type="dxa"/>
              <w:right w:w="90" w:type="dxa"/>
            </w:tcMar>
            <w:shd w:val="clear" w:color="auto" w:fill="E5F5FF"/>
          </w:tcPr>
          <w:p>
            <w:pPr>
              <w:pStyle w:val="BDOITable"/>
            </w:pPr>
            <w:r>
              <w:rPr>
                <w:sz w:val="18"/>
              </w:rPr>
              <w:t>27-Apr-2026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docs/source-documents/Report List as of APR-27-2026.pdf</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Submitted Policies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docs/architecture/SUBMITTED_POLICIES_DESIGN.md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Submitted Policies (BRD-12)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docs/requirements/BDOI_SP_BRD_SPEC.md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 (BRD-6 to BRD-12)</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 xml:space="preserve">Renewal build design (implementation of </w:t>
            </w:r>
            <w:r>
              <w:rPr>
                <w:rFonts w:ascii="Courier New" w:hAnsi="Courier New" w:cs="Courier New" w:eastAsia="Courier New"/>
                <w:color w:val="2E2E2E"/>
                <w:sz w:val="16"/>
              </w:rPr>
              <w:t>RenewalHandOff</w:t>
            </w:r>
            <w:r>
              <w:rPr>
                <w:sz w:val="18"/>
              </w:rPr>
              <w:t>) and FRS BRD-6 Renewal</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docs/architecture/RENEWAL_DESIGN.md</w:t>
            </w:r>
            <w:r>
              <w:rPr>
                <w:sz w:val="18"/>
              </w:rPr>
              <w:t>; BIBS-FRS-BRD-06</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bl>
    <w:p>
      <w:pPr>
        <w:pStyle w:val="BDOISpacer"/>
      </w:pPr>
    </w:p>
    <w:p>
      <w:r>
        <w:rPr/>
        <w:t>Page references in this document ("p.9") are pages of the BRD PDF (R1); "RL #nnn" is a row of the Report List (R2). The question prefix SQ is shared by two BRDs; this document writes the Submitted Policies questions as SP SQnn (cross-BRD question XQ07).</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MAO in the BRD process pages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BRIDSP</w:t>
            </w:r>
          </w:p>
        </w:tc>
        <w:tc>
          <w:tcPr>
            <w:tcW w:type="dxa" w:w="7932"/>
            <w:tcMar>
              <w:top w:w="50" w:type="dxa"/>
              <w:bottom w:w="50" w:type="dxa"/>
              <w:left w:w="90" w:type="dxa"/>
              <w:right w:w="90" w:type="dxa"/>
            </w:tcMar>
          </w:tcPr>
          <w:p>
            <w:pPr>
              <w:pStyle w:val="BDOITable"/>
            </w:pPr>
            <w:r>
              <w:rPr>
                <w:sz w:val="18"/>
              </w:rPr>
              <w:t>Requirement ID prefix of this BRD (BRIDSP-01 to BRIDSP-33)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Bucket</w:t>
            </w:r>
          </w:p>
        </w:tc>
        <w:tc>
          <w:tcPr>
            <w:tcW w:type="dxa" w:w="7932"/>
            <w:tcMar>
              <w:top w:w="50" w:type="dxa"/>
              <w:bottom w:w="50" w:type="dxa"/>
              <w:left w:w="90" w:type="dxa"/>
              <w:right w:w="90" w:type="dxa"/>
            </w:tcMar>
            <w:shd w:val="clear" w:color="auto" w:fill="E5F5FF"/>
          </w:tcPr>
          <w:p>
            <w:pPr>
              <w:pStyle w:val="BDOITable"/>
            </w:pPr>
            <w:r>
              <w:rPr>
                <w:sz w:val="18"/>
              </w:rPr>
              <w:t>Qualification group of a policy after classification, which decides its next action (BRIDSP-12, 14, 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(CBG Motor, CBG Fire)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CIU</w:t>
            </w:r>
          </w:p>
        </w:tc>
        <w:tc>
          <w:tcPr>
            <w:tcW w:type="dxa" w:w="7932"/>
            <w:tcMar>
              <w:top w:w="50" w:type="dxa"/>
              <w:bottom w:w="50" w:type="dxa"/>
              <w:left w:w="90" w:type="dxa"/>
              <w:right w:w="90" w:type="dxa"/>
            </w:tcMar>
            <w:shd w:val="clear" w:color="auto" w:fill="E5F5FF"/>
          </w:tcPr>
          <w:p>
            <w:pPr>
              <w:pStyle w:val="BDOITable"/>
            </w:pPr>
            <w:r>
              <w:rPr>
                <w:sz w:val="18"/>
              </w:rPr>
              <w:t>Source report of CBG Motor policy details (not expanded in the BRD, SP SQ19)</w:t>
            </w:r>
          </w:p>
        </w:tc>
      </w:tr>
      <w:tr>
        <w:trPr>
          <w:cantSplit w:val="true"/>
        </w:trPr>
        <w:tc>
          <w:tcPr>
            <w:tcW w:type="dxa" w:w="2040"/>
            <w:tcMar>
              <w:top w:w="50" w:type="dxa"/>
              <w:bottom w:w="50" w:type="dxa"/>
              <w:left w:w="90" w:type="dxa"/>
              <w:right w:w="90" w:type="dxa"/>
            </w:tcMar>
          </w:tcPr>
          <w:p>
            <w:pPr>
              <w:pStyle w:val="BDOITable"/>
            </w:pPr>
            <w:r>
              <w:rPr>
                <w:b/>
                <w:sz w:val="18"/>
              </w:rPr>
              <w:t>CLPC</w:t>
            </w:r>
          </w:p>
        </w:tc>
        <w:tc>
          <w:tcPr>
            <w:tcW w:type="dxa" w:w="7932"/>
            <w:tcMar>
              <w:top w:w="50" w:type="dxa"/>
              <w:bottom w:w="50" w:type="dxa"/>
              <w:left w:w="90" w:type="dxa"/>
              <w:right w:w="90" w:type="dxa"/>
            </w:tcMar>
          </w:tcPr>
          <w:p>
            <w:pPr>
              <w:pStyle w:val="BDOITable"/>
            </w:pPr>
            <w:r>
              <w:rPr>
                <w:sz w:val="18"/>
              </w:rPr>
              <w:t>Payment channel whose payments carry the PN number (BRIDSP-31)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Unit that prints and mails letters today (mail house)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 promotion of auto loans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HLS</w:t>
            </w:r>
          </w:p>
        </w:tc>
        <w:tc>
          <w:tcPr>
            <w:tcW w:type="dxa" w:w="7932"/>
            <w:tcMar>
              <w:top w:w="50" w:type="dxa"/>
              <w:bottom w:w="50" w:type="dxa"/>
              <w:left w:w="90" w:type="dxa"/>
              <w:right w:w="90" w:type="dxa"/>
            </w:tcMar>
            <w:shd w:val="clear" w:color="auto" w:fill="E5F5FF"/>
          </w:tcPr>
          <w:p>
            <w:pPr>
              <w:pStyle w:val="BDOITable"/>
            </w:pPr>
            <w:r>
              <w:rPr>
                <w:sz w:val="18"/>
              </w:rPr>
              <w:t>Home loan system; source of the daily insurance report (CBG Fire)</w:t>
            </w:r>
          </w:p>
        </w:tc>
      </w:tr>
      <w:tr>
        <w:trPr>
          <w:cantSplit w:val="true"/>
        </w:trPr>
        <w:tc>
          <w:tcPr>
            <w:tcW w:type="dxa" w:w="2040"/>
            <w:tcMar>
              <w:top w:w="50" w:type="dxa"/>
              <w:bottom w:w="50" w:type="dxa"/>
              <w:left w:w="90" w:type="dxa"/>
              <w:right w:w="90" w:type="dxa"/>
            </w:tcMar>
          </w:tcPr>
          <w:p>
            <w:pPr>
              <w:pStyle w:val="BDOITable"/>
            </w:pPr>
            <w:r>
              <w:rPr>
                <w:b/>
                <w:sz w:val="18"/>
              </w:rPr>
              <w:t>IAAF</w:t>
            </w:r>
          </w:p>
        </w:tc>
        <w:tc>
          <w:tcPr>
            <w:tcW w:type="dxa" w:w="7932"/>
            <w:tcMar>
              <w:top w:w="50" w:type="dxa"/>
              <w:bottom w:w="50" w:type="dxa"/>
              <w:left w:w="90" w:type="dxa"/>
              <w:right w:w="90" w:type="dxa"/>
            </w:tcMar>
          </w:tcPr>
          <w:p>
            <w:pPr>
              <w:pStyle w:val="BDOITable"/>
            </w:pPr>
            <w:r>
              <w:rPr>
                <w:sz w:val="18"/>
              </w:rPr>
              <w:t>Insurance Adequacy Assessment Form, issued to the bank counterpart after a policy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Inforced</w:t>
            </w:r>
          </w:p>
        </w:tc>
        <w:tc>
          <w:tcPr>
            <w:tcW w:type="dxa" w:w="7932"/>
            <w:tcMar>
              <w:top w:w="50" w:type="dxa"/>
              <w:bottom w:w="50" w:type="dxa"/>
              <w:left w:w="90" w:type="dxa"/>
              <w:right w:w="90" w:type="dxa"/>
            </w:tcMar>
            <w:shd w:val="clear" w:color="auto" w:fill="E5F5FF"/>
          </w:tcPr>
          <w:p>
            <w:pPr>
              <w:pStyle w:val="BDOITable"/>
            </w:pPr>
            <w:r>
              <w:rPr>
                <w:sz w:val="18"/>
              </w:rPr>
              <w:t>Policy whose PN does not match an active LAMD loan (BRIDSP-15; definition SP SQ04)</w:t>
            </w:r>
          </w:p>
        </w:tc>
      </w:tr>
      <w:tr>
        <w:trPr>
          <w:cantSplit w:val="true"/>
        </w:trPr>
        <w:tc>
          <w:tcPr>
            <w:tcW w:type="dxa" w:w="2040"/>
            <w:tcMar>
              <w:top w:w="50" w:type="dxa"/>
              <w:bottom w:w="50" w:type="dxa"/>
              <w:left w:w="90" w:type="dxa"/>
              <w:right w:w="90" w:type="dxa"/>
            </w:tcMar>
          </w:tcPr>
          <w:p>
            <w:pPr>
              <w:pStyle w:val="BDOITable"/>
            </w:pPr>
            <w:r>
              <w:rPr>
                <w:b/>
                <w:sz w:val="18"/>
              </w:rPr>
              <w:t>LAMD</w:t>
            </w:r>
          </w:p>
        </w:tc>
        <w:tc>
          <w:tcPr>
            <w:tcW w:type="dxa" w:w="7932"/>
            <w:tcMar>
              <w:top w:w="50" w:type="dxa"/>
              <w:bottom w:w="50" w:type="dxa"/>
              <w:left w:w="90" w:type="dxa"/>
              <w:right w:w="90" w:type="dxa"/>
            </w:tcMar>
          </w:tcPr>
          <w:p>
            <w:pPr>
              <w:pStyle w:val="BDOITable"/>
            </w:pPr>
            <w:r>
              <w:rPr>
                <w:sz w:val="18"/>
              </w:rPr>
              <w:t>Bank loan unit whose loan report is matched by PN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LFS</w:t>
            </w:r>
          </w:p>
        </w:tc>
        <w:tc>
          <w:tcPr>
            <w:tcW w:type="dxa" w:w="7932"/>
            <w:tcMar>
              <w:top w:w="50" w:type="dxa"/>
              <w:bottom w:w="50" w:type="dxa"/>
              <w:left w:w="90" w:type="dxa"/>
              <w:right w:w="90" w:type="dxa"/>
            </w:tcMar>
            <w:shd w:val="clear" w:color="auto" w:fill="E5F5FF"/>
          </w:tcPr>
          <w:p>
            <w:pPr>
              <w:pStyle w:val="BDOITable"/>
            </w:pPr>
            <w:r>
              <w:rPr>
                <w:sz w:val="18"/>
              </w:rPr>
              <w:t>Loan system of the auto loans; source of the insurance report (CBG Motor)</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w:t>
            </w:r>
          </w:p>
        </w:tc>
      </w:tr>
      <w:tr>
        <w:trPr>
          <w:cantSplit w:val="true"/>
        </w:trPr>
        <w:tc>
          <w:tcPr>
            <w:tcW w:type="dxa" w:w="2040"/>
            <w:tcMar>
              <w:top w:w="50" w:type="dxa"/>
              <w:bottom w:w="50" w:type="dxa"/>
              <w:left w:w="90" w:type="dxa"/>
              <w:right w:w="90" w:type="dxa"/>
            </w:tcMar>
          </w:tcPr>
          <w:p>
            <w:pPr>
              <w:pStyle w:val="BDOITable"/>
            </w:pPr>
            <w:r>
              <w:rPr>
                <w:b/>
                <w:sz w:val="18"/>
              </w:rPr>
              <w:t>No Touch</w:t>
            </w:r>
          </w:p>
        </w:tc>
        <w:tc>
          <w:tcPr>
            <w:tcW w:type="dxa" w:w="7932"/>
            <w:tcMar>
              <w:top w:w="50" w:type="dxa"/>
              <w:bottom w:w="50" w:type="dxa"/>
              <w:left w:w="90" w:type="dxa"/>
              <w:right w:w="90" w:type="dxa"/>
            </w:tcMar>
          </w:tcPr>
          <w:p>
            <w:pPr>
              <w:pStyle w:val="BDOITable"/>
            </w:pPr>
            <w:r>
              <w:rPr>
                <w:sz w:val="18"/>
              </w:rPr>
              <w:t>Submitted CBG Motor accounts that BDOI sends to the insurer for validation and billing (Report List row 164)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NRNS</w:t>
            </w:r>
          </w:p>
        </w:tc>
        <w:tc>
          <w:tcPr>
            <w:tcW w:type="dxa" w:w="7932"/>
            <w:tcMar>
              <w:top w:w="50" w:type="dxa"/>
              <w:bottom w:w="50" w:type="dxa"/>
              <w:left w:w="90" w:type="dxa"/>
              <w:right w:w="90" w:type="dxa"/>
            </w:tcMar>
            <w:shd w:val="clear" w:color="auto" w:fill="E5F5FF"/>
          </w:tcPr>
          <w:p>
            <w:pPr>
              <w:pStyle w:val="BDOITable"/>
            </w:pPr>
            <w:r>
              <w:rPr>
                <w:sz w:val="18"/>
              </w:rPr>
              <w:t>No Renew / No Submit letter or notification</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channel; payments carry a location reference number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letter (generic or FFY template)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RMU</w:t>
            </w:r>
          </w:p>
        </w:tc>
        <w:tc>
          <w:tcPr>
            <w:tcW w:type="dxa" w:w="7932"/>
            <w:tcMar>
              <w:top w:w="50" w:type="dxa"/>
              <w:bottom w:w="50" w:type="dxa"/>
              <w:left w:w="90" w:type="dxa"/>
              <w:right w:w="90" w:type="dxa"/>
            </w:tcMar>
            <w:shd w:val="clear" w:color="auto" w:fill="E5F5FF"/>
          </w:tcPr>
          <w:p>
            <w:pPr>
              <w:pStyle w:val="BDOITable"/>
            </w:pPr>
            <w:r>
              <w:rPr>
                <w:sz w:val="18"/>
              </w:rPr>
              <w:t>Remedial Management Unit</w:t>
            </w:r>
          </w:p>
        </w:tc>
      </w:tr>
      <w:tr>
        <w:trPr>
          <w:cantSplit w:val="true"/>
        </w:trPr>
        <w:tc>
          <w:tcPr>
            <w:tcW w:type="dxa" w:w="2040"/>
            <w:tcMar>
              <w:top w:w="50" w:type="dxa"/>
              <w:bottom w:w="50" w:type="dxa"/>
              <w:left w:w="90" w:type="dxa"/>
              <w:right w:w="90" w:type="dxa"/>
            </w:tcMar>
          </w:tcPr>
          <w:p>
            <w:pPr>
              <w:pStyle w:val="BDOITable"/>
            </w:pPr>
            <w:r>
              <w:rPr>
                <w:b/>
                <w:sz w:val="18"/>
              </w:rPr>
              <w:t>SBM</w:t>
            </w:r>
          </w:p>
        </w:tc>
        <w:tc>
          <w:tcPr>
            <w:tcW w:type="dxa" w:w="7932"/>
            <w:tcMar>
              <w:top w:w="50" w:type="dxa"/>
              <w:bottom w:w="50" w:type="dxa"/>
              <w:left w:w="90" w:type="dxa"/>
              <w:right w:w="90" w:type="dxa"/>
            </w:tcMar>
          </w:tcPr>
          <w:p>
            <w:pPr>
              <w:pStyle w:val="BDOITable"/>
            </w:pPr>
            <w:r>
              <w:rPr>
                <w:sz w:val="18"/>
              </w:rPr>
              <w:t>Prefix of masterlist numbers (SBM-yyyy-nnnnnn) and of the module's codes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SFU</w:t>
            </w:r>
          </w:p>
        </w:tc>
        <w:tc>
          <w:tcPr>
            <w:tcW w:type="dxa" w:w="7932"/>
            <w:tcMar>
              <w:top w:w="50" w:type="dxa"/>
              <w:bottom w:w="50" w:type="dxa"/>
              <w:left w:w="90" w:type="dxa"/>
              <w:right w:w="90" w:type="dxa"/>
            </w:tcMar>
            <w:shd w:val="clear" w:color="auto" w:fill="E5F5FF"/>
          </w:tcPr>
          <w:p>
            <w:pPr>
              <w:pStyle w:val="BDOITable"/>
            </w:pPr>
            <w:r>
              <w:rPr>
                <w:sz w:val="18"/>
              </w:rPr>
              <w:t>Letter to mortgaged CBG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SP SQnn</w:t>
            </w:r>
          </w:p>
        </w:tc>
        <w:tc>
          <w:tcPr>
            <w:tcW w:type="dxa" w:w="7932"/>
            <w:tcMar>
              <w:top w:w="50" w:type="dxa"/>
              <w:bottom w:w="50" w:type="dxa"/>
              <w:left w:w="90" w:type="dxa"/>
              <w:right w:w="90" w:type="dxa"/>
            </w:tcMar>
          </w:tcPr>
          <w:p>
            <w:pPr>
              <w:pStyle w:val="BDOITable"/>
            </w:pPr>
            <w:r>
              <w:rPr>
                <w:sz w:val="18"/>
              </w:rPr>
              <w:t>Open question on BRD-12 raised by the project team (section 10.3)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SPI</w:t>
            </w:r>
          </w:p>
        </w:tc>
        <w:tc>
          <w:tcPr>
            <w:tcW w:type="dxa" w:w="7932"/>
            <w:tcMar>
              <w:top w:w="50" w:type="dxa"/>
              <w:bottom w:w="50" w:type="dxa"/>
              <w:left w:w="90" w:type="dxa"/>
              <w:right w:w="90" w:type="dxa"/>
            </w:tcMar>
            <w:shd w:val="clear" w:color="auto" w:fill="E5F5FF"/>
          </w:tcPr>
          <w:p>
            <w:pPr>
              <w:pStyle w:val="BDOITable"/>
            </w:pPr>
            <w:r>
              <w:rPr>
                <w:sz w:val="18"/>
              </w:rPr>
              <w:t>Consolidated list of submitted policies (not expanded in the BRD)</w:t>
            </w:r>
          </w:p>
        </w:tc>
      </w:tr>
      <w:tr>
        <w:trPr>
          <w:cantSplit w:val="true"/>
        </w:trPr>
        <w:tc>
          <w:tcPr>
            <w:tcW w:type="dxa" w:w="2040"/>
            <w:tcMar>
              <w:top w:w="50" w:type="dxa"/>
              <w:bottom w:w="50" w:type="dxa"/>
              <w:left w:w="90" w:type="dxa"/>
              <w:right w:w="90" w:type="dxa"/>
            </w:tcMar>
          </w:tcPr>
          <w:p>
            <w:pPr>
              <w:pStyle w:val="BDOITable"/>
            </w:pPr>
            <w:r>
              <w:rPr>
                <w:b/>
                <w:sz w:val="18"/>
              </w:rPr>
              <w:t>Submitted</w:t>
            </w:r>
          </w:p>
        </w:tc>
        <w:tc>
          <w:tcPr>
            <w:tcW w:type="dxa" w:w="7932"/>
            <w:tcMar>
              <w:top w:w="50" w:type="dxa"/>
              <w:bottom w:w="50" w:type="dxa"/>
              <w:left w:w="90" w:type="dxa"/>
              <w:right w:w="90" w:type="dxa"/>
            </w:tcMar>
          </w:tcPr>
          <w:p>
            <w:pPr>
              <w:pStyle w:val="BDOITable"/>
            </w:pPr>
            <w:r>
              <w:rPr>
                <w:sz w:val="18"/>
              </w:rPr>
              <w:t>Policy whose PN matches an active LAMD loan and that BDOI did not place (BRIDSP-12)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TOR</w:t>
            </w:r>
          </w:p>
        </w:tc>
        <w:tc>
          <w:tcPr>
            <w:tcW w:type="dxa" w:w="7932"/>
            <w:tcMar>
              <w:top w:w="50" w:type="dxa"/>
              <w:bottom w:w="50" w:type="dxa"/>
              <w:left w:w="90" w:type="dxa"/>
              <w:right w:w="90" w:type="dxa"/>
            </w:tcMar>
            <w:shd w:val="clear" w:color="auto" w:fill="E5F5FF"/>
          </w:tcPr>
          <w:p>
            <w:pPr>
              <w:pStyle w:val="BDOITable"/>
            </w:pPr>
            <w:r>
              <w:rPr>
                <w:sz w:val="18"/>
              </w:rPr>
              <w:t>Terms of Reference, prepared when an account exceeds acceptance or coverage limits (BRIDSP-17)</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 List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persona and the BIBS role),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of the build design (R3).</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(rule sets, matrices, parameters, lists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of the Submitted Policies module are assigned at build ("To be assigned at build"). A code is quoted only where the check reuses a platform code that exists today. A "-" marks a screen check (for example a blank mandatory field).</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the basis of the BRD-12 test plan.</w:t>
      </w:r>
    </w:p>
    <w:p>
      <w:r>
        <w:rPr/>
        <w:t>The BRD writes its personas as "As a System", "As a Marketing User", "As an Account Officer", "As a Placement User", "As a Booking User" and "As a User". The FRs name the BIBS roles that act for them (section 3).</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acceptance days, thresholds,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BRD-12</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submitted policies are tracked per segment in Excel masterlists on a shared drive, with e-mail and SharePoint (p.4-5). CBG Motor Team Leads extract policy details from LFS and CIU and the Submitted Handler consolidates them within 30 days; CBG Fire policies come from Home Loan AOs and are reviewed for adequacy; Non-CBG Corporate and Branch policies are reviewed by a Policy Reviewer who issues an IAAF; Non-CBG Retail policies come from the LAMD report. At renewal a Sanitation Handler matches the list against LAMD, excludes accounts that must not be renewed, assigns an insurer and sends a proposal with a 30-day hold cover request, and an RA text file goes to COG for mailing.</w:t>
      </w:r>
    </w:p>
    <w:p>
      <w:pPr>
        <w:pStyle w:val="Caption"/>
        <w:keepNext/>
        <w:spacing w:after="60"/>
      </w:pPr>
      <w:r>
        <w:rPr>
          <w:b/>
          <w:i w:val="0"/>
        </w:rPr>
        <w:t xml:space="preserve">Table 4: </w:t>
      </w:r>
      <w:r>
        <w:rPr/>
        <w:t>Current and envisioned process (BRD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Policy details arrive as Excel reports and documents per segment</w:t>
            </w:r>
          </w:p>
        </w:tc>
        <w:tc>
          <w:tcPr>
            <w:tcW w:type="dxa" w:w="4693"/>
            <w:tcMar>
              <w:top w:w="50" w:type="dxa"/>
              <w:bottom w:w="50" w:type="dxa"/>
              <w:left w:w="90" w:type="dxa"/>
              <w:right w:w="90" w:type="dxa"/>
            </w:tcMar>
          </w:tcPr>
          <w:p>
            <w:pPr>
              <w:pStyle w:val="BDOITable"/>
            </w:pPr>
            <w:r>
              <w:rPr>
                <w:sz w:val="18"/>
              </w:rPr>
              <w:t>Each source is uploaded into BIBS; documents are extracted and confirmed by a user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Separate Excel masterlists per segment on Drive H:\</w:t>
            </w:r>
          </w:p>
        </w:tc>
        <w:tc>
          <w:tcPr>
            <w:tcW w:type="dxa" w:w="4693"/>
            <w:tcMar>
              <w:top w:w="50" w:type="dxa"/>
              <w:bottom w:w="50" w:type="dxa"/>
              <w:left w:w="90" w:type="dxa"/>
              <w:right w:w="90" w:type="dxa"/>
            </w:tcMar>
            <w:shd w:val="clear" w:color="auto" w:fill="E5F5FF"/>
          </w:tcPr>
          <w:p>
            <w:pPr>
              <w:pStyle w:val="BDOITable"/>
            </w:pPr>
            <w:r>
              <w:rPr>
                <w:sz w:val="18"/>
              </w:rPr>
              <w:t>One Submitted Masterlist with history and role-based access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Sanitation and LAMD matching by hand</w:t>
            </w:r>
          </w:p>
        </w:tc>
        <w:tc>
          <w:tcPr>
            <w:tcW w:type="dxa" w:w="4693"/>
            <w:tcMar>
              <w:top w:w="50" w:type="dxa"/>
              <w:bottom w:w="50" w:type="dxa"/>
              <w:left w:w="90" w:type="dxa"/>
              <w:right w:w="90" w:type="dxa"/>
            </w:tcMar>
          </w:tcPr>
          <w:p>
            <w:pPr>
              <w:pStyle w:val="BDOITable"/>
            </w:pPr>
            <w:r>
              <w:rPr>
                <w:sz w:val="18"/>
              </w:rPr>
              <w:t>Configurable rules sanitise, match, classify and bucket every policy; fallout is reported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Policy reviews and IAAFs by e-mail and paper signature</w:t>
            </w:r>
          </w:p>
        </w:tc>
        <w:tc>
          <w:tcPr>
            <w:tcW w:type="dxa" w:w="4693"/>
            <w:tcMar>
              <w:top w:w="50" w:type="dxa"/>
              <w:bottom w:w="50" w:type="dxa"/>
              <w:left w:w="90" w:type="dxa"/>
              <w:right w:w="90" w:type="dxa"/>
            </w:tcMar>
            <w:shd w:val="clear" w:color="auto" w:fill="E5F5FF"/>
          </w:tcPr>
          <w:p>
            <w:pPr>
              <w:pStyle w:val="BDOITable"/>
            </w:pPr>
            <w:r>
              <w:rPr>
                <w:sz w:val="18"/>
              </w:rPr>
              <w:t>Reviews, IAAF and approval matrix in BIBS, with stamped signatures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Limit breaches handled by e-mail with TSU</w:t>
            </w:r>
          </w:p>
        </w:tc>
        <w:tc>
          <w:tcPr>
            <w:tcW w:type="dxa" w:w="4693"/>
            <w:tcMar>
              <w:top w:w="50" w:type="dxa"/>
              <w:bottom w:w="50" w:type="dxa"/>
              <w:left w:w="90" w:type="dxa"/>
              <w:right w:w="90" w:type="dxa"/>
            </w:tcMar>
          </w:tcPr>
          <w:p>
            <w:pPr>
              <w:pStyle w:val="BDOITable"/>
            </w:pPr>
            <w:r>
              <w:rPr>
                <w:sz w:val="18"/>
              </w:rPr>
              <w:t>TOR generated, approved by the TSU matrix and handed over to the AO</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 proposals, hold covers and RA text files prepared by hand</w:t>
            </w:r>
          </w:p>
        </w:tc>
        <w:tc>
          <w:tcPr>
            <w:tcW w:type="dxa" w:w="4693"/>
            <w:tcMar>
              <w:top w:w="50" w:type="dxa"/>
              <w:bottom w:w="50" w:type="dxa"/>
              <w:left w:w="90" w:type="dxa"/>
              <w:right w:w="90" w:type="dxa"/>
            </w:tcMar>
            <w:shd w:val="clear" w:color="auto" w:fill="E5F5FF"/>
          </w:tcPr>
          <w:p>
            <w:pPr>
              <w:pStyle w:val="BDOITable"/>
            </w:pPr>
            <w:r>
              <w:rPr>
                <w:sz w:val="18"/>
              </w:rPr>
              <w:t>The expiry scan hands renewable policies to the Renewal module, which creates the account, requests the hold cover and sends the letters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Handling-fee payments filtered from the UPP list on SharePoint</w:t>
            </w:r>
          </w:p>
        </w:tc>
        <w:tc>
          <w:tcPr>
            <w:tcW w:type="dxa" w:w="4693"/>
            <w:tcMar>
              <w:top w:w="50" w:type="dxa"/>
              <w:bottom w:w="50" w:type="dxa"/>
              <w:left w:w="90" w:type="dxa"/>
              <w:right w:w="90" w:type="dxa"/>
            </w:tcMar>
          </w:tcPr>
          <w:p>
            <w:pPr>
              <w:pStyle w:val="BDOITable"/>
            </w:pPr>
            <w:r>
              <w:rPr>
                <w:sz w:val="18"/>
              </w:rPr>
              <w:t>Handling-fee payments tagged automatically by PN or location reference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Status monitored in the masterlists</w:t>
            </w:r>
          </w:p>
        </w:tc>
        <w:tc>
          <w:tcPr>
            <w:tcW w:type="dxa" w:w="4693"/>
            <w:tcMar>
              <w:top w:w="50" w:type="dxa"/>
              <w:bottom w:w="50" w:type="dxa"/>
              <w:left w:w="90" w:type="dxa"/>
              <w:right w:w="90" w:type="dxa"/>
            </w:tcMar>
            <w:shd w:val="clear" w:color="auto" w:fill="E5F5FF"/>
          </w:tcPr>
          <w:p>
            <w:pPr>
              <w:pStyle w:val="BDOITable"/>
            </w:pPr>
            <w:r>
              <w:rPr>
                <w:sz w:val="18"/>
              </w:rPr>
              <w:t>Reports, alerts and notifications from live data</w:t>
            </w:r>
          </w:p>
        </w:tc>
      </w:tr>
    </w:tbl>
    <w:p>
      <w:pPr>
        <w:pStyle w:val="BDOISpacer"/>
      </w:pPr>
    </w:p>
    <w:p>
      <w:pPr>
        <w:pStyle w:val="Heading2"/>
      </w:pPr>
      <w:bookmarkStart w:id="109" w:name="_Toc000109"/>
      <w:r>
        <w:rPr/>
        <w:t>2.2 Process overview</w:t>
      </w:r>
      <w:bookmarkEnd w:id="109"/>
    </w:p>
    <w:p>
      <w:r>
        <w:rPr/>
        <w:t>The table lists the steps and Figure 1 shows them by actor. The masterlist record follows the workflow SBM_POLICY (section 5.1).</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Intake</w:t>
            </w:r>
          </w:p>
        </w:tc>
        <w:tc>
          <w:tcPr>
            <w:tcW w:type="dxa" w:w="1926"/>
            <w:tcMar>
              <w:top w:w="50" w:type="dxa"/>
              <w:bottom w:w="50" w:type="dxa"/>
              <w:left w:w="90" w:type="dxa"/>
              <w:right w:w="90" w:type="dxa"/>
            </w:tcMar>
          </w:tcPr>
          <w:p>
            <w:pPr>
              <w:pStyle w:val="BDOITable"/>
            </w:pPr>
            <w:r>
              <w:rPr>
                <w:sz w:val="18"/>
              </w:rPr>
              <w:t>Handlers; System</w:t>
            </w:r>
          </w:p>
        </w:tc>
        <w:tc>
          <w:tcPr>
            <w:tcW w:type="dxa" w:w="3966"/>
            <w:tcMar>
              <w:top w:w="50" w:type="dxa"/>
              <w:bottom w:w="50" w:type="dxa"/>
              <w:left w:w="90" w:type="dxa"/>
              <w:right w:w="90" w:type="dxa"/>
            </w:tcMar>
          </w:tcPr>
          <w:p>
            <w:pPr>
              <w:pStyle w:val="BDOITable"/>
            </w:pPr>
            <w:r>
              <w:rPr>
                <w:sz w:val="18"/>
              </w:rPr>
              <w:t>Source files uploaded and validated; one masterlist record per policy; migration of the Excel masterlists</w:t>
            </w:r>
          </w:p>
        </w:tc>
        <w:tc>
          <w:tcPr>
            <w:tcW w:type="dxa" w:w="1473"/>
            <w:tcMar>
              <w:top w:w="50" w:type="dxa"/>
              <w:bottom w:w="50" w:type="dxa"/>
              <w:left w:w="90" w:type="dxa"/>
              <w:right w:w="90" w:type="dxa"/>
            </w:tcMar>
          </w:tcPr>
          <w:p>
            <w:pPr>
              <w:pStyle w:val="BDOITable"/>
            </w:pPr>
            <w:r>
              <w:rPr>
                <w:sz w:val="18"/>
              </w:rPr>
              <w:t>BRIDSP-01, 33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Extraction and confirmation</w:t>
            </w:r>
          </w:p>
        </w:tc>
        <w:tc>
          <w:tcPr>
            <w:tcW w:type="dxa" w:w="1926"/>
            <w:tcMar>
              <w:top w:w="50" w:type="dxa"/>
              <w:bottom w:w="50" w:type="dxa"/>
              <w:left w:w="90" w:type="dxa"/>
              <w:right w:w="90" w:type="dxa"/>
            </w:tcMar>
            <w:shd w:val="clear" w:color="auto" w:fill="E5F5FF"/>
          </w:tcPr>
          <w:p>
            <w:pPr>
              <w:pStyle w:val="BDOITable"/>
            </w:pPr>
            <w:r>
              <w:rPr>
                <w:sz w:val="18"/>
              </w:rPr>
              <w:t>Handler, Policy Reviewer</w:t>
            </w:r>
          </w:p>
        </w:tc>
        <w:tc>
          <w:tcPr>
            <w:tcW w:type="dxa" w:w="3966"/>
            <w:tcMar>
              <w:top w:w="50" w:type="dxa"/>
              <w:bottom w:w="50" w:type="dxa"/>
              <w:left w:w="90" w:type="dxa"/>
              <w:right w:w="90" w:type="dxa"/>
            </w:tcMar>
            <w:shd w:val="clear" w:color="auto" w:fill="E5F5FF"/>
          </w:tcPr>
          <w:p>
            <w:pPr>
              <w:pStyle w:val="BDOITable"/>
            </w:pPr>
            <w:r>
              <w:rPr>
                <w:sz w:val="18"/>
              </w:rPr>
              <w:t>Fields proposed from the policy document; saved only after confirmation; manual entry</w:t>
            </w:r>
          </w:p>
        </w:tc>
        <w:tc>
          <w:tcPr>
            <w:tcW w:type="dxa" w:w="1473"/>
            <w:tcMar>
              <w:top w:w="50" w:type="dxa"/>
              <w:bottom w:w="50" w:type="dxa"/>
              <w:left w:w="90" w:type="dxa"/>
              <w:right w:w="90" w:type="dxa"/>
            </w:tcMar>
            <w:shd w:val="clear" w:color="auto" w:fill="E5F5FF"/>
          </w:tcPr>
          <w:p>
            <w:pPr>
              <w:pStyle w:val="BDOITable"/>
            </w:pPr>
            <w:r>
              <w:rPr>
                <w:sz w:val="18"/>
              </w:rPr>
              <w:t>BRIDSP-02, 03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Masterlist</w:t>
            </w:r>
          </w:p>
        </w:tc>
        <w:tc>
          <w:tcPr>
            <w:tcW w:type="dxa" w:w="1926"/>
            <w:tcMar>
              <w:top w:w="50" w:type="dxa"/>
              <w:bottom w:w="50" w:type="dxa"/>
              <w:left w:w="90" w:type="dxa"/>
              <w:right w:w="90" w:type="dxa"/>
            </w:tcMar>
          </w:tcPr>
          <w:p>
            <w:pPr>
              <w:pStyle w:val="BDOITable"/>
            </w:pPr>
            <w:r>
              <w:rPr>
                <w:sz w:val="18"/>
              </w:rPr>
              <w:t>All</w:t>
            </w:r>
          </w:p>
        </w:tc>
        <w:tc>
          <w:tcPr>
            <w:tcW w:type="dxa" w:w="3966"/>
            <w:tcMar>
              <w:top w:w="50" w:type="dxa"/>
              <w:bottom w:w="50" w:type="dxa"/>
              <w:left w:w="90" w:type="dxa"/>
              <w:right w:w="90" w:type="dxa"/>
            </w:tcMar>
          </w:tcPr>
          <w:p>
            <w:pPr>
              <w:pStyle w:val="BDOITable"/>
            </w:pPr>
            <w:r>
              <w:rPr>
                <w:sz w:val="18"/>
              </w:rPr>
              <w:t>Record, history, handler, conversion status, remarks; role-based view and extract</w:t>
            </w:r>
          </w:p>
        </w:tc>
        <w:tc>
          <w:tcPr>
            <w:tcW w:type="dxa" w:w="1473"/>
            <w:tcMar>
              <w:top w:w="50" w:type="dxa"/>
              <w:bottom w:w="50" w:type="dxa"/>
              <w:left w:w="90" w:type="dxa"/>
              <w:right w:w="90" w:type="dxa"/>
            </w:tcMar>
          </w:tcPr>
          <w:p>
            <w:pPr>
              <w:pStyle w:val="BDOITable"/>
            </w:pPr>
            <w:r>
              <w:rPr>
                <w:sz w:val="18"/>
              </w:rPr>
              <w:t>BRIDSP-04, 28, 29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Processing run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Sanitation, matching against LAMD by PN, classification, disposition, limits</w:t>
            </w:r>
          </w:p>
        </w:tc>
        <w:tc>
          <w:tcPr>
            <w:tcW w:type="dxa" w:w="1473"/>
            <w:tcMar>
              <w:top w:w="50" w:type="dxa"/>
              <w:bottom w:w="50" w:type="dxa"/>
              <w:left w:w="90" w:type="dxa"/>
              <w:right w:w="90" w:type="dxa"/>
            </w:tcMar>
            <w:shd w:val="clear" w:color="auto" w:fill="E5F5FF"/>
          </w:tcPr>
          <w:p>
            <w:pPr>
              <w:pStyle w:val="BDOITable"/>
            </w:pPr>
            <w:r>
              <w:rPr>
                <w:sz w:val="18"/>
              </w:rPr>
              <w:t>BRIDSP-08, 09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Classification and buckets</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Inforced / Submitted; buckets; renewal tag; RA template</w:t>
            </w:r>
          </w:p>
        </w:tc>
        <w:tc>
          <w:tcPr>
            <w:tcW w:type="dxa" w:w="1473"/>
            <w:tcMar>
              <w:top w:w="50" w:type="dxa"/>
              <w:bottom w:w="50" w:type="dxa"/>
              <w:left w:w="90" w:type="dxa"/>
              <w:right w:w="90" w:type="dxa"/>
            </w:tcMar>
          </w:tcPr>
          <w:p>
            <w:pPr>
              <w:pStyle w:val="BDOITable"/>
            </w:pPr>
            <w:r>
              <w:rPr>
                <w:sz w:val="18"/>
              </w:rPr>
              <w:t>BRIDSP-11 to 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Fallout</w:t>
            </w:r>
          </w:p>
        </w:tc>
        <w:tc>
          <w:tcPr>
            <w:tcW w:type="dxa" w:w="1926"/>
            <w:tcMar>
              <w:top w:w="50" w:type="dxa"/>
              <w:bottom w:w="50" w:type="dxa"/>
              <w:left w:w="90" w:type="dxa"/>
              <w:right w:w="90" w:type="dxa"/>
            </w:tcMar>
            <w:shd w:val="clear" w:color="auto" w:fill="E5F5FF"/>
          </w:tcPr>
          <w:p>
            <w:pPr>
              <w:pStyle w:val="BDOITable"/>
            </w:pPr>
            <w:r>
              <w:rPr>
                <w:sz w:val="18"/>
              </w:rPr>
              <w:t>Sanitation Handler</w:t>
            </w:r>
          </w:p>
        </w:tc>
        <w:tc>
          <w:tcPr>
            <w:tcW w:type="dxa" w:w="3966"/>
            <w:tcMar>
              <w:top w:w="50" w:type="dxa"/>
              <w:bottom w:w="50" w:type="dxa"/>
              <w:left w:w="90" w:type="dxa"/>
              <w:right w:w="90" w:type="dxa"/>
            </w:tcMar>
            <w:shd w:val="clear" w:color="auto" w:fill="E5F5FF"/>
          </w:tcPr>
          <w:p>
            <w:pPr>
              <w:pStyle w:val="BDOITable"/>
            </w:pPr>
            <w:r>
              <w:rPr>
                <w:sz w:val="18"/>
              </w:rPr>
              <w:t>Exceptions and failures listed with reason codes and resolved</w:t>
            </w:r>
          </w:p>
        </w:tc>
        <w:tc>
          <w:tcPr>
            <w:tcW w:type="dxa" w:w="1473"/>
            <w:tcMar>
              <w:top w:w="50" w:type="dxa"/>
              <w:bottom w:w="50" w:type="dxa"/>
              <w:left w:w="90" w:type="dxa"/>
              <w:right w:w="90" w:type="dxa"/>
            </w:tcMar>
            <w:shd w:val="clear" w:color="auto" w:fill="E5F5FF"/>
          </w:tcPr>
          <w:p>
            <w:pPr>
              <w:pStyle w:val="BDOITable"/>
            </w:pPr>
            <w:r>
              <w:rPr>
                <w:sz w:val="18"/>
              </w:rPr>
              <w:t>BRIDSP-10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Policy review and IAAF</w:t>
            </w:r>
          </w:p>
        </w:tc>
        <w:tc>
          <w:tcPr>
            <w:tcW w:type="dxa" w:w="1926"/>
            <w:tcMar>
              <w:top w:w="50" w:type="dxa"/>
              <w:bottom w:w="50" w:type="dxa"/>
              <w:left w:w="90" w:type="dxa"/>
              <w:right w:w="90" w:type="dxa"/>
            </w:tcMar>
          </w:tcPr>
          <w:p>
            <w:pPr>
              <w:pStyle w:val="BDOITable"/>
            </w:pPr>
            <w:r>
              <w:rPr>
                <w:sz w:val="18"/>
              </w:rPr>
              <w:t>Policy Reviewer; approvers</w:t>
            </w:r>
          </w:p>
        </w:tc>
        <w:tc>
          <w:tcPr>
            <w:tcW w:type="dxa" w:w="3966"/>
            <w:tcMar>
              <w:top w:w="50" w:type="dxa"/>
              <w:bottom w:w="50" w:type="dxa"/>
              <w:left w:w="90" w:type="dxa"/>
              <w:right w:w="90" w:type="dxa"/>
            </w:tcMar>
          </w:tcPr>
          <w:p>
            <w:pPr>
              <w:pStyle w:val="BDOITable"/>
            </w:pPr>
            <w:r>
              <w:rPr>
                <w:sz w:val="18"/>
              </w:rPr>
              <w:t>Reviews recorded; IAAF generated, approved by the matrix and issued to the bank counterpart</w:t>
            </w:r>
          </w:p>
        </w:tc>
        <w:tc>
          <w:tcPr>
            <w:tcW w:type="dxa" w:w="1473"/>
            <w:tcMar>
              <w:top w:w="50" w:type="dxa"/>
              <w:bottom w:w="50" w:type="dxa"/>
              <w:left w:w="90" w:type="dxa"/>
              <w:right w:w="90" w:type="dxa"/>
            </w:tcMar>
          </w:tcPr>
          <w:p>
            <w:pPr>
              <w:pStyle w:val="BDOITable"/>
            </w:pPr>
            <w:r>
              <w:rPr>
                <w:sz w:val="18"/>
              </w:rPr>
              <w:t>BRIDSP-05, 06, 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Limits and TOR</w:t>
            </w:r>
          </w:p>
        </w:tc>
        <w:tc>
          <w:tcPr>
            <w:tcW w:type="dxa" w:w="1926"/>
            <w:tcMar>
              <w:top w:w="50" w:type="dxa"/>
              <w:bottom w:w="50" w:type="dxa"/>
              <w:left w:w="90" w:type="dxa"/>
              <w:right w:w="90" w:type="dxa"/>
            </w:tcMar>
            <w:shd w:val="clear" w:color="auto" w:fill="E5F5FF"/>
          </w:tcPr>
          <w:p>
            <w:pPr>
              <w:pStyle w:val="BDOITable"/>
            </w:pPr>
            <w:r>
              <w:rPr>
                <w:sz w:val="18"/>
              </w:rPr>
              <w:t>Marketing user; TSU</w:t>
            </w:r>
          </w:p>
        </w:tc>
        <w:tc>
          <w:tcPr>
            <w:tcW w:type="dxa" w:w="3966"/>
            <w:tcMar>
              <w:top w:w="50" w:type="dxa"/>
              <w:bottom w:w="50" w:type="dxa"/>
              <w:left w:w="90" w:type="dxa"/>
              <w:right w:w="90" w:type="dxa"/>
            </w:tcMar>
            <w:shd w:val="clear" w:color="auto" w:fill="E5F5FF"/>
          </w:tcPr>
          <w:p>
            <w:pPr>
              <w:pStyle w:val="BDOITable"/>
            </w:pPr>
            <w:r>
              <w:rPr>
                <w:sz w:val="18"/>
              </w:rPr>
              <w:t>Limit breach flagged; TOR prepared, approved and handed over to the AO</w:t>
            </w:r>
          </w:p>
        </w:tc>
        <w:tc>
          <w:tcPr>
            <w:tcW w:type="dxa" w:w="1473"/>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Expiry scan and hand-off</w:t>
            </w:r>
          </w:p>
        </w:tc>
        <w:tc>
          <w:tcPr>
            <w:tcW w:type="dxa" w:w="1926"/>
            <w:tcMar>
              <w:top w:w="50" w:type="dxa"/>
              <w:bottom w:w="50" w:type="dxa"/>
              <w:left w:w="90" w:type="dxa"/>
              <w:right w:w="90" w:type="dxa"/>
            </w:tcMar>
          </w:tcPr>
          <w:p>
            <w:pPr>
              <w:pStyle w:val="BDOITable"/>
            </w:pPr>
            <w:r>
              <w:rPr>
                <w:sz w:val="18"/>
              </w:rPr>
              <w:t>System; Marketing user</w:t>
            </w:r>
          </w:p>
        </w:tc>
        <w:tc>
          <w:tcPr>
            <w:tcW w:type="dxa" w:w="3966"/>
            <w:tcMar>
              <w:top w:w="50" w:type="dxa"/>
              <w:bottom w:w="50" w:type="dxa"/>
              <w:left w:w="90" w:type="dxa"/>
              <w:right w:w="90" w:type="dxa"/>
            </w:tcMar>
          </w:tcPr>
          <w:p>
            <w:pPr>
              <w:pStyle w:val="BDOITable"/>
            </w:pPr>
            <w:r>
              <w:rPr>
                <w:sz w:val="18"/>
              </w:rPr>
              <w:t>Renewable policies within the lead days are handed to Renewal with the assigned insurer</w:t>
            </w:r>
          </w:p>
        </w:tc>
        <w:tc>
          <w:tcPr>
            <w:tcW w:type="dxa" w:w="1473"/>
            <w:tcMar>
              <w:top w:w="50" w:type="dxa"/>
              <w:bottom w:w="50" w:type="dxa"/>
              <w:left w:w="90" w:type="dxa"/>
              <w:right w:w="90" w:type="dxa"/>
            </w:tcMar>
          </w:tcPr>
          <w:p>
            <w:pPr>
              <w:pStyle w:val="BDOITable"/>
            </w:pPr>
            <w:r>
              <w:rPr>
                <w:sz w:val="18"/>
              </w:rPr>
              <w:t>BRIDSP-23, 25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w:t>
            </w:r>
          </w:p>
        </w:tc>
        <w:tc>
          <w:tcPr>
            <w:tcW w:type="dxa" w:w="1926"/>
            <w:tcMar>
              <w:top w:w="50" w:type="dxa"/>
              <w:bottom w:w="50" w:type="dxa"/>
              <w:left w:w="90" w:type="dxa"/>
              <w:right w:w="90" w:type="dxa"/>
            </w:tcMar>
            <w:shd w:val="clear" w:color="auto" w:fill="E5F5FF"/>
          </w:tcPr>
          <w:p>
            <w:pPr>
              <w:pStyle w:val="BDOITable"/>
            </w:pPr>
            <w:r>
              <w:rPr>
                <w:sz w:val="18"/>
              </w:rPr>
              <w:t>Renewal module (BRD-6)</w:t>
            </w:r>
          </w:p>
        </w:tc>
        <w:tc>
          <w:tcPr>
            <w:tcW w:type="dxa" w:w="3966"/>
            <w:tcMar>
              <w:top w:w="50" w:type="dxa"/>
              <w:bottom w:w="50" w:type="dxa"/>
              <w:left w:w="90" w:type="dxa"/>
              <w:right w:w="90" w:type="dxa"/>
            </w:tcMar>
            <w:shd w:val="clear" w:color="auto" w:fill="E5F5FF"/>
          </w:tcPr>
          <w:p>
            <w:pPr>
              <w:pStyle w:val="BDOITable"/>
            </w:pPr>
            <w:r>
              <w:rPr>
                <w:sz w:val="18"/>
              </w:rPr>
              <w:t>Renewal account, 30-day hold cover, RA and letters; insurer re-assignment when the insurer does not accept</w:t>
            </w:r>
          </w:p>
        </w:tc>
        <w:tc>
          <w:tcPr>
            <w:tcW w:type="dxa" w:w="1473"/>
            <w:tcMar>
              <w:top w:w="50" w:type="dxa"/>
              <w:bottom w:w="50" w:type="dxa"/>
              <w:left w:w="90" w:type="dxa"/>
              <w:right w:w="90" w:type="dxa"/>
            </w:tcMar>
            <w:shd w:val="clear" w:color="auto" w:fill="E5F5FF"/>
          </w:tcPr>
          <w:p>
            <w:pPr>
              <w:pStyle w:val="BDOITable"/>
            </w:pPr>
            <w:r>
              <w:rPr>
                <w:sz w:val="18"/>
              </w:rPr>
              <w:t>BRIDSP-22, 26, 32</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Placement and booking</w:t>
            </w:r>
          </w:p>
        </w:tc>
        <w:tc>
          <w:tcPr>
            <w:tcW w:type="dxa" w:w="1926"/>
            <w:tcMar>
              <w:top w:w="50" w:type="dxa"/>
              <w:bottom w:w="50" w:type="dxa"/>
              <w:left w:w="90" w:type="dxa"/>
              <w:right w:w="90" w:type="dxa"/>
            </w:tcMar>
          </w:tcPr>
          <w:p>
            <w:pPr>
              <w:pStyle w:val="BDOITable"/>
            </w:pPr>
            <w:r>
              <w:rPr>
                <w:sz w:val="18"/>
              </w:rPr>
              <w:t>Placement and Booking users (BRD-1)</w:t>
            </w:r>
          </w:p>
        </w:tc>
        <w:tc>
          <w:tcPr>
            <w:tcW w:type="dxa" w:w="3966"/>
            <w:tcMar>
              <w:top w:w="50" w:type="dxa"/>
              <w:bottom w:w="50" w:type="dxa"/>
              <w:left w:w="90" w:type="dxa"/>
              <w:right w:w="90" w:type="dxa"/>
            </w:tcMar>
          </w:tcPr>
          <w:p>
            <w:pPr>
              <w:pStyle w:val="BDOITable"/>
            </w:pPr>
            <w:r>
              <w:rPr>
                <w:sz w:val="18"/>
              </w:rPr>
              <w:t>Placement file to the insurer; booking; masterlist shows BOOKED</w:t>
            </w:r>
          </w:p>
        </w:tc>
        <w:tc>
          <w:tcPr>
            <w:tcW w:type="dxa" w:w="1473"/>
            <w:tcMar>
              <w:top w:w="50" w:type="dxa"/>
              <w:bottom w:w="50" w:type="dxa"/>
              <w:left w:w="90" w:type="dxa"/>
              <w:right w:w="90" w:type="dxa"/>
            </w:tcMar>
          </w:tcPr>
          <w:p>
            <w:pPr>
              <w:pStyle w:val="BDOITable"/>
            </w:pPr>
            <w:r>
              <w:rPr>
                <w:sz w:val="18"/>
              </w:rPr>
              <w:t>BRIDSP-26, 27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Reports, alerts and notifications</w:t>
            </w:r>
          </w:p>
        </w:tc>
        <w:tc>
          <w:tcPr>
            <w:tcW w:type="dxa" w:w="1473"/>
            <w:tcMar>
              <w:top w:w="50" w:type="dxa"/>
              <w:bottom w:w="50" w:type="dxa"/>
              <w:left w:w="90" w:type="dxa"/>
              <w:right w:w="90" w:type="dxa"/>
            </w:tcMar>
            <w:shd w:val="clear" w:color="auto" w:fill="E5F5FF"/>
          </w:tcPr>
          <w:p>
            <w:pPr>
              <w:pStyle w:val="BDOITable"/>
            </w:pPr>
            <w:r>
              <w:rPr>
                <w:sz w:val="18"/>
              </w:rPr>
              <w:t>BRIDSP-20, 21, 24, 30</w:t>
            </w:r>
          </w:p>
        </w:tc>
      </w:tr>
      <w:tr>
        <w:trPr>
          <w:cantSplit w:val="true"/>
        </w:trPr>
        <w:tc>
          <w:tcPr>
            <w:tcW w:type="dxa" w:w="453"/>
            <w:tcMar>
              <w:top w:w="50" w:type="dxa"/>
              <w:bottom w:w="50" w:type="dxa"/>
              <w:left w:w="90" w:type="dxa"/>
              <w:right w:w="90" w:type="dxa"/>
            </w:tcMar>
          </w:tcPr>
          <w:p>
            <w:pPr>
              <w:pStyle w:val="BDOITable"/>
            </w:pPr>
            <w:r>
              <w:rPr>
                <w:sz w:val="18"/>
              </w:rPr>
              <w:t>-</w:t>
            </w:r>
          </w:p>
        </w:tc>
        <w:tc>
          <w:tcPr>
            <w:tcW w:type="dxa" w:w="2153"/>
            <w:tcMar>
              <w:top w:w="50" w:type="dxa"/>
              <w:bottom w:w="50" w:type="dxa"/>
              <w:left w:w="90" w:type="dxa"/>
              <w:right w:w="90" w:type="dxa"/>
            </w:tcMar>
          </w:tcPr>
          <w:p>
            <w:pPr>
              <w:pStyle w:val="BDOITable"/>
            </w:pPr>
            <w:r>
              <w:rPr>
                <w:sz w:val="18"/>
              </w:rPr>
              <w:t>Handling fee</w:t>
            </w:r>
          </w:p>
        </w:tc>
        <w:tc>
          <w:tcPr>
            <w:tcW w:type="dxa" w:w="1926"/>
            <w:tcMar>
              <w:top w:w="50" w:type="dxa"/>
              <w:bottom w:w="50" w:type="dxa"/>
              <w:left w:w="90" w:type="dxa"/>
              <w:right w:w="90" w:type="dxa"/>
            </w:tcMar>
          </w:tcPr>
          <w:p>
            <w:pPr>
              <w:pStyle w:val="BDOITable"/>
            </w:pPr>
            <w:r>
              <w:rPr>
                <w:sz w:val="18"/>
              </w:rPr>
              <w:t>System; UPP handler</w:t>
            </w:r>
          </w:p>
        </w:tc>
        <w:tc>
          <w:tcPr>
            <w:tcW w:type="dxa" w:w="3966"/>
            <w:tcMar>
              <w:top w:w="50" w:type="dxa"/>
              <w:bottom w:w="50" w:type="dxa"/>
              <w:left w:w="90" w:type="dxa"/>
              <w:right w:w="90" w:type="dxa"/>
            </w:tcMar>
          </w:tcPr>
          <w:p>
            <w:pPr>
              <w:pStyle w:val="BDOITable"/>
            </w:pPr>
            <w:r>
              <w:rPr>
                <w:sz w:val="18"/>
              </w:rPr>
              <w:t>Handling-fee payments tagged in the Unapplied Payment List</w:t>
            </w:r>
          </w:p>
        </w:tc>
        <w:tc>
          <w:tcPr>
            <w:tcW w:type="dxa" w:w="1473"/>
            <w:tcMar>
              <w:top w:w="50" w:type="dxa"/>
              <w:bottom w:w="50" w:type="dxa"/>
              <w:left w:w="90" w:type="dxa"/>
              <w:right w:w="90" w:type="dxa"/>
            </w:tcMar>
          </w:tcPr>
          <w:p>
            <w:pPr>
              <w:pStyle w:val="BDOITable"/>
            </w:pPr>
            <w:r>
              <w:rPr>
                <w:sz w:val="18"/>
              </w:rPr>
              <w:t>BRIDSP-31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75026"/>
            <wp:docPr id="3" name="Picture 3"/>
            <wp:cNvGraphicFramePr>
              <a:graphicFrameLocks noChangeAspect="1"/>
            </wp:cNvGraphicFramePr>
            <a:graphic>
              <a:graphicData uri="http://schemas.openxmlformats.org/drawingml/2006/picture">
                <pic:pic>
                  <pic:nvPicPr>
                    <pic:cNvPr id="0" name="brd12_process_flow.png"/>
                    <pic:cNvPicPr/>
                  </pic:nvPicPr>
                  <pic:blipFill>
                    <a:blip r:embed="rId15"/>
                    <a:stretch>
                      <a:fillRect/>
                    </a:stretch>
                  </pic:blipFill>
                  <pic:spPr>
                    <a:xfrm>
                      <a:off x="0" y="0"/>
                      <a:ext cx="6332220" cy="4175026"/>
                    </a:xfrm>
                    <a:prstGeom prst="rect"/>
                  </pic:spPr>
                </pic:pic>
              </a:graphicData>
            </a:graphic>
          </wp:inline>
        </w:drawing>
      </w:r>
    </w:p>
    <w:p>
      <w:pPr>
        <w:pStyle w:val="Caption"/>
        <w:jc w:val="center"/>
      </w:pPr>
      <w:r>
        <w:rPr>
          <w:b/>
          <w:i w:val="0"/>
        </w:rPr>
        <w:t xml:space="preserve">Figure 1: </w:t>
      </w:r>
      <w:r>
        <w:rPr/>
        <w:t>Submitted Policies process by actor (BRIDSP-01-33)</w:t>
      </w:r>
    </w:p>
    <w:p>
      <w:pPr>
        <w:pStyle w:val="Heading2"/>
      </w:pPr>
      <w:bookmarkStart w:id="110" w:name="_Toc000110"/>
      <w:r>
        <w:rPr/>
        <w:t>2.3 Segments and business types</w:t>
      </w:r>
      <w:bookmarkEnd w:id="110"/>
    </w:p>
    <w:p>
      <w:pPr>
        <w:pStyle w:val="Caption"/>
        <w:keepNext/>
        <w:spacing w:after="60"/>
      </w:pPr>
      <w:r>
        <w:rPr>
          <w:b/>
          <w:i w:val="0"/>
        </w:rPr>
        <w:t xml:space="preserve">Table 6: </w:t>
      </w:r>
      <w:r>
        <w:rPr/>
        <w:t>Segments (BRD p.2, 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05"/>
        <w:gridCol w:w="390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Segment</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New business intake</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Renewal</w:t>
            </w:r>
          </w:p>
        </w:tc>
      </w:tr>
      <w:tr>
        <w:trPr>
          <w:cantSplit w:val="true"/>
        </w:trPr>
        <w:tc>
          <w:tcPr>
            <w:tcW w:type="dxa" w:w="2163"/>
            <w:tcMar>
              <w:top w:w="50" w:type="dxa"/>
              <w:bottom w:w="50" w:type="dxa"/>
              <w:left w:w="90" w:type="dxa"/>
              <w:right w:w="90" w:type="dxa"/>
            </w:tcMar>
          </w:tcPr>
          <w:p>
            <w:pPr>
              <w:pStyle w:val="BDOITable"/>
            </w:pPr>
            <w:r>
              <w:rPr>
                <w:sz w:val="18"/>
              </w:rPr>
              <w:t>CBG Motor</w:t>
            </w:r>
          </w:p>
        </w:tc>
        <w:tc>
          <w:tcPr>
            <w:tcW w:type="dxa" w:w="3905"/>
            <w:tcMar>
              <w:top w:w="50" w:type="dxa"/>
              <w:bottom w:w="50" w:type="dxa"/>
              <w:left w:w="90" w:type="dxa"/>
              <w:right w:w="90" w:type="dxa"/>
            </w:tcMar>
          </w:tcPr>
          <w:p>
            <w:pPr>
              <w:pStyle w:val="BDOITable"/>
            </w:pPr>
            <w:r>
              <w:rPr>
                <w:sz w:val="18"/>
              </w:rPr>
              <w:t>LFS and CIU reports; masterlist within 30 days of extraction</w:t>
            </w:r>
          </w:p>
        </w:tc>
        <w:tc>
          <w:tcPr>
            <w:tcW w:type="dxa" w:w="3905"/>
            <w:tcMar>
              <w:top w:w="50" w:type="dxa"/>
              <w:bottom w:w="50" w:type="dxa"/>
              <w:left w:w="90" w:type="dxa"/>
              <w:right w:w="90" w:type="dxa"/>
            </w:tcMar>
          </w:tcPr>
          <w:p>
            <w:pPr>
              <w:pStyle w:val="BDOITable"/>
            </w:pPr>
            <w:r>
              <w:rPr>
                <w:sz w:val="18"/>
              </w:rPr>
              <w:t>Match with LAMD; exclude FFY, BDO / SM Group employees and No Touch; insurer by vehicle type; hold cover; RA 90 days before expiry; NRNS list for call-out</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CBG Fire</w:t>
            </w:r>
          </w:p>
        </w:tc>
        <w:tc>
          <w:tcPr>
            <w:tcW w:type="dxa" w:w="3905"/>
            <w:tcMar>
              <w:top w:w="50" w:type="dxa"/>
              <w:bottom w:w="50" w:type="dxa"/>
              <w:left w:w="90" w:type="dxa"/>
              <w:right w:w="90" w:type="dxa"/>
            </w:tcMar>
            <w:shd w:val="clear" w:color="auto" w:fill="E5F5FF"/>
          </w:tcPr>
          <w:p>
            <w:pPr>
              <w:pStyle w:val="BDOITable"/>
            </w:pPr>
            <w:r>
              <w:rPr>
                <w:sz w:val="18"/>
              </w:rPr>
              <w:t>Home Loan AO sends the documents; adequacy review; IAAF to the Home Loan AO; HLS daily report</w:t>
            </w:r>
          </w:p>
        </w:tc>
        <w:tc>
          <w:tcPr>
            <w:tcW w:type="dxa" w:w="3905"/>
            <w:tcMar>
              <w:top w:w="50" w:type="dxa"/>
              <w:bottom w:w="50" w:type="dxa"/>
              <w:left w:w="90" w:type="dxa"/>
              <w:right w:w="90" w:type="dxa"/>
            </w:tcMar>
            <w:shd w:val="clear" w:color="auto" w:fill="E5F5FF"/>
          </w:tcPr>
          <w:p>
            <w:pPr>
              <w:pStyle w:val="BDOITable"/>
            </w:pPr>
            <w:r>
              <w:rPr>
                <w:sz w:val="18"/>
              </w:rPr>
              <w:t>Match with LAMD; insurer different from the expiring one; hold cover; RA</w:t>
            </w:r>
          </w:p>
        </w:tc>
      </w:tr>
      <w:tr>
        <w:trPr>
          <w:cantSplit w:val="true"/>
        </w:trPr>
        <w:tc>
          <w:tcPr>
            <w:tcW w:type="dxa" w:w="2163"/>
            <w:tcMar>
              <w:top w:w="50" w:type="dxa"/>
              <w:bottom w:w="50" w:type="dxa"/>
              <w:left w:w="90" w:type="dxa"/>
              <w:right w:w="90" w:type="dxa"/>
            </w:tcMar>
          </w:tcPr>
          <w:p>
            <w:pPr>
              <w:pStyle w:val="BDOITable"/>
            </w:pPr>
            <w:r>
              <w:rPr>
                <w:sz w:val="18"/>
              </w:rPr>
              <w:t>Non-CBG Corporate and Branches</w:t>
            </w:r>
          </w:p>
        </w:tc>
        <w:tc>
          <w:tcPr>
            <w:tcW w:type="dxa" w:w="3905"/>
            <w:tcMar>
              <w:top w:w="50" w:type="dxa"/>
              <w:bottom w:w="50" w:type="dxa"/>
              <w:left w:w="90" w:type="dxa"/>
              <w:right w:w="90" w:type="dxa"/>
            </w:tcMar>
          </w:tcPr>
          <w:p>
            <w:pPr>
              <w:pStyle w:val="BDOITable"/>
            </w:pPr>
            <w:r>
              <w:rPr>
                <w:sz w:val="18"/>
              </w:rPr>
              <w:t>Policy Reviewer receives the documents from IBG / Leasing, reviews them and issues an IAAF</w:t>
            </w:r>
          </w:p>
        </w:tc>
        <w:tc>
          <w:tcPr>
            <w:tcW w:type="dxa" w:w="3905"/>
            <w:tcMar>
              <w:top w:w="50" w:type="dxa"/>
              <w:bottom w:w="50" w:type="dxa"/>
              <w:left w:w="90" w:type="dxa"/>
              <w:right w:w="90" w:type="dxa"/>
            </w:tcMar>
          </w:tcPr>
          <w:p>
            <w:pPr>
              <w:pStyle w:val="BDOITable"/>
            </w:pPr>
            <w:r>
              <w:rPr>
                <w:sz w:val="18"/>
              </w:rPr>
              <w:t>Same as new business; conversion opportunity monitored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Non-CBG Retail</w:t>
            </w:r>
          </w:p>
        </w:tc>
        <w:tc>
          <w:tcPr>
            <w:tcW w:type="dxa" w:w="3905"/>
            <w:tcMar>
              <w:top w:w="50" w:type="dxa"/>
              <w:bottom w:w="50" w:type="dxa"/>
              <w:left w:w="90" w:type="dxa"/>
              <w:right w:w="90" w:type="dxa"/>
            </w:tcMar>
            <w:shd w:val="clear" w:color="auto" w:fill="E5F5FF"/>
          </w:tcPr>
          <w:p>
            <w:pPr>
              <w:pStyle w:val="BDOITable"/>
            </w:pPr>
            <w:r>
              <w:rPr>
                <w:sz w:val="18"/>
              </w:rPr>
              <w:t>Marketing AO encodes the policies of the LAMD report</w:t>
            </w:r>
          </w:p>
        </w:tc>
        <w:tc>
          <w:tcPr>
            <w:tcW w:type="dxa" w:w="3905"/>
            <w:tcMar>
              <w:top w:w="50" w:type="dxa"/>
              <w:bottom w:w="50" w:type="dxa"/>
              <w:left w:w="90" w:type="dxa"/>
              <w:right w:w="90" w:type="dxa"/>
            </w:tcMar>
            <w:shd w:val="clear" w:color="auto" w:fill="E5F5FF"/>
          </w:tcPr>
          <w:p>
            <w:pPr>
              <w:pStyle w:val="BDOITable"/>
            </w:pPr>
            <w:r>
              <w:rPr>
                <w:sz w:val="18"/>
              </w:rPr>
              <w:t>AO asks an insurer to quote on the expiring terms; quotation, placement and booking; NRNS on decline</w:t>
            </w:r>
          </w:p>
        </w:tc>
      </w:tr>
    </w:tbl>
    <w:p>
      <w:pPr>
        <w:pStyle w:val="BDOISpacer"/>
      </w:pPr>
    </w:p>
    <w:p>
      <w:r>
        <w:rPr/>
        <w:t>Each record carries its business type, New Business (NB) or Renewal Business (RB), as the BRD's process pages separate them (p.4-5).</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869"/>
        <w:gridCol w:w="4476"/>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 (current process)</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476"/>
            <w:shd w:val="clear" w:color="auto" w:fill="004EA8"/>
            <w:tcMar>
              <w:top w:w="50" w:type="dxa"/>
              <w:bottom w:w="50" w:type="dxa"/>
              <w:left w:w="90" w:type="dxa"/>
              <w:right w:w="90" w:type="dxa"/>
            </w:tcMar>
            <w:vAlign w:val="center"/>
          </w:tcPr>
          <w:p>
            <w:pPr>
              <w:pStyle w:val="BDOITableHeader"/>
            </w:pPr>
            <w:r>
              <w:rPr>
                <w:b/>
                <w:color w:val="FFFFFF"/>
                <w:sz w:val="18"/>
              </w:rPr>
              <w:t>Responsibilities in Submitted Policies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 persona</w:t>
            </w:r>
          </w:p>
        </w:tc>
      </w:tr>
      <w:tr>
        <w:trPr>
          <w:cantSplit w:val="true"/>
        </w:trPr>
        <w:tc>
          <w:tcPr>
            <w:tcW w:type="dxa" w:w="1926"/>
            <w:tcMar>
              <w:top w:w="50" w:type="dxa"/>
              <w:bottom w:w="50" w:type="dxa"/>
              <w:left w:w="90" w:type="dxa"/>
              <w:right w:w="90" w:type="dxa"/>
            </w:tcMar>
          </w:tcPr>
          <w:p>
            <w:pPr>
              <w:pStyle w:val="BDOITable"/>
            </w:pPr>
            <w:r>
              <w:rPr>
                <w:sz w:val="18"/>
              </w:rPr>
              <w:t>Submitted Handler (CBG)</w:t>
            </w:r>
          </w:p>
        </w:tc>
        <w:tc>
          <w:tcPr>
            <w:tcW w:type="dxa" w:w="1870"/>
            <w:tcMar>
              <w:top w:w="50" w:type="dxa"/>
              <w:bottom w:w="50" w:type="dxa"/>
              <w:left w:w="90" w:type="dxa"/>
              <w:right w:w="90" w:type="dxa"/>
            </w:tcMar>
          </w:tcPr>
          <w:p>
            <w:pPr>
              <w:pStyle w:val="BDOITable"/>
            </w:pPr>
            <w:r>
              <w:rPr>
                <w:sz w:val="18"/>
              </w:rPr>
              <w:t>SBM_HANDLER</w:t>
            </w:r>
          </w:p>
        </w:tc>
        <w:tc>
          <w:tcPr>
            <w:tcW w:type="dxa" w:w="4476"/>
            <w:tcMar>
              <w:top w:w="50" w:type="dxa"/>
              <w:bottom w:w="50" w:type="dxa"/>
              <w:left w:w="90" w:type="dxa"/>
              <w:right w:w="90" w:type="dxa"/>
            </w:tcMar>
          </w:tcPr>
          <w:p>
            <w:pPr>
              <w:pStyle w:val="BDOITable"/>
            </w:pPr>
            <w:r>
              <w:rPr>
                <w:sz w:val="18"/>
              </w:rPr>
              <w:t>Uploads sources; confirms extractions; maintains records; prepares IAAF and TOR</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Submitted Checker</w:t>
            </w:r>
          </w:p>
        </w:tc>
        <w:tc>
          <w:tcPr>
            <w:tcW w:type="dxa" w:w="1870"/>
            <w:tcMar>
              <w:top w:w="50" w:type="dxa"/>
              <w:bottom w:w="50" w:type="dxa"/>
              <w:left w:w="90" w:type="dxa"/>
              <w:right w:w="90" w:type="dxa"/>
            </w:tcMar>
            <w:shd w:val="clear" w:color="auto" w:fill="E5F5FF"/>
          </w:tcPr>
          <w:p>
            <w:pPr>
              <w:pStyle w:val="BDOITable"/>
            </w:pPr>
            <w:r>
              <w:rPr>
                <w:sz w:val="18"/>
              </w:rPr>
              <w:t>SBM_CHECKER</w:t>
            </w:r>
          </w:p>
        </w:tc>
        <w:tc>
          <w:tcPr>
            <w:tcW w:type="dxa" w:w="4476"/>
            <w:tcMar>
              <w:top w:w="50" w:type="dxa"/>
              <w:bottom w:w="50" w:type="dxa"/>
              <w:left w:w="90" w:type="dxa"/>
              <w:right w:w="90" w:type="dxa"/>
            </w:tcMar>
            <w:shd w:val="clear" w:color="auto" w:fill="E5F5FF"/>
          </w:tcPr>
          <w:p>
            <w:pPr>
              <w:pStyle w:val="BDOITable"/>
            </w:pPr>
            <w:r>
              <w:rPr>
                <w:sz w:val="18"/>
              </w:rPr>
              <w:t>Approves IAAFs (level 1)</w:t>
            </w:r>
          </w:p>
        </w:tc>
        <w:tc>
          <w:tcPr>
            <w:tcW w:type="dxa" w:w="1700"/>
            <w:tcMar>
              <w:top w:w="50" w:type="dxa"/>
              <w:bottom w:w="50" w:type="dxa"/>
              <w:left w:w="90" w:type="dxa"/>
              <w:right w:w="90" w:type="dxa"/>
            </w:tcMar>
            <w:shd w:val="clear" w:color="auto" w:fill="E5F5FF"/>
          </w:tcPr>
          <w:p>
            <w:pPr>
              <w:pStyle w:val="BDOITable"/>
            </w:pPr>
            <w:r>
              <w:rPr>
                <w:sz w:val="18"/>
              </w:rPr>
              <w:t>System</w:t>
            </w:r>
          </w:p>
        </w:tc>
      </w:tr>
      <w:tr>
        <w:trPr>
          <w:cantSplit w:val="true"/>
        </w:trPr>
        <w:tc>
          <w:tcPr>
            <w:tcW w:type="dxa" w:w="1926"/>
            <w:tcMar>
              <w:top w:w="50" w:type="dxa"/>
              <w:bottom w:w="50" w:type="dxa"/>
              <w:left w:w="90" w:type="dxa"/>
              <w:right w:w="90" w:type="dxa"/>
            </w:tcMar>
          </w:tcPr>
          <w:p>
            <w:pPr>
              <w:pStyle w:val="BDOITable"/>
            </w:pPr>
            <w:r>
              <w:rPr>
                <w:sz w:val="18"/>
              </w:rPr>
              <w:t>Sanitation Handler</w:t>
            </w:r>
          </w:p>
        </w:tc>
        <w:tc>
          <w:tcPr>
            <w:tcW w:type="dxa" w:w="1870"/>
            <w:tcMar>
              <w:top w:w="50" w:type="dxa"/>
              <w:bottom w:w="50" w:type="dxa"/>
              <w:left w:w="90" w:type="dxa"/>
              <w:right w:w="90" w:type="dxa"/>
            </w:tcMar>
          </w:tcPr>
          <w:p>
            <w:pPr>
              <w:pStyle w:val="BDOITable"/>
            </w:pPr>
            <w:r>
              <w:rPr>
                <w:sz w:val="18"/>
              </w:rPr>
              <w:t>SBM_SANITATION</w:t>
            </w:r>
          </w:p>
        </w:tc>
        <w:tc>
          <w:tcPr>
            <w:tcW w:type="dxa" w:w="4476"/>
            <w:tcMar>
              <w:top w:w="50" w:type="dxa"/>
              <w:bottom w:w="50" w:type="dxa"/>
              <w:left w:w="90" w:type="dxa"/>
              <w:right w:w="90" w:type="dxa"/>
            </w:tcMar>
          </w:tcPr>
          <w:p>
            <w:pPr>
              <w:pStyle w:val="BDOITable"/>
            </w:pPr>
            <w:r>
              <w:rPr>
                <w:sz w:val="18"/>
              </w:rPr>
              <w:t>Uploads sources and LAMD; runs processing; resolves fallout; hand-off; sends letters</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870"/>
            <w:tcMar>
              <w:top w:w="50" w:type="dxa"/>
              <w:bottom w:w="50" w:type="dxa"/>
              <w:left w:w="90" w:type="dxa"/>
              <w:right w:w="90" w:type="dxa"/>
            </w:tcMar>
            <w:shd w:val="clear" w:color="auto" w:fill="E5F5FF"/>
          </w:tcPr>
          <w:p>
            <w:pPr>
              <w:pStyle w:val="BDOITable"/>
            </w:pPr>
            <w:r>
              <w:rPr>
                <w:sz w:val="18"/>
              </w:rPr>
              <w:t>SBM_TL</w:t>
            </w:r>
          </w:p>
        </w:tc>
        <w:tc>
          <w:tcPr>
            <w:tcW w:type="dxa" w:w="4476"/>
            <w:tcMar>
              <w:top w:w="50" w:type="dxa"/>
              <w:bottom w:w="50" w:type="dxa"/>
              <w:left w:w="90" w:type="dxa"/>
              <w:right w:w="90" w:type="dxa"/>
            </w:tcMar>
            <w:shd w:val="clear" w:color="auto" w:fill="E5F5FF"/>
          </w:tcPr>
          <w:p>
            <w:pPr>
              <w:pStyle w:val="BDOITable"/>
            </w:pPr>
            <w:r>
              <w:rPr>
                <w:sz w:val="18"/>
              </w:rPr>
              <w:t>All Submitted Policies functions except rule approval; assigns handlers</w:t>
            </w:r>
          </w:p>
        </w:tc>
        <w:tc>
          <w:tcPr>
            <w:tcW w:type="dxa" w:w="1700"/>
            <w:tcMar>
              <w:top w:w="50" w:type="dxa"/>
              <w:bottom w:w="50" w:type="dxa"/>
              <w:left w:w="90" w:type="dxa"/>
              <w:right w:w="90" w:type="dxa"/>
            </w:tcMar>
            <w:shd w:val="clear" w:color="auto" w:fill="E5F5FF"/>
          </w:tcPr>
          <w:p>
            <w:pPr>
              <w:pStyle w:val="BDOITable"/>
            </w:pPr>
            <w:r>
              <w:rPr>
                <w:sz w:val="18"/>
              </w:rPr>
              <w:t>Marketing User</w:t>
            </w:r>
          </w:p>
        </w:tc>
      </w:tr>
      <w:tr>
        <w:trPr>
          <w:cantSplit w:val="true"/>
        </w:trPr>
        <w:tc>
          <w:tcPr>
            <w:tcW w:type="dxa" w:w="1926"/>
            <w:tcMar>
              <w:top w:w="50" w:type="dxa"/>
              <w:bottom w:w="50" w:type="dxa"/>
              <w:left w:w="90" w:type="dxa"/>
              <w:right w:w="90" w:type="dxa"/>
            </w:tcMar>
          </w:tcPr>
          <w:p>
            <w:pPr>
              <w:pStyle w:val="BDOITable"/>
            </w:pPr>
            <w:r>
              <w:rPr>
                <w:sz w:val="18"/>
              </w:rPr>
              <w:t>Policy Review Officer (Non-CBG Corporate)</w:t>
            </w:r>
          </w:p>
        </w:tc>
        <w:tc>
          <w:tcPr>
            <w:tcW w:type="dxa" w:w="1870"/>
            <w:tcMar>
              <w:top w:w="50" w:type="dxa"/>
              <w:bottom w:w="50" w:type="dxa"/>
              <w:left w:w="90" w:type="dxa"/>
              <w:right w:w="90" w:type="dxa"/>
            </w:tcMar>
          </w:tcPr>
          <w:p>
            <w:pPr>
              <w:pStyle w:val="BDOITable"/>
            </w:pPr>
            <w:r>
              <w:rPr>
                <w:sz w:val="18"/>
              </w:rPr>
              <w:t>SBM_POLICY_REVIEWER</w:t>
            </w:r>
          </w:p>
        </w:tc>
        <w:tc>
          <w:tcPr>
            <w:tcW w:type="dxa" w:w="4476"/>
            <w:tcMar>
              <w:top w:w="50" w:type="dxa"/>
              <w:bottom w:w="50" w:type="dxa"/>
              <w:left w:w="90" w:type="dxa"/>
              <w:right w:w="90" w:type="dxa"/>
            </w:tcMar>
          </w:tcPr>
          <w:p>
            <w:pPr>
              <w:pStyle w:val="BDOITable"/>
            </w:pPr>
            <w:r>
              <w:rPr>
                <w:sz w:val="18"/>
              </w:rPr>
              <w:t>Reviews policies; prepares IAAFs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administrator</w:t>
            </w:r>
          </w:p>
        </w:tc>
        <w:tc>
          <w:tcPr>
            <w:tcW w:type="dxa" w:w="1870"/>
            <w:tcMar>
              <w:top w:w="50" w:type="dxa"/>
              <w:bottom w:w="50" w:type="dxa"/>
              <w:left w:w="90" w:type="dxa"/>
              <w:right w:w="90" w:type="dxa"/>
            </w:tcMar>
            <w:shd w:val="clear" w:color="auto" w:fill="E5F5FF"/>
          </w:tcPr>
          <w:p>
            <w:pPr>
              <w:pStyle w:val="BDOITable"/>
            </w:pPr>
            <w:r>
              <w:rPr>
                <w:sz w:val="18"/>
              </w:rPr>
              <w:t>SBM_RULE_ADMIN</w:t>
            </w:r>
          </w:p>
        </w:tc>
        <w:tc>
          <w:tcPr>
            <w:tcW w:type="dxa" w:w="4476"/>
            <w:tcMar>
              <w:top w:w="50" w:type="dxa"/>
              <w:bottom w:w="50" w:type="dxa"/>
              <w:left w:w="90" w:type="dxa"/>
              <w:right w:w="90" w:type="dxa"/>
            </w:tcMar>
            <w:shd w:val="clear" w:color="auto" w:fill="E5F5FF"/>
          </w:tcPr>
          <w:p>
            <w:pPr>
              <w:pStyle w:val="BDOITable"/>
            </w:pPr>
            <w:r>
              <w:rPr>
                <w:sz w:val="18"/>
              </w:rPr>
              <w:t>Maintains rule sets, limits, insurer and letter rules, matrices (maker)</w:t>
            </w:r>
          </w:p>
        </w:tc>
        <w:tc>
          <w:tcPr>
            <w:tcW w:type="dxa" w:w="1700"/>
            <w:tcMar>
              <w:top w:w="50" w:type="dxa"/>
              <w:bottom w:w="50" w:type="dxa"/>
              <w:left w:w="90" w:type="dxa"/>
              <w:right w:w="90" w:type="dxa"/>
            </w:tcMar>
            <w:shd w:val="clear" w:color="auto" w:fill="E5F5FF"/>
          </w:tcPr>
          <w:p>
            <w:pPr>
              <w:pStyle w:val="BDOITable"/>
            </w:pPr>
            <w:r>
              <w:rPr>
                <w:sz w:val="18"/>
              </w:rPr>
              <w:t>Marketing User (BRIDSP-08)</w:t>
            </w:r>
          </w:p>
        </w:tc>
      </w:tr>
      <w:tr>
        <w:trPr>
          <w:cantSplit w:val="true"/>
        </w:trPr>
        <w:tc>
          <w:tcPr>
            <w:tcW w:type="dxa" w:w="1926"/>
            <w:tcMar>
              <w:top w:w="50" w:type="dxa"/>
              <w:bottom w:w="50" w:type="dxa"/>
              <w:left w:w="90" w:type="dxa"/>
              <w:right w:w="90" w:type="dxa"/>
            </w:tcMar>
          </w:tcPr>
          <w:p>
            <w:pPr>
              <w:pStyle w:val="BDOITable"/>
            </w:pPr>
            <w:r>
              <w:rPr>
                <w:sz w:val="18"/>
              </w:rPr>
              <w:t>Admin Team UPP handler</w:t>
            </w:r>
          </w:p>
        </w:tc>
        <w:tc>
          <w:tcPr>
            <w:tcW w:type="dxa" w:w="1870"/>
            <w:tcMar>
              <w:top w:w="50" w:type="dxa"/>
              <w:bottom w:w="50" w:type="dxa"/>
              <w:left w:w="90" w:type="dxa"/>
              <w:right w:w="90" w:type="dxa"/>
            </w:tcMar>
          </w:tcPr>
          <w:p>
            <w:pPr>
              <w:pStyle w:val="BDOITable"/>
            </w:pPr>
            <w:r>
              <w:rPr>
                <w:sz w:val="18"/>
              </w:rPr>
              <w:t>SBM_UPP_HANDLER</w:t>
            </w:r>
          </w:p>
        </w:tc>
        <w:tc>
          <w:tcPr>
            <w:tcW w:type="dxa" w:w="4476"/>
            <w:tcMar>
              <w:top w:w="50" w:type="dxa"/>
              <w:bottom w:w="50" w:type="dxa"/>
              <w:left w:w="90" w:type="dxa"/>
              <w:right w:w="90" w:type="dxa"/>
            </w:tcMar>
          </w:tcPr>
          <w:p>
            <w:pPr>
              <w:pStyle w:val="BDOITable"/>
            </w:pPr>
            <w:r>
              <w:rPr>
                <w:sz w:val="18"/>
              </w:rPr>
              <w:t>Handling-fee records and tagging results</w:t>
            </w:r>
          </w:p>
        </w:tc>
        <w:tc>
          <w:tcPr>
            <w:tcW w:type="dxa" w:w="1700"/>
            <w:tcMar>
              <w:top w:w="50" w:type="dxa"/>
              <w:bottom w:w="50" w:type="dxa"/>
              <w:left w:w="90" w:type="dxa"/>
              <w:right w:w="90" w:type="dxa"/>
            </w:tcMar>
          </w:tcPr>
          <w:p>
            <w:pPr>
              <w:pStyle w:val="BDOITable"/>
            </w:pPr>
            <w:r>
              <w:rPr>
                <w:sz w:val="18"/>
              </w:rPr>
              <w:t>System (BRIDSP-31)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AO / MAO</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476"/>
            <w:tcMar>
              <w:top w:w="50" w:type="dxa"/>
              <w:bottom w:w="50" w:type="dxa"/>
              <w:left w:w="90" w:type="dxa"/>
              <w:right w:w="90" w:type="dxa"/>
            </w:tcMar>
            <w:shd w:val="clear" w:color="auto" w:fill="E5F5FF"/>
          </w:tcPr>
          <w:p>
            <w:pPr>
              <w:pStyle w:val="BDOITable"/>
            </w:pPr>
            <w:r>
              <w:rPr>
                <w:sz w:val="18"/>
              </w:rPr>
              <w:t>Own records; manual entry; receives TORs; Renew with BDOI</w:t>
            </w:r>
          </w:p>
        </w:tc>
        <w:tc>
          <w:tcPr>
            <w:tcW w:type="dxa" w:w="1700"/>
            <w:tcMar>
              <w:top w:w="50" w:type="dxa"/>
              <w:bottom w:w="50" w:type="dxa"/>
              <w:left w:w="90" w:type="dxa"/>
              <w:right w:w="90" w:type="dxa"/>
            </w:tcMar>
            <w:shd w:val="clear" w:color="auto" w:fill="E5F5FF"/>
          </w:tcPr>
          <w:p>
            <w:pPr>
              <w:pStyle w:val="BDOITable"/>
            </w:pPr>
            <w:r>
              <w:rPr>
                <w:sz w:val="18"/>
              </w:rPr>
              <w:t>Account Officer, Marketing User</w:t>
            </w:r>
          </w:p>
        </w:tc>
      </w:tr>
      <w:tr>
        <w:trPr>
          <w:cantSplit w:val="true"/>
        </w:trPr>
        <w:tc>
          <w:tcPr>
            <w:tcW w:type="dxa" w:w="1926"/>
            <w:tcMar>
              <w:top w:w="50" w:type="dxa"/>
              <w:bottom w:w="50" w:type="dxa"/>
              <w:left w:w="90" w:type="dxa"/>
              <w:right w:w="90" w:type="dxa"/>
            </w:tcMar>
          </w:tcPr>
          <w:p>
            <w:pPr>
              <w:pStyle w:val="BDOITable"/>
            </w:pPr>
            <w:r>
              <w:rPr>
                <w:sz w:val="18"/>
              </w:rPr>
              <w:t>NB Team Lead</w:t>
            </w:r>
          </w:p>
        </w:tc>
        <w:tc>
          <w:tcPr>
            <w:tcW w:type="dxa" w:w="1870"/>
            <w:tcMar>
              <w:top w:w="50" w:type="dxa"/>
              <w:bottom w:w="50" w:type="dxa"/>
              <w:left w:w="90" w:type="dxa"/>
              <w:right w:w="90" w:type="dxa"/>
            </w:tcMar>
          </w:tcPr>
          <w:p>
            <w:pPr>
              <w:pStyle w:val="BDOITable"/>
            </w:pPr>
            <w:r>
              <w:rPr>
                <w:sz w:val="18"/>
              </w:rPr>
              <w:t>MKT_TL</w:t>
            </w:r>
          </w:p>
        </w:tc>
        <w:tc>
          <w:tcPr>
            <w:tcW w:type="dxa" w:w="4476"/>
            <w:tcMar>
              <w:top w:w="50" w:type="dxa"/>
              <w:bottom w:w="50" w:type="dxa"/>
              <w:left w:w="90" w:type="dxa"/>
              <w:right w:w="90" w:type="dxa"/>
            </w:tcMar>
          </w:tcPr>
          <w:p>
            <w:pPr>
              <w:pStyle w:val="BDOITable"/>
            </w:pPr>
            <w:r>
              <w:rPr>
                <w:sz w:val="18"/>
              </w:rPr>
              <w:t>Views records; approves IAAFs (level 2) and rule sets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TSU</w:t>
            </w:r>
          </w:p>
        </w:tc>
        <w:tc>
          <w:tcPr>
            <w:tcW w:type="dxa" w:w="1870"/>
            <w:tcMar>
              <w:top w:w="50" w:type="dxa"/>
              <w:bottom w:w="50" w:type="dxa"/>
              <w:left w:w="90" w:type="dxa"/>
              <w:right w:w="90" w:type="dxa"/>
            </w:tcMar>
            <w:shd w:val="clear" w:color="auto" w:fill="E5F5FF"/>
          </w:tcPr>
          <w:p>
            <w:pPr>
              <w:pStyle w:val="BDOITable"/>
            </w:pPr>
            <w:r>
              <w:rPr>
                <w:sz w:val="18"/>
              </w:rPr>
              <w:t>TSU</w:t>
            </w:r>
          </w:p>
        </w:tc>
        <w:tc>
          <w:tcPr>
            <w:tcW w:type="dxa" w:w="4476"/>
            <w:tcMar>
              <w:top w:w="50" w:type="dxa"/>
              <w:bottom w:w="50" w:type="dxa"/>
              <w:left w:w="90" w:type="dxa"/>
              <w:right w:w="90" w:type="dxa"/>
            </w:tcMar>
            <w:shd w:val="clear" w:color="auto" w:fill="E5F5FF"/>
          </w:tcPr>
          <w:p>
            <w:pPr>
              <w:pStyle w:val="BDOITable"/>
            </w:pPr>
            <w:r>
              <w:rPr>
                <w:sz w:val="18"/>
              </w:rPr>
              <w:t>Approves TORs</w:t>
            </w:r>
          </w:p>
        </w:tc>
        <w:tc>
          <w:tcPr>
            <w:tcW w:type="dxa" w:w="1700"/>
            <w:tcMar>
              <w:top w:w="50" w:type="dxa"/>
              <w:bottom w:w="50" w:type="dxa"/>
              <w:left w:w="90" w:type="dxa"/>
              <w:right w:w="90" w:type="dxa"/>
            </w:tcMar>
            <w:shd w:val="clear" w:color="auto" w:fill="E5F5FF"/>
          </w:tcPr>
          <w:p>
            <w:pPr>
              <w:pStyle w:val="BDOITable"/>
            </w:pPr>
            <w:r>
              <w:rPr>
                <w:sz w:val="18"/>
              </w:rPr>
              <w:t>System (TSU matrix)</w:t>
            </w:r>
          </w:p>
        </w:tc>
      </w:tr>
      <w:tr>
        <w:trPr>
          <w:cantSplit w:val="true"/>
        </w:trPr>
        <w:tc>
          <w:tcPr>
            <w:tcW w:type="dxa" w:w="1926"/>
            <w:tcMar>
              <w:top w:w="50" w:type="dxa"/>
              <w:bottom w:w="50" w:type="dxa"/>
              <w:left w:w="90" w:type="dxa"/>
              <w:right w:w="90" w:type="dxa"/>
            </w:tcMar>
          </w:tcPr>
          <w:p>
            <w:pPr>
              <w:pStyle w:val="BDOITable"/>
            </w:pPr>
            <w:r>
              <w:rPr>
                <w:sz w:val="18"/>
              </w:rPr>
              <w:t>Placement and Booking users</w:t>
            </w:r>
          </w:p>
        </w:tc>
        <w:tc>
          <w:tcPr>
            <w:tcW w:type="dxa" w:w="1870"/>
            <w:tcMar>
              <w:top w:w="50" w:type="dxa"/>
              <w:bottom w:w="50" w:type="dxa"/>
              <w:left w:w="90" w:type="dxa"/>
              <w:right w:w="90" w:type="dxa"/>
            </w:tcMar>
          </w:tcPr>
          <w:p>
            <w:pPr>
              <w:pStyle w:val="BDOITable"/>
            </w:pPr>
            <w:r>
              <w:rPr>
                <w:sz w:val="18"/>
              </w:rPr>
              <w:t>PROCESSOR and booking roles</w:t>
            </w:r>
          </w:p>
        </w:tc>
        <w:tc>
          <w:tcPr>
            <w:tcW w:type="dxa" w:w="4476"/>
            <w:tcMar>
              <w:top w:w="50" w:type="dxa"/>
              <w:bottom w:w="50" w:type="dxa"/>
              <w:left w:w="90" w:type="dxa"/>
              <w:right w:w="90" w:type="dxa"/>
            </w:tcMar>
          </w:tcPr>
          <w:p>
            <w:pPr>
              <w:pStyle w:val="BDOITable"/>
            </w:pPr>
            <w:r>
              <w:rPr>
                <w:sz w:val="18"/>
              </w:rPr>
              <w:t>Place and book the renewal accounts (BRD-1 screens)</w:t>
            </w:r>
          </w:p>
        </w:tc>
        <w:tc>
          <w:tcPr>
            <w:tcW w:type="dxa" w:w="1700"/>
            <w:tcMar>
              <w:top w:w="50" w:type="dxa"/>
              <w:bottom w:w="50" w:type="dxa"/>
              <w:left w:w="90" w:type="dxa"/>
              <w:right w:w="90" w:type="dxa"/>
            </w:tcMar>
          </w:tcPr>
          <w:p>
            <w:pPr>
              <w:pStyle w:val="BDOITable"/>
            </w:pPr>
            <w:r>
              <w:rPr>
                <w:sz w:val="18"/>
              </w:rPr>
              <w:t>Placement User, Booking User</w:t>
            </w:r>
          </w:p>
        </w:tc>
      </w:tr>
    </w:tbl>
    <w:p>
      <w:pPr>
        <w:pStyle w:val="BDOISpacer"/>
      </w:pPr>
    </w:p>
    <w:p>
      <w:r>
        <w:rPr/>
        <w:t>The BRD does not give an access matrix; the roles above are the project's proposal until BDOI confirms them (SP SQ15, OQ48).</w:t>
      </w:r>
    </w:p>
    <w:p>
      <w:pPr>
        <w:pStyle w:val="Heading2"/>
      </w:pPr>
      <w:bookmarkStart w:id="113" w:name="_Toc000113"/>
      <w:r>
        <w:rPr/>
        <w:t>3.2 Permissions</w:t>
      </w:r>
      <w:bookmarkEnd w:id="113"/>
    </w:p>
    <w:p>
      <w:pPr>
        <w:pStyle w:val="Caption"/>
        <w:keepNext/>
        <w:spacing w:after="60"/>
      </w:pPr>
      <w:r>
        <w:rPr>
          <w:b/>
          <w:i w:val="0"/>
        </w:rPr>
        <w:t xml:space="preserve">Table 8: </w:t>
      </w:r>
      <w:r>
        <w:rPr/>
        <w:t>Submitted Policies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83"/>
            <w:tcMar>
              <w:top w:w="50" w:type="dxa"/>
              <w:bottom w:w="50" w:type="dxa"/>
              <w:left w:w="90" w:type="dxa"/>
              <w:right w:w="90" w:type="dxa"/>
            </w:tcMar>
          </w:tcPr>
          <w:p>
            <w:pPr>
              <w:pStyle w:val="BDOITable"/>
            </w:pPr>
            <w:r>
              <w:rPr>
                <w:sz w:val="18"/>
              </w:rPr>
              <w:t>SBM_VIEW</w:t>
            </w:r>
          </w:p>
        </w:tc>
        <w:tc>
          <w:tcPr>
            <w:tcW w:type="dxa" w:w="7089"/>
            <w:tcMar>
              <w:top w:w="50" w:type="dxa"/>
              <w:bottom w:w="50" w:type="dxa"/>
              <w:left w:w="90" w:type="dxa"/>
              <w:right w:w="90" w:type="dxa"/>
            </w:tcMar>
          </w:tcPr>
          <w:p>
            <w:pPr>
              <w:pStyle w:val="BDOITable"/>
            </w:pPr>
            <w:r>
              <w:rPr>
                <w:sz w:val="18"/>
              </w:rPr>
              <w:t>Masterlist, records, home page (within the user's scope)</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SBM_MAINTAIN</w:t>
            </w:r>
          </w:p>
        </w:tc>
        <w:tc>
          <w:tcPr>
            <w:tcW w:type="dxa" w:w="7089"/>
            <w:tcMar>
              <w:top w:w="50" w:type="dxa"/>
              <w:bottom w:w="50" w:type="dxa"/>
              <w:left w:w="90" w:type="dxa"/>
              <w:right w:w="90" w:type="dxa"/>
            </w:tcMar>
            <w:shd w:val="clear" w:color="auto" w:fill="E5F5FF"/>
          </w:tcPr>
          <w:p>
            <w:pPr>
              <w:pStyle w:val="BDOITable"/>
            </w:pPr>
            <w:r>
              <w:rPr>
                <w:sz w:val="18"/>
              </w:rPr>
              <w:t>Manual entry and edit, renewal tag, handler, remarks, document upload, confirm extraction</w:t>
            </w:r>
          </w:p>
        </w:tc>
      </w:tr>
      <w:tr>
        <w:trPr>
          <w:cantSplit w:val="true"/>
        </w:trPr>
        <w:tc>
          <w:tcPr>
            <w:tcW w:type="dxa" w:w="2883"/>
            <w:tcMar>
              <w:top w:w="50" w:type="dxa"/>
              <w:bottom w:w="50" w:type="dxa"/>
              <w:left w:w="90" w:type="dxa"/>
              <w:right w:w="90" w:type="dxa"/>
            </w:tcMar>
          </w:tcPr>
          <w:p>
            <w:pPr>
              <w:pStyle w:val="BDOITable"/>
            </w:pPr>
            <w:r>
              <w:rPr>
                <w:sz w:val="18"/>
              </w:rPr>
              <w:t>SBM_INTAKE</w:t>
            </w:r>
          </w:p>
        </w:tc>
        <w:tc>
          <w:tcPr>
            <w:tcW w:type="dxa" w:w="7089"/>
            <w:tcMar>
              <w:top w:w="50" w:type="dxa"/>
              <w:bottom w:w="50" w:type="dxa"/>
              <w:left w:w="90" w:type="dxa"/>
              <w:right w:w="90" w:type="dxa"/>
            </w:tcMar>
          </w:tcPr>
          <w:p>
            <w:pPr>
              <w:pStyle w:val="BDOITable"/>
            </w:pPr>
            <w:r>
              <w:rPr>
                <w:sz w:val="18"/>
              </w:rPr>
              <w:t>Source uploads, intake runs, LAMD snapshot upload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SBM_PROCESS</w:t>
            </w:r>
          </w:p>
        </w:tc>
        <w:tc>
          <w:tcPr>
            <w:tcW w:type="dxa" w:w="7089"/>
            <w:tcMar>
              <w:top w:w="50" w:type="dxa"/>
              <w:bottom w:w="50" w:type="dxa"/>
              <w:left w:w="90" w:type="dxa"/>
              <w:right w:w="90" w:type="dxa"/>
            </w:tcMar>
            <w:shd w:val="clear" w:color="auto" w:fill="E5F5FF"/>
          </w:tcPr>
          <w:p>
            <w:pPr>
              <w:pStyle w:val="BDOITable"/>
            </w:pPr>
            <w:r>
              <w:rPr>
                <w:sz w:val="18"/>
              </w:rPr>
              <w:t>Processing runs, fallout resolution, manual disposition, renewal hand-off, insurer re-assignment</w:t>
            </w:r>
          </w:p>
        </w:tc>
      </w:tr>
      <w:tr>
        <w:trPr>
          <w:cantSplit w:val="true"/>
        </w:trPr>
        <w:tc>
          <w:tcPr>
            <w:tcW w:type="dxa" w:w="2883"/>
            <w:tcMar>
              <w:top w:w="50" w:type="dxa"/>
              <w:bottom w:w="50" w:type="dxa"/>
              <w:left w:w="90" w:type="dxa"/>
              <w:right w:w="90" w:type="dxa"/>
            </w:tcMar>
          </w:tcPr>
          <w:p>
            <w:pPr>
              <w:pStyle w:val="BDOITable"/>
            </w:pPr>
            <w:r>
              <w:rPr>
                <w:sz w:val="18"/>
              </w:rPr>
              <w:t>SBM_RULE_MAINTAIN, SBM_RULE_APPROVE</w:t>
            </w:r>
          </w:p>
        </w:tc>
        <w:tc>
          <w:tcPr>
            <w:tcW w:type="dxa" w:w="7089"/>
            <w:tcMar>
              <w:top w:w="50" w:type="dxa"/>
              <w:bottom w:w="50" w:type="dxa"/>
              <w:left w:w="90" w:type="dxa"/>
              <w:right w:w="90" w:type="dxa"/>
            </w:tcMar>
          </w:tcPr>
          <w:p>
            <w:pPr>
              <w:pStyle w:val="BDOITable"/>
            </w:pPr>
            <w:r>
              <w:rPr>
                <w:sz w:val="18"/>
              </w:rPr>
              <w:t>Rule sets, limit, insurer and letter rules, approval matrices (maker and checker)</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IAAF_PREPARE, IAAF_APPROVE</w:t>
            </w:r>
          </w:p>
        </w:tc>
        <w:tc>
          <w:tcPr>
            <w:tcW w:type="dxa" w:w="7089"/>
            <w:tcMar>
              <w:top w:w="50" w:type="dxa"/>
              <w:bottom w:w="50" w:type="dxa"/>
              <w:left w:w="90" w:type="dxa"/>
              <w:right w:w="90" w:type="dxa"/>
            </w:tcMar>
            <w:shd w:val="clear" w:color="auto" w:fill="E5F5FF"/>
          </w:tcPr>
          <w:p>
            <w:pPr>
              <w:pStyle w:val="BDOITable"/>
            </w:pPr>
            <w:r>
              <w:rPr>
                <w:sz w:val="18"/>
              </w:rPr>
              <w:t>Reviews and IAAF; IAAF approval levels</w:t>
            </w:r>
          </w:p>
        </w:tc>
      </w:tr>
      <w:tr>
        <w:trPr>
          <w:cantSplit w:val="true"/>
        </w:trPr>
        <w:tc>
          <w:tcPr>
            <w:tcW w:type="dxa" w:w="2883"/>
            <w:tcMar>
              <w:top w:w="50" w:type="dxa"/>
              <w:bottom w:w="50" w:type="dxa"/>
              <w:left w:w="90" w:type="dxa"/>
              <w:right w:w="90" w:type="dxa"/>
            </w:tcMar>
          </w:tcPr>
          <w:p>
            <w:pPr>
              <w:pStyle w:val="BDOITable"/>
            </w:pPr>
            <w:r>
              <w:rPr>
                <w:sz w:val="18"/>
              </w:rPr>
              <w:t>TOR_PREPARE, TOR_APPROVE</w:t>
            </w:r>
          </w:p>
        </w:tc>
        <w:tc>
          <w:tcPr>
            <w:tcW w:type="dxa" w:w="7089"/>
            <w:tcMar>
              <w:top w:w="50" w:type="dxa"/>
              <w:bottom w:w="50" w:type="dxa"/>
              <w:left w:w="90" w:type="dxa"/>
              <w:right w:w="90" w:type="dxa"/>
            </w:tcMar>
          </w:tcPr>
          <w:p>
            <w:pPr>
              <w:pStyle w:val="BDOITable"/>
            </w:pPr>
            <w:r>
              <w:rPr>
                <w:sz w:val="18"/>
              </w:rPr>
              <w:t>TOR; TSU approval levels</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SBM_LETTER_SEND</w:t>
            </w:r>
          </w:p>
        </w:tc>
        <w:tc>
          <w:tcPr>
            <w:tcW w:type="dxa" w:w="7089"/>
            <w:tcMar>
              <w:top w:w="50" w:type="dxa"/>
              <w:bottom w:w="50" w:type="dxa"/>
              <w:left w:w="90" w:type="dxa"/>
              <w:right w:w="90" w:type="dxa"/>
            </w:tcMar>
            <w:shd w:val="clear" w:color="auto" w:fill="E5F5FF"/>
          </w:tcPr>
          <w:p>
            <w:pPr>
              <w:pStyle w:val="BDOITable"/>
            </w:pPr>
            <w:r>
              <w:rPr>
                <w:sz w:val="18"/>
              </w:rPr>
              <w:t>Generate, send and print the letters of this module; print batches</w:t>
            </w:r>
          </w:p>
        </w:tc>
      </w:tr>
      <w:tr>
        <w:trPr>
          <w:cantSplit w:val="true"/>
        </w:trPr>
        <w:tc>
          <w:tcPr>
            <w:tcW w:type="dxa" w:w="2883"/>
            <w:tcMar>
              <w:top w:w="50" w:type="dxa"/>
              <w:bottom w:w="50" w:type="dxa"/>
              <w:left w:w="90" w:type="dxa"/>
              <w:right w:w="90" w:type="dxa"/>
            </w:tcMar>
          </w:tcPr>
          <w:p>
            <w:pPr>
              <w:pStyle w:val="BDOITable"/>
            </w:pPr>
            <w:r>
              <w:rPr>
                <w:sz w:val="18"/>
              </w:rPr>
              <w:t>SBM_HANDLING_FEE</w:t>
            </w:r>
          </w:p>
        </w:tc>
        <w:tc>
          <w:tcPr>
            <w:tcW w:type="dxa" w:w="7089"/>
            <w:tcMar>
              <w:top w:w="50" w:type="dxa"/>
              <w:bottom w:w="50" w:type="dxa"/>
              <w:left w:w="90" w:type="dxa"/>
              <w:right w:w="90" w:type="dxa"/>
            </w:tcMar>
          </w:tcPr>
          <w:p>
            <w:pPr>
              <w:pStyle w:val="BDOITable"/>
            </w:pPr>
            <w:r>
              <w:rPr>
                <w:sz w:val="18"/>
              </w:rPr>
              <w:t>Handling-fee records, tagger results, manual tag</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SBM_MIGRATE</w:t>
            </w:r>
          </w:p>
        </w:tc>
        <w:tc>
          <w:tcPr>
            <w:tcW w:type="dxa" w:w="7089"/>
            <w:tcMar>
              <w:top w:w="50" w:type="dxa"/>
              <w:bottom w:w="50" w:type="dxa"/>
              <w:left w:w="90" w:type="dxa"/>
              <w:right w:w="90" w:type="dxa"/>
            </w:tcMar>
            <w:shd w:val="clear" w:color="auto" w:fill="E5F5FF"/>
          </w:tcPr>
          <w:p>
            <w:pPr>
              <w:pStyle w:val="BDOITable"/>
            </w:pPr>
            <w:r>
              <w:rPr>
                <w:sz w:val="18"/>
              </w:rPr>
              <w:t>Migration upload</w:t>
            </w:r>
          </w:p>
        </w:tc>
      </w:tr>
      <w:tr>
        <w:trPr>
          <w:cantSplit w:val="true"/>
        </w:trPr>
        <w:tc>
          <w:tcPr>
            <w:tcW w:type="dxa" w:w="2883"/>
            <w:tcMar>
              <w:top w:w="50" w:type="dxa"/>
              <w:bottom w:w="50" w:type="dxa"/>
              <w:left w:w="90" w:type="dxa"/>
              <w:right w:w="90" w:type="dxa"/>
            </w:tcMar>
          </w:tcPr>
          <w:p>
            <w:pPr>
              <w:pStyle w:val="BDOITable"/>
            </w:pPr>
            <w:r>
              <w:rPr>
                <w:sz w:val="18"/>
              </w:rPr>
              <w:t>SBM_EXPORT</w:t>
            </w:r>
          </w:p>
        </w:tc>
        <w:tc>
          <w:tcPr>
            <w:tcW w:type="dxa" w:w="7089"/>
            <w:tcMar>
              <w:top w:w="50" w:type="dxa"/>
              <w:bottom w:w="50" w:type="dxa"/>
              <w:left w:w="90" w:type="dxa"/>
              <w:right w:w="90" w:type="dxa"/>
            </w:tcMar>
          </w:tcPr>
          <w:p>
            <w:pPr>
              <w:pStyle w:val="BDOITable"/>
            </w:pPr>
            <w:r>
              <w:rPr>
                <w:sz w:val="18"/>
              </w:rPr>
              <w:t>Masterlist extract</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SBM_REPORT_VIEW, SBM_REPORT_EXPORT</w:t>
            </w:r>
          </w:p>
        </w:tc>
        <w:tc>
          <w:tcPr>
            <w:tcW w:type="dxa" w:w="7089"/>
            <w:tcMar>
              <w:top w:w="50" w:type="dxa"/>
              <w:bottom w:w="50" w:type="dxa"/>
              <w:left w:w="90" w:type="dxa"/>
              <w:right w:w="90" w:type="dxa"/>
            </w:tcMar>
            <w:shd w:val="clear" w:color="auto" w:fill="E5F5FF"/>
          </w:tcPr>
          <w:p>
            <w:pPr>
              <w:pStyle w:val="BDOITable"/>
            </w:pPr>
            <w:r>
              <w:rPr>
                <w:sz w:val="18"/>
              </w:rPr>
              <w:t>Submitted Policies reports (view; export and archive)</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Role-to-permission matrix (proposal until SP SQ15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63"/>
        <w:gridCol w:w="750"/>
        <w:gridCol w:w="750"/>
        <w:gridCol w:w="750"/>
        <w:gridCol w:w="750"/>
        <w:gridCol w:w="750"/>
        <w:gridCol w:w="750"/>
        <w:gridCol w:w="750"/>
        <w:gridCol w:w="750"/>
        <w:gridCol w:w="750"/>
        <w:gridCol w:w="750"/>
      </w:tblGrid>
      <w:tr>
        <w:trPr>
          <w:tblHeader w:val="true"/>
          <w:cantSplit w:val="true"/>
        </w:trPr>
        <w:tc>
          <w:tcPr>
            <w:tcW w:type="dxa" w:w="24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Hand.</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Check.</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Sanit.</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Pol. Rev.</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Rule Admin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UPP</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TSU</w:t>
            </w:r>
          </w:p>
        </w:tc>
      </w:tr>
      <w:tr>
        <w:trPr>
          <w:cantSplit w:val="true"/>
        </w:trPr>
        <w:tc>
          <w:tcPr>
            <w:tcW w:type="dxa" w:w="2463"/>
            <w:tcMar>
              <w:top w:w="50" w:type="dxa"/>
              <w:bottom w:w="50" w:type="dxa"/>
              <w:left w:w="90" w:type="dxa"/>
              <w:right w:w="90" w:type="dxa"/>
            </w:tcMar>
          </w:tcPr>
          <w:p>
            <w:pPr>
              <w:pStyle w:val="BDOITable"/>
            </w:pPr>
            <w:r>
              <w:rPr>
                <w:sz w:val="16"/>
              </w:rPr>
              <w:t>SBM_VIEW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 (own)</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SBM_MAINTAIN</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SBM_INTAKE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SBM_PROCESS</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SBM_RULE_MAINTAIN</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SBM_RULE_APPROVE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IAAF_PREPARE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IAAF_APPROVE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L1</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L2</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TOR_PREPARE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TOR_APPROVE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463"/>
            <w:tcMar>
              <w:top w:w="50" w:type="dxa"/>
              <w:bottom w:w="50" w:type="dxa"/>
              <w:left w:w="90" w:type="dxa"/>
              <w:right w:w="90" w:type="dxa"/>
            </w:tcMar>
          </w:tcPr>
          <w:p>
            <w:pPr>
              <w:pStyle w:val="BDOITable"/>
            </w:pPr>
            <w:r>
              <w:rPr>
                <w:sz w:val="16"/>
              </w:rPr>
              <w:t>SBM_LETTER_SEND</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SBM_HANDLING_FEE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SBM_MIGRATE</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SBM_REPORT_VIEW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SBM_REPORT_EXPORT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bl>
    <w:p>
      <w:pPr>
        <w:pStyle w:val="BDOISpacer"/>
      </w:pPr>
    </w:p>
    <w:p>
      <w:r>
        <w:rPr/>
        <w:t>"L1" and "L2" are IAAF approval levels of the demo matrix. Placement and Booking users also receive SBM_VIEW.</w:t>
      </w:r>
    </w:p>
    <w:p>
      <w:r>
        <w:rPr>
          <w:b/>
        </w:rPr>
        <w:t>Data scope.</w:t>
      </w:r>
      <w:r>
        <w:rPr/>
        <w:t xml:space="preserve"> Every query, report and export is limited to the user's scope: a list of segments, and for Marketing AOs only the records they handle or whose renewal account they own (BRIDSP-28).</w:t>
      </w:r>
    </w:p>
    <w:p>
      <w:r>
        <w:rPr>
          <w:b/>
        </w:rPr>
        <w:t>Segregation of duties.</w:t>
      </w:r>
      <w:r>
        <w:rPr/>
        <w:t xml:space="preserve"> A rule set is approved by someone other than its maker; an IAAF or TOR level is never approved by the preparer.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4.1 Intake of submissions</w:t>
      </w:r>
      <w:bookmarkEnd w:id="116"/>
    </w:p>
    <w:p>
      <w:pPr>
        <w:pStyle w:val="Heading3"/>
      </w:pPr>
      <w:bookmarkStart w:id="117" w:name="_Toc000117"/>
      <w:r>
        <w:rPr/>
        <w:t>FR-SP-001 Receive submitted policy details from the approved sources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Sanitation Handler (SBM_INTAKE)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(source uploads, intake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SBM_LFS_INSURANCE, SBM_HLS_INSURANCE, SBM_CIU, SBM_SPI, SBM_LOAN_BOOKING, SBM_LAMD, SBM_IA_MASTERLIST</w:t>
            </w:r>
          </w:p>
        </w:tc>
      </w:tr>
    </w:tbl>
    <w:p>
      <w:pPr>
        <w:pStyle w:val="BDOISpacer"/>
      </w:pPr>
    </w:p>
    <w:p>
      <w:pPr>
        <w:pStyle w:val="BDOILabel"/>
      </w:pPr>
      <w:r>
        <w:rPr/>
        <w:t>Description</w:t>
      </w:r>
    </w:p>
    <w:p>
      <w:r>
        <w:rPr/>
        <w:t>BIBS keeps a register of the approved sources (LFS insurance report, HLS daily insurance report, CIU report, SPI list, LAMD report, Loan Booking Report, IA masterlist, IBG / Leasing documents, manual entry, migration) with segment, format and upload template. Each source file is uploaded with its own template, validated row by row and recorded as an intake run.</w:t>
      </w:r>
    </w:p>
    <w:p>
      <w:r>
        <w:rPr/>
        <w:t>Each valid row creates or updates one masterlist record on the natural key (segment, business type, PN or policy number, expiry date). New records get the number SBM-yyyy-nnnnnn and status RECEIVED. A file already uploaded (same content) is refused.</w:t>
      </w:r>
    </w:p>
    <w:p>
      <w:r>
        <w:rPr/>
        <w:t>Transports from the bank systems are parked; the default is an upload.</w:t>
      </w:r>
    </w:p>
    <w:p>
      <w:pPr>
        <w:pStyle w:val="BDOILabel"/>
      </w:pPr>
      <w:r>
        <w:rPr/>
        <w:t>Preconditions</w:t>
      </w:r>
    </w:p>
    <w:p>
      <w:pPr>
        <w:tabs>
          <w:tab w:pos="312" w:val="left"/>
        </w:tabs>
        <w:spacing w:after="120"/>
        <w:ind w:left="312" w:hanging="283"/>
      </w:pPr>
      <w:r>
        <w:rPr>
          <w:color w:val="004EA8"/>
        </w:rPr>
        <w:t>•</w:t>
        <w:tab/>
      </w:r>
      <w:r>
        <w:rPr/>
        <w:t>The user has SBM_INTAKE.</w:t>
      </w:r>
    </w:p>
    <w:p>
      <w:pPr>
        <w:pStyle w:val="BDOILabel"/>
      </w:pPr>
      <w:r>
        <w:rPr/>
        <w:t>Main flow</w:t>
      </w:r>
    </w:p>
    <w:p>
      <w:pPr>
        <w:tabs>
          <w:tab w:pos="312" w:val="left"/>
        </w:tabs>
        <w:spacing w:after="40"/>
        <w:ind w:left="312" w:hanging="283"/>
      </w:pPr>
      <w:r>
        <w:rPr>
          <w:color w:val="004EA8"/>
        </w:rPr>
        <w:t>1.</w:t>
        <w:tab/>
      </w:r>
      <w:r>
        <w:rPr/>
        <w:t>The user opens Upload &amp; Intake and chooses the source.</w:t>
      </w:r>
    </w:p>
    <w:p>
      <w:pPr>
        <w:tabs>
          <w:tab w:pos="312" w:val="left"/>
        </w:tabs>
        <w:spacing w:after="40"/>
        <w:ind w:left="312" w:hanging="283"/>
      </w:pPr>
      <w:r>
        <w:rPr>
          <w:color w:val="004EA8"/>
        </w:rPr>
        <w:t>2.</w:t>
        <w:tab/>
      </w:r>
      <w:r>
        <w:rPr/>
        <w:t>The user downloads the template if needed, and uploads the file.</w:t>
      </w:r>
    </w:p>
    <w:p>
      <w:pPr>
        <w:tabs>
          <w:tab w:pos="312" w:val="left"/>
        </w:tabs>
        <w:spacing w:after="40"/>
        <w:ind w:left="312" w:hanging="283"/>
      </w:pPr>
      <w:r>
        <w:rPr>
          <w:color w:val="004EA8"/>
        </w:rPr>
        <w:t>3.</w:t>
        <w:tab/>
      </w:r>
      <w:r>
        <w:rPr/>
        <w:t>BIBS validates the rows and shows valid and invalid counts.</w:t>
      </w:r>
    </w:p>
    <w:p>
      <w:pPr>
        <w:tabs>
          <w:tab w:pos="312" w:val="left"/>
        </w:tabs>
        <w:spacing w:after="120"/>
        <w:ind w:left="312" w:hanging="283"/>
      </w:pPr>
      <w:r>
        <w:rPr>
          <w:color w:val="004EA8"/>
        </w:rPr>
        <w:t>4.</w:t>
        <w:tab/>
      </w:r>
      <w:r>
        <w:rPr/>
        <w:t>The user confirms; BIBS creates or updates the records, records the run (SBI-yyyy-nnnnnn) and starts a processing run for them (FR-SP-021).</w:t>
      </w:r>
    </w:p>
    <w:p>
      <w:pPr>
        <w:pStyle w:val="BDOILabel"/>
      </w:pPr>
      <w:r>
        <w:rPr/>
        <w:t>Alternate and exception flows</w:t>
      </w:r>
    </w:p>
    <w:p>
      <w:pPr>
        <w:tabs>
          <w:tab w:pos="312" w:val="left"/>
        </w:tabs>
        <w:spacing w:after="40"/>
        <w:ind w:left="312" w:hanging="283"/>
      </w:pPr>
      <w:r>
        <w:rPr>
          <w:color w:val="004EA8"/>
        </w:rPr>
        <w:t>•</w:t>
        <w:tab/>
      </w:r>
      <w:r>
        <w:rPr/>
        <w:t>Invalid rows. They are listed with the reason and can be downloaded; valid rows are committed.</w:t>
      </w:r>
    </w:p>
    <w:p>
      <w:pPr>
        <w:tabs>
          <w:tab w:pos="312" w:val="left"/>
        </w:tabs>
        <w:spacing w:after="120"/>
        <w:ind w:left="312" w:hanging="283"/>
      </w:pPr>
      <w:r>
        <w:rPr>
          <w:color w:val="004EA8"/>
        </w:rPr>
        <w:t>•</w:t>
        <w:tab/>
      </w:r>
      <w:r>
        <w:rPr/>
        <w:t>Duplicate file. BIBS refuses it and names the earlier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upload template per source layout; layouts to be supplied by BDOI (SP SQ01,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 and bulk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Natural key - segment, business type, PN or policy no., expiry date; a changed row writes the record history.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file is identified by its SHA-256; the same file cannot be loaded twice.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Same file loaded before</w:t>
            </w:r>
          </w:p>
        </w:tc>
        <w:tc>
          <w:tcPr>
            <w:tcW w:type="dxa" w:w="4079"/>
            <w:tcMar>
              <w:top w:w="50" w:type="dxa"/>
              <w:bottom w:w="50" w:type="dxa"/>
              <w:left w:w="90" w:type="dxa"/>
              <w:right w:w="90" w:type="dxa"/>
            </w:tcMar>
          </w:tcPr>
          <w:p>
            <w:pPr>
              <w:pStyle w:val="BDOITable"/>
            </w:pPr>
            <w:r>
              <w:rPr>
                <w:sz w:val="18"/>
              </w:rPr>
              <w:t>This file was already loaded in run &lt;run 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Source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register</w:t>
            </w:r>
          </w:p>
        </w:tc>
        <w:tc>
          <w:tcPr>
            <w:tcW w:type="dxa" w:w="3286"/>
            <w:tcMar>
              <w:top w:w="50" w:type="dxa"/>
              <w:bottom w:w="50" w:type="dxa"/>
              <w:left w:w="90" w:type="dxa"/>
              <w:right w:w="90" w:type="dxa"/>
            </w:tcMar>
          </w:tcPr>
          <w:p>
            <w:pPr>
              <w:pStyle w:val="BDOITable"/>
            </w:pPr>
            <w:r>
              <w:rPr>
                <w:sz w:val="18"/>
              </w:rPr>
              <w:t>Active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of the source</w:t>
            </w:r>
          </w:p>
        </w:tc>
        <w:tc>
          <w:tcPr>
            <w:tcW w:type="dxa" w:w="3286"/>
            <w:tcMar>
              <w:top w:w="50" w:type="dxa"/>
              <w:bottom w:w="50" w:type="dxa"/>
              <w:left w:w="90" w:type="dxa"/>
              <w:right w:w="90" w:type="dxa"/>
            </w:tcMar>
            <w:shd w:val="clear" w:color="auto" w:fill="E5F5FF"/>
          </w:tcPr>
          <w:p>
            <w:pPr>
              <w:pStyle w:val="BDOITable"/>
            </w:pPr>
            <w:r>
              <w:rPr>
                <w:sz w:val="18"/>
              </w:rPr>
              <w:t>Excel or CSV; 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SBM_NEW_SUBMISSION to the handlers of the segment; SBM_INTAKE_FAILED alert on failure.</w:t>
      </w:r>
    </w:p>
    <w:p>
      <w:pPr>
        <w:pStyle w:val="BDOILabel"/>
      </w:pPr>
      <w:r>
        <w:rPr/>
        <w:t>Audit</w:t>
      </w:r>
    </w:p>
    <w:p>
      <w:pPr>
        <w:tabs>
          <w:tab w:pos="312" w:val="left"/>
        </w:tabs>
        <w:spacing w:after="120"/>
        <w:ind w:left="312" w:hanging="283"/>
      </w:pPr>
      <w:r>
        <w:rPr>
          <w:color w:val="004EA8"/>
        </w:rPr>
        <w:t>•</w:t>
        <w:tab/>
      </w:r>
      <w:r>
        <w:rPr/>
        <w:t>Intake run with source, file name, hash, counts (received, created, updated, duplicate, failed), user and time.</w:t>
      </w:r>
    </w:p>
    <w:p>
      <w:pPr>
        <w:pStyle w:val="BDOILabel"/>
      </w:pPr>
      <w:r>
        <w:rPr/>
        <w:t>Acceptance criteria</w:t>
      </w:r>
    </w:p>
    <w:p>
      <w:pPr>
        <w:tabs>
          <w:tab w:pos="312" w:val="left"/>
        </w:tabs>
        <w:spacing w:after="40"/>
        <w:ind w:left="312" w:hanging="283"/>
      </w:pPr>
      <w:r>
        <w:rPr>
          <w:color w:val="004EA8"/>
        </w:rPr>
        <w:t>1.</w:t>
        <w:tab/>
      </w:r>
      <w:r>
        <w:rPr/>
        <w:t>An LFS insurance report of 300 rows creates 300 CBG Motor records with status RECEIVED.</w:t>
      </w:r>
    </w:p>
    <w:p>
      <w:pPr>
        <w:tabs>
          <w:tab w:pos="312" w:val="left"/>
        </w:tabs>
        <w:spacing w:after="40"/>
        <w:ind w:left="312" w:hanging="283"/>
      </w:pPr>
      <w:r>
        <w:rPr>
          <w:color w:val="004EA8"/>
        </w:rPr>
        <w:t>2.</w:t>
        <w:tab/>
      </w:r>
      <w:r>
        <w:rPr/>
        <w:t>Loading the same file a second time is refused.</w:t>
      </w:r>
    </w:p>
    <w:p>
      <w:pPr>
        <w:tabs>
          <w:tab w:pos="312" w:val="left"/>
        </w:tabs>
        <w:spacing w:after="120"/>
        <w:ind w:left="312" w:hanging="283"/>
      </w:pPr>
      <w:r>
        <w:rPr>
          <w:color w:val="004EA8"/>
        </w:rPr>
        <w:t>3.</w:t>
        <w:tab/>
      </w:r>
      <w:r>
        <w:rPr/>
        <w:t>A row updating an existing policy changes the record and writes the history.</w:t>
      </w:r>
    </w:p>
    <w:p>
      <w:pPr>
        <w:pStyle w:val="Heading3"/>
      </w:pPr>
      <w:bookmarkStart w:id="118" w:name="_Toc000118"/>
      <w:r>
        <w:rPr/>
        <w:t>FR-SP-002 Extract policy details from documents and save them after confirmation</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Policy Reviewer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(proposal side by side with the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/api/v1/submitted/extractions; POST .../{id}/confirm | reject</w:t>
            </w:r>
          </w:p>
        </w:tc>
      </w:tr>
    </w:tbl>
    <w:p>
      <w:pPr>
        <w:pStyle w:val="BDOISpacer"/>
      </w:pPr>
    </w:p>
    <w:p>
      <w:pPr>
        <w:pStyle w:val="BDOILabel"/>
      </w:pPr>
      <w:r>
        <w:rPr/>
        <w:t>Description</w:t>
      </w:r>
    </w:p>
    <w:p>
      <w:r>
        <w:rPr/>
        <w:t>The user uploads a policy document (policy copy, scanned or PDF) to a new or existing record. BIBS extracts the fields - assured, PN, policy number, insurer, period, sum insured, premium, vehicle or property details - and shows each proposed value with its confidence next to an editable field.</w:t>
      </w:r>
    </w:p>
    <w:p>
      <w:r>
        <w:rPr/>
        <w:t xml:space="preserve">Nothing is saved to the masterlist before the user confirms. On </w:t>
      </w:r>
      <w:r>
        <w:rPr>
          <w:b/>
        </w:rPr>
        <w:t>Confirm</w:t>
      </w:r>
      <w:r>
        <w:rPr/>
        <w:t xml:space="preserve"> the fields are written and the record becomes VALIDATED; on </w:t>
      </w:r>
      <w:r>
        <w:rPr>
          <w:b/>
        </w:rPr>
        <w:t>Reject</w:t>
      </w:r>
      <w:r>
        <w:rPr/>
        <w:t xml:space="preserve"> the file is kept with a reason and the user enters the data by hand.</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uploads the document on the record, or as a new record.</w:t>
      </w:r>
    </w:p>
    <w:p>
      <w:pPr>
        <w:tabs>
          <w:tab w:pos="312" w:val="left"/>
        </w:tabs>
        <w:spacing w:after="40"/>
        <w:ind w:left="312" w:hanging="283"/>
      </w:pPr>
      <w:r>
        <w:rPr>
          <w:color w:val="004EA8"/>
        </w:rPr>
        <w:t>2.</w:t>
        <w:tab/>
      </w:r>
      <w:r>
        <w:rPr/>
        <w:t>BIBS extracts the fields and opens Extraction Review.</w:t>
      </w:r>
    </w:p>
    <w:p>
      <w:pPr>
        <w:tabs>
          <w:tab w:pos="312" w:val="left"/>
        </w:tabs>
        <w:spacing w:after="120"/>
        <w:ind w:left="312" w:hanging="283"/>
      </w:pPr>
      <w:r>
        <w:rPr>
          <w:color w:val="004EA8"/>
        </w:rPr>
        <w:t>3.</w:t>
        <w:tab/>
      </w:r>
      <w:r>
        <w:rPr/>
        <w:t xml:space="preserve">The user checks and corrects the values and clicks </w:t>
      </w:r>
      <w:r>
        <w:rPr>
          <w:b/>
        </w:rPr>
        <w:t>Confirm</w:t>
      </w:r>
      <w:r>
        <w:rPr/>
        <w:t>.</w:t>
      </w:r>
    </w:p>
    <w:p>
      <w:pPr>
        <w:pStyle w:val="BDOILabel"/>
      </w:pPr>
      <w:r>
        <w:rPr/>
        <w:t>Alternate and exception flows</w:t>
      </w:r>
    </w:p>
    <w:p>
      <w:pPr>
        <w:tabs>
          <w:tab w:pos="312" w:val="left"/>
        </w:tabs>
        <w:spacing w:after="40"/>
        <w:ind w:left="312" w:hanging="283"/>
      </w:pPr>
      <w:r>
        <w:rPr>
          <w:color w:val="004EA8"/>
        </w:rPr>
        <w:t>•</w:t>
        <w:tab/>
      </w:r>
      <w:r>
        <w:rPr/>
        <w:t>Scanned document without text. Extraction returns "not readable" (OCR is parked, SP SQ03); the user enters the fields by hand (FR-SP-003).</w:t>
      </w:r>
    </w:p>
    <w:p>
      <w:pPr>
        <w:tabs>
          <w:tab w:pos="312" w:val="left"/>
        </w:tabs>
        <w:spacing w:after="120"/>
        <w:ind w:left="312" w:hanging="283"/>
      </w:pPr>
      <w:r>
        <w:rPr>
          <w:color w:val="004EA8"/>
        </w:rPr>
        <w:t>•</w:t>
        <w:tab/>
      </w:r>
      <w:r>
        <w:rPr/>
        <w:t>Reject. The user rejects the proposal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Extraction never writes to the masterlist without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are maintained as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 (kind SUBMITTED_POLICY)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 with a 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Extraction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Assured / PN / Policy no. / Insurer</w:t>
            </w:r>
          </w:p>
        </w:tc>
        <w:tc>
          <w:tcPr>
            <w:tcW w:type="dxa" w:w="1190"/>
            <w:tcMar>
              <w:top w:w="50" w:type="dxa"/>
              <w:bottom w:w="50" w:type="dxa"/>
              <w:left w:w="90" w:type="dxa"/>
              <w:right w:w="90" w:type="dxa"/>
            </w:tcMar>
          </w:tcPr>
          <w:p>
            <w:pPr>
              <w:pStyle w:val="BDOITable"/>
            </w:pPr>
            <w:r>
              <w:rPr>
                <w:sz w:val="18"/>
              </w:rPr>
              <w:t>Text and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 and masters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Sum insured /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 (unit, serial, motor no., plate / location, occupancy)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By segment</w:t>
            </w:r>
          </w:p>
        </w:tc>
      </w:tr>
    </w:tbl>
    <w:p>
      <w:pPr>
        <w:pStyle w:val="BDOISpacer"/>
      </w:pPr>
    </w:p>
    <w:p>
      <w:pPr>
        <w:pStyle w:val="BDOILabel"/>
      </w:pPr>
      <w:r>
        <w:rPr/>
        <w:t>Notifications</w:t>
      </w:r>
    </w:p>
    <w:p>
      <w:pPr>
        <w:tabs>
          <w:tab w:pos="312" w:val="left"/>
        </w:tabs>
        <w:spacing w:after="120"/>
        <w:ind w:left="312" w:hanging="283"/>
      </w:pPr>
      <w:r>
        <w:rPr>
          <w:color w:val="004EA8"/>
        </w:rPr>
        <w:t>•</w:t>
        <w:tab/>
      </w:r>
      <w:r>
        <w:rPr/>
        <w:t>SBM_MANUAL_VALIDATION to the handlers when a document waits for confirmation.</w:t>
      </w:r>
    </w:p>
    <w:p>
      <w:pPr>
        <w:pStyle w:val="BDOILabel"/>
      </w:pPr>
      <w:r>
        <w:rPr/>
        <w:t>Audit</w:t>
      </w:r>
    </w:p>
    <w:p>
      <w:pPr>
        <w:tabs>
          <w:tab w:pos="312" w:val="left"/>
        </w:tabs>
        <w:spacing w:after="120"/>
        <w:ind w:left="312" w:hanging="283"/>
      </w:pPr>
      <w:r>
        <w:rPr>
          <w:color w:val="004EA8"/>
        </w:rPr>
        <w:t>•</w:t>
        <w:tab/>
      </w:r>
      <w:r>
        <w:rPr/>
        <w:t>Proposal, confirmation or rejection with user and time; the document is kept as an attachment.</w:t>
      </w:r>
    </w:p>
    <w:p>
      <w:pPr>
        <w:pStyle w:val="BDOILabel"/>
      </w:pPr>
      <w:r>
        <w:rPr/>
        <w:t>Acceptance criteria</w:t>
      </w:r>
    </w:p>
    <w:p>
      <w:pPr>
        <w:tabs>
          <w:tab w:pos="312" w:val="left"/>
        </w:tabs>
        <w:spacing w:after="40"/>
        <w:ind w:left="312" w:hanging="283"/>
      </w:pPr>
      <w:r>
        <w:rPr>
          <w:color w:val="004EA8"/>
        </w:rPr>
        <w:t>1.</w:t>
        <w:tab/>
      </w:r>
      <w:r>
        <w:rPr/>
        <w:t>A text PDF of a motor policy produces a proposal; after confirmation the record shows the confirmed values and status VALIDATED.</w:t>
      </w:r>
    </w:p>
    <w:p>
      <w:pPr>
        <w:tabs>
          <w:tab w:pos="312" w:val="left"/>
        </w:tabs>
        <w:spacing w:after="40"/>
        <w:ind w:left="312" w:hanging="283"/>
      </w:pPr>
      <w:r>
        <w:rPr>
          <w:color w:val="004EA8"/>
        </w:rPr>
        <w:t>2.</w:t>
        <w:tab/>
      </w:r>
      <w:r>
        <w:rPr/>
        <w:t>Before confirmation the masterlist is unchanged.</w:t>
      </w:r>
    </w:p>
    <w:p>
      <w:pPr>
        <w:tabs>
          <w:tab w:pos="312" w:val="left"/>
        </w:tabs>
        <w:spacing w:after="120"/>
        <w:ind w:left="312" w:hanging="283"/>
      </w:pPr>
      <w:r>
        <w:rPr>
          <w:color w:val="004EA8"/>
        </w:rPr>
        <w:t>3.</w:t>
        <w:tab/>
      </w:r>
      <w:r>
        <w:rPr/>
        <w:t>A scanned document without text leads to manual entry.</w:t>
      </w:r>
    </w:p>
    <w:p>
      <w:pPr>
        <w:pStyle w:val="Heading3"/>
      </w:pPr>
      <w:bookmarkStart w:id="119" w:name="_Toc000119"/>
      <w:r>
        <w:rPr/>
        <w:t>FR-SP-003 Create or update a policy manually and tag its renewal opportunity</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(Submitted Handler, Policy Reviewer, Marketing AO;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(New Policy); Policy record (Edit, Tag Renewable / Non-Renewable)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/api/v1/submitted/policies; PUT .../{id}; POST .../{id}/renewal-tag</w:t>
            </w:r>
          </w:p>
        </w:tc>
      </w:tr>
    </w:tbl>
    <w:p>
      <w:pPr>
        <w:pStyle w:val="BDOISpacer"/>
      </w:pPr>
    </w:p>
    <w:p>
      <w:pPr>
        <w:pStyle w:val="BDOILabel"/>
      </w:pPr>
      <w:r>
        <w:rPr/>
        <w:t>Description</w:t>
      </w:r>
    </w:p>
    <w:p>
      <w:r>
        <w:rPr/>
        <w:t>A Marketing user creates a policy record by hand when data is incomplete or cannot be extracted, or updates an existing one. Mandatory fields depend on the segment.</w:t>
      </w:r>
    </w:p>
    <w:p>
      <w:r>
        <w:rPr/>
        <w:t>The user tags a record Renewable or Non-Renewable with a reason. The tag is saved with user and time, shown as a flag chip on the record and available in filters and reports. A manual tag overrides the rule result; the processing run records the rule result but keeps the manual tag.</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Policy</w:t>
      </w:r>
      <w:r>
        <w:rPr/>
        <w:t xml:space="preserve"> (or </w:t>
      </w:r>
      <w:r>
        <w:rPr>
          <w:b/>
        </w:rPr>
        <w:t>Edit</w:t>
      </w:r>
      <w:r>
        <w:rPr/>
        <w:t xml:space="preserve"> on a record) and enters the fields.</w:t>
      </w:r>
    </w:p>
    <w:p>
      <w:pPr>
        <w:tabs>
          <w:tab w:pos="312" w:val="left"/>
        </w:tabs>
        <w:spacing w:after="40"/>
        <w:ind w:left="312" w:hanging="283"/>
      </w:pPr>
      <w:r>
        <w:rPr>
          <w:color w:val="004EA8"/>
        </w:rPr>
        <w:t>2.</w:t>
        <w:tab/>
      </w:r>
      <w:r>
        <w:rPr/>
        <w:t>The user saves; the record is VALIDATED.</w:t>
      </w:r>
    </w:p>
    <w:p>
      <w:pPr>
        <w:tabs>
          <w:tab w:pos="312" w:val="left"/>
        </w:tabs>
        <w:spacing w:after="120"/>
        <w:ind w:left="312" w:hanging="283"/>
      </w:pPr>
      <w:r>
        <w:rPr>
          <w:color w:val="004EA8"/>
        </w:rPr>
        <w:t>3.</w:t>
        <w:tab/>
      </w:r>
      <w:r>
        <w:rPr/>
        <w:t xml:space="preserve">The user clicks </w:t>
      </w:r>
      <w:r>
        <w:rPr>
          <w:b/>
        </w:rPr>
        <w:t>Tag Renewable</w:t>
      </w:r>
      <w:r>
        <w:rPr/>
        <w:t xml:space="preserve"> or </w:t>
      </w:r>
      <w:r>
        <w:rPr>
          <w:b/>
        </w:rPr>
        <w:t>Tag Non-Renewable</w:t>
      </w:r>
      <w:r>
        <w:rPr/>
        <w:t>, selects the reason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fields per segment are those of the MANUAL source.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manual tag overrides the rule tag until it is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may override a rule-set tag is to be confirmed (SP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Non-Renewable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Non-Renewable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policy already in the masterlist</w:t>
            </w:r>
          </w:p>
        </w:tc>
        <w:tc>
          <w:tcPr>
            <w:tcW w:type="dxa" w:w="4079"/>
            <w:tcMar>
              <w:top w:w="50" w:type="dxa"/>
              <w:bottom w:w="50" w:type="dxa"/>
              <w:left w:w="90" w:type="dxa"/>
              <w:right w:w="90" w:type="dxa"/>
            </w:tcMar>
          </w:tcPr>
          <w:p>
            <w:pPr>
              <w:pStyle w:val="BDOITable"/>
            </w:pPr>
            <w:r>
              <w:rPr>
                <w:sz w:val="18"/>
              </w:rPr>
              <w:t>Policy &lt;no.&gt; is already in the masterlist (&lt;SBM 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Policy record (main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SBM_SEGMENT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NB, RB</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PN no. / Loan application no. / CIF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PN required for CBG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Borrower / Assured / Mailing address / Contacts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Assured required</w:t>
            </w:r>
          </w:p>
        </w:tc>
      </w:tr>
      <w:tr>
        <w:trPr>
          <w:cantSplit w:val="true"/>
        </w:trPr>
        <w:tc>
          <w:tcPr>
            <w:tcW w:type="dxa" w:w="1926"/>
            <w:tcMar>
              <w:top w:w="50" w:type="dxa"/>
              <w:bottom w:w="50" w:type="dxa"/>
              <w:left w:w="90" w:type="dxa"/>
              <w:right w:w="90" w:type="dxa"/>
            </w:tcMar>
          </w:tcPr>
          <w:p>
            <w:pPr>
              <w:pStyle w:val="BDOITable"/>
            </w:pPr>
            <w:r>
              <w:rPr>
                <w:sz w:val="18"/>
              </w:rPr>
              <w:t>Insurer / Policy no.</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Amount insured / Total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Unit and serial for Motor; location for Fire</w:t>
            </w:r>
          </w:p>
        </w:tc>
      </w:tr>
      <w:tr>
        <w:trPr>
          <w:cantSplit w:val="true"/>
        </w:trPr>
        <w:tc>
          <w:tcPr>
            <w:tcW w:type="dxa" w:w="1926"/>
            <w:tcMar>
              <w:top w:w="50" w:type="dxa"/>
              <w:bottom w:w="50" w:type="dxa"/>
              <w:left w:w="90" w:type="dxa"/>
              <w:right w:w="90" w:type="dxa"/>
            </w:tcMar>
          </w:tcPr>
          <w:p>
            <w:pPr>
              <w:pStyle w:val="BDOITable"/>
            </w:pPr>
            <w:r>
              <w:rPr>
                <w:sz w:val="18"/>
              </w:rPr>
              <w:t>Renewal tag</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Renewable, Non-Renewable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SBM_NON_RENEWAL_REASON</w:t>
            </w:r>
          </w:p>
        </w:tc>
        <w:tc>
          <w:tcPr>
            <w:tcW w:type="dxa" w:w="3286"/>
            <w:tcMar>
              <w:top w:w="50" w:type="dxa"/>
              <w:bottom w:w="50" w:type="dxa"/>
              <w:left w:w="90" w:type="dxa"/>
              <w:right w:w="90" w:type="dxa"/>
            </w:tcMar>
            <w:shd w:val="clear" w:color="auto" w:fill="E5F5FF"/>
          </w:tcPr>
          <w:p>
            <w:pPr>
              <w:pStyle w:val="BDOITable"/>
            </w:pPr>
            <w:r>
              <w:rPr>
                <w:sz w:val="18"/>
              </w:rPr>
              <w:t>Required for Non-Renewable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Create, edit and tag with before and after values, user and time.</w:t>
      </w:r>
    </w:p>
    <w:p>
      <w:pPr>
        <w:pStyle w:val="BDOILabel"/>
      </w:pPr>
      <w:r>
        <w:rPr/>
        <w:t>Acceptance criteria</w:t>
      </w:r>
    </w:p>
    <w:p>
      <w:pPr>
        <w:tabs>
          <w:tab w:pos="312" w:val="left"/>
        </w:tabs>
        <w:spacing w:after="40"/>
        <w:ind w:left="312" w:hanging="283"/>
      </w:pPr>
      <w:r>
        <w:rPr>
          <w:color w:val="004EA8"/>
        </w:rPr>
        <w:t>1.</w:t>
        <w:tab/>
      </w:r>
      <w:r>
        <w:rPr/>
        <w:t>A manually created Non-CBG Corporate policy is saved and appears in the masterlist.</w:t>
      </w:r>
    </w:p>
    <w:p>
      <w:pPr>
        <w:tabs>
          <w:tab w:pos="312" w:val="left"/>
        </w:tabs>
        <w:spacing w:after="40"/>
        <w:ind w:left="312" w:hanging="283"/>
      </w:pPr>
      <w:r>
        <w:rPr>
          <w:color w:val="004EA8"/>
        </w:rPr>
        <w:t>2.</w:t>
        <w:tab/>
      </w:r>
      <w:r>
        <w:rPr/>
        <w:t>A record tagged Non-Renewable shows the chip and appears in the Non-Renewal filter and report.</w:t>
      </w:r>
    </w:p>
    <w:p>
      <w:pPr>
        <w:tabs>
          <w:tab w:pos="312" w:val="left"/>
        </w:tabs>
        <w:spacing w:after="120"/>
        <w:ind w:left="312" w:hanging="283"/>
      </w:pPr>
      <w:r>
        <w:rPr>
          <w:color w:val="004EA8"/>
        </w:rPr>
        <w:t>3.</w:t>
        <w:tab/>
      </w:r>
      <w:r>
        <w:rPr/>
        <w:t>A later processing run does not change a manual tag.</w:t>
      </w:r>
    </w:p>
    <w:p>
      <w:pPr>
        <w:pStyle w:val="Heading3"/>
      </w:pPr>
      <w:bookmarkStart w:id="120" w:name="_Toc000120"/>
      <w:r>
        <w:rPr/>
        <w:t>FR-SP-004 Migrate the existing Excel masterlists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(SBM_MIGRATE)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(Migration); Reports (SBM-MIGRATION-ERRORS)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SBM_MIGRATION</w:t>
            </w:r>
          </w:p>
        </w:tc>
      </w:tr>
    </w:tbl>
    <w:p>
      <w:pPr>
        <w:pStyle w:val="BDOISpacer"/>
      </w:pPr>
    </w:p>
    <w:p>
      <w:pPr>
        <w:pStyle w:val="BDOILabel"/>
      </w:pPr>
      <w:r>
        <w:rPr/>
        <w:t>Description</w:t>
      </w:r>
    </w:p>
    <w:p>
      <w:r>
        <w:rPr/>
        <w:t>The existing masterlists in Excel (NB Motor, RB Motor, Fire, Non-CBG) are read with a column mapping per legacy layout. Valid records are migrated completely, keep their original submission status (mapped to a BIBS status and bucket), submission date and reference ID, and are flagged Migrated. Invalid, incomplete or failed records are captured in an error log with reason codes.</w:t>
      </w:r>
    </w:p>
    <w:p>
      <w:r>
        <w:rPr/>
        <w:t>The migration can be run again; it is idempotent on the legacy reference.</w:t>
      </w:r>
    </w:p>
    <w:p>
      <w:pPr>
        <w:pStyle w:val="BDOILabel"/>
      </w:pPr>
      <w:r>
        <w:rPr/>
        <w:t>Preconditions</w:t>
      </w:r>
    </w:p>
    <w:p>
      <w:pPr>
        <w:tabs>
          <w:tab w:pos="312" w:val="left"/>
        </w:tabs>
        <w:spacing w:after="120"/>
        <w:ind w:left="312" w:hanging="283"/>
      </w:pPr>
      <w:r>
        <w:rPr>
          <w:color w:val="004EA8"/>
        </w:rPr>
        <w:t>•</w:t>
        <w:tab/>
      </w:r>
      <w:r>
        <w:rPr/>
        <w:t>The user has SBM_MIGRATE; the status map is set up.</w:t>
      </w:r>
    </w:p>
    <w:p>
      <w:pPr>
        <w:pStyle w:val="BDOILabel"/>
      </w:pPr>
      <w:r>
        <w:rPr/>
        <w:t>Main flow</w:t>
      </w:r>
    </w:p>
    <w:p>
      <w:pPr>
        <w:tabs>
          <w:tab w:pos="312" w:val="left"/>
        </w:tabs>
        <w:spacing w:after="40"/>
        <w:ind w:left="312" w:hanging="283"/>
      </w:pPr>
      <w:r>
        <w:rPr>
          <w:color w:val="004EA8"/>
        </w:rPr>
        <w:t>1.</w:t>
        <w:tab/>
      </w:r>
      <w:r>
        <w:rPr/>
        <w:t>The user uploads a legacy file and chooses its layout.</w:t>
      </w:r>
    </w:p>
    <w:p>
      <w:pPr>
        <w:tabs>
          <w:tab w:pos="312" w:val="left"/>
        </w:tabs>
        <w:spacing w:after="40"/>
        <w:ind w:left="312" w:hanging="283"/>
      </w:pPr>
      <w:r>
        <w:rPr>
          <w:color w:val="004EA8"/>
        </w:rPr>
        <w:t>2.</w:t>
        <w:tab/>
      </w:r>
      <w:r>
        <w:rPr/>
        <w:t>BIBS validates, maps the statuses and shows the result.</w:t>
      </w:r>
    </w:p>
    <w:p>
      <w:pPr>
        <w:tabs>
          <w:tab w:pos="312" w:val="left"/>
        </w:tabs>
        <w:spacing w:after="120"/>
        <w:ind w:left="312" w:hanging="283"/>
      </w:pPr>
      <w:r>
        <w:rPr>
          <w:color w:val="004EA8"/>
        </w:rPr>
        <w:t>3.</w:t>
        <w:tab/>
      </w:r>
      <w:r>
        <w:rPr/>
        <w:t>The user confirms; BIBS creates the records and writes the errors to the 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 to BIBS status and bucket through the status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Status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Migrated records keep legacy reference and date received; flag Migrated.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in the map</w:t>
            </w:r>
          </w:p>
        </w:tc>
        <w:tc>
          <w:tcPr>
            <w:tcW w:type="dxa" w:w="4079"/>
            <w:tcMar>
              <w:top w:w="50" w:type="dxa"/>
              <w:bottom w:w="50" w:type="dxa"/>
              <w:left w:w="90" w:type="dxa"/>
              <w:right w:w="90" w:type="dxa"/>
            </w:tcMar>
          </w:tcPr>
          <w:p>
            <w:pPr>
              <w:pStyle w:val="BDOITable"/>
            </w:pPr>
            <w:r>
              <w:rPr>
                <w:sz w:val="18"/>
              </w:rPr>
              <w:t>Row &lt;n&gt;: status &lt;value&gt; has no mapping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Migration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NB Motor, RB Motor, Fire, Non-CBG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.xlsx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Migration job with counts; error log rows with reason codes (report SBM-MIGRATION-ERRORS).</w:t>
      </w:r>
    </w:p>
    <w:p>
      <w:pPr>
        <w:pStyle w:val="BDOILabel"/>
      </w:pPr>
      <w:r>
        <w:rPr/>
        <w:t>Acceptance criteria</w:t>
      </w:r>
    </w:p>
    <w:p>
      <w:pPr>
        <w:tabs>
          <w:tab w:pos="312" w:val="left"/>
        </w:tabs>
        <w:spacing w:after="40"/>
        <w:ind w:left="312" w:hanging="283"/>
      </w:pPr>
      <w:r>
        <w:rPr>
          <w:color w:val="004EA8"/>
        </w:rPr>
        <w:t>1.</w:t>
        <w:tab/>
      </w:r>
      <w:r>
        <w:rPr/>
        <w:t>A legacy file with 1,000 rows and 12 invalid rows migrates 988 records flagged Migrated and logs 12 errors with reason codes.</w:t>
      </w:r>
    </w:p>
    <w:p>
      <w:pPr>
        <w:tabs>
          <w:tab w:pos="312" w:val="left"/>
        </w:tabs>
        <w:spacing w:after="40"/>
        <w:ind w:left="312" w:hanging="283"/>
      </w:pPr>
      <w:r>
        <w:rPr>
          <w:color w:val="004EA8"/>
        </w:rPr>
        <w:t>2.</w:t>
        <w:tab/>
      </w:r>
      <w:r>
        <w:rPr/>
        <w:t>A migrated record shows its original date received and legacy reference.</w:t>
      </w:r>
    </w:p>
    <w:p>
      <w:pPr>
        <w:tabs>
          <w:tab w:pos="312" w:val="left"/>
        </w:tabs>
        <w:spacing w:after="120"/>
        <w:ind w:left="312" w:hanging="283"/>
      </w:pPr>
      <w:r>
        <w:rPr>
          <w:color w:val="004EA8"/>
        </w:rPr>
        <w:t>3.</w:t>
        <w:tab/>
      </w:r>
      <w:r>
        <w:rPr/>
        <w:t>Running the same file again creates no duplicates.</w:t>
      </w:r>
    </w:p>
    <w:p>
      <w:pPr>
        <w:pStyle w:val="Heading2"/>
      </w:pPr>
      <w:bookmarkStart w:id="121" w:name="_Toc000121"/>
      <w:r>
        <w:rPr/>
        <w:t>4.2 Masterlist and access</w:t>
      </w:r>
      <w:bookmarkEnd w:id="121"/>
    </w:p>
    <w:p>
      <w:pPr>
        <w:pStyle w:val="Heading3"/>
      </w:pPr>
      <w:bookmarkStart w:id="122" w:name="_Toc000122"/>
      <w:r>
        <w:rPr/>
        <w:t>FR-SP-010 Keep one Submitted Masterlist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BRIDSP-04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Submitted Policies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(tabs All, For Validation, Classified, For Renewal, Manual Disposition, Non-Renewal, Fallout); Policy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/api/v1/submitted/policies; GET .../{id}</w:t>
            </w:r>
          </w:p>
        </w:tc>
      </w:tr>
    </w:tbl>
    <w:p>
      <w:pPr>
        <w:pStyle w:val="BDOISpacer"/>
      </w:pPr>
    </w:p>
    <w:p>
      <w:pPr>
        <w:pStyle w:val="BDOILabel"/>
      </w:pPr>
      <w:r>
        <w:rPr/>
        <w:t>Description</w:t>
      </w:r>
    </w:p>
    <w:p>
      <w:r>
        <w:rPr/>
        <w:t>All submitted policy details are held in one masterlist, one record per submitted or inforced policy, segment and business type - with loan data, risk details, insurer and policy, classification, bucket, renewal tag, handler, conversion status and the linked renewal ARN and booked invoice. When a record is saved or updated, the masterlist shows the latest data.</w:t>
      </w:r>
    </w:p>
    <w:p>
      <w:r>
        <w:rPr/>
        <w:t>The Policy record page has the summary card with flag chips (Renewable, FFY, No Touch, Migrated, Insurer approval) and the tabs Details, Loan &amp; Matching, Rule Results, Review &amp; IAAF, TOR, Renewal, Letters, Documents and History.</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Masterlist, chooses a tab and filters by segment, business type, bucket, expiry month, insurer, handler, conversion status or Migrated.</w:t>
      </w:r>
    </w:p>
    <w:p>
      <w:pPr>
        <w:tabs>
          <w:tab w:pos="312" w:val="left"/>
        </w:tabs>
        <w:spacing w:after="120"/>
        <w:ind w:left="312" w:hanging="283"/>
      </w:pPr>
      <w:r>
        <w:rPr>
          <w:color w:val="004EA8"/>
        </w:rPr>
        <w:t>2.</w:t>
        <w:tab/>
      </w:r>
      <w:r>
        <w:rPr/>
        <w:t>The user opens a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writes the record history and the audit trail.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Record history per field with source (intake, extraction, manual, run, renewal, booking).</w:t>
      </w:r>
    </w:p>
    <w:p>
      <w:pPr>
        <w:pStyle w:val="BDOILabel"/>
      </w:pPr>
      <w:r>
        <w:rPr/>
        <w:t>Acceptance criteria</w:t>
      </w:r>
    </w:p>
    <w:p>
      <w:pPr>
        <w:tabs>
          <w:tab w:pos="312" w:val="left"/>
        </w:tabs>
        <w:spacing w:after="40"/>
        <w:ind w:left="312" w:hanging="283"/>
      </w:pPr>
      <w:r>
        <w:rPr>
          <w:color w:val="004EA8"/>
        </w:rPr>
        <w:t>1.</w:t>
        <w:tab/>
      </w:r>
      <w:r>
        <w:rPr/>
        <w:t>After a record is updated by an upload, the masterlist shows the new values at once.</w:t>
      </w:r>
    </w:p>
    <w:p>
      <w:pPr>
        <w:tabs>
          <w:tab w:pos="312" w:val="left"/>
        </w:tabs>
        <w:spacing w:after="120"/>
        <w:ind w:left="312" w:hanging="283"/>
      </w:pPr>
      <w:r>
        <w:rPr>
          <w:color w:val="004EA8"/>
        </w:rPr>
        <w:t>2.</w:t>
        <w:tab/>
      </w:r>
      <w:r>
        <w:rPr/>
        <w:t>Filters by segment and expiry month return only the matching records.</w:t>
      </w:r>
    </w:p>
    <w:p>
      <w:pPr>
        <w:pStyle w:val="Heading3"/>
      </w:pPr>
      <w:bookmarkStart w:id="123" w:name="_Toc000123"/>
      <w:r>
        <w:rPr/>
        <w:t>FR-SP-011 View and extract the masterlist by role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(SBM_VIEW, SBM_EXPORT)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(Export); Reports (SBM-MASTERLIST)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/api/v1/reports/SBM-MASTERLIST/export?format=</w:t>
            </w:r>
          </w:p>
        </w:tc>
      </w:tr>
    </w:tbl>
    <w:p>
      <w:pPr>
        <w:pStyle w:val="BDOISpacer"/>
      </w:pPr>
    </w:p>
    <w:p>
      <w:pPr>
        <w:pStyle w:val="BDOILabel"/>
      </w:pPr>
      <w:r>
        <w:rPr/>
        <w:t>Description</w:t>
      </w:r>
    </w:p>
    <w:p>
      <w:r>
        <w:rPr/>
        <w:t>Viewing and downloading the masterlist follow role-based access. Viewing needs SBM_VIEW and extracting needs SBM_EXPORT. Every record, list, report and extract is limited to the user's scope - the segments of the user, and for Marketing AOs only their own records.</w:t>
      </w:r>
    </w:p>
    <w:p>
      <w:r>
        <w:rPr/>
        <w:t>The extract is the report SBM-MASTERLIST with the fields of Report List row 151 per segment, including migrated records, in XLSX, CSV or PDF, archived.</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 xml:space="preserve">The user filters the masterlist and clicks </w:t>
      </w:r>
      <w:r>
        <w:rPr>
          <w:b/>
        </w:rPr>
        <w:t>Export</w:t>
      </w:r>
      <w:r>
        <w:rPr/>
        <w:t>.</w:t>
      </w:r>
    </w:p>
    <w:p>
      <w:pPr>
        <w:tabs>
          <w:tab w:pos="312" w:val="left"/>
        </w:tabs>
        <w:spacing w:after="120"/>
        <w:ind w:left="312" w:hanging="283"/>
      </w:pPr>
      <w:r>
        <w:rPr>
          <w:color w:val="004EA8"/>
        </w:rPr>
        <w:t>2.</w:t>
        <w:tab/>
      </w:r>
      <w:r>
        <w:rPr/>
        <w:t>BIBS produces the extract within the user's scope and archives it.</w:t>
      </w:r>
    </w:p>
    <w:p>
      <w:pPr>
        <w:pStyle w:val="BDOILabel"/>
      </w:pPr>
      <w:r>
        <w:rPr/>
        <w:t>Alternate and exception flows</w:t>
      </w:r>
    </w:p>
    <w:p>
      <w:pPr>
        <w:tabs>
          <w:tab w:pos="312" w:val="left"/>
        </w:tabs>
        <w:spacing w:after="120"/>
        <w:ind w:left="312" w:hanging="283"/>
      </w:pPr>
      <w:r>
        <w:rPr>
          <w:color w:val="004EA8"/>
        </w:rPr>
        <w:t>•</w:t>
        <w:tab/>
      </w:r>
      <w:r>
        <w:rPr/>
        <w:t>User without SBM_EXPORT. The Export button is not shown;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Scope by segment; own records only for AOs (user scope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scope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view of a record and every extract with user and time.</w:t>
      </w:r>
    </w:p>
    <w:p>
      <w:pPr>
        <w:pStyle w:val="BDOILabel"/>
      </w:pPr>
      <w:r>
        <w:rPr/>
        <w:t>Acceptance criteria</w:t>
      </w:r>
    </w:p>
    <w:p>
      <w:pPr>
        <w:tabs>
          <w:tab w:pos="312" w:val="left"/>
        </w:tabs>
        <w:spacing w:after="40"/>
        <w:ind w:left="312" w:hanging="283"/>
      </w:pPr>
      <w:r>
        <w:rPr>
          <w:color w:val="004EA8"/>
        </w:rPr>
        <w:t>1.</w:t>
        <w:tab/>
      </w:r>
      <w:r>
        <w:rPr/>
        <w:t>A CBG Motor handler does not see CBG Fire records.</w:t>
      </w:r>
    </w:p>
    <w:p>
      <w:pPr>
        <w:tabs>
          <w:tab w:pos="312" w:val="left"/>
        </w:tabs>
        <w:spacing w:after="40"/>
        <w:ind w:left="312" w:hanging="283"/>
      </w:pPr>
      <w:r>
        <w:rPr>
          <w:color w:val="004EA8"/>
        </w:rPr>
        <w:t>2.</w:t>
        <w:tab/>
      </w:r>
      <w:r>
        <w:rPr/>
        <w:t>An AO sees only his records.</w:t>
      </w:r>
    </w:p>
    <w:p>
      <w:pPr>
        <w:tabs>
          <w:tab w:pos="312" w:val="left"/>
        </w:tabs>
        <w:spacing w:after="120"/>
        <w:ind w:left="312" w:hanging="283"/>
      </w:pPr>
      <w:r>
        <w:rPr>
          <w:color w:val="004EA8"/>
        </w:rPr>
        <w:t>3.</w:t>
        <w:tab/>
      </w:r>
      <w:r>
        <w:rPr/>
        <w:t>A user without SBM_EXPORT cannot extract the masterlist.</w:t>
      </w:r>
    </w:p>
    <w:p>
      <w:pPr>
        <w:pStyle w:val="Heading3"/>
      </w:pPr>
      <w:bookmarkStart w:id="124" w:name="_Toc000124"/>
      <w:r>
        <w:rPr/>
        <w:t>FR-SP-012 Monitor handler, conversion status and remarks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(Assign Handler; quick filter Changed since); Policy record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/api/v1/submitted/policies/{id} (handler, conversion status, remarks)</w:t>
            </w:r>
          </w:p>
        </w:tc>
      </w:tr>
    </w:tbl>
    <w:p>
      <w:pPr>
        <w:pStyle w:val="BDOISpacer"/>
      </w:pPr>
    </w:p>
    <w:p>
      <w:pPr>
        <w:pStyle w:val="BDOILabel"/>
      </w:pPr>
      <w:r>
        <w:rPr/>
        <w:t>Description</w:t>
      </w:r>
    </w:p>
    <w:p>
      <w:r>
        <w:rPr/>
        <w:t>The user updates the handler, the conversion status and the remarks of a record, one by one or in bulk (Assign Handler). The masterlist shows the latest values; the History tab shows every change per field; a "Changed since" quick filter lists the records changed after a date.</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edits the handler, conversion status or remarks and saves.</w:t>
      </w:r>
    </w:p>
    <w:p>
      <w:pPr>
        <w:tabs>
          <w:tab w:pos="312" w:val="left"/>
        </w:tabs>
        <w:spacing w:after="120"/>
        <w:ind w:left="312" w:hanging="283"/>
      </w:pPr>
      <w:r>
        <w:rPr>
          <w:color w:val="004EA8"/>
        </w:rPr>
        <w:t>2.</w:t>
        <w:tab/>
      </w:r>
      <w:r>
        <w:rPr/>
        <w:t>BIBS records the change and shows it in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Conversion statuses in LOV SBM_CONVERSION_STATUS (Renewed, Unrenewed, Process Placement per group; RL #163).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SBM_CONVERSION_STATUS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Handler not an active user</w:t>
            </w:r>
          </w:p>
        </w:tc>
        <w:tc>
          <w:tcPr>
            <w:tcW w:type="dxa" w:w="4079"/>
            <w:tcMar>
              <w:top w:w="50" w:type="dxa"/>
              <w:bottom w:w="50" w:type="dxa"/>
              <w:left w:w="90" w:type="dxa"/>
              <w:right w:w="90" w:type="dxa"/>
            </w:tcMar>
          </w:tcPr>
          <w:p>
            <w:pPr>
              <w:pStyle w:val="BDOITable"/>
            </w:pPr>
            <w:r>
              <w:rPr>
                <w:sz w:val="18"/>
              </w:rPr>
              <w:t>&lt;user&gt; is not an active user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Policy record (tracking)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Handler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 with SBM_MAINTAIN</w:t>
            </w:r>
          </w:p>
        </w:tc>
        <w:tc>
          <w:tcPr>
            <w:tcW w:type="dxa" w:w="3286"/>
            <w:tcMar>
              <w:top w:w="50" w:type="dxa"/>
              <w:bottom w:w="50" w:type="dxa"/>
              <w:left w:w="90" w:type="dxa"/>
              <w:right w:w="90" w:type="dxa"/>
            </w:tcMar>
          </w:tcPr>
          <w:p>
            <w:pPr>
              <w:pStyle w:val="BDOITable"/>
            </w:pPr>
            <w:r>
              <w:rPr>
                <w:sz w:val="18"/>
              </w:rPr>
              <w:t>Active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Conversion 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SBM_CONVERSION_STATUS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new handler is notified.</w:t>
      </w:r>
    </w:p>
    <w:p>
      <w:pPr>
        <w:pStyle w:val="BDOILabel"/>
      </w:pPr>
      <w:r>
        <w:rPr/>
        <w:t>Audit</w:t>
      </w:r>
    </w:p>
    <w:p>
      <w:pPr>
        <w:tabs>
          <w:tab w:pos="312" w:val="left"/>
        </w:tabs>
        <w:spacing w:after="120"/>
        <w:ind w:left="312" w:hanging="283"/>
      </w:pPr>
      <w:r>
        <w:rPr>
          <w:color w:val="004EA8"/>
        </w:rPr>
        <w:t>•</w:t>
        <w:tab/>
      </w:r>
      <w:r>
        <w:rPr/>
        <w:t>Field change log with old and new value, user and time.</w:t>
      </w:r>
    </w:p>
    <w:p>
      <w:pPr>
        <w:pStyle w:val="BDOILabel"/>
      </w:pPr>
      <w:r>
        <w:rPr/>
        <w:t>Acceptance criteria</w:t>
      </w:r>
    </w:p>
    <w:p>
      <w:pPr>
        <w:tabs>
          <w:tab w:pos="312" w:val="left"/>
        </w:tabs>
        <w:spacing w:after="40"/>
        <w:ind w:left="312" w:hanging="283"/>
      </w:pPr>
      <w:r>
        <w:rPr>
          <w:color w:val="004EA8"/>
        </w:rPr>
        <w:t>1.</w:t>
        <w:tab/>
      </w:r>
      <w:r>
        <w:rPr/>
        <w:t>A handler change shows at once in the masterlist and in the record history.</w:t>
      </w:r>
    </w:p>
    <w:p>
      <w:pPr>
        <w:tabs>
          <w:tab w:pos="312" w:val="left"/>
        </w:tabs>
        <w:spacing w:after="120"/>
        <w:ind w:left="312" w:hanging="283"/>
      </w:pPr>
      <w:r>
        <w:rPr>
          <w:color w:val="004EA8"/>
        </w:rPr>
        <w:t>2.</w:t>
        <w:tab/>
      </w:r>
      <w:r>
        <w:rPr/>
        <w:t>The quick filter Changed since yesterday lists the records updated today.</w:t>
      </w:r>
    </w:p>
    <w:p>
      <w:pPr>
        <w:pStyle w:val="Heading2"/>
      </w:pPr>
      <w:bookmarkStart w:id="125" w:name="_Toc000125"/>
      <w:r>
        <w:rPr/>
        <w:t>4.3 Rules and processing</w:t>
      </w:r>
      <w:bookmarkEnd w:id="125"/>
    </w:p>
    <w:p>
      <w:pPr>
        <w:pStyle w:val="Heading3"/>
      </w:pPr>
      <w:bookmarkStart w:id="126" w:name="_Toc000126"/>
      <w:r>
        <w:rPr/>
        <w:t>FR-SP-020 Define sanitation, matching, classification and disposition criteria</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as rule administrator (SBM_RULE_MAINTAIN); approver (SBM_RULE_APPROVE)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Submitted Policies Setup (Rule Sets)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/api/v1/submitted/setup/rule-sets</w:t>
            </w:r>
          </w:p>
        </w:tc>
      </w:tr>
    </w:tbl>
    <w:p>
      <w:pPr>
        <w:pStyle w:val="BDOISpacer"/>
      </w:pPr>
    </w:p>
    <w:p>
      <w:pPr>
        <w:pStyle w:val="BDOILabel"/>
      </w:pPr>
      <w:r>
        <w:rPr/>
        <w:t>Description</w:t>
      </w:r>
    </w:p>
    <w:p>
      <w:r>
        <w:rPr/>
        <w:t>The criteria of each processing step are rule sets - per step (Sanitation, Matching, Classification, Disposition), segment and business type - with versions and effective dates. A rule has a priority, conditions (field, operator, value), an outcome (bucket, tag, classification, RA template, flag), a reason code and a stop flag.</w:t>
      </w:r>
    </w:p>
    <w:p>
      <w:r>
        <w:rPr/>
        <w:t>A new or changed rule set is approved by someone other than its maker before it applies. Every run result stores the rule id and rule-set version, so the rules are applied consistently and explained.</w:t>
      </w:r>
    </w:p>
    <w:p>
      <w:r>
        <w:rPr/>
        <w:t>The seeds are the BRD lists (section 9.2); rules whose meaning is disputed are seeded inactive until SP SQ05 is answered.</w:t>
      </w:r>
    </w:p>
    <w:p>
      <w:pPr>
        <w:pStyle w:val="BDOILabel"/>
      </w:pPr>
      <w:r>
        <w:rPr/>
        <w:t>Preconditions</w:t>
      </w:r>
    </w:p>
    <w:p>
      <w:pPr>
        <w:tabs>
          <w:tab w:pos="312" w:val="left"/>
        </w:tabs>
        <w:spacing w:after="120"/>
        <w:ind w:left="312" w:hanging="283"/>
      </w:pPr>
      <w:r>
        <w:rPr>
          <w:color w:val="004EA8"/>
        </w:rPr>
        <w:t>•</w:t>
        <w:tab/>
      </w:r>
      <w:r>
        <w:rPr/>
        <w:t>The user has SBM_RULE_MAINTAIN.</w:t>
      </w:r>
    </w:p>
    <w:p>
      <w:pPr>
        <w:pStyle w:val="BDOILabel"/>
      </w:pPr>
      <w:r>
        <w:rPr/>
        <w:t>Main flow</w:t>
      </w:r>
    </w:p>
    <w:p>
      <w:pPr>
        <w:tabs>
          <w:tab w:pos="312" w:val="left"/>
        </w:tabs>
        <w:spacing w:after="40"/>
        <w:ind w:left="312" w:hanging="283"/>
      </w:pPr>
      <w:r>
        <w:rPr>
          <w:color w:val="004EA8"/>
        </w:rPr>
        <w:t>1.</w:t>
        <w:tab/>
      </w:r>
      <w:r>
        <w:rPr/>
        <w:t>The user creates a draft version of a rule set and edits its rules.</w:t>
      </w:r>
    </w:p>
    <w:p>
      <w:pPr>
        <w:tabs>
          <w:tab w:pos="312" w:val="left"/>
        </w:tabs>
        <w:spacing w:after="120"/>
        <w:ind w:left="312" w:hanging="283"/>
      </w:pPr>
      <w:r>
        <w:rPr>
          <w:color w:val="004EA8"/>
        </w:rPr>
        <w:t>2.</w:t>
        <w:tab/>
      </w:r>
      <w:r>
        <w:rPr/>
        <w:t>The user submits it; an approver compares it with the active version and approves it with an effective date.</w:t>
      </w:r>
    </w:p>
    <w:p>
      <w:pPr>
        <w:pStyle w:val="BDOILabel"/>
      </w:pPr>
      <w:r>
        <w:rPr/>
        <w:t>Alternate and exception flows</w:t>
      </w:r>
    </w:p>
    <w:p>
      <w:pPr>
        <w:tabs>
          <w:tab w:pos="312" w:val="left"/>
        </w:tabs>
        <w:spacing w:after="40"/>
        <w:ind w:left="312" w:hanging="283"/>
      </w:pPr>
      <w:r>
        <w:rPr>
          <w:color w:val="004EA8"/>
        </w:rPr>
        <w:t>•</w:t>
        <w:tab/>
      </w:r>
      <w:r>
        <w:rPr/>
        <w:t>The approver rejects the version with a reason; it stays a draft.</w:t>
      </w:r>
    </w:p>
    <w:p>
      <w:pPr>
        <w:tabs>
          <w:tab w:pos="312" w:val="left"/>
        </w:tabs>
        <w:spacing w:after="120"/>
        <w:ind w:left="312" w:hanging="283"/>
      </w:pPr>
      <w:r>
        <w:rPr>
          <w:color w:val="004EA8"/>
        </w:rPr>
        <w:t>•</w:t>
        <w:tab/>
      </w:r>
      <w:r>
        <w:rPr/>
        <w:t>Rules can be imported from a file (upload SBM_RULES).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with stop = true ends the step; a record with no matching rule is fallout (reason SBM_NO_RULE).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Maker-checker on every rule set.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Approval by the maker</w:t>
            </w:r>
          </w:p>
        </w:tc>
        <w:tc>
          <w:tcPr>
            <w:tcW w:type="dxa" w:w="4079"/>
            <w:tcMar>
              <w:top w:w="50" w:type="dxa"/>
              <w:bottom w:w="50" w:type="dxa"/>
              <w:left w:w="90" w:type="dxa"/>
              <w:right w:w="90" w:type="dxa"/>
            </w:tcMar>
          </w:tcPr>
          <w:p>
            <w:pPr>
              <w:pStyle w:val="BDOITable"/>
            </w:pPr>
            <w:r>
              <w:rPr>
                <w:sz w:val="18"/>
              </w:rPr>
              <w:t>A rule set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without outcome</w:t>
            </w:r>
          </w:p>
        </w:tc>
        <w:tc>
          <w:tcPr>
            <w:tcW w:type="dxa" w:w="4079"/>
            <w:tcMar>
              <w:top w:w="50" w:type="dxa"/>
              <w:bottom w:w="50" w:type="dxa"/>
              <w:left w:w="90" w:type="dxa"/>
              <w:right w:w="90" w:type="dxa"/>
            </w:tcMar>
            <w:shd w:val="clear" w:color="auto" w:fill="E5F5FF"/>
          </w:tcPr>
          <w:p>
            <w:pPr>
              <w:pStyle w:val="BDOITable"/>
            </w:pPr>
            <w:r>
              <w:rPr>
                <w:sz w:val="18"/>
              </w:rPr>
              <w:t>Select the outcome of the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Condition on an unknown field</w:t>
            </w:r>
          </w:p>
        </w:tc>
        <w:tc>
          <w:tcPr>
            <w:tcW w:type="dxa" w:w="4079"/>
            <w:tcMar>
              <w:top w:w="50" w:type="dxa"/>
              <w:bottom w:w="50" w:type="dxa"/>
              <w:left w:w="90" w:type="dxa"/>
              <w:right w:w="90" w:type="dxa"/>
            </w:tcMar>
          </w:tcPr>
          <w:p>
            <w:pPr>
              <w:pStyle w:val="BDOITable"/>
            </w:pPr>
            <w:r>
              <w:rPr>
                <w:sz w:val="18"/>
              </w:rPr>
              <w:t>Field &lt;name&gt; cannot be used in a rule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 operator / value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Composite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Bucket (LOV SBM_BUCKET), tag, classification, RA template, flag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Stop</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see pending rule sets in My Approvals.</w:t>
      </w:r>
    </w:p>
    <w:p>
      <w:pPr>
        <w:pStyle w:val="BDOILabel"/>
      </w:pPr>
      <w:r>
        <w:rPr/>
        <w:t>Audit</w:t>
      </w:r>
    </w:p>
    <w:p>
      <w:pPr>
        <w:tabs>
          <w:tab w:pos="312" w:val="left"/>
        </w:tabs>
        <w:spacing w:after="120"/>
        <w:ind w:left="312" w:hanging="283"/>
      </w:pPr>
      <w:r>
        <w:rPr>
          <w:color w:val="004EA8"/>
        </w:rPr>
        <w:t>•</w:t>
        <w:tab/>
      </w:r>
      <w:r>
        <w:rPr/>
        <w:t>Versions with maker, approver, dates and differences.</w:t>
      </w:r>
    </w:p>
    <w:p>
      <w:pPr>
        <w:pStyle w:val="BDOILabel"/>
      </w:pPr>
      <w:r>
        <w:rPr/>
        <w:t>Acceptance criteria</w:t>
      </w:r>
    </w:p>
    <w:p>
      <w:pPr>
        <w:tabs>
          <w:tab w:pos="312" w:val="left"/>
        </w:tabs>
        <w:spacing w:after="40"/>
        <w:ind w:left="312" w:hanging="283"/>
      </w:pPr>
      <w:r>
        <w:rPr>
          <w:color w:val="004EA8"/>
        </w:rPr>
        <w:t>1.</w:t>
        <w:tab/>
      </w:r>
      <w:r>
        <w:rPr/>
        <w:t>A new exclusion rule for SM Group employee accounts applies to the next run only after the approver approves it.</w:t>
      </w:r>
    </w:p>
    <w:p>
      <w:pPr>
        <w:tabs>
          <w:tab w:pos="312" w:val="left"/>
        </w:tabs>
        <w:spacing w:after="120"/>
        <w:ind w:left="312" w:hanging="283"/>
      </w:pPr>
      <w:r>
        <w:rPr>
          <w:color w:val="004EA8"/>
        </w:rPr>
        <w:t>2.</w:t>
        <w:tab/>
      </w:r>
      <w:r>
        <w:rPr/>
        <w:t>Each run result shows the rule and version that produced it.</w:t>
      </w:r>
    </w:p>
    <w:p>
      <w:pPr>
        <w:pStyle w:val="Heading3"/>
      </w:pPr>
      <w:bookmarkStart w:id="127" w:name="_Toc000127"/>
      <w:r>
        <w:rPr/>
        <w:t>FR-SP-021 Run processing automatically after intake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BRIDSP-09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(SbmProcessingService, job SBM_PROCESSING); Sanitation Handler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(list, run detail); Masterlist (Run Processing)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/api/v1/submitted/runs; job SBM_PROCESSING</w:t>
            </w:r>
          </w:p>
        </w:tc>
      </w:tr>
    </w:tbl>
    <w:p>
      <w:pPr>
        <w:pStyle w:val="BDOISpacer"/>
      </w:pPr>
    </w:p>
    <w:p>
      <w:pPr>
        <w:pStyle w:val="BDOILabel"/>
      </w:pPr>
      <w:r>
        <w:rPr/>
        <w:t>Description</w:t>
      </w:r>
    </w:p>
    <w:p>
      <w:r>
        <w:rPr/>
        <w:t>When documents or files are uploaded and confirmed, BIBS runs the processing steps in order - sanitation, matching against LAMD, classification, disposition and limits - and triggers the workflow of each record by its result (renewal hand-off, manual disposition queue, non-renewal, policy review, TOR). Account tagging is applied as the criteria define.</w:t>
      </w:r>
    </w:p>
    <w:p>
      <w:r>
        <w:rPr/>
        <w:t>A run also starts from the daily job at 21:30 PHT and on demand. Each run (SBR-yyyy-nnnnnn) records one result per record and step.</w:t>
      </w:r>
    </w:p>
    <w:p>
      <w:pPr>
        <w:pStyle w:val="BDOILabel"/>
      </w:pPr>
      <w:r>
        <w:rPr/>
        <w:t>Preconditions</w:t>
      </w:r>
    </w:p>
    <w:p>
      <w:pPr>
        <w:tabs>
          <w:tab w:pos="312" w:val="left"/>
        </w:tabs>
        <w:spacing w:after="120"/>
        <w:ind w:left="312" w:hanging="283"/>
      </w:pPr>
      <w:r>
        <w:rPr>
          <w:color w:val="004EA8"/>
        </w:rPr>
        <w:t>•</w:t>
        <w:tab/>
      </w:r>
      <w:r>
        <w:rPr/>
        <w:t>Active rule sets exist for the steps.</w:t>
      </w:r>
    </w:p>
    <w:p>
      <w:pPr>
        <w:pStyle w:val="BDOILabel"/>
      </w:pPr>
      <w:r>
        <w:rPr/>
        <w:t>Main flow</w:t>
      </w:r>
    </w:p>
    <w:p>
      <w:pPr>
        <w:tabs>
          <w:tab w:pos="312" w:val="left"/>
        </w:tabs>
        <w:spacing w:after="40"/>
        <w:ind w:left="312" w:hanging="283"/>
      </w:pPr>
      <w:r>
        <w:rPr>
          <w:color w:val="004EA8"/>
        </w:rPr>
        <w:t>1.</w:t>
        <w:tab/>
      </w:r>
      <w:r>
        <w:rPr/>
        <w:t>An intake commit, the job or a user starts the run for a scope.</w:t>
      </w:r>
    </w:p>
    <w:p>
      <w:pPr>
        <w:tabs>
          <w:tab w:pos="312" w:val="left"/>
        </w:tabs>
        <w:spacing w:after="40"/>
        <w:ind w:left="312" w:hanging="283"/>
      </w:pPr>
      <w:r>
        <w:rPr>
          <w:color w:val="004EA8"/>
        </w:rPr>
        <w:t>2.</w:t>
        <w:tab/>
      </w:r>
      <w:r>
        <w:rPr/>
        <w:t>BIBS runs the steps set-based and writes the results.</w:t>
      </w:r>
    </w:p>
    <w:p>
      <w:pPr>
        <w:tabs>
          <w:tab w:pos="312" w:val="left"/>
        </w:tabs>
        <w:spacing w:after="120"/>
        <w:ind w:left="312" w:hanging="283"/>
      </w:pPr>
      <w:r>
        <w:rPr>
          <w:color w:val="004EA8"/>
        </w:rPr>
        <w:t>3.</w:t>
        <w:tab/>
      </w:r>
      <w:r>
        <w:rPr/>
        <w:t>BIBS moves each record in SBM_POLICY and notifies the owners of the new bucket.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Step order - SANITATION, MATCHING, CLASSIFICATION, DISPOSITION, LIMITS.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Sanitation marks duplicates (same PN or same serial / motor number) For Review and incomplete records as fallout.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Sanitation rule set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Matching checks PN against the LAMD snapshot and PN against serial / motor number and assured name / address / contacts (RL #151).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 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21:30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SBM_FALLOUT alert when the run has fallout.</w:t>
      </w:r>
    </w:p>
    <w:p>
      <w:pPr>
        <w:pStyle w:val="BDOILabel"/>
      </w:pPr>
      <w:r>
        <w:rPr/>
        <w:t>Audit</w:t>
      </w:r>
    </w:p>
    <w:p>
      <w:pPr>
        <w:tabs>
          <w:tab w:pos="312" w:val="left"/>
        </w:tabs>
        <w:spacing w:after="120"/>
        <w:ind w:left="312" w:hanging="283"/>
      </w:pPr>
      <w:r>
        <w:rPr>
          <w:color w:val="004EA8"/>
        </w:rPr>
        <w:t>•</w:t>
        <w:tab/>
      </w:r>
      <w:r>
        <w:rPr/>
        <w:t>Run with trigger, scope, counts per outcome and job run; result rows per record and step.</w:t>
      </w:r>
    </w:p>
    <w:p>
      <w:pPr>
        <w:pStyle w:val="BDOILabel"/>
      </w:pPr>
      <w:r>
        <w:rPr/>
        <w:t>Acceptance criteria</w:t>
      </w:r>
    </w:p>
    <w:p>
      <w:pPr>
        <w:tabs>
          <w:tab w:pos="312" w:val="left"/>
        </w:tabs>
        <w:spacing w:after="40"/>
        <w:ind w:left="312" w:hanging="283"/>
      </w:pPr>
      <w:r>
        <w:rPr>
          <w:color w:val="004EA8"/>
        </w:rPr>
        <w:t>1.</w:t>
        <w:tab/>
      </w:r>
      <w:r>
        <w:rPr/>
        <w:t>Uploading an LFS file starts a run; each new record ends with a classification and a bucket or fallout.</w:t>
      </w:r>
    </w:p>
    <w:p>
      <w:pPr>
        <w:tabs>
          <w:tab w:pos="312" w:val="left"/>
        </w:tabs>
        <w:spacing w:after="120"/>
        <w:ind w:left="312" w:hanging="283"/>
      </w:pPr>
      <w:r>
        <w:rPr>
          <w:color w:val="004EA8"/>
        </w:rPr>
        <w:t>2.</w:t>
        <w:tab/>
      </w:r>
      <w:r>
        <w:rPr/>
        <w:t>A record matched to an active LAMD loan is moved to the right bucket and the handlers are notified.</w:t>
      </w:r>
    </w:p>
    <w:p>
      <w:pPr>
        <w:pStyle w:val="Heading3"/>
      </w:pPr>
      <w:bookmarkStart w:id="128" w:name="_Toc000128"/>
      <w:r>
        <w:rPr/>
        <w:t>FR-SP-022 Report fallout after processing</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BRIDSP-10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Sanitation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(Fallout tab); Masterlist (Fallout tab); Reports (SBM-DOC-FALLOUT, SBM-PROCESS-FALLOUT)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SBM-DOC-FALLOUT, SBM-PROCESS-FALLOUT</w:t>
            </w:r>
          </w:p>
        </w:tc>
      </w:tr>
    </w:tbl>
    <w:p>
      <w:pPr>
        <w:pStyle w:val="BDOISpacer"/>
      </w:pPr>
    </w:p>
    <w:p>
      <w:pPr>
        <w:pStyle w:val="BDOILabel"/>
      </w:pPr>
      <w:r>
        <w:rPr/>
        <w:t>Description</w:t>
      </w:r>
    </w:p>
    <w:p>
      <w:r>
        <w:rPr/>
        <w:t>When document processing or a run ends with errors or exceptions, BIBS produces the fallout - intake and extraction failures (SBM-DOC-FALLOUT) and the records that no rule could place or that failed a step (SBM-PROCESS-FALLOUT), each with its reason code. The fallout of each run is archived and the handler resolves it on the record (correct and re-run, dispose by hand, or exclude).</w:t>
      </w:r>
    </w:p>
    <w:p>
      <w:pPr>
        <w:pStyle w:val="BDOILabel"/>
      </w:pPr>
      <w:r>
        <w:rPr/>
        <w:t>Preconditions</w:t>
      </w:r>
    </w:p>
    <w:p>
      <w:pPr>
        <w:tabs>
          <w:tab w:pos="312" w:val="left"/>
        </w:tabs>
        <w:spacing w:after="120"/>
        <w:ind w:left="312" w:hanging="283"/>
      </w:pPr>
      <w:r>
        <w:rPr>
          <w:color w:val="004EA8"/>
        </w:rPr>
        <w:t>•</w:t>
        <w:tab/>
      </w:r>
      <w:r>
        <w:rPr/>
        <w:t>A run or intake has ended.</w:t>
      </w:r>
    </w:p>
    <w:p>
      <w:pPr>
        <w:pStyle w:val="BDOILabel"/>
      </w:pPr>
      <w:r>
        <w:rPr/>
        <w:t>Main flow</w:t>
      </w:r>
    </w:p>
    <w:p>
      <w:pPr>
        <w:tabs>
          <w:tab w:pos="312" w:val="left"/>
        </w:tabs>
        <w:spacing w:after="40"/>
        <w:ind w:left="312" w:hanging="283"/>
      </w:pPr>
      <w:r>
        <w:rPr>
          <w:color w:val="004EA8"/>
        </w:rPr>
        <w:t>1.</w:t>
        <w:tab/>
      </w:r>
      <w:r>
        <w:rPr/>
        <w:t>The run ends; BIBS writes the fallout rows and raises SBM_FALLOUT when the count is above zero.</w:t>
      </w:r>
    </w:p>
    <w:p>
      <w:pPr>
        <w:tabs>
          <w:tab w:pos="312" w:val="left"/>
        </w:tabs>
        <w:spacing w:after="120"/>
        <w:ind w:left="312" w:hanging="283"/>
      </w:pPr>
      <w:r>
        <w:rPr>
          <w:color w:val="004EA8"/>
        </w:rPr>
        <w:t>2.</w:t>
        <w:tab/>
      </w:r>
      <w:r>
        <w:rPr/>
        <w:t>The handler opens the Fallout tab, corrects the records and re-runs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fallout row has a reason code (LOV SBM_REASON).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SBM_FALLOUT to the Sanitation Handlers.</w:t>
      </w:r>
    </w:p>
    <w:p>
      <w:pPr>
        <w:pStyle w:val="BDOILabel"/>
      </w:pPr>
      <w:r>
        <w:rPr/>
        <w:t>Audit</w:t>
      </w:r>
    </w:p>
    <w:p>
      <w:pPr>
        <w:tabs>
          <w:tab w:pos="312" w:val="left"/>
        </w:tabs>
        <w:spacing w:after="120"/>
        <w:ind w:left="312" w:hanging="283"/>
      </w:pPr>
      <w:r>
        <w:rPr>
          <w:color w:val="004EA8"/>
        </w:rPr>
        <w:t>•</w:t>
        <w:tab/>
      </w:r>
      <w:r>
        <w:rPr/>
        <w:t>Fallout rows per run; resolution on the record history.</w:t>
      </w:r>
    </w:p>
    <w:p>
      <w:pPr>
        <w:pStyle w:val="BDOILabel"/>
      </w:pPr>
      <w:r>
        <w:rPr/>
        <w:t>Acceptance criteria</w:t>
      </w:r>
    </w:p>
    <w:p>
      <w:pPr>
        <w:tabs>
          <w:tab w:pos="312" w:val="left"/>
        </w:tabs>
        <w:spacing w:after="40"/>
        <w:ind w:left="312" w:hanging="283"/>
      </w:pPr>
      <w:r>
        <w:rPr>
          <w:color w:val="004EA8"/>
        </w:rPr>
        <w:t>1.</w:t>
        <w:tab/>
      </w:r>
      <w:r>
        <w:rPr/>
        <w:t>A run with five records without PN produces a fallout report listing the five with their reason code.</w:t>
      </w:r>
    </w:p>
    <w:p>
      <w:pPr>
        <w:tabs>
          <w:tab w:pos="312" w:val="left"/>
        </w:tabs>
        <w:spacing w:after="120"/>
        <w:ind w:left="312" w:hanging="283"/>
      </w:pPr>
      <w:r>
        <w:rPr>
          <w:color w:val="004EA8"/>
        </w:rPr>
        <w:t>2.</w:t>
        <w:tab/>
      </w:r>
      <w:r>
        <w:rPr/>
        <w:t>A corrected record leaves the fallout after the next run.</w:t>
      </w:r>
    </w:p>
    <w:p>
      <w:pPr>
        <w:pStyle w:val="Heading2"/>
      </w:pPr>
      <w:bookmarkStart w:id="129" w:name="_Toc000129"/>
      <w:r>
        <w:rPr/>
        <w:t>4.4 Classification and buckets</w:t>
      </w:r>
      <w:bookmarkEnd w:id="129"/>
    </w:p>
    <w:p>
      <w:pPr>
        <w:pStyle w:val="Heading3"/>
      </w:pPr>
      <w:bookmarkStart w:id="130" w:name="_Toc000130"/>
      <w:r>
        <w:rPr/>
        <w:t>FR-SP-030 Classify policies as Inforced or Submitted</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(Loan &amp; Matching, Rule Results); Reports (SBM-CLASSIFICATION)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Classification step</w:t>
            </w:r>
          </w:p>
        </w:tc>
      </w:tr>
    </w:tbl>
    <w:p>
      <w:pPr>
        <w:pStyle w:val="BDOISpacer"/>
      </w:pPr>
    </w:p>
    <w:p>
      <w:pPr>
        <w:pStyle w:val="BDOILabel"/>
      </w:pPr>
      <w:r>
        <w:rPr/>
        <w:t>Description</w:t>
      </w:r>
    </w:p>
    <w:p>
      <w:r>
        <w:rPr/>
        <w:t>When the policy details are evaluated, the classification step sets the record Submitted when its PN matches an active LAMD loan and BDOI did not place the policy, and Inforced otherwise, so the right renewal and disposition rules apply. The definition is rule data and is to be confirmed (SP SQ04).</w:t>
      </w:r>
    </w:p>
    <w:p>
      <w:pPr>
        <w:pStyle w:val="BDOILabel"/>
      </w:pPr>
      <w:r>
        <w:rPr/>
        <w:t>Preconditions</w:t>
      </w:r>
    </w:p>
    <w:p>
      <w:pPr>
        <w:tabs>
          <w:tab w:pos="312" w:val="left"/>
        </w:tabs>
        <w:spacing w:after="120"/>
        <w:ind w:left="312" w:hanging="283"/>
      </w:pPr>
      <w:r>
        <w:rPr>
          <w:color w:val="004EA8"/>
        </w:rPr>
        <w:t>•</w:t>
        <w:tab/>
      </w:r>
      <w:r>
        <w:rPr/>
        <w:t>The matching step has run.</w:t>
      </w:r>
    </w:p>
    <w:p>
      <w:pPr>
        <w:pStyle w:val="BDOILabel"/>
      </w:pPr>
      <w:r>
        <w:rPr/>
        <w:t>Main flow</w:t>
      </w:r>
    </w:p>
    <w:p>
      <w:pPr>
        <w:tabs>
          <w:tab w:pos="312" w:val="left"/>
        </w:tabs>
        <w:spacing w:after="120"/>
        <w:ind w:left="312" w:hanging="283"/>
      </w:pPr>
      <w:r>
        <w:rPr>
          <w:color w:val="004EA8"/>
        </w:rPr>
        <w:t>1.</w:t>
        <w:tab/>
      </w:r>
      <w:r>
        <w:rPr/>
        <w:t>BIBS evaluates the classification rules on the matching result and stores the classification.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 PN matched to an active LAMD loan gives SUBMITTED; unmatched gives INFORCED.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Classification rule set (SP SQ04)</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Result row with rule and version.</w:t>
      </w:r>
    </w:p>
    <w:p>
      <w:pPr>
        <w:pStyle w:val="BDOILabel"/>
      </w:pPr>
      <w:r>
        <w:rPr/>
        <w:t>Acceptance criteria</w:t>
      </w:r>
    </w:p>
    <w:p>
      <w:pPr>
        <w:tabs>
          <w:tab w:pos="312" w:val="left"/>
        </w:tabs>
        <w:spacing w:after="120"/>
        <w:ind w:left="312" w:hanging="283"/>
      </w:pPr>
      <w:r>
        <w:rPr>
          <w:color w:val="004EA8"/>
        </w:rPr>
        <w:t>1.</w:t>
        <w:tab/>
      </w:r>
      <w:r>
        <w:rPr/>
        <w:t>A record whose PN matches an active LAMD loan is Submitted; a record whose PN is not in LAMD is Inforced.</w:t>
      </w:r>
    </w:p>
    <w:p>
      <w:pPr>
        <w:pStyle w:val="Heading3"/>
      </w:pPr>
      <w:bookmarkStart w:id="131" w:name="_Toc000131"/>
      <w:r>
        <w:rPr/>
        <w:t>FR-SP-031 Group Submitted policies into qualification buckets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(bucket tabs and filter); Policy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w:t>
            </w:r>
          </w:p>
        </w:tc>
      </w:tr>
    </w:tbl>
    <w:p>
      <w:pPr>
        <w:pStyle w:val="BDOISpacer"/>
      </w:pPr>
    </w:p>
    <w:p>
      <w:pPr>
        <w:pStyle w:val="BDOILabel"/>
      </w:pPr>
      <w:r>
        <w:rPr/>
        <w:t>Description</w:t>
      </w:r>
    </w:p>
    <w:p>
      <w:r>
        <w:rPr/>
        <w:t>Submitted policies (PN matched against LAMD) are grouped into For Renewal, For Manual Disposition, Non-Renewal, No Touch, FFY, BDO / SM Group Employee Accounts or RMU. Entering a bucket triggers the next workflow - renewal hand-off at the lead days, the manual disposition queue, or exclusion with a fallout entry.</w:t>
      </w:r>
    </w:p>
    <w:p>
      <w:pPr>
        <w:pStyle w:val="BDOILabel"/>
      </w:pPr>
      <w:r>
        <w:rPr/>
        <w:t>Preconditions</w:t>
      </w:r>
    </w:p>
    <w:p>
      <w:pPr>
        <w:tabs>
          <w:tab w:pos="312" w:val="left"/>
        </w:tabs>
        <w:spacing w:after="120"/>
        <w:ind w:left="312" w:hanging="283"/>
      </w:pPr>
      <w:r>
        <w:rPr>
          <w:color w:val="004EA8"/>
        </w:rPr>
        <w:t>•</w:t>
        <w:tab/>
      </w:r>
      <w:r>
        <w:rPr/>
        <w:t>The record is classified Submitted.</w:t>
      </w:r>
    </w:p>
    <w:p>
      <w:pPr>
        <w:pStyle w:val="BDOILabel"/>
      </w:pPr>
      <w:r>
        <w:rPr/>
        <w:t>Main flow</w:t>
      </w:r>
    </w:p>
    <w:p>
      <w:pPr>
        <w:tabs>
          <w:tab w:pos="312" w:val="left"/>
        </w:tabs>
        <w:spacing w:after="40"/>
        <w:ind w:left="312" w:hanging="283"/>
      </w:pPr>
      <w:r>
        <w:rPr>
          <w:color w:val="004EA8"/>
        </w:rPr>
        <w:t>1.</w:t>
        <w:tab/>
      </w:r>
      <w:r>
        <w:rPr/>
        <w:t>BIBS evaluates the disposition rules and stores the bucket, the renewal tag and the reason.</w:t>
      </w:r>
    </w:p>
    <w:p>
      <w:pPr>
        <w:tabs>
          <w:tab w:pos="312" w:val="left"/>
        </w:tabs>
        <w:spacing w:after="120"/>
        <w:ind w:left="312" w:hanging="283"/>
      </w:pPr>
      <w:r>
        <w:rPr>
          <w:color w:val="004EA8"/>
        </w:rPr>
        <w:t>2.</w:t>
        <w:tab/>
      </w:r>
      <w:r>
        <w:rPr/>
        <w:t>BIBS moves the record to FOR_RENEWAL, FOR_MANUAL_DISPOSITION or EXCLUDED.</w:t>
      </w:r>
    </w:p>
    <w:p>
      <w:pPr>
        <w:pStyle w:val="BDOILabel"/>
      </w:pPr>
      <w:r>
        <w:rPr/>
        <w:t>Alternate and exception flows</w:t>
      </w:r>
    </w:p>
    <w:p>
      <w:pPr>
        <w:tabs>
          <w:tab w:pos="312" w:val="left"/>
        </w:tabs>
        <w:spacing w:after="120"/>
        <w:ind w:left="312" w:hanging="283"/>
      </w:pPr>
      <w:r>
        <w:rPr>
          <w:color w:val="004EA8"/>
        </w:rPr>
        <w:t>•</w:t>
        <w:tab/>
      </w:r>
      <w:r>
        <w:rPr/>
        <w:t>Manual disposition. A Sanitation Handler disposes the record by hand with a reason (For Renewal or Exclude).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are a list with the attribute renewal_action (RENEW, MANUAL, EXCLUDE).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SBM_BUCKET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 precedence and the RMU / FFY conflicts are open (SP SQ05); the conflicting rules are seeded inactive.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disposition without reason</w:t>
            </w:r>
          </w:p>
        </w:tc>
        <w:tc>
          <w:tcPr>
            <w:tcW w:type="dxa" w:w="4079"/>
            <w:tcMar>
              <w:top w:w="50" w:type="dxa"/>
              <w:bottom w:w="50" w:type="dxa"/>
              <w:left w:w="90" w:type="dxa"/>
              <w:right w:w="90" w:type="dxa"/>
            </w:tcMar>
          </w:tcPr>
          <w:p>
            <w:pPr>
              <w:pStyle w:val="BDOITable"/>
            </w:pPr>
            <w:r>
              <w:rPr>
                <w:sz w:val="18"/>
              </w:rPr>
              <w:t>Select a reason for 'Dispose'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of the segment.</w:t>
      </w:r>
    </w:p>
    <w:p>
      <w:pPr>
        <w:pStyle w:val="BDOILabel"/>
      </w:pPr>
      <w:r>
        <w:rPr/>
        <w:t>Audit</w:t>
      </w:r>
    </w:p>
    <w:p>
      <w:pPr>
        <w:tabs>
          <w:tab w:pos="312" w:val="left"/>
        </w:tabs>
        <w:spacing w:after="120"/>
        <w:ind w:left="312" w:hanging="283"/>
      </w:pPr>
      <w:r>
        <w:rPr>
          <w:color w:val="004EA8"/>
        </w:rPr>
        <w:t>•</w:t>
        <w:tab/>
      </w:r>
      <w:r>
        <w:rPr/>
        <w:t>Bucket with rule and version; manual dispositions with user and reason.</w:t>
      </w:r>
    </w:p>
    <w:p>
      <w:pPr>
        <w:pStyle w:val="BDOILabel"/>
      </w:pPr>
      <w:r>
        <w:rPr/>
        <w:t>Acceptance criteria</w:t>
      </w:r>
    </w:p>
    <w:p>
      <w:pPr>
        <w:tabs>
          <w:tab w:pos="312" w:val="left"/>
        </w:tabs>
        <w:spacing w:after="40"/>
        <w:ind w:left="312" w:hanging="283"/>
      </w:pPr>
      <w:r>
        <w:rPr>
          <w:color w:val="004EA8"/>
        </w:rPr>
        <w:t>1.</w:t>
        <w:tab/>
      </w:r>
      <w:r>
        <w:rPr/>
        <w:t>A Submitted CBG Motor policy of an active loan with no exclusion goes to For Renewal.</w:t>
      </w:r>
    </w:p>
    <w:p>
      <w:pPr>
        <w:tabs>
          <w:tab w:pos="312" w:val="left"/>
        </w:tabs>
        <w:spacing w:after="120"/>
        <w:ind w:left="312" w:hanging="283"/>
      </w:pPr>
      <w:r>
        <w:rPr>
          <w:color w:val="004EA8"/>
        </w:rPr>
        <w:t>2.</w:t>
        <w:tab/>
      </w:r>
      <w:r>
        <w:rPr/>
        <w:t>A policy on the employee list goes to BDO / SM Group Employee Accounts and is not handed to renewal.</w:t>
      </w:r>
    </w:p>
    <w:p>
      <w:pPr>
        <w:pStyle w:val="Heading3"/>
      </w:pPr>
      <w:bookmarkStart w:id="132" w:name="_Toc000132"/>
      <w:r>
        <w:rPr/>
        <w:t>FR-SP-032 Choose the RA template from the LAMD loan</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BRIDSP-13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(LAMD snapshot); Policy record (Loan &amp; Matching)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SBM_LAMD; disposition step</w:t>
            </w:r>
          </w:p>
        </w:tc>
      </w:tr>
    </w:tbl>
    <w:p>
      <w:pPr>
        <w:pStyle w:val="BDOISpacer"/>
      </w:pPr>
    </w:p>
    <w:p>
      <w:pPr>
        <w:pStyle w:val="BDOILabel"/>
      </w:pPr>
      <w:r>
        <w:rPr/>
        <w:t>Description</w:t>
      </w:r>
    </w:p>
    <w:p>
      <w:r>
        <w:rPr/>
        <w:t>The LAMD snapshot holds per PN the loan status, the amortised flag and the maturity date. For an active loan that is not amortised, the disposition rules mark the record ready for the Generic RA or the FFY RA template, and the next workflow is triggered. The chosen template travels with the renewal hand-off; the RA itself is generated by the Renewal module.</w:t>
      </w:r>
    </w:p>
    <w:p>
      <w:pPr>
        <w:pStyle w:val="BDOILabel"/>
      </w:pPr>
      <w:r>
        <w:rPr/>
        <w:t>Preconditions</w:t>
      </w:r>
    </w:p>
    <w:p>
      <w:pPr>
        <w:tabs>
          <w:tab w:pos="312" w:val="left"/>
        </w:tabs>
        <w:spacing w:after="120"/>
        <w:ind w:left="312" w:hanging="283"/>
      </w:pPr>
      <w:r>
        <w:rPr>
          <w:color w:val="004EA8"/>
        </w:rPr>
        <w:t>•</w:t>
        <w:tab/>
      </w:r>
      <w:r>
        <w:rPr/>
        <w:t>A LAMD snapshot is loaded.</w:t>
      </w:r>
    </w:p>
    <w:p>
      <w:pPr>
        <w:pStyle w:val="BDOILabel"/>
      </w:pPr>
      <w:r>
        <w:rPr/>
        <w:t>Main flow</w:t>
      </w:r>
    </w:p>
    <w:p>
      <w:pPr>
        <w:tabs>
          <w:tab w:pos="312" w:val="left"/>
        </w:tabs>
        <w:spacing w:after="40"/>
        <w:ind w:left="312" w:hanging="283"/>
      </w:pPr>
      <w:r>
        <w:rPr>
          <w:color w:val="004EA8"/>
        </w:rPr>
        <w:t>1.</w:t>
        <w:tab/>
      </w:r>
      <w:r>
        <w:rPr/>
        <w:t>The Sanitation Handler uploads the LAMD snapshot.</w:t>
      </w:r>
    </w:p>
    <w:p>
      <w:pPr>
        <w:tabs>
          <w:tab w:pos="312" w:val="left"/>
        </w:tabs>
        <w:spacing w:after="120"/>
        <w:ind w:left="312" w:hanging="283"/>
      </w:pPr>
      <w:r>
        <w:rPr>
          <w:color w:val="004EA8"/>
        </w:rPr>
        <w:t>2.</w:t>
        <w:tab/>
      </w:r>
      <w:r>
        <w:rPr/>
        <w:t>The run reads the loan and sets the RA template on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for Generic vs FFY RA to be confirmed (SP SQ06).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Snapshot row without PN</w:t>
            </w:r>
          </w:p>
        </w:tc>
        <w:tc>
          <w:tcPr>
            <w:tcW w:type="dxa" w:w="4079"/>
            <w:tcMar>
              <w:top w:w="50" w:type="dxa"/>
              <w:bottom w:w="50" w:type="dxa"/>
              <w:left w:w="90" w:type="dxa"/>
              <w:right w:w="90" w:type="dxa"/>
            </w:tcMar>
          </w:tcPr>
          <w:p>
            <w:pPr>
              <w:pStyle w:val="BDOITable"/>
            </w:pPr>
            <w:r>
              <w:rPr>
                <w:sz w:val="18"/>
              </w:rPr>
              <w:t>Row &lt;n&gt;: PN is required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Snapshot upload and the template decision per record.</w:t>
      </w:r>
    </w:p>
    <w:p>
      <w:pPr>
        <w:pStyle w:val="BDOILabel"/>
      </w:pPr>
      <w:r>
        <w:rPr/>
        <w:t>Acceptance criteria</w:t>
      </w:r>
    </w:p>
    <w:p>
      <w:pPr>
        <w:tabs>
          <w:tab w:pos="312" w:val="left"/>
        </w:tabs>
        <w:spacing w:after="120"/>
        <w:ind w:left="312" w:hanging="283"/>
      </w:pPr>
      <w:r>
        <w:rPr>
          <w:color w:val="004EA8"/>
        </w:rPr>
        <w:t>1.</w:t>
        <w:tab/>
      </w:r>
      <w:r>
        <w:rPr/>
        <w:t>An FFY account with an active non-amortised loan gets the FFY RA template.</w:t>
      </w:r>
    </w:p>
    <w:p>
      <w:pPr>
        <w:pStyle w:val="Heading3"/>
      </w:pPr>
      <w:bookmarkStart w:id="133" w:name="_Toc000133"/>
      <w:r>
        <w:rPr/>
        <w:t>FR-SP-033 Assign policies to non-renewal buckets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(Non-Renewal tab); Reports (SBM-NON-RENEWAL)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 report SBM-NON-RENEWAL</w:t>
            </w:r>
          </w:p>
        </w:tc>
      </w:tr>
    </w:tbl>
    <w:p>
      <w:pPr>
        <w:pStyle w:val="BDOISpacer"/>
      </w:pPr>
    </w:p>
    <w:p>
      <w:pPr>
        <w:pStyle w:val="BDOILabel"/>
      </w:pPr>
      <w:r>
        <w:rPr/>
        <w:t>Description</w:t>
      </w:r>
    </w:p>
    <w:p>
      <w:r>
        <w:rPr/>
        <w:t>Policies that meet the non-renewal criteria (Free First Year, SM Group Employee, No Touch, CARI, Bonds, RMU and the other exclusions of Report List row 156) are tagged Non-Renewal, excluded from renewal and recorded in the non-renewal report with the exclusion reason. A manual tag can override the result (FR-SP-003).</w:t>
      </w:r>
    </w:p>
    <w:p>
      <w:pPr>
        <w:pStyle w:val="BDOILabel"/>
      </w:pPr>
      <w:r>
        <w:rPr/>
        <w:t>Preconditions</w:t>
      </w:r>
    </w:p>
    <w:p>
      <w:pPr>
        <w:tabs>
          <w:tab w:pos="312" w:val="left"/>
        </w:tabs>
        <w:spacing w:after="120"/>
        <w:ind w:left="312" w:hanging="283"/>
      </w:pPr>
      <w:r>
        <w:rPr>
          <w:color w:val="004EA8"/>
        </w:rPr>
        <w:t>•</w:t>
        <w:tab/>
      </w:r>
      <w:r>
        <w:rPr/>
        <w:t>The disposition step runs.</w:t>
      </w:r>
    </w:p>
    <w:p>
      <w:pPr>
        <w:pStyle w:val="BDOILabel"/>
      </w:pPr>
      <w:r>
        <w:rPr/>
        <w:t>Main flow</w:t>
      </w:r>
    </w:p>
    <w:p>
      <w:pPr>
        <w:tabs>
          <w:tab w:pos="312" w:val="left"/>
        </w:tabs>
        <w:spacing w:after="40"/>
        <w:ind w:left="312" w:hanging="283"/>
      </w:pPr>
      <w:r>
        <w:rPr>
          <w:color w:val="004EA8"/>
        </w:rPr>
        <w:t>1.</w:t>
        <w:tab/>
      </w:r>
      <w:r>
        <w:rPr/>
        <w:t>BIBS applies the non-renewal rules and stores the tag and reason.</w:t>
      </w:r>
    </w:p>
    <w:p>
      <w:pPr>
        <w:tabs>
          <w:tab w:pos="312" w:val="left"/>
        </w:tabs>
        <w:spacing w:after="120"/>
        <w:ind w:left="312" w:hanging="283"/>
      </w:pPr>
      <w:r>
        <w:rPr>
          <w:color w:val="004EA8"/>
        </w:rPr>
        <w:t>2.</w:t>
        <w:tab/>
      </w:r>
      <w:r>
        <w:rPr/>
        <w:t>The record moves to EXCLUDED and appears in SBM-NON-RENEWAL.</w:t>
      </w:r>
    </w:p>
    <w:p>
      <w:pPr>
        <w:pStyle w:val="BDOILabel"/>
      </w:pPr>
      <w:r>
        <w:rPr/>
        <w:t>Alternate and exception flows</w:t>
      </w:r>
    </w:p>
    <w:p>
      <w:pPr>
        <w:tabs>
          <w:tab w:pos="312" w:val="left"/>
        </w:tabs>
        <w:spacing w:after="120"/>
        <w:ind w:left="312" w:hanging="283"/>
      </w:pPr>
      <w:r>
        <w:rPr>
          <w:color w:val="004EA8"/>
        </w:rPr>
        <w:t>•</w:t>
        <w:tab/>
      </w:r>
      <w:r>
        <w:rPr/>
        <w:t>Reinstate. A handler reinstates an excluded record with a reason; it is classified again at the next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reasons in LOV SBM_NON_RENEWAL_REASON.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SBM_NON_RENEWAL_REASON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Reinstate without reason</w:t>
            </w:r>
          </w:p>
        </w:tc>
        <w:tc>
          <w:tcPr>
            <w:tcW w:type="dxa" w:w="4079"/>
            <w:tcMar>
              <w:top w:w="50" w:type="dxa"/>
              <w:bottom w:w="50" w:type="dxa"/>
              <w:left w:w="90" w:type="dxa"/>
              <w:right w:w="90" w:type="dxa"/>
            </w:tcMar>
          </w:tcPr>
          <w:p>
            <w:pPr>
              <w:pStyle w:val="BDOITable"/>
            </w:pPr>
            <w:r>
              <w:rPr>
                <w:sz w:val="18"/>
              </w:rPr>
              <w:t>Select a reason for 'Reinstate'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Tag and reason with rule and version.</w:t>
      </w:r>
    </w:p>
    <w:p>
      <w:pPr>
        <w:pStyle w:val="BDOILabel"/>
      </w:pPr>
      <w:r>
        <w:rPr/>
        <w:t>Acceptance criteria</w:t>
      </w:r>
    </w:p>
    <w:p>
      <w:pPr>
        <w:tabs>
          <w:tab w:pos="312" w:val="left"/>
        </w:tabs>
        <w:spacing w:after="40"/>
        <w:ind w:left="312" w:hanging="283"/>
      </w:pPr>
      <w:r>
        <w:rPr>
          <w:color w:val="004EA8"/>
        </w:rPr>
        <w:t>1.</w:t>
        <w:tab/>
      </w:r>
      <w:r>
        <w:rPr/>
        <w:t>A No Touch account is tagged Non-Renewal and listed in the non-renewal report with reason No Touch.</w:t>
      </w:r>
    </w:p>
    <w:p>
      <w:pPr>
        <w:tabs>
          <w:tab w:pos="312" w:val="left"/>
        </w:tabs>
        <w:spacing w:after="120"/>
        <w:ind w:left="312" w:hanging="283"/>
      </w:pPr>
      <w:r>
        <w:rPr>
          <w:color w:val="004EA8"/>
        </w:rPr>
        <w:t>2.</w:t>
        <w:tab/>
      </w:r>
      <w:r>
        <w:rPr/>
        <w:t>An excluded record is never handed to renewal.</w:t>
      </w:r>
    </w:p>
    <w:p>
      <w:pPr>
        <w:pStyle w:val="Heading3"/>
      </w:pPr>
      <w:bookmarkStart w:id="134" w:name="_Toc000134"/>
      <w:r>
        <w:rPr/>
        <w:t>FR-SP-034 Group Inforced policies and create RAs and proposals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BRIDSP-15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Policy record (Renewal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Disposition step; RenewalHandOff</w:t>
            </w:r>
          </w:p>
        </w:tc>
      </w:tr>
    </w:tbl>
    <w:p>
      <w:pPr>
        <w:pStyle w:val="BDOISpacer"/>
      </w:pPr>
    </w:p>
    <w:p>
      <w:pPr>
        <w:pStyle w:val="BDOILabel"/>
      </w:pPr>
      <w:r>
        <w:rPr/>
        <w:t>Description</w:t>
      </w:r>
    </w:p>
    <w:p>
      <w:r>
        <w:rPr/>
        <w:t>Inforced policies (PN not matched to LAMD) are grouped into Fully Paid Loan, OPM, BDOFC or Sold. For an eligible inforced policy, the RA and the renewal proposal are generated - by the Renewal module after the hand-off (decision D2), with the RA template of its bucket and the proposal template SBM_RENEWAL_PROPOSAL.</w:t>
      </w:r>
    </w:p>
    <w:p>
      <w:pPr>
        <w:pStyle w:val="BDOILabel"/>
      </w:pPr>
      <w:r>
        <w:rPr/>
        <w:t>Preconditions</w:t>
      </w:r>
    </w:p>
    <w:p>
      <w:pPr>
        <w:tabs>
          <w:tab w:pos="312" w:val="left"/>
        </w:tabs>
        <w:spacing w:after="120"/>
        <w:ind w:left="312" w:hanging="283"/>
      </w:pPr>
      <w:r>
        <w:rPr>
          <w:color w:val="004EA8"/>
        </w:rPr>
        <w:t>•</w:t>
        <w:tab/>
      </w:r>
      <w:r>
        <w:rPr/>
        <w:t>The record is classified Inforced.</w:t>
      </w:r>
    </w:p>
    <w:p>
      <w:pPr>
        <w:pStyle w:val="BDOILabel"/>
      </w:pPr>
      <w:r>
        <w:rPr/>
        <w:t>Main flow</w:t>
      </w:r>
    </w:p>
    <w:p>
      <w:pPr>
        <w:tabs>
          <w:tab w:pos="312" w:val="left"/>
        </w:tabs>
        <w:spacing w:after="40"/>
        <w:ind w:left="312" w:hanging="283"/>
      </w:pPr>
      <w:r>
        <w:rPr>
          <w:color w:val="004EA8"/>
        </w:rPr>
        <w:t>1.</w:t>
        <w:tab/>
      </w:r>
      <w:r>
        <w:rPr/>
        <w:t>BIBS evaluates the inforced bucket rules and stores the bucket.</w:t>
      </w:r>
    </w:p>
    <w:p>
      <w:pPr>
        <w:tabs>
          <w:tab w:pos="312" w:val="left"/>
        </w:tabs>
        <w:spacing w:after="120"/>
        <w:ind w:left="312" w:hanging="283"/>
      </w:pPr>
      <w:r>
        <w:rPr>
          <w:color w:val="004EA8"/>
        </w:rPr>
        <w:t>2.</w:t>
        <w:tab/>
      </w:r>
      <w:r>
        <w:rPr/>
        <w:t>For an eligible bucket, the record becomes For Renewal and is handed over at the lead days (FR-SP-060).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Inforced buckets Fully Paid Loan, OPM, BDOFC, Sold; eligibility per bucket (SP SQ05).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Bucket and eligibility with rule and version.</w:t>
      </w:r>
    </w:p>
    <w:p>
      <w:pPr>
        <w:pStyle w:val="BDOILabel"/>
      </w:pPr>
      <w:r>
        <w:rPr/>
        <w:t>Acceptance criteria</w:t>
      </w:r>
    </w:p>
    <w:p>
      <w:pPr>
        <w:tabs>
          <w:tab w:pos="312" w:val="left"/>
        </w:tabs>
        <w:spacing w:after="120"/>
        <w:ind w:left="312" w:hanging="283"/>
      </w:pPr>
      <w:r>
        <w:rPr>
          <w:color w:val="004EA8"/>
        </w:rPr>
        <w:t>1.</w:t>
        <w:tab/>
      </w:r>
      <w:r>
        <w:rPr/>
        <w:t>An inforced Fully Paid Loan policy marked eligible reaches For Renewal and, after hand-off, has an RA and a proposal.</w:t>
      </w:r>
    </w:p>
    <w:p>
      <w:pPr>
        <w:pStyle w:val="Heading2"/>
      </w:pPr>
      <w:bookmarkStart w:id="135" w:name="_Toc000135"/>
      <w:r>
        <w:rPr/>
        <w:t>4.5 Policy review and IAAF</w:t>
      </w:r>
      <w:bookmarkEnd w:id="135"/>
    </w:p>
    <w:p>
      <w:pPr>
        <w:pStyle w:val="Heading3"/>
      </w:pPr>
      <w:bookmarkStart w:id="136" w:name="_Toc000136"/>
      <w:r>
        <w:rPr/>
        <w:t>FR-SP-040 Record policy reviews and generate one IAAF per policy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BRIDSP-05 (p.9), BRIDSP-06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(Policy Reviewer, Submitted Handler; IAAF_PREPARE)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Reviews / IAAF (review queue, IAAF page); Policy record (Review &amp; IAAF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/api/v1/submitted/policies/{id}/reviews; POST .../iaaf</w:t>
            </w:r>
          </w:p>
        </w:tc>
      </w:tr>
    </w:tbl>
    <w:p>
      <w:pPr>
        <w:pStyle w:val="BDOISpacer"/>
      </w:pPr>
    </w:p>
    <w:p>
      <w:pPr>
        <w:pStyle w:val="BDOILabel"/>
      </w:pPr>
      <w:r>
        <w:rPr/>
        <w:t>Description</w:t>
      </w:r>
    </w:p>
    <w:p>
      <w:r>
        <w:rPr/>
        <w:t>Non-CBG Corporate and Branch records and CBG Fire records with documents enter the review queue. The reviewer records each review - review number, date, adequacy (Adequate or With findings), findings and remarks. With findings, the reviewer e-mails the bank counterpart from the record and a new review follows. The IAAF shows the review history and the review count.</w:t>
      </w:r>
    </w:p>
    <w:p>
      <w:r>
        <w:rPr/>
        <w:t>When the policy is adequate, the reviewer generates the IAAF (IAAF-yyyy-nnnnnn). Only one IAAF exists per policy; it can be linked to related policies (for example the previous term or the same borrower) by their reference numbers.</w:t>
      </w:r>
    </w:p>
    <w:p>
      <w:pPr>
        <w:pStyle w:val="BDOILabel"/>
      </w:pPr>
      <w:r>
        <w:rPr/>
        <w:t>Preconditions</w:t>
      </w:r>
    </w:p>
    <w:p>
      <w:pPr>
        <w:tabs>
          <w:tab w:pos="312" w:val="left"/>
        </w:tabs>
        <w:spacing w:after="120"/>
        <w:ind w:left="312" w:hanging="283"/>
      </w:pPr>
      <w:r>
        <w:rPr>
          <w:color w:val="004EA8"/>
        </w:rPr>
        <w:t>•</w:t>
        <w:tab/>
      </w:r>
      <w:r>
        <w:rPr/>
        <w:t>The record is IN_REVIEW; the user has IAAF_PREPARE.</w:t>
      </w:r>
    </w:p>
    <w:p>
      <w:pPr>
        <w:pStyle w:val="BDOILabel"/>
      </w:pPr>
      <w:r>
        <w:rPr/>
        <w:t>Main flow</w:t>
      </w:r>
    </w:p>
    <w:p>
      <w:pPr>
        <w:tabs>
          <w:tab w:pos="312" w:val="left"/>
        </w:tabs>
        <w:spacing w:after="40"/>
        <w:ind w:left="312" w:hanging="283"/>
      </w:pPr>
      <w:r>
        <w:rPr>
          <w:color w:val="004EA8"/>
        </w:rPr>
        <w:t>1.</w:t>
        <w:tab/>
      </w:r>
      <w:r>
        <w:rPr/>
        <w:t>The reviewer opens the record from the review queue and records the review.</w:t>
      </w:r>
    </w:p>
    <w:p>
      <w:pPr>
        <w:tabs>
          <w:tab w:pos="312" w:val="left"/>
        </w:tabs>
        <w:spacing w:after="40"/>
        <w:ind w:left="312" w:hanging="283"/>
      </w:pPr>
      <w:r>
        <w:rPr>
          <w:color w:val="004EA8"/>
        </w:rPr>
        <w:t>2.</w:t>
        <w:tab/>
      </w:r>
      <w:r>
        <w:rPr/>
        <w:t xml:space="preserve">When adequate, the reviewer clicks </w:t>
      </w:r>
      <w:r>
        <w:rPr>
          <w:b/>
        </w:rPr>
        <w:t>Generate IAAF</w:t>
      </w:r>
      <w:r>
        <w:rPr/>
        <w:t xml:space="preserve"> and links related policies.</w:t>
      </w:r>
    </w:p>
    <w:p>
      <w:pPr>
        <w:tabs>
          <w:tab w:pos="312" w:val="left"/>
        </w:tabs>
        <w:spacing w:after="120"/>
        <w:ind w:left="312" w:hanging="283"/>
      </w:pPr>
      <w:r>
        <w:rPr>
          <w:color w:val="004EA8"/>
        </w:rPr>
        <w:t>3.</w:t>
        <w:tab/>
      </w:r>
      <w:r>
        <w:rPr/>
        <w:t>The reviewer submits the IAAF for approval (FR-SP-041).</w:t>
      </w:r>
    </w:p>
    <w:p>
      <w:pPr>
        <w:pStyle w:val="BDOILabel"/>
      </w:pPr>
      <w:r>
        <w:rPr/>
        <w:t>Alternate and exception flows</w:t>
      </w:r>
    </w:p>
    <w:p>
      <w:pPr>
        <w:tabs>
          <w:tab w:pos="312" w:val="left"/>
        </w:tabs>
        <w:spacing w:after="120"/>
        <w:ind w:left="312" w:hanging="283"/>
      </w:pPr>
      <w:r>
        <w:rPr>
          <w:color w:val="004EA8"/>
        </w:rPr>
        <w:t>•</w:t>
        <w:tab/>
      </w:r>
      <w:r>
        <w:rPr/>
        <w:t>With findings. The reviewer sends the findings to the bank counterpart; the record stays IN_REVIEW.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IAAF per policy; the BRD's current-process note that one IAAF may cover several policies is handled with links (SP SQ07).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SBM_IAAF; draft until BDOI provides the layout.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IAAF for the policy</w:t>
            </w:r>
          </w:p>
        </w:tc>
        <w:tc>
          <w:tcPr>
            <w:tcW w:type="dxa" w:w="4079"/>
            <w:tcMar>
              <w:top w:w="50" w:type="dxa"/>
              <w:bottom w:w="50" w:type="dxa"/>
              <w:left w:w="90" w:type="dxa"/>
              <w:right w:w="90" w:type="dxa"/>
            </w:tcMar>
          </w:tcPr>
          <w:p>
            <w:pPr>
              <w:pStyle w:val="BDOITable"/>
            </w:pPr>
            <w:r>
              <w:rPr>
                <w:sz w:val="18"/>
              </w:rPr>
              <w:t>Policy &lt;SBM no.&gt; already has IAAF &lt;no.&gt;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Adequacy not selected</w:t>
            </w:r>
          </w:p>
        </w:tc>
        <w:tc>
          <w:tcPr>
            <w:tcW w:type="dxa" w:w="4079"/>
            <w:tcMar>
              <w:top w:w="50" w:type="dxa"/>
              <w:bottom w:w="50" w:type="dxa"/>
              <w:left w:w="90" w:type="dxa"/>
              <w:right w:w="90" w:type="dxa"/>
            </w:tcMar>
            <w:shd w:val="clear" w:color="auto" w:fill="E5F5FF"/>
          </w:tcPr>
          <w:p>
            <w:pPr>
              <w:pStyle w:val="BDOITable"/>
            </w:pPr>
            <w:r>
              <w:rPr>
                <w:sz w:val="18"/>
              </w:rPr>
              <w:t>Select the adequacy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IAAF with findings open</w:t>
            </w:r>
          </w:p>
        </w:tc>
        <w:tc>
          <w:tcPr>
            <w:tcW w:type="dxa" w:w="4079"/>
            <w:tcMar>
              <w:top w:w="50" w:type="dxa"/>
              <w:bottom w:w="50" w:type="dxa"/>
              <w:left w:w="90" w:type="dxa"/>
              <w:right w:w="90" w:type="dxa"/>
            </w:tcMar>
          </w:tcPr>
          <w:p>
            <w:pPr>
              <w:pStyle w:val="BDOITable"/>
            </w:pPr>
            <w:r>
              <w:rPr>
                <w:sz w:val="18"/>
              </w:rPr>
              <w:t>The last review has findings; record an adequate review first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Review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Adequacy</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Adequate, With findings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Findings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SBM_IAAF_FINDING</w:t>
            </w:r>
          </w:p>
        </w:tc>
        <w:tc>
          <w:tcPr>
            <w:tcW w:type="dxa" w:w="3286"/>
            <w:tcMar>
              <w:top w:w="50" w:type="dxa"/>
              <w:bottom w:w="50" w:type="dxa"/>
              <w:left w:w="90" w:type="dxa"/>
              <w:right w:w="90" w:type="dxa"/>
            </w:tcMar>
          </w:tcPr>
          <w:p>
            <w:pPr>
              <w:pStyle w:val="BDOITable"/>
            </w:pPr>
            <w:r>
              <w:rPr>
                <w:sz w:val="18"/>
              </w:rPr>
              <w:t>Required for With findings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Related policies</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By SBM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bank counterpart receives the findings by e-mail from the record.</w:t>
      </w:r>
    </w:p>
    <w:p>
      <w:pPr>
        <w:pStyle w:val="BDOILabel"/>
      </w:pPr>
      <w:r>
        <w:rPr/>
        <w:t>Audit</w:t>
      </w:r>
    </w:p>
    <w:p>
      <w:pPr>
        <w:tabs>
          <w:tab w:pos="312" w:val="left"/>
        </w:tabs>
        <w:spacing w:after="120"/>
        <w:ind w:left="312" w:hanging="283"/>
      </w:pPr>
      <w:r>
        <w:rPr>
          <w:color w:val="004EA8"/>
        </w:rPr>
        <w:t>•</w:t>
        <w:tab/>
      </w:r>
      <w:r>
        <w:rPr/>
        <w:t>Each review and the IAAF generation with user and time.</w:t>
      </w:r>
    </w:p>
    <w:p>
      <w:pPr>
        <w:pStyle w:val="BDOILabel"/>
      </w:pPr>
      <w:r>
        <w:rPr/>
        <w:t>Acceptance criteria</w:t>
      </w:r>
    </w:p>
    <w:p>
      <w:pPr>
        <w:tabs>
          <w:tab w:pos="312" w:val="left"/>
        </w:tabs>
        <w:spacing w:after="40"/>
        <w:ind w:left="312" w:hanging="283"/>
      </w:pPr>
      <w:r>
        <w:rPr>
          <w:color w:val="004EA8"/>
        </w:rPr>
        <w:t>1.</w:t>
        <w:tab/>
      </w:r>
      <w:r>
        <w:rPr/>
        <w:t>A policy reviewed twice shows two reviews and a review count of 2 on its IAAF.</w:t>
      </w:r>
    </w:p>
    <w:p>
      <w:pPr>
        <w:tabs>
          <w:tab w:pos="312" w:val="left"/>
        </w:tabs>
        <w:spacing w:after="40"/>
        <w:ind w:left="312" w:hanging="283"/>
      </w:pPr>
      <w:r>
        <w:rPr>
          <w:color w:val="004EA8"/>
        </w:rPr>
        <w:t>2.</w:t>
        <w:tab/>
      </w:r>
      <w:r>
        <w:rPr/>
        <w:t>A second IAAF for the same policy is refused.</w:t>
      </w:r>
    </w:p>
    <w:p>
      <w:pPr>
        <w:tabs>
          <w:tab w:pos="312" w:val="left"/>
        </w:tabs>
        <w:spacing w:after="120"/>
        <w:ind w:left="312" w:hanging="283"/>
      </w:pPr>
      <w:r>
        <w:rPr>
          <w:color w:val="004EA8"/>
        </w:rPr>
        <w:t>3.</w:t>
        <w:tab/>
      </w:r>
      <w:r>
        <w:rPr/>
        <w:t>An IAAF linked to the previous term's record shows the link.</w:t>
      </w:r>
    </w:p>
    <w:p>
      <w:pPr>
        <w:pStyle w:val="Heading3"/>
      </w:pPr>
      <w:bookmarkStart w:id="137" w:name="_Toc000137"/>
      <w:r>
        <w:rPr/>
        <w:t>FR-SP-041 Route the IAAF for approval and signature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approvers (IAAF_APPROVE)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IAAF page (approvals); Submitted Policies Setup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SBM_IAAF; POST /api/v1/submitted/iaaf/{id}/approve | return</w:t>
            </w:r>
          </w:p>
        </w:tc>
      </w:tr>
    </w:tbl>
    <w:p>
      <w:pPr>
        <w:pStyle w:val="BDOISpacer"/>
      </w:pPr>
    </w:p>
    <w:p>
      <w:pPr>
        <w:pStyle w:val="BDOILabel"/>
      </w:pPr>
      <w:r>
        <w:rPr/>
        <w:t>Description</w:t>
      </w:r>
    </w:p>
    <w:p>
      <w:r>
        <w:rPr/>
        <w:t>The IAAF Approval Matrix gives, for the document IAAF, the segment and the sum-insured band, the approval levels and the permission or named signatory of each level. When the IAAF is submitted, BIBS routes it to the first level; each approval moves it to the next level until the last one.</w:t>
      </w:r>
    </w:p>
    <w:p>
      <w:r>
        <w:rPr/>
        <w:t xml:space="preserve">At the last approval BIBS stamps the signatures (name, position, time and hash of each approver), renders the PDF and sets the IAAF APPROVED. </w:t>
      </w:r>
      <w:r>
        <w:rPr>
          <w:b/>
        </w:rPr>
        <w:t>Send to bank counterpart</w:t>
      </w:r>
      <w:r>
        <w:rPr/>
        <w:t xml:space="preserve"> e-mails it and sets ISSUED. The record then either waits for expiry as a conversion opportunity or receives a reminder letter (p.7).</w:t>
      </w:r>
    </w:p>
    <w:p>
      <w:pPr>
        <w:pStyle w:val="BDOILabel"/>
      </w:pPr>
      <w:r>
        <w:rPr/>
        <w:t>Preconditions</w:t>
      </w:r>
    </w:p>
    <w:p>
      <w:pPr>
        <w:tabs>
          <w:tab w:pos="312" w:val="left"/>
        </w:tabs>
        <w:spacing w:after="120"/>
        <w:ind w:left="312" w:hanging="283"/>
      </w:pPr>
      <w:r>
        <w:rPr>
          <w:color w:val="004EA8"/>
        </w:rPr>
        <w:t>•</w:t>
        <w:tab/>
      </w:r>
      <w:r>
        <w:rPr/>
        <w:t>The IAAF is FOR_APPROVAL; the user holds the permission of the current level and did not prepare the IAAF.</w:t>
      </w:r>
    </w:p>
    <w:p>
      <w:pPr>
        <w:pStyle w:val="BDOILabel"/>
      </w:pPr>
      <w:r>
        <w:rPr/>
        <w:t>Main flow</w:t>
      </w:r>
    </w:p>
    <w:p>
      <w:pPr>
        <w:tabs>
          <w:tab w:pos="312" w:val="left"/>
        </w:tabs>
        <w:spacing w:after="40"/>
        <w:ind w:left="312" w:hanging="283"/>
      </w:pPr>
      <w:r>
        <w:rPr>
          <w:color w:val="004EA8"/>
        </w:rPr>
        <w:t>1.</w:t>
        <w:tab/>
      </w:r>
      <w:r>
        <w:rPr/>
        <w:t>The approver opens the IAAF from My Approvals and reviews it.</w:t>
      </w:r>
    </w:p>
    <w:p>
      <w:pPr>
        <w:tabs>
          <w:tab w:pos="312" w:val="left"/>
        </w:tabs>
        <w:spacing w:after="40"/>
        <w:ind w:left="312" w:hanging="283"/>
      </w:pPr>
      <w:r>
        <w:rPr>
          <w:color w:val="004EA8"/>
        </w:rPr>
        <w:t>2.</w:t>
        <w:tab/>
      </w:r>
      <w:r>
        <w:rPr/>
        <w:t xml:space="preserve">The approver clicks </w:t>
      </w:r>
      <w:r>
        <w:rPr>
          <w:b/>
        </w:rPr>
        <w:t>Approve</w:t>
      </w:r>
      <w:r>
        <w:rPr/>
        <w:t>; BIBS moves it to the next level or to APPROVED.</w:t>
      </w:r>
    </w:p>
    <w:p>
      <w:pPr>
        <w:tabs>
          <w:tab w:pos="312" w:val="left"/>
        </w:tabs>
        <w:spacing w:after="120"/>
        <w:ind w:left="312" w:hanging="283"/>
      </w:pPr>
      <w:r>
        <w:rPr>
          <w:color w:val="004EA8"/>
        </w:rPr>
        <w:t>3.</w:t>
        <w:tab/>
      </w:r>
      <w:r>
        <w:rPr/>
        <w:t>The reviewer sends the approved IAAF to the bank counterpart.</w:t>
      </w:r>
    </w:p>
    <w:p>
      <w:pPr>
        <w:pStyle w:val="BDOILabel"/>
      </w:pPr>
      <w:r>
        <w:rPr/>
        <w:t>Alternate and exception flows</w:t>
      </w:r>
    </w:p>
    <w:p>
      <w:pPr>
        <w:tabs>
          <w:tab w:pos="312" w:val="left"/>
        </w:tabs>
        <w:spacing w:after="120"/>
        <w:ind w:left="312" w:hanging="283"/>
      </w:pPr>
      <w:r>
        <w:rPr>
          <w:color w:val="004EA8"/>
        </w:rPr>
        <w:t>•</w:t>
        <w:tab/>
      </w:r>
      <w:r>
        <w:rPr/>
        <w:t>Return. The approver returns the IAAF with a reason; it goes back to the reviewer.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Levels, criteria and signatories of the matrix are to be supplied by BDOI (SP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IAAF)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signature is a stamped signature until a qualified e-signature is connected.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An IAAF is approved by someone other than its preparer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No matrix row for the IAAF</w:t>
            </w:r>
          </w:p>
        </w:tc>
        <w:tc>
          <w:tcPr>
            <w:tcW w:type="dxa" w:w="4079"/>
            <w:tcMar>
              <w:top w:w="50" w:type="dxa"/>
              <w:bottom w:w="50" w:type="dxa"/>
              <w:left w:w="90" w:type="dxa"/>
              <w:right w:w="90" w:type="dxa"/>
            </w:tcMar>
          </w:tcPr>
          <w:p>
            <w:pPr>
              <w:pStyle w:val="BDOITable"/>
            </w:pPr>
            <w:r>
              <w:rPr>
                <w:sz w:val="18"/>
              </w:rPr>
              <w:t>No approval level is defined for segment &lt;segment&gt; and sum insured &lt;amount&gt;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SBM_IAAF_PENDING to the approvers of each level; alert SBM_IAAF_SLA past the review 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40"/>
        <w:ind w:left="312" w:hanging="283"/>
      </w:pPr>
      <w:r>
        <w:rPr>
          <w:color w:val="004EA8"/>
        </w:rPr>
        <w:t>1.</w:t>
        <w:tab/>
      </w:r>
      <w:r>
        <w:rPr/>
        <w:t>An IAAF of a Non-CBG Corporate policy goes to level 1 and, after approval, to level 2.</w:t>
      </w:r>
    </w:p>
    <w:p>
      <w:pPr>
        <w:tabs>
          <w:tab w:pos="312" w:val="left"/>
        </w:tabs>
        <w:spacing w:after="40"/>
        <w:ind w:left="312" w:hanging="283"/>
      </w:pPr>
      <w:r>
        <w:rPr>
          <w:color w:val="004EA8"/>
        </w:rPr>
        <w:t>2.</w:t>
        <w:tab/>
      </w:r>
      <w:r>
        <w:rPr/>
        <w:t>The preparer cannot approve it.</w:t>
      </w:r>
    </w:p>
    <w:p>
      <w:pPr>
        <w:tabs>
          <w:tab w:pos="312" w:val="left"/>
        </w:tabs>
        <w:spacing w:after="120"/>
        <w:ind w:left="312" w:hanging="283"/>
      </w:pPr>
      <w:r>
        <w:rPr>
          <w:color w:val="004EA8"/>
        </w:rPr>
        <w:t>3.</w:t>
        <w:tab/>
      </w:r>
      <w:r>
        <w:rPr/>
        <w:t>The issued IAAF PDF shows the stamped name, position and time of every approver.</w:t>
      </w:r>
    </w:p>
    <w:p>
      <w:pPr>
        <w:pStyle w:val="Heading2"/>
      </w:pPr>
      <w:bookmarkStart w:id="138" w:name="_Toc000138"/>
      <w:r>
        <w:rPr/>
        <w:t>4.6 Limits and TOR</w:t>
      </w:r>
      <w:bookmarkEnd w:id="138"/>
    </w:p>
    <w:p>
      <w:pPr>
        <w:pStyle w:val="Heading3"/>
      </w:pPr>
      <w:bookmarkStart w:id="139" w:name="_Toc000139"/>
      <w:r>
        <w:rPr/>
        <w:t>FR-SP-050 Detect accounts exceeding acceptance or coverage limits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BRIDSP-16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(Rule Results, flag Insurer approval); Submitted Policies Setup (Limit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Limits step</w:t>
            </w:r>
          </w:p>
        </w:tc>
      </w:tr>
    </w:tbl>
    <w:p>
      <w:pPr>
        <w:pStyle w:val="BDOISpacer"/>
      </w:pPr>
    </w:p>
    <w:p>
      <w:pPr>
        <w:pStyle w:val="BDOILabel"/>
      </w:pPr>
      <w:r>
        <w:rPr/>
        <w:t>Description</w:t>
      </w:r>
    </w:p>
    <w:p>
      <w:r>
        <w:rPr/>
        <w:t>The limits step compares each record with the limit rules - per insurer and line or product, the maximum sum insured, the maximum vehicle age and other attribute limits - and with the package limit of the catalogue. A breach flags the record "Insurer approval required", records the breached limit and creates a TOR task for the handling Marketing user.</w:t>
      </w:r>
    </w:p>
    <w:p>
      <w:pPr>
        <w:pStyle w:val="BDOILabel"/>
      </w:pPr>
      <w:r>
        <w:rPr/>
        <w:t>Preconditions</w:t>
      </w:r>
    </w:p>
    <w:p>
      <w:pPr>
        <w:tabs>
          <w:tab w:pos="312" w:val="left"/>
        </w:tabs>
        <w:spacing w:after="120"/>
        <w:ind w:left="312" w:hanging="283"/>
      </w:pPr>
      <w:r>
        <w:rPr>
          <w:color w:val="004EA8"/>
        </w:rPr>
        <w:t>•</w:t>
        <w:tab/>
      </w:r>
      <w:r>
        <w:rPr/>
        <w:t>Active limit rules exist.</w:t>
      </w:r>
    </w:p>
    <w:p>
      <w:pPr>
        <w:pStyle w:val="BDOILabel"/>
      </w:pPr>
      <w:r>
        <w:rPr/>
        <w:t>Main flow</w:t>
      </w:r>
    </w:p>
    <w:p>
      <w:pPr>
        <w:tabs>
          <w:tab w:pos="312" w:val="left"/>
        </w:tabs>
        <w:spacing w:after="40"/>
        <w:ind w:left="312" w:hanging="283"/>
      </w:pPr>
      <w:r>
        <w:rPr>
          <w:color w:val="004EA8"/>
        </w:rPr>
        <w:t>1.</w:t>
        <w:tab/>
      </w:r>
      <w:r>
        <w:rPr/>
        <w:t>The run evaluates the limits and stores each check.</w:t>
      </w:r>
    </w:p>
    <w:p>
      <w:pPr>
        <w:tabs>
          <w:tab w:pos="312" w:val="left"/>
        </w:tabs>
        <w:spacing w:after="120"/>
        <w:ind w:left="312" w:hanging="283"/>
      </w:pPr>
      <w:r>
        <w:rPr>
          <w:color w:val="004EA8"/>
        </w:rPr>
        <w:t>2.</w:t>
        <w:tab/>
      </w:r>
      <w:r>
        <w:rPr/>
        <w:t>On a breach BIBS sets the flag and creates the TOR task.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rules per insurer and product until Product Maintenance takes them over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Limit rules (Setup)</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handling Marketing user receives the TOR task.</w:t>
      </w:r>
    </w:p>
    <w:p>
      <w:pPr>
        <w:pStyle w:val="BDOILabel"/>
      </w:pPr>
      <w:r>
        <w:rPr/>
        <w:t>Audit</w:t>
      </w:r>
    </w:p>
    <w:p>
      <w:pPr>
        <w:tabs>
          <w:tab w:pos="312" w:val="left"/>
        </w:tabs>
        <w:spacing w:after="120"/>
        <w:ind w:left="312" w:hanging="283"/>
      </w:pPr>
      <w:r>
        <w:rPr>
          <w:color w:val="004EA8"/>
        </w:rPr>
        <w:t>•</w:t>
        <w:tab/>
      </w:r>
      <w:r>
        <w:rPr/>
        <w:t>Limit check rows (rule, attribute, limit, value, breached).</w:t>
      </w:r>
    </w:p>
    <w:p>
      <w:pPr>
        <w:pStyle w:val="BDOILabel"/>
      </w:pPr>
      <w:r>
        <w:rPr/>
        <w:t>Acceptance criteria</w:t>
      </w:r>
    </w:p>
    <w:p>
      <w:pPr>
        <w:tabs>
          <w:tab w:pos="312" w:val="left"/>
        </w:tabs>
        <w:spacing w:after="120"/>
        <w:ind w:left="312" w:hanging="283"/>
      </w:pPr>
      <w:r>
        <w:rPr>
          <w:color w:val="004EA8"/>
        </w:rPr>
        <w:t>1.</w:t>
        <w:tab/>
      </w:r>
      <w:r>
        <w:rPr/>
        <w:t>A motor policy whose vehicle is older than the insurer's maximum age is flagged Insurer approval required with the limit and value.</w:t>
      </w:r>
    </w:p>
    <w:p>
      <w:pPr>
        <w:pStyle w:val="Heading3"/>
      </w:pPr>
      <w:bookmarkStart w:id="140" w:name="_Toc000140"/>
      <w:r>
        <w:rPr/>
        <w:t>FR-SP-051 Generate the Terms of Reference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BRIDSP-17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(TOR_PREPARE)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TOR (list, TOR page); Policy record (TOR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/api/v1/submitted/tors</w:t>
            </w:r>
          </w:p>
        </w:tc>
      </w:tr>
    </w:tbl>
    <w:p>
      <w:pPr>
        <w:pStyle w:val="BDOISpacer"/>
      </w:pPr>
    </w:p>
    <w:p>
      <w:pPr>
        <w:pStyle w:val="BDOILabel"/>
      </w:pPr>
      <w:r>
        <w:rPr/>
        <w:t>Description</w:t>
      </w:r>
    </w:p>
    <w:p>
      <w:r>
        <w:rPr/>
        <w:t>For an account that exceeds the limits, the Marketing user generates a TOR (TOR-yyyy-nnnnnn) from template SBM_TOR. It lists the breached limits and the proposed terms. The TOR is created for the account (masterlist record or renewal ARN).</w:t>
      </w:r>
    </w:p>
    <w:p>
      <w:pPr>
        <w:pStyle w:val="BDOILabel"/>
      </w:pPr>
      <w:r>
        <w:rPr/>
        <w:t>Preconditions</w:t>
      </w:r>
    </w:p>
    <w:p>
      <w:pPr>
        <w:tabs>
          <w:tab w:pos="312" w:val="left"/>
        </w:tabs>
        <w:spacing w:after="120"/>
        <w:ind w:left="312" w:hanging="283"/>
      </w:pPr>
      <w:r>
        <w:rPr>
          <w:color w:val="004EA8"/>
        </w:rPr>
        <w:t>•</w:t>
        <w:tab/>
      </w:r>
      <w:r>
        <w:rPr/>
        <w:t>The record carries the flag Insurer approval required; the user has TOR_PREPARE.</w:t>
      </w:r>
    </w:p>
    <w:p>
      <w:pPr>
        <w:pStyle w:val="BDOILabel"/>
      </w:pPr>
      <w:r>
        <w:rPr/>
        <w:t>Main flow</w:t>
      </w:r>
    </w:p>
    <w:p>
      <w:pPr>
        <w:tabs>
          <w:tab w:pos="312" w:val="left"/>
        </w:tabs>
        <w:spacing w:after="40"/>
        <w:ind w:left="312" w:hanging="283"/>
      </w:pPr>
      <w:r>
        <w:rPr>
          <w:color w:val="004EA8"/>
        </w:rPr>
        <w:t>1.</w:t>
        <w:tab/>
      </w:r>
      <w:r>
        <w:rPr/>
        <w:t xml:space="preserve">The user opens the TOR task and clicks </w:t>
      </w:r>
      <w:r>
        <w:rPr>
          <w:b/>
        </w:rPr>
        <w:t>Generate TOR</w:t>
      </w:r>
      <w:r>
        <w:rPr/>
        <w:t>.</w:t>
      </w:r>
    </w:p>
    <w:p>
      <w:pPr>
        <w:tabs>
          <w:tab w:pos="312" w:val="left"/>
        </w:tabs>
        <w:spacing w:after="40"/>
        <w:ind w:left="312" w:hanging="283"/>
      </w:pPr>
      <w:r>
        <w:rPr>
          <w:color w:val="004EA8"/>
        </w:rPr>
        <w:t>2.</w:t>
        <w:tab/>
      </w:r>
      <w:r>
        <w:rPr/>
        <w:t>The user completes the proposed terms and saves the draft.</w:t>
      </w:r>
    </w:p>
    <w:p>
      <w:pPr>
        <w:tabs>
          <w:tab w:pos="312" w:val="left"/>
        </w:tabs>
        <w:spacing w:after="120"/>
        <w:ind w:left="312" w:hanging="283"/>
      </w:pPr>
      <w:r>
        <w:rPr>
          <w:color w:val="004EA8"/>
        </w:rPr>
        <w:t>3.</w:t>
        <w:tab/>
      </w:r>
      <w:r>
        <w:rPr/>
        <w:t>The user submits it (FR-SP-052).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SBM_TOR; draft until BDOI provides the layout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Proposed terms blank</w:t>
            </w:r>
          </w:p>
        </w:tc>
        <w:tc>
          <w:tcPr>
            <w:tcW w:type="dxa" w:w="4079"/>
            <w:tcMar>
              <w:top w:w="50" w:type="dxa"/>
              <w:bottom w:w="50" w:type="dxa"/>
              <w:left w:w="90" w:type="dxa"/>
              <w:right w:w="90" w:type="dxa"/>
            </w:tcMar>
          </w:tcPr>
          <w:p>
            <w:pPr>
              <w:pStyle w:val="BDOITable"/>
            </w:pPr>
            <w:r>
              <w:rPr>
                <w:sz w:val="18"/>
              </w:rPr>
              <w:t>Enter the proposed terms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breach on the account</w:t>
            </w:r>
          </w:p>
        </w:tc>
        <w:tc>
          <w:tcPr>
            <w:tcW w:type="dxa" w:w="4079"/>
            <w:tcMar>
              <w:top w:w="50" w:type="dxa"/>
              <w:bottom w:w="50" w:type="dxa"/>
              <w:left w:w="90" w:type="dxa"/>
              <w:right w:w="90" w:type="dxa"/>
            </w:tcMar>
            <w:shd w:val="clear" w:color="auto" w:fill="E5F5FF"/>
          </w:tcPr>
          <w:p>
            <w:pPr>
              <w:pStyle w:val="BDOITable"/>
            </w:pPr>
            <w:r>
              <w:rPr>
                <w:sz w:val="18"/>
              </w:rPr>
              <w:t>Policy &lt;SBM no.&gt; exceeds no limit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Breaches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Limit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terms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w:t>
            </w:r>
          </w:p>
        </w:tc>
        <w:tc>
          <w:tcPr>
            <w:tcW w:type="dxa" w:w="3286"/>
            <w:tcMar>
              <w:top w:w="50" w:type="dxa"/>
              <w:bottom w:w="50" w:type="dxa"/>
              <w:left w:w="90" w:type="dxa"/>
              <w:right w:w="90" w:type="dxa"/>
            </w:tcMar>
          </w:tcPr>
          <w:p>
            <w:pPr>
              <w:pStyle w:val="BDOITable"/>
            </w:pPr>
            <w:r>
              <w:rPr>
                <w:sz w:val="18"/>
              </w:rPr>
              <w:t>Active officer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TOR creation and edits.</w:t>
      </w:r>
    </w:p>
    <w:p>
      <w:pPr>
        <w:pStyle w:val="BDOILabel"/>
      </w:pPr>
      <w:r>
        <w:rPr/>
        <w:t>Acceptance criteria</w:t>
      </w:r>
    </w:p>
    <w:p>
      <w:pPr>
        <w:tabs>
          <w:tab w:pos="312" w:val="left"/>
        </w:tabs>
        <w:spacing w:after="120"/>
        <w:ind w:left="312" w:hanging="283"/>
      </w:pPr>
      <w:r>
        <w:rPr>
          <w:color w:val="004EA8"/>
        </w:rPr>
        <w:t>1.</w:t>
        <w:tab/>
      </w:r>
      <w:r>
        <w:rPr/>
        <w:t>A TOR generated for a flagged record lists its breached limits.</w:t>
      </w:r>
    </w:p>
    <w:p>
      <w:pPr>
        <w:pStyle w:val="Heading3"/>
      </w:pPr>
      <w:bookmarkStart w:id="141" w:name="_Toc000141"/>
      <w:r>
        <w:rPr/>
        <w:t>FR-SP-052 Route the TOR for approval per the TSU Approval Matrix</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(TOR_APPROVE)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TOR page; Submitted Policies Setup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SBM_TOR</w:t>
            </w:r>
          </w:p>
        </w:tc>
      </w:tr>
    </w:tbl>
    <w:p>
      <w:pPr>
        <w:pStyle w:val="BDOISpacer"/>
      </w:pPr>
    </w:p>
    <w:p>
      <w:pPr>
        <w:pStyle w:val="BDOILabel"/>
      </w:pPr>
      <w:r>
        <w:rPr/>
        <w:t>Description</w:t>
      </w:r>
    </w:p>
    <w:p>
      <w:r>
        <w:rPr/>
        <w:t>The submitted TOR is routed by the TSU Approval Matrix (document TOR, segment and sum-insured band) to the approvers of each level for signature. The last approval attaches the signed PDF and sets APPROVED.</w:t>
      </w:r>
    </w:p>
    <w:p>
      <w:pPr>
        <w:pStyle w:val="BDOILabel"/>
      </w:pPr>
      <w:r>
        <w:rPr/>
        <w:t>Preconditions</w:t>
      </w:r>
    </w:p>
    <w:p>
      <w:pPr>
        <w:tabs>
          <w:tab w:pos="312" w:val="left"/>
        </w:tabs>
        <w:spacing w:after="120"/>
        <w:ind w:left="312" w:hanging="283"/>
      </w:pPr>
      <w:r>
        <w:rPr>
          <w:color w:val="004EA8"/>
        </w:rPr>
        <w:t>•</w:t>
        <w:tab/>
      </w:r>
      <w:r>
        <w:rPr/>
        <w:t>The TOR is FOR_APPROVAL.</w:t>
      </w:r>
    </w:p>
    <w:p>
      <w:pPr>
        <w:pStyle w:val="BDOILabel"/>
      </w:pPr>
      <w:r>
        <w:rPr/>
        <w:t>Main flow</w:t>
      </w:r>
    </w:p>
    <w:p>
      <w:pPr>
        <w:tabs>
          <w:tab w:pos="312" w:val="left"/>
        </w:tabs>
        <w:spacing w:after="40"/>
        <w:ind w:left="312" w:hanging="283"/>
      </w:pPr>
      <w:r>
        <w:rPr>
          <w:color w:val="004EA8"/>
        </w:rPr>
        <w:t>1.</w:t>
        <w:tab/>
      </w:r>
      <w:r>
        <w:rPr/>
        <w:t>The TSU approver opens the TOR in My Approvals and approves it.</w:t>
      </w:r>
    </w:p>
    <w:p>
      <w:pPr>
        <w:tabs>
          <w:tab w:pos="312" w:val="left"/>
        </w:tabs>
        <w:spacing w:after="120"/>
        <w:ind w:left="312" w:hanging="283"/>
      </w:pPr>
      <w:r>
        <w:rPr>
          <w:color w:val="004EA8"/>
        </w:rPr>
        <w:t>2.</w:t>
        <w:tab/>
      </w:r>
      <w:r>
        <w:rPr/>
        <w:t>BIBS moves it to the next level or to APPROVED with the signed PDF.</w:t>
      </w:r>
    </w:p>
    <w:p>
      <w:pPr>
        <w:pStyle w:val="BDOILabel"/>
      </w:pPr>
      <w:r>
        <w:rPr/>
        <w:t>Alternate and exception flows</w:t>
      </w:r>
    </w:p>
    <w:p>
      <w:pPr>
        <w:tabs>
          <w:tab w:pos="312" w:val="left"/>
        </w:tabs>
        <w:spacing w:after="120"/>
        <w:ind w:left="312" w:hanging="283"/>
      </w:pPr>
      <w:r>
        <w:rPr>
          <w:color w:val="004EA8"/>
        </w:rPr>
        <w:t>•</w:t>
        <w:tab/>
      </w:r>
      <w:r>
        <w:rPr/>
        <w:t>Return with a reason to the preparer.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TSU matrix levels and signatories to be supplied by BDOI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 TOR is approved by someone other than its preparer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SBM_TOR_PENDING to the approvers; alert SBM_TOR_SLA.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120"/>
        <w:ind w:left="312" w:hanging="283"/>
      </w:pPr>
      <w:r>
        <w:rPr>
          <w:color w:val="004EA8"/>
        </w:rPr>
        <w:t>1.</w:t>
        <w:tab/>
      </w:r>
      <w:r>
        <w:rPr/>
        <w:t>A TOR reaches the TSU approver of its level and, after the last approval, carries the signed PDF.</w:t>
      </w:r>
    </w:p>
    <w:p>
      <w:pPr>
        <w:pStyle w:val="Heading3"/>
      </w:pPr>
      <w:bookmarkStart w:id="142" w:name="_Toc000142"/>
      <w:r>
        <w:rPr/>
        <w:t>FR-SP-053 Hand the approved TOR over to the Account Officer</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BRIDSP-19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TOR page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/api/v1/submitted/tors/{id}.pdf</w:t>
            </w:r>
          </w:p>
        </w:tc>
      </w:tr>
    </w:tbl>
    <w:p>
      <w:pPr>
        <w:pStyle w:val="BDOISpacer"/>
      </w:pPr>
    </w:p>
    <w:p>
      <w:pPr>
        <w:pStyle w:val="BDOILabel"/>
      </w:pPr>
      <w:r>
        <w:rPr/>
        <w:t>Description</w:t>
      </w:r>
    </w:p>
    <w:p>
      <w:r>
        <w:rPr/>
        <w:t>When the TOR is approved, BIBS stores the signed PDF as an attachment of type TOR and notifies the assigned AO, who views or downloads it to proceed with the renewal and the insurer. The TOR becomes RELEASED when the AO opens or downloads it.</w:t>
      </w:r>
    </w:p>
    <w:p>
      <w:pPr>
        <w:pStyle w:val="BDOILabel"/>
      </w:pPr>
      <w:r>
        <w:rPr/>
        <w:t>Preconditions</w:t>
      </w:r>
    </w:p>
    <w:p>
      <w:pPr>
        <w:tabs>
          <w:tab w:pos="312" w:val="left"/>
        </w:tabs>
        <w:spacing w:after="120"/>
        <w:ind w:left="312" w:hanging="283"/>
      </w:pPr>
      <w:r>
        <w:rPr>
          <w:color w:val="004EA8"/>
        </w:rPr>
        <w:t>•</w:t>
        <w:tab/>
      </w:r>
      <w:r>
        <w:rPr/>
        <w:t>The TOR is APPROVED.</w:t>
      </w:r>
    </w:p>
    <w:p>
      <w:pPr>
        <w:pStyle w:val="BDOILabel"/>
      </w:pPr>
      <w:r>
        <w:rPr/>
        <w:t>Main flow</w:t>
      </w:r>
    </w:p>
    <w:p>
      <w:pPr>
        <w:tabs>
          <w:tab w:pos="312" w:val="left"/>
        </w:tabs>
        <w:spacing w:after="40"/>
        <w:ind w:left="312" w:hanging="283"/>
      </w:pPr>
      <w:r>
        <w:rPr>
          <w:color w:val="004EA8"/>
        </w:rPr>
        <w:t>1.</w:t>
        <w:tab/>
      </w:r>
      <w:r>
        <w:rPr/>
        <w:t>The AO opens the notification and the TOR.</w:t>
      </w:r>
    </w:p>
    <w:p>
      <w:pPr>
        <w:tabs>
          <w:tab w:pos="312" w:val="left"/>
        </w:tabs>
        <w:spacing w:after="120"/>
        <w:ind w:left="312" w:hanging="283"/>
      </w:pPr>
      <w:r>
        <w:rPr>
          <w:color w:val="004EA8"/>
        </w:rPr>
        <w:t>2.</w:t>
        <w:tab/>
      </w:r>
      <w:r>
        <w:rPr/>
        <w:t>The AO downloads the PDF; BIBS sets RELEASED.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Meaning of Released to be confirmed (SP SQ08); default is the AO's first opening.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SBM_TOR_RELEASED to the assigned AO.</w:t>
      </w:r>
    </w:p>
    <w:p>
      <w:pPr>
        <w:pStyle w:val="BDOILabel"/>
      </w:pPr>
      <w:r>
        <w:rPr/>
        <w:t>Audit</w:t>
      </w:r>
    </w:p>
    <w:p>
      <w:pPr>
        <w:tabs>
          <w:tab w:pos="312" w:val="left"/>
        </w:tabs>
        <w:spacing w:after="120"/>
        <w:ind w:left="312" w:hanging="283"/>
      </w:pPr>
      <w:r>
        <w:rPr>
          <w:color w:val="004EA8"/>
        </w:rPr>
        <w:t>•</w:t>
        <w:tab/>
      </w:r>
      <w:r>
        <w:rPr/>
        <w:t>Opening and download with user and time.</w:t>
      </w:r>
    </w:p>
    <w:p>
      <w:pPr>
        <w:pStyle w:val="BDOILabel"/>
      </w:pPr>
      <w:r>
        <w:rPr/>
        <w:t>Acceptance criteria</w:t>
      </w:r>
    </w:p>
    <w:p>
      <w:pPr>
        <w:tabs>
          <w:tab w:pos="312" w:val="left"/>
        </w:tabs>
        <w:spacing w:after="120"/>
        <w:ind w:left="312" w:hanging="283"/>
      </w:pPr>
      <w:r>
        <w:rPr>
          <w:color w:val="004EA8"/>
        </w:rPr>
        <w:t>1.</w:t>
        <w:tab/>
      </w:r>
      <w:r>
        <w:rPr/>
        <w:t>The assigned AO is notified of the approved TOR and can download it; the TOR then shows Released.</w:t>
      </w:r>
    </w:p>
    <w:p>
      <w:pPr>
        <w:pStyle w:val="Heading2"/>
      </w:pPr>
      <w:bookmarkStart w:id="143" w:name="_Toc000143"/>
      <w:r>
        <w:rPr/>
        <w:t>4.7 Renewal hand-off</w:t>
      </w:r>
      <w:bookmarkEnd w:id="143"/>
    </w:p>
    <w:p>
      <w:pPr>
        <w:pStyle w:val="Heading3"/>
      </w:pPr>
      <w:bookmarkStart w:id="144" w:name="_Toc000144"/>
      <w:r>
        <w:rPr/>
        <w:t>FR-SP-060 Detect expiring policies and hand them to Renewal</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SBM_EXPIRY_SCAN); Marketing AO (Renew with BDOI)</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(For Renewal, Hand-off Pending); Masterlist (Renew with BDOI)</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SBM_EXPIRY_SCAN; port RenewalHandOff</w:t>
            </w:r>
          </w:p>
        </w:tc>
      </w:tr>
    </w:tbl>
    <w:p>
      <w:pPr>
        <w:pStyle w:val="BDOISpacer"/>
      </w:pPr>
    </w:p>
    <w:p>
      <w:pPr>
        <w:pStyle w:val="BDOILabel"/>
      </w:pPr>
      <w:r>
        <w:rPr/>
        <w:t>Description</w:t>
      </w:r>
    </w:p>
    <w:p>
      <w:r>
        <w:rPr/>
        <w:t>Every day the expiry scan selects For Renewal records whose expiry falls within the lead days of their segment (for example CBG Fire 150 days, CBG Motor 120 days), assigns the insurer with the insurer rules (by vehicle type for CBG Motor; different from the expiring insurer for CBG Fire), and hands each record to the Renewal module through the port RenewalHandOff with the policy and risk data, the RA template and the assigned insurer. The record moves to RENEWAL_IN_PROGRESS.</w:t>
      </w:r>
    </w:p>
    <w:p>
      <w:r>
        <w:rPr/>
        <w:t xml:space="preserve">From the hand-off on, the Renewal module owns the renewal - renewal account, 30-day hold cover request and letters (decision D2; FRS BRD-6 FR-RN-090). For Non-CBG Retail, the AO starts the renewal by hand with </w:t>
      </w:r>
      <w:r>
        <w:rPr>
          <w:b/>
        </w:rPr>
        <w:t>Renew with BDOI</w:t>
      </w:r>
      <w:r>
        <w:rPr/>
        <w:t>, which calls the same port.</w:t>
      </w:r>
    </w:p>
    <w:p>
      <w:pPr>
        <w:pStyle w:val="BDOILabel"/>
      </w:pPr>
      <w:r>
        <w:rPr/>
        <w:t>Preconditions</w:t>
      </w:r>
    </w:p>
    <w:p>
      <w:pPr>
        <w:tabs>
          <w:tab w:pos="312" w:val="left"/>
        </w:tabs>
        <w:spacing w:after="120"/>
        <w:ind w:left="312" w:hanging="283"/>
      </w:pPr>
      <w:r>
        <w:rPr>
          <w:color w:val="004EA8"/>
        </w:rPr>
        <w:t>•</w:t>
        <w:tab/>
      </w:r>
      <w:r>
        <w:rPr/>
        <w:t>The record is FOR_RENEWAL.</w:t>
      </w:r>
    </w:p>
    <w:p>
      <w:pPr>
        <w:pStyle w:val="BDOILabel"/>
      </w:pPr>
      <w:r>
        <w:rPr/>
        <w:t>Main flow</w:t>
      </w:r>
    </w:p>
    <w:p>
      <w:pPr>
        <w:tabs>
          <w:tab w:pos="312" w:val="left"/>
        </w:tabs>
        <w:spacing w:after="40"/>
        <w:ind w:left="312" w:hanging="283"/>
      </w:pPr>
      <w:r>
        <w:rPr>
          <w:color w:val="004EA8"/>
        </w:rPr>
        <w:t>1.</w:t>
        <w:tab/>
      </w:r>
      <w:r>
        <w:rPr/>
        <w:t>The job runs at 22:00 PHT and selects the records.</w:t>
      </w:r>
    </w:p>
    <w:p>
      <w:pPr>
        <w:tabs>
          <w:tab w:pos="312" w:val="left"/>
        </w:tabs>
        <w:spacing w:after="120"/>
        <w:ind w:left="312" w:hanging="283"/>
      </w:pPr>
      <w:r>
        <w:rPr>
          <w:color w:val="004EA8"/>
        </w:rPr>
        <w:t>2.</w:t>
        <w:tab/>
      </w:r>
      <w:r>
        <w:rPr/>
        <w:t>BIBS assigns the insurer and calls the port; it records the hand-off (renewal reference returned by Renewal).</w:t>
      </w:r>
    </w:p>
    <w:p>
      <w:pPr>
        <w:pStyle w:val="BDOILabel"/>
      </w:pPr>
      <w:r>
        <w:rPr/>
        <w:t>Alternate and exception flows</w:t>
      </w:r>
    </w:p>
    <w:p>
      <w:pPr>
        <w:tabs>
          <w:tab w:pos="312" w:val="left"/>
        </w:tabs>
        <w:spacing w:after="40"/>
        <w:ind w:left="312" w:hanging="283"/>
      </w:pPr>
      <w:r>
        <w:rPr>
          <w:color w:val="004EA8"/>
        </w:rPr>
        <w:t>•</w:t>
        <w:tab/>
      </w:r>
      <w:r>
        <w:rPr/>
        <w:t>Renewal module not yet deployed. The default adapter records the hand-off as PENDING and lists it on the Renewal Work List; it creates no account and sends no letter. The hand-offs are replayed when the Renewal adapter is deployed.</w:t>
      </w:r>
    </w:p>
    <w:p>
      <w:pPr>
        <w:tabs>
          <w:tab w:pos="312" w:val="left"/>
        </w:tabs>
        <w:spacing w:after="120"/>
        <w:ind w:left="312" w:hanging="283"/>
      </w:pPr>
      <w:r>
        <w:rPr>
          <w:color w:val="004EA8"/>
        </w:rPr>
        <w:t>•</w:t>
        <w:tab/>
      </w:r>
      <w:r>
        <w:rPr/>
        <w:t>No insurer rule applies. The record stays For Renewal and appears in the fallout with reason no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per segment - CBG Fire 150, CBG Motor 120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SBM_RENEWAL_LEAD_DAYS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Insurer rules by segment, vehicle type or occupancy; exclude the expiring insurer where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rules (SP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hand-off per record and term; the port is idempotent on the SBM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Renew with BDOI on a record not For Renewal</w:t>
            </w:r>
          </w:p>
        </w:tc>
        <w:tc>
          <w:tcPr>
            <w:tcW w:type="dxa" w:w="4079"/>
            <w:tcMar>
              <w:top w:w="50" w:type="dxa"/>
              <w:bottom w:w="50" w:type="dxa"/>
              <w:left w:w="90" w:type="dxa"/>
              <w:right w:w="90" w:type="dxa"/>
            </w:tcMar>
          </w:tcPr>
          <w:p>
            <w:pPr>
              <w:pStyle w:val="BDOITable"/>
            </w:pPr>
            <w:r>
              <w:rPr>
                <w:sz w:val="18"/>
              </w:rPr>
              <w:t>Policy &lt;SBM no.&gt; is not For Renewal</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SBM_EXPIRY_NEAR and SBM_RENEWAL_STARTED to the handler and AO.</w:t>
      </w:r>
    </w:p>
    <w:p>
      <w:pPr>
        <w:pStyle w:val="BDOILabel"/>
      </w:pPr>
      <w:r>
        <w:rPr/>
        <w:t>Audit</w:t>
      </w:r>
    </w:p>
    <w:p>
      <w:pPr>
        <w:tabs>
          <w:tab w:pos="312" w:val="left"/>
        </w:tabs>
        <w:spacing w:after="120"/>
        <w:ind w:left="312" w:hanging="283"/>
      </w:pPr>
      <w:r>
        <w:rPr>
          <w:color w:val="004EA8"/>
        </w:rPr>
        <w:t>•</w:t>
        <w:tab/>
      </w:r>
      <w:r>
        <w:rPr/>
        <w:t>Hand-off with insurer assigned, renewal reference and time.</w:t>
      </w:r>
    </w:p>
    <w:p>
      <w:pPr>
        <w:pStyle w:val="BDOILabel"/>
      </w:pPr>
      <w:r>
        <w:rPr/>
        <w:t>Acceptance criteria</w:t>
      </w:r>
    </w:p>
    <w:p>
      <w:pPr>
        <w:tabs>
          <w:tab w:pos="312" w:val="left"/>
        </w:tabs>
        <w:spacing w:after="40"/>
        <w:ind w:left="312" w:hanging="283"/>
      </w:pPr>
      <w:r>
        <w:rPr>
          <w:color w:val="004EA8"/>
        </w:rPr>
        <w:t>1.</w:t>
        <w:tab/>
      </w:r>
      <w:r>
        <w:rPr/>
        <w:t>A For Renewal CBG Fire record 150 days before expiry is handed over with an insurer different from the expiring one.</w:t>
      </w:r>
    </w:p>
    <w:p>
      <w:pPr>
        <w:tabs>
          <w:tab w:pos="312" w:val="left"/>
        </w:tabs>
        <w:spacing w:after="40"/>
        <w:ind w:left="312" w:hanging="283"/>
      </w:pPr>
      <w:r>
        <w:rPr>
          <w:color w:val="004EA8"/>
        </w:rPr>
        <w:t>2.</w:t>
        <w:tab/>
      </w:r>
      <w:r>
        <w:rPr/>
        <w:t>A second scan does not hand the same record over again.</w:t>
      </w:r>
    </w:p>
    <w:p>
      <w:pPr>
        <w:tabs>
          <w:tab w:pos="312" w:val="left"/>
        </w:tabs>
        <w:spacing w:after="120"/>
        <w:ind w:left="312" w:hanging="283"/>
      </w:pPr>
      <w:r>
        <w:rPr>
          <w:color w:val="004EA8"/>
        </w:rPr>
        <w:t>3.</w:t>
        <w:tab/>
      </w:r>
      <w:r>
        <w:rPr/>
        <w:t>Before the Renewal adapter exists, the hand-off shows as pending and no letter is sent.</w:t>
      </w:r>
    </w:p>
    <w:p>
      <w:pPr>
        <w:pStyle w:val="Heading3"/>
      </w:pPr>
      <w:bookmarkStart w:id="145" w:name="_Toc000145"/>
      <w:r>
        <w:rPr/>
        <w:t>FR-SP-061 List the policies subject for renewal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(tabs For Renewal, Hand-off Pending, Hold Cover Pending, Insurer Not Accepted, Converted, Not Renewed); Reports (SBM-RENEWABLE)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/api/v1/submitted/renewals; report SBM-RENEWABLE</w:t>
            </w:r>
          </w:p>
        </w:tc>
      </w:tr>
    </w:tbl>
    <w:p>
      <w:pPr>
        <w:pStyle w:val="BDOISpacer"/>
      </w:pPr>
    </w:p>
    <w:p>
      <w:pPr>
        <w:pStyle w:val="BDOILabel"/>
      </w:pPr>
      <w:r>
        <w:rPr/>
        <w:t>Description</w:t>
      </w:r>
    </w:p>
    <w:p>
      <w:r>
        <w:rPr/>
        <w:t>When the renewal cycle starts, the Marketing user sees the complete list of renewable policies, by expiry month, bucket, AO and insurer, for call-out and placement. The user assigns or re-assigns the AO in bulk, exports the list (SBM-RENEWABLE) and opens the Renewal record of a handed-over policy for its letters and progress.</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Renewal Work List and filters by expiry month.</w:t>
      </w:r>
    </w:p>
    <w:p>
      <w:pPr>
        <w:tabs>
          <w:tab w:pos="312" w:val="left"/>
        </w:tabs>
        <w:spacing w:after="120"/>
        <w:ind w:left="312" w:hanging="283"/>
      </w:pPr>
      <w:r>
        <w:rPr>
          <w:color w:val="004EA8"/>
        </w:rPr>
        <w:t>2.</w:t>
        <w:tab/>
      </w:r>
      <w:r>
        <w:rPr/>
        <w:t>The user assigns AOs and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list shows every record For Renewal or in progress within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is notified.</w:t>
      </w:r>
    </w:p>
    <w:p>
      <w:pPr>
        <w:pStyle w:val="BDOILabel"/>
      </w:pPr>
      <w:r>
        <w:rPr/>
        <w:t>Audit</w:t>
      </w:r>
    </w:p>
    <w:p>
      <w:pPr>
        <w:tabs>
          <w:tab w:pos="312" w:val="left"/>
        </w:tabs>
        <w:spacing w:after="120"/>
        <w:ind w:left="312" w:hanging="283"/>
      </w:pPr>
      <w:r>
        <w:rPr>
          <w:color w:val="004EA8"/>
        </w:rPr>
        <w:t>•</w:t>
        <w:tab/>
      </w:r>
      <w:r>
        <w:rPr/>
        <w:t>Assignments with user and time.</w:t>
      </w:r>
    </w:p>
    <w:p>
      <w:pPr>
        <w:pStyle w:val="BDOILabel"/>
      </w:pPr>
      <w:r>
        <w:rPr/>
        <w:t>Acceptance criteria</w:t>
      </w:r>
    </w:p>
    <w:p>
      <w:pPr>
        <w:tabs>
          <w:tab w:pos="312" w:val="left"/>
        </w:tabs>
        <w:spacing w:after="40"/>
        <w:ind w:left="312" w:hanging="283"/>
      </w:pPr>
      <w:r>
        <w:rPr>
          <w:color w:val="004EA8"/>
        </w:rPr>
        <w:t>1.</w:t>
        <w:tab/>
      </w:r>
      <w:r>
        <w:rPr/>
        <w:t>The For Renewal tab for March lists every renewable record expiring in March in the user's scope.</w:t>
      </w:r>
    </w:p>
    <w:p>
      <w:pPr>
        <w:tabs>
          <w:tab w:pos="312" w:val="left"/>
        </w:tabs>
        <w:spacing w:after="120"/>
        <w:ind w:left="312" w:hanging="283"/>
      </w:pPr>
      <w:r>
        <w:rPr>
          <w:color w:val="004EA8"/>
        </w:rPr>
        <w:t>2.</w:t>
        <w:tab/>
      </w:r>
      <w:r>
        <w:rPr/>
        <w:t>The export has the same rows as the screen.</w:t>
      </w:r>
    </w:p>
    <w:p>
      <w:pPr>
        <w:pStyle w:val="Heading3"/>
      </w:pPr>
      <w:bookmarkStart w:id="146" w:name="_Toc000146"/>
      <w:r>
        <w:rPr/>
        <w:t>FR-SP-062 Send letters and proposals when the criteria are met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SBM_LETTER_DISPATCH; Renewal letter engine)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&amp; Print Batches; Policy record (Letters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SBM_LETTER_DISPATCH; letter rules</w:t>
            </w:r>
          </w:p>
        </w:tc>
      </w:tr>
    </w:tbl>
    <w:p>
      <w:pPr>
        <w:pStyle w:val="BDOISpacer"/>
      </w:pPr>
    </w:p>
    <w:p>
      <w:pPr>
        <w:pStyle w:val="BDOILabel"/>
      </w:pPr>
      <w:r>
        <w:rPr/>
        <w:t>Description</w:t>
      </w:r>
    </w:p>
    <w:p>
      <w:r>
        <w:rPr/>
        <w:t>When policy evaluation meets the sending criteria of a letter rule (letter type, segment, bucket, days relative to expiry, channel), the letter is generated and sent automatically, by e-mail, through the bank counterpart, or printed in a batch for the mail house (COG).</w:t>
      </w:r>
    </w:p>
    <w:p>
      <w:r>
        <w:rPr/>
        <w:t>Renewal letters of handed-over policies - RA (generic or FFY), NRNS, NAL, SFU and renewal reminders - are generated by the Renewal module's letter engine, one RA per client (decision D2); the RA is sent 90 days before expiry. Submitted Policies sends the letters that are not renewal letters, namely the policy-review reminder to the client c/o the bank counterpart, and the renewal notice and renewal proposal until their owner is confirmed (XQ03). Printed renewal letters use this module's mail-house port.</w:t>
      </w:r>
    </w:p>
    <w:p>
      <w:pPr>
        <w:pStyle w:val="BDOILabel"/>
      </w:pPr>
      <w:r>
        <w:rPr/>
        <w:t>Preconditions</w:t>
      </w:r>
    </w:p>
    <w:p>
      <w:pPr>
        <w:tabs>
          <w:tab w:pos="312" w:val="left"/>
        </w:tabs>
        <w:spacing w:after="120"/>
        <w:ind w:left="312" w:hanging="283"/>
      </w:pPr>
      <w:r>
        <w:rPr>
          <w:color w:val="004EA8"/>
        </w:rPr>
        <w:t>•</w:t>
        <w:tab/>
      </w:r>
      <w:r>
        <w:rPr/>
        <w:t>Active letter rules exist.</w:t>
      </w:r>
    </w:p>
    <w:p>
      <w:pPr>
        <w:pStyle w:val="BDOILabel"/>
      </w:pPr>
      <w:r>
        <w:rPr/>
        <w:t>Main flow</w:t>
      </w:r>
    </w:p>
    <w:p>
      <w:pPr>
        <w:tabs>
          <w:tab w:pos="312" w:val="left"/>
        </w:tabs>
        <w:spacing w:after="40"/>
        <w:ind w:left="312" w:hanging="283"/>
      </w:pPr>
      <w:r>
        <w:rPr>
          <w:color w:val="004EA8"/>
        </w:rPr>
        <w:t>1.</w:t>
        <w:tab/>
      </w:r>
      <w:r>
        <w:rPr/>
        <w:t>The daily job (06:30 PHT) finds the records that meet a rule.</w:t>
      </w:r>
    </w:p>
    <w:p>
      <w:pPr>
        <w:tabs>
          <w:tab w:pos="312" w:val="left"/>
        </w:tabs>
        <w:spacing w:after="40"/>
        <w:ind w:left="312" w:hanging="283"/>
      </w:pPr>
      <w:r>
        <w:rPr>
          <w:color w:val="004EA8"/>
        </w:rPr>
        <w:t>2.</w:t>
        <w:tab/>
      </w:r>
      <w:r>
        <w:rPr/>
        <w:t>BIBS generates the letters from their templates and sends them by the rule's channel.</w:t>
      </w:r>
    </w:p>
    <w:p>
      <w:pPr>
        <w:tabs>
          <w:tab w:pos="312" w:val="left"/>
        </w:tabs>
        <w:spacing w:after="120"/>
        <w:ind w:left="312" w:hanging="283"/>
      </w:pPr>
      <w:r>
        <w:rPr>
          <w:color w:val="004EA8"/>
        </w:rPr>
        <w:t>3.</w:t>
        <w:tab/>
      </w:r>
      <w:r>
        <w:rPr/>
        <w:t>For the print channel BIBS builds a merged PDF batch with a control list for COG.</w:t>
      </w:r>
    </w:p>
    <w:p>
      <w:pPr>
        <w:pStyle w:val="BDOILabel"/>
      </w:pPr>
      <w:r>
        <w:rPr/>
        <w:t>Alternate and exception flows</w:t>
      </w:r>
    </w:p>
    <w:p>
      <w:pPr>
        <w:tabs>
          <w:tab w:pos="312" w:val="left"/>
        </w:tabs>
        <w:spacing w:after="120"/>
        <w:ind w:left="312" w:hanging="283"/>
      </w:pPr>
      <w:r>
        <w:rPr>
          <w:color w:val="004EA8"/>
        </w:rPr>
        <w:t>•</w:t>
        <w:tab/>
      </w:r>
      <w:r>
        <w:rPr/>
        <w:t>Delivery failure. The letter is FAILED; alert SBM_LETTER_FAILED;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Letter rules - type, segment, bucket, days relative to expiry, channel, template.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Letter rules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NRNS, NAL, SFU and renewal reminders are not letters of this module (decision D2).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Templates SBM_REMINDER, SBM_RENEWAL_NOTICE, SBM_RENEWAL_PROPOSAL; drafts until BDOI provides the layouts (SP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 for an e-mail rule</w:t>
            </w:r>
          </w:p>
        </w:tc>
        <w:tc>
          <w:tcPr>
            <w:tcW w:type="dxa" w:w="4079"/>
            <w:tcMar>
              <w:top w:w="50" w:type="dxa"/>
              <w:bottom w:w="50" w:type="dxa"/>
              <w:left w:w="90" w:type="dxa"/>
              <w:right w:w="90" w:type="dxa"/>
            </w:tcMar>
          </w:tcPr>
          <w:p>
            <w:pPr>
              <w:pStyle w:val="BDOITable"/>
            </w:pPr>
            <w:r>
              <w:rPr>
                <w:sz w:val="18"/>
              </w:rPr>
              <w:t>Client &lt;name&gt; has no e-mail address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letter to the client or bank counterpart.</w:t>
      </w:r>
    </w:p>
    <w:p>
      <w:pPr>
        <w:pStyle w:val="BDOILabel"/>
      </w:pPr>
      <w:r>
        <w:rPr/>
        <w:t>Audit</w:t>
      </w:r>
    </w:p>
    <w:p>
      <w:pPr>
        <w:tabs>
          <w:tab w:pos="312" w:val="left"/>
        </w:tabs>
        <w:spacing w:after="120"/>
        <w:ind w:left="312" w:hanging="283"/>
      </w:pPr>
      <w:r>
        <w:rPr>
          <w:color w:val="004EA8"/>
        </w:rPr>
        <w:t>•</w:t>
        <w:tab/>
      </w:r>
      <w:r>
        <w:rPr/>
        <w:t>Each letter with number SBL-yyyy-nnnnnn, channel, status, template version; print batches with count and hand-over date.</w:t>
      </w:r>
    </w:p>
    <w:p>
      <w:pPr>
        <w:pStyle w:val="BDOILabel"/>
      </w:pPr>
      <w:r>
        <w:rPr/>
        <w:t>Acceptance criteria</w:t>
      </w:r>
    </w:p>
    <w:p>
      <w:pPr>
        <w:tabs>
          <w:tab w:pos="312" w:val="left"/>
        </w:tabs>
        <w:spacing w:after="40"/>
        <w:ind w:left="312" w:hanging="283"/>
      </w:pPr>
      <w:r>
        <w:rPr>
          <w:color w:val="004EA8"/>
        </w:rPr>
        <w:t>1.</w:t>
        <w:tab/>
      </w:r>
      <w:r>
        <w:rPr/>
        <w:t>A reviewed policy with a renewal opportunity gets the reminder letter by the rule's channel and date.</w:t>
      </w:r>
    </w:p>
    <w:p>
      <w:pPr>
        <w:tabs>
          <w:tab w:pos="312" w:val="left"/>
        </w:tabs>
        <w:spacing w:after="40"/>
        <w:ind w:left="312" w:hanging="283"/>
      </w:pPr>
      <w:r>
        <w:rPr>
          <w:color w:val="004EA8"/>
        </w:rPr>
        <w:t>2.</w:t>
        <w:tab/>
      </w:r>
      <w:r>
        <w:rPr/>
        <w:t>A print batch contains one PDF with all letters of the day and a control list.</w:t>
      </w:r>
    </w:p>
    <w:p>
      <w:pPr>
        <w:tabs>
          <w:tab w:pos="312" w:val="left"/>
        </w:tabs>
        <w:spacing w:after="120"/>
        <w:ind w:left="312" w:hanging="283"/>
      </w:pPr>
      <w:r>
        <w:rPr>
          <w:color w:val="004EA8"/>
        </w:rPr>
        <w:t>3.</w:t>
        <w:tab/>
      </w:r>
      <w:r>
        <w:rPr/>
        <w:t>No RA is produced by this module; the RA of a handed-over policy appears on its Renewal record.</w:t>
      </w:r>
    </w:p>
    <w:p>
      <w:pPr>
        <w:pStyle w:val="Heading3"/>
      </w:pPr>
      <w:bookmarkStart w:id="147" w:name="_Toc000147"/>
      <w:r>
        <w:rPr/>
        <w:t>FR-SP-063 Re-assign the insurer while a hold cover request is open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(Insurer Not Accepted; Re-assign Insurer)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/api/v1/submitted/renewals/{id}/reassign-insurer (HoldCoverService.reassign)</w:t>
            </w:r>
          </w:p>
        </w:tc>
      </w:tr>
    </w:tbl>
    <w:p>
      <w:pPr>
        <w:pStyle w:val="BDOISpacer"/>
      </w:pPr>
    </w:p>
    <w:p>
      <w:pPr>
        <w:pStyle w:val="BDOILabel"/>
      </w:pPr>
      <w:r>
        <w:rPr/>
        <w:t>Description</w:t>
      </w:r>
    </w:p>
    <w:p>
      <w:r>
        <w:rPr/>
        <w:t>When the insurer has not accepted the hold cover within the acceptance days (3-5 days in the BRD), the watch job alerts the handler to follow up or re-assign. The user updates the assigned insurer even with a hold cover request open. BIBS closes the open request as Reassigned, updates the insurer of the renewal account, sends a new hold cover request to the new insurer and keeps both in the history.</w:t>
      </w:r>
    </w:p>
    <w:p>
      <w:pPr>
        <w:pStyle w:val="BDOILabel"/>
      </w:pPr>
      <w:r>
        <w:rPr/>
        <w:t>Preconditions</w:t>
      </w:r>
    </w:p>
    <w:p>
      <w:pPr>
        <w:tabs>
          <w:tab w:pos="312" w:val="left"/>
        </w:tabs>
        <w:spacing w:after="120"/>
        <w:ind w:left="312" w:hanging="283"/>
      </w:pPr>
      <w:r>
        <w:rPr>
          <w:color w:val="004EA8"/>
        </w:rPr>
        <w:t>•</w:t>
        <w:tab/>
      </w:r>
      <w:r>
        <w:rPr/>
        <w:t>The renewal account has an open hold cover request.</w:t>
      </w:r>
    </w:p>
    <w:p>
      <w:pPr>
        <w:pStyle w:val="BDOILabel"/>
      </w:pPr>
      <w:r>
        <w:rPr/>
        <w:t>Main flow</w:t>
      </w:r>
    </w:p>
    <w:p>
      <w:pPr>
        <w:tabs>
          <w:tab w:pos="312" w:val="left"/>
        </w:tabs>
        <w:spacing w:after="40"/>
        <w:ind w:left="312" w:hanging="283"/>
      </w:pPr>
      <w:r>
        <w:rPr>
          <w:color w:val="004EA8"/>
        </w:rPr>
        <w:t>1.</w:t>
        <w:tab/>
      </w:r>
      <w:r>
        <w:rPr/>
        <w:t xml:space="preserve">The user selects the record and clicks </w:t>
      </w:r>
      <w:r>
        <w:rPr>
          <w:b/>
        </w:rPr>
        <w:t>Re-assign Insurer</w:t>
      </w:r>
      <w:r>
        <w:rPr/>
        <w:t>.</w:t>
      </w:r>
    </w:p>
    <w:p>
      <w:pPr>
        <w:tabs>
          <w:tab w:pos="312" w:val="left"/>
        </w:tabs>
        <w:spacing w:after="40"/>
        <w:ind w:left="312" w:hanging="283"/>
      </w:pPr>
      <w:r>
        <w:rPr>
          <w:color w:val="004EA8"/>
        </w:rPr>
        <w:t>2.</w:t>
        <w:tab/>
      </w:r>
      <w:r>
        <w:rPr/>
        <w:t>The user selects the new insurer and the reason and saves.</w:t>
      </w:r>
    </w:p>
    <w:p>
      <w:pPr>
        <w:tabs>
          <w:tab w:pos="312" w:val="left"/>
        </w:tabs>
        <w:spacing w:after="120"/>
        <w:ind w:left="312" w:hanging="283"/>
      </w:pPr>
      <w:r>
        <w:rPr>
          <w:color w:val="004EA8"/>
        </w:rPr>
        <w:t>3.</w:t>
        <w:tab/>
      </w:r>
      <w:r>
        <w:rPr/>
        <w:t>BIBS re-assigns and sends the new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Acceptance window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SBM_INSURER_ACCEPT_DAYS (SP SQ12)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new insurer must differ from the current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insurer selected</w:t>
            </w:r>
          </w:p>
        </w:tc>
        <w:tc>
          <w:tcPr>
            <w:tcW w:type="dxa" w:w="4079"/>
            <w:tcMar>
              <w:top w:w="50" w:type="dxa"/>
              <w:bottom w:w="50" w:type="dxa"/>
              <w:left w:w="90" w:type="dxa"/>
              <w:right w:w="90" w:type="dxa"/>
            </w:tcMar>
          </w:tcPr>
          <w:p>
            <w:pPr>
              <w:pStyle w:val="BDOITable"/>
            </w:pPr>
            <w:r>
              <w:rPr>
                <w:sz w:val="18"/>
              </w:rPr>
              <w:t>Select an insurer other than the current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not selected</w:t>
            </w:r>
          </w:p>
        </w:tc>
        <w:tc>
          <w:tcPr>
            <w:tcW w:type="dxa" w:w="4079"/>
            <w:tcMar>
              <w:top w:w="50" w:type="dxa"/>
              <w:bottom w:w="50" w:type="dxa"/>
              <w:left w:w="90" w:type="dxa"/>
              <w:right w:w="90" w:type="dxa"/>
            </w:tcMar>
            <w:shd w:val="clear" w:color="auto" w:fill="E5F5FF"/>
          </w:tcPr>
          <w:p>
            <w:pPr>
              <w:pStyle w:val="BDOITable"/>
            </w:pPr>
            <w:r>
              <w:rPr>
                <w:sz w:val="18"/>
              </w:rPr>
              <w:t>Select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Re-assign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SBM_DECLINE_REASON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Hold cover request e-mail to the new insurer; alert SBM_INSURER_NOT_ACCEPTED past the acceptance days.</w:t>
      </w:r>
    </w:p>
    <w:p>
      <w:pPr>
        <w:pStyle w:val="BDOILabel"/>
      </w:pPr>
      <w:r>
        <w:rPr/>
        <w:t>Audit</w:t>
      </w:r>
    </w:p>
    <w:p>
      <w:pPr>
        <w:tabs>
          <w:tab w:pos="312" w:val="left"/>
        </w:tabs>
        <w:spacing w:after="120"/>
        <w:ind w:left="312" w:hanging="283"/>
      </w:pPr>
      <w:r>
        <w:rPr>
          <w:color w:val="004EA8"/>
        </w:rPr>
        <w:t>•</w:t>
        <w:tab/>
      </w:r>
      <w:r>
        <w:rPr/>
        <w:t>Both requests in the hold cover history; re-assign count on the record.</w:t>
      </w:r>
    </w:p>
    <w:p>
      <w:pPr>
        <w:pStyle w:val="BDOILabel"/>
      </w:pPr>
      <w:r>
        <w:rPr/>
        <w:t>Acceptance criteria</w:t>
      </w:r>
    </w:p>
    <w:p>
      <w:pPr>
        <w:tabs>
          <w:tab w:pos="312" w:val="left"/>
        </w:tabs>
        <w:spacing w:after="40"/>
        <w:ind w:left="312" w:hanging="283"/>
      </w:pPr>
      <w:r>
        <w:rPr>
          <w:color w:val="004EA8"/>
        </w:rPr>
        <w:t>1.</w:t>
        <w:tab/>
      </w:r>
      <w:r>
        <w:rPr/>
        <w:t>After re-assignment the old request shows Reassigned and a new request is sent to the new insurer.</w:t>
      </w:r>
    </w:p>
    <w:p>
      <w:pPr>
        <w:tabs>
          <w:tab w:pos="312" w:val="left"/>
        </w:tabs>
        <w:spacing w:after="120"/>
        <w:ind w:left="312" w:hanging="283"/>
      </w:pPr>
      <w:r>
        <w:rPr>
          <w:color w:val="004EA8"/>
        </w:rPr>
        <w:t>2.</w:t>
        <w:tab/>
      </w:r>
      <w:r>
        <w:rPr/>
        <w:t>The renewal account shows the new insurer.</w:t>
      </w:r>
    </w:p>
    <w:p>
      <w:pPr>
        <w:pStyle w:val="Heading3"/>
      </w:pPr>
      <w:bookmarkStart w:id="148" w:name="_Toc000148"/>
      <w:r>
        <w:rPr/>
        <w:t>FR-SP-064 Process placement of the renewal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Placement user (BRD-1 placement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Placement screens; Renewal Work List (Converted)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BRD-1 placement (payment gate, slip generation and sending)</w:t>
            </w:r>
          </w:p>
        </w:tc>
      </w:tr>
    </w:tbl>
    <w:p>
      <w:pPr>
        <w:pStyle w:val="BDOISpacer"/>
      </w:pPr>
    </w:p>
    <w:p>
      <w:pPr>
        <w:pStyle w:val="BDOILabel"/>
      </w:pPr>
      <w:r>
        <w:rPr/>
        <w:t>Description</w:t>
      </w:r>
    </w:p>
    <w:p>
      <w:r>
        <w:rPr/>
        <w:t>When the client confirms the renewal with BDOI, the renewal account created by the Renewal module follows the BRD-1 path - payment gate, placement slip, protected send to the insurer - and the placement file is transmitted to the insurer. The masterlist conversion status follows the account (Process Placement, Placed).</w:t>
      </w:r>
    </w:p>
    <w:p>
      <w:pPr>
        <w:pStyle w:val="BDOILabel"/>
      </w:pPr>
      <w:r>
        <w:rPr/>
        <w:t>Preconditions</w:t>
      </w:r>
    </w:p>
    <w:p>
      <w:pPr>
        <w:tabs>
          <w:tab w:pos="312" w:val="left"/>
        </w:tabs>
        <w:spacing w:after="120"/>
        <w:ind w:left="312" w:hanging="283"/>
      </w:pPr>
      <w:r>
        <w:rPr>
          <w:color w:val="004EA8"/>
        </w:rPr>
        <w:t>•</w:t>
        <w:tab/>
      </w:r>
      <w:r>
        <w:rPr/>
        <w:t>The renewal account exists and the client has confirmed.</w:t>
      </w:r>
    </w:p>
    <w:p>
      <w:pPr>
        <w:pStyle w:val="BDOILabel"/>
      </w:pPr>
      <w:r>
        <w:rPr/>
        <w:t>Main flow</w:t>
      </w:r>
    </w:p>
    <w:p>
      <w:pPr>
        <w:tabs>
          <w:tab w:pos="312" w:val="left"/>
        </w:tabs>
        <w:spacing w:after="40"/>
        <w:ind w:left="312" w:hanging="283"/>
      </w:pPr>
      <w:r>
        <w:rPr>
          <w:color w:val="004EA8"/>
        </w:rPr>
        <w:t>1.</w:t>
        <w:tab/>
      </w:r>
      <w:r>
        <w:rPr/>
        <w:t>The payment gate passes; the placement user generates and sends the slip (or the Renewal module does it automatically).</w:t>
      </w:r>
    </w:p>
    <w:p>
      <w:pPr>
        <w:tabs>
          <w:tab w:pos="312" w:val="left"/>
        </w:tabs>
        <w:spacing w:after="120"/>
        <w:ind w:left="312" w:hanging="283"/>
      </w:pPr>
      <w:r>
        <w:rPr>
          <w:color w:val="004EA8"/>
        </w:rPr>
        <w:t>2.</w:t>
        <w:tab/>
      </w:r>
      <w:r>
        <w:rPr/>
        <w:t>AccountStatusChanged updates the masterlist record to PLACED.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files are the existing BRD-1 placement slips.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SBM_PLACEMENT_READY and SBM_PLACEMENT_SENT to the handler.</w:t>
      </w:r>
    </w:p>
    <w:p>
      <w:pPr>
        <w:pStyle w:val="BDOILabel"/>
      </w:pPr>
      <w:r>
        <w:rPr/>
        <w:t>Audit</w:t>
      </w:r>
    </w:p>
    <w:p>
      <w:pPr>
        <w:tabs>
          <w:tab w:pos="312" w:val="left"/>
        </w:tabs>
        <w:spacing w:after="120"/>
        <w:ind w:left="312" w:hanging="283"/>
      </w:pPr>
      <w:r>
        <w:rPr>
          <w:color w:val="004EA8"/>
        </w:rPr>
        <w:t>•</w:t>
        <w:tab/>
      </w:r>
      <w:r>
        <w:rPr/>
        <w:t>Placement events on the account; conversion status change on the record.</w:t>
      </w:r>
    </w:p>
    <w:p>
      <w:pPr>
        <w:pStyle w:val="BDOILabel"/>
      </w:pPr>
      <w:r>
        <w:rPr/>
        <w:t>Acceptance criteria</w:t>
      </w:r>
    </w:p>
    <w:p>
      <w:pPr>
        <w:tabs>
          <w:tab w:pos="312" w:val="left"/>
        </w:tabs>
        <w:spacing w:after="120"/>
        <w:ind w:left="312" w:hanging="283"/>
      </w:pPr>
      <w:r>
        <w:rPr>
          <w:color w:val="004EA8"/>
        </w:rPr>
        <w:t>1.</w:t>
        <w:tab/>
      </w:r>
      <w:r>
        <w:rPr/>
        <w:t>After the client confirms and pays, the slip is sent to the insurer and the masterlist record shows Placed.</w:t>
      </w:r>
    </w:p>
    <w:p>
      <w:pPr>
        <w:pStyle w:val="Heading3"/>
      </w:pPr>
      <w:bookmarkStart w:id="149" w:name="_Toc000149"/>
      <w:r>
        <w:rPr/>
        <w:t>FR-SP-065 Show the booked status in the masterlist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BRIDSP-27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Booking user (BRD-1 booking roles);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Booking; Masterlist; Policy record (Renewal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InvoiceBooked event (business type RENEWAL)</w:t>
            </w:r>
          </w:p>
        </w:tc>
      </w:tr>
    </w:tbl>
    <w:p>
      <w:pPr>
        <w:pStyle w:val="BDOISpacer"/>
      </w:pPr>
    </w:p>
    <w:p>
      <w:pPr>
        <w:pStyle w:val="BDOILabel"/>
      </w:pPr>
      <w:r>
        <w:rPr/>
        <w:t>Description</w:t>
      </w:r>
    </w:p>
    <w:p>
      <w:r>
        <w:rPr/>
        <w:t>When the renewal account is booked, the booking carries business type RENEWAL and the origin Submitted Policy (shared change BT0, decision D1). The listener of this module sets the masterlist record BOOKED with the invoice number and booking date. A renewal that never books is closed Not Renewed with the reason read from the Renewal module.</w:t>
      </w:r>
    </w:p>
    <w:p>
      <w:pPr>
        <w:pStyle w:val="BDOILabel"/>
      </w:pPr>
      <w:r>
        <w:rPr/>
        <w:t>Preconditions</w:t>
      </w:r>
    </w:p>
    <w:p>
      <w:pPr>
        <w:tabs>
          <w:tab w:pos="312" w:val="left"/>
        </w:tabs>
        <w:spacing w:after="120"/>
        <w:ind w:left="312" w:hanging="283"/>
      </w:pPr>
      <w:r>
        <w:rPr>
          <w:color w:val="004EA8"/>
        </w:rPr>
        <w:t>•</w:t>
        <w:tab/>
      </w:r>
      <w:r>
        <w:rPr/>
        <w:t>Placement is successful.</w:t>
      </w:r>
    </w:p>
    <w:p>
      <w:pPr>
        <w:pStyle w:val="BDOILabel"/>
      </w:pPr>
      <w:r>
        <w:rPr/>
        <w:t>Main flow</w:t>
      </w:r>
    </w:p>
    <w:p>
      <w:pPr>
        <w:tabs>
          <w:tab w:pos="312" w:val="left"/>
        </w:tabs>
        <w:spacing w:after="40"/>
        <w:ind w:left="312" w:hanging="283"/>
      </w:pPr>
      <w:r>
        <w:rPr>
          <w:color w:val="004EA8"/>
        </w:rPr>
        <w:t>1.</w:t>
        <w:tab/>
      </w:r>
      <w:r>
        <w:rPr/>
        <w:t>The booking user books the account.</w:t>
      </w:r>
    </w:p>
    <w:p>
      <w:pPr>
        <w:tabs>
          <w:tab w:pos="312" w:val="left"/>
        </w:tabs>
        <w:spacing w:after="120"/>
        <w:ind w:left="312" w:hanging="283"/>
      </w:pPr>
      <w:r>
        <w:rPr>
          <w:color w:val="004EA8"/>
        </w:rPr>
        <w:t>2.</w:t>
        <w:tab/>
      </w:r>
      <w:r>
        <w:rPr/>
        <w:t>BIBS publishes InvoiceBooked; the record becomes BOOKED.</w:t>
      </w:r>
    </w:p>
    <w:p>
      <w:pPr>
        <w:pStyle w:val="BDOILabel"/>
      </w:pPr>
      <w:r>
        <w:rPr/>
        <w:t>Alternate and exception flows</w:t>
      </w:r>
    </w:p>
    <w:p>
      <w:pPr>
        <w:tabs>
          <w:tab w:pos="312" w:val="left"/>
        </w:tabs>
        <w:spacing w:after="120"/>
        <w:ind w:left="312" w:hanging="283"/>
      </w:pPr>
      <w:r>
        <w:rPr>
          <w:color w:val="004EA8"/>
        </w:rPr>
        <w:t>•</w:t>
        <w:tab/>
      </w:r>
      <w:r>
        <w:rPr/>
        <w:t>The renewal is declined, lost or expires. The record becomes NOT_RENEWED with the reason given by the port's status query.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stays in the booking module; this module only follows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 with invoice number and time.</w:t>
      </w:r>
    </w:p>
    <w:p>
      <w:pPr>
        <w:pStyle w:val="BDOILabel"/>
      </w:pPr>
      <w:r>
        <w:rPr/>
        <w:t>Acceptance criteria</w:t>
      </w:r>
    </w:p>
    <w:p>
      <w:pPr>
        <w:tabs>
          <w:tab w:pos="312" w:val="left"/>
        </w:tabs>
        <w:spacing w:after="40"/>
        <w:ind w:left="312" w:hanging="283"/>
      </w:pPr>
      <w:r>
        <w:rPr>
          <w:color w:val="004EA8"/>
        </w:rPr>
        <w:t>1.</w:t>
        <w:tab/>
      </w:r>
      <w:r>
        <w:rPr/>
        <w:t>A booked renewal shows BOOKED, the invoice number and the booking date in the masterlist.</w:t>
      </w:r>
    </w:p>
    <w:p>
      <w:pPr>
        <w:tabs>
          <w:tab w:pos="312" w:val="left"/>
        </w:tabs>
        <w:spacing w:after="120"/>
        <w:ind w:left="312" w:hanging="283"/>
      </w:pPr>
      <w:r>
        <w:rPr>
          <w:color w:val="004EA8"/>
        </w:rPr>
        <w:t>2.</w:t>
        <w:tab/>
      </w:r>
      <w:r>
        <w:rPr/>
        <w:t>The booked invoice has business type RENEWAL.</w:t>
      </w:r>
    </w:p>
    <w:p>
      <w:pPr>
        <w:pStyle w:val="Heading2"/>
      </w:pPr>
      <w:bookmarkStart w:id="150" w:name="_Toc000150"/>
      <w:r>
        <w:rPr/>
        <w:t>4.8 Handling fee</w:t>
      </w:r>
      <w:bookmarkEnd w:id="150"/>
    </w:p>
    <w:p>
      <w:pPr>
        <w:pStyle w:val="Heading3"/>
      </w:pPr>
      <w:bookmarkStart w:id="151" w:name="_Toc000151"/>
      <w:r>
        <w:rPr/>
        <w:t>FR-SP-070 Tag handling-fee payments in the Unapplied Payment List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SBM_HANDLING_FEE_TAGGER); UPP handler (SBM_HANDLING_FEE)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Handling Fees (records, tagger results, unmatched items); Collections unapplied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SBM_HANDLING_FEE_TAGGER; UnappliedDispositionRequests (RECOGNIZE_INCOME)</w:t>
            </w:r>
          </w:p>
        </w:tc>
      </w:tr>
    </w:tbl>
    <w:p>
      <w:pPr>
        <w:pStyle w:val="BDOISpacer"/>
      </w:pPr>
    </w:p>
    <w:p>
      <w:pPr>
        <w:pStyle w:val="BDOILabel"/>
      </w:pPr>
      <w:r>
        <w:rPr/>
        <w:t>Description</w:t>
      </w:r>
    </w:p>
    <w:p>
      <w:r>
        <w:rPr/>
        <w:t>Handling-fee records exist for the CBG Motor submitted accounts that BDOI bills, with PN, location reference, amount and billing date. Every 30 minutes the tagger reads the open unapplied payments and matches CLPC payments on the PN and OTC payments on the location reference against billed records.</w:t>
      </w:r>
    </w:p>
    <w:p>
      <w:r>
        <w:rPr/>
        <w:t>A match tags the payment Handling Fee - BIBS sends a disposition request (action RECOGNIZE_INCOME, income type HANDLING_FEE) to Cashiering, which applies it and issues the OR; the record becomes TAGGED then APPLIED, and the payment is available for reporting, audit and application. Unmatched or ambiguous payments stay for the UPP handler, who can apply the Handling Fee disposition by hand.</w:t>
      </w:r>
    </w:p>
    <w:p>
      <w:pPr>
        <w:pStyle w:val="BDOILabel"/>
      </w:pPr>
      <w:r>
        <w:rPr/>
        <w:t>Preconditions</w:t>
      </w:r>
    </w:p>
    <w:p>
      <w:pPr>
        <w:tabs>
          <w:tab w:pos="312" w:val="left"/>
        </w:tabs>
        <w:spacing w:after="120"/>
        <w:ind w:left="312" w:hanging="283"/>
      </w:pPr>
      <w:r>
        <w:rPr>
          <w:color w:val="004EA8"/>
        </w:rPr>
        <w:t>•</w:t>
        <w:tab/>
      </w:r>
      <w:r>
        <w:rPr/>
        <w:t>Billed handling-fee records exist.</w:t>
      </w:r>
    </w:p>
    <w:p>
      <w:pPr>
        <w:pStyle w:val="BDOILabel"/>
      </w:pPr>
      <w:r>
        <w:rPr/>
        <w:t>Main flow</w:t>
      </w:r>
    </w:p>
    <w:p>
      <w:pPr>
        <w:tabs>
          <w:tab w:pos="312" w:val="left"/>
        </w:tabs>
        <w:spacing w:after="40"/>
        <w:ind w:left="312" w:hanging="283"/>
      </w:pPr>
      <w:r>
        <w:rPr>
          <w:color w:val="004EA8"/>
        </w:rPr>
        <w:t>1.</w:t>
        <w:tab/>
      </w:r>
      <w:r>
        <w:rPr/>
        <w:t>The tagger runs and matches the payments.</w:t>
      </w:r>
    </w:p>
    <w:p>
      <w:pPr>
        <w:tabs>
          <w:tab w:pos="312" w:val="left"/>
        </w:tabs>
        <w:spacing w:after="40"/>
        <w:ind w:left="312" w:hanging="283"/>
      </w:pPr>
      <w:r>
        <w:rPr>
          <w:color w:val="004EA8"/>
        </w:rPr>
        <w:t>2.</w:t>
        <w:tab/>
      </w:r>
      <w:r>
        <w:rPr/>
        <w:t>BIBS sends the disposition requests and updates the records.</w:t>
      </w:r>
    </w:p>
    <w:p>
      <w:pPr>
        <w:tabs>
          <w:tab w:pos="312" w:val="left"/>
        </w:tabs>
        <w:spacing w:after="120"/>
        <w:ind w:left="312" w:hanging="283"/>
      </w:pPr>
      <w:r>
        <w:rPr>
          <w:color w:val="004EA8"/>
        </w:rPr>
        <w:t>3.</w:t>
        <w:tab/>
      </w:r>
      <w:r>
        <w:rPr/>
        <w:t>Cashiering applies them and issues the ORs.</w:t>
      </w:r>
    </w:p>
    <w:p>
      <w:pPr>
        <w:pStyle w:val="BDOILabel"/>
      </w:pPr>
      <w:r>
        <w:rPr/>
        <w:t>Alternate and exception flows</w:t>
      </w:r>
    </w:p>
    <w:p>
      <w:pPr>
        <w:tabs>
          <w:tab w:pos="312" w:val="left"/>
        </w:tabs>
        <w:spacing w:after="120"/>
        <w:ind w:left="312" w:hanging="283"/>
      </w:pPr>
      <w:r>
        <w:rPr>
          <w:color w:val="004EA8"/>
        </w:rPr>
        <w:t>•</w:t>
        <w:tab/>
      </w:r>
      <w:r>
        <w:rPr/>
        <w:t>Several records match one payment. The payment is left untagged and listed as ambiguous.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 - PN for CLPC, location reference for OTC.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 VAT, OR and GL account of the handling fee to be confirmed (SP SQ13).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disposition type and 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tag of an already tagged payment</w:t>
            </w:r>
          </w:p>
        </w:tc>
        <w:tc>
          <w:tcPr>
            <w:tcW w:type="dxa" w:w="4079"/>
            <w:tcMar>
              <w:top w:w="50" w:type="dxa"/>
              <w:bottom w:w="50" w:type="dxa"/>
              <w:left w:w="90" w:type="dxa"/>
              <w:right w:w="90" w:type="dxa"/>
            </w:tcMar>
          </w:tcPr>
          <w:p>
            <w:pPr>
              <w:pStyle w:val="BDOITable"/>
            </w:pPr>
            <w:r>
              <w:rPr>
                <w:sz w:val="18"/>
              </w:rPr>
              <w:t>Payment &lt;ref&gt; is already tagged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Handling-fee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CBG Motor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no. /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Handling Fees screen shows the tagger results.</w:t>
      </w:r>
    </w:p>
    <w:p>
      <w:pPr>
        <w:pStyle w:val="BDOILabel"/>
      </w:pPr>
      <w:r>
        <w:rPr/>
        <w:t>Audit</w:t>
      </w:r>
    </w:p>
    <w:p>
      <w:pPr>
        <w:tabs>
          <w:tab w:pos="312" w:val="left"/>
        </w:tabs>
        <w:spacing w:after="120"/>
        <w:ind w:left="312" w:hanging="283"/>
      </w:pPr>
      <w:r>
        <w:rPr>
          <w:color w:val="004EA8"/>
        </w:rPr>
        <w:t>•</w:t>
        <w:tab/>
      </w:r>
      <w:r>
        <w:rPr/>
        <w:t>Each match, request and application with time; report SBM-HANDLING-FEE.</w:t>
      </w:r>
    </w:p>
    <w:p>
      <w:pPr>
        <w:pStyle w:val="BDOILabel"/>
      </w:pPr>
      <w:r>
        <w:rPr/>
        <w:t>Acceptance criteria</w:t>
      </w:r>
    </w:p>
    <w:p>
      <w:pPr>
        <w:tabs>
          <w:tab w:pos="312" w:val="left"/>
        </w:tabs>
        <w:spacing w:after="40"/>
        <w:ind w:left="312" w:hanging="283"/>
      </w:pPr>
      <w:r>
        <w:rPr>
          <w:color w:val="004EA8"/>
        </w:rPr>
        <w:t>1.</w:t>
        <w:tab/>
      </w:r>
      <w:r>
        <w:rPr/>
        <w:t>A CLPC payment carrying the PN of a billed record is tagged Handling Fee and applied with an OR.</w:t>
      </w:r>
    </w:p>
    <w:p>
      <w:pPr>
        <w:tabs>
          <w:tab w:pos="312" w:val="left"/>
        </w:tabs>
        <w:spacing w:after="120"/>
        <w:ind w:left="312" w:hanging="283"/>
      </w:pPr>
      <w:r>
        <w:rPr>
          <w:color w:val="004EA8"/>
        </w:rPr>
        <w:t>2.</w:t>
        <w:tab/>
      </w:r>
      <w:r>
        <w:rPr/>
        <w:t>An OTC payment with an unknown location reference stays in the unapplied list for the UPP handler.</w:t>
      </w:r>
    </w:p>
    <w:p>
      <w:pPr>
        <w:pStyle w:val="Heading2"/>
      </w:pPr>
      <w:bookmarkStart w:id="152" w:name="_Toc000152"/>
      <w:r>
        <w:rPr/>
        <w:t>4.9 Monitoring, reports and notifications</w:t>
      </w:r>
      <w:bookmarkEnd w:id="152"/>
    </w:p>
    <w:p>
      <w:pPr>
        <w:pStyle w:val="Heading3"/>
      </w:pPr>
      <w:bookmarkStart w:id="153" w:name="_Toc000153"/>
      <w:r>
        <w:rPr/>
        <w:t>FR-SP-080 Generate Submitted Policies reports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BRIDSP-20 (p.10), BRIDSP-30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Submitted Policies); Submitted Policies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codes of section 6.1</w:t>
            </w:r>
          </w:p>
        </w:tc>
      </w:tr>
    </w:tbl>
    <w:p>
      <w:pPr>
        <w:pStyle w:val="BDOISpacer"/>
      </w:pPr>
    </w:p>
    <w:p>
      <w:pPr>
        <w:pStyle w:val="BDOILabel"/>
      </w:pPr>
      <w:r>
        <w:rPr/>
        <w:t>Description</w:t>
      </w:r>
    </w:p>
    <w:p>
      <w:r>
        <w:rPr/>
        <w:t>The Marketing user generates the reports of section 6.1 to monitor sanitation, disposition, classification and the other results - including the fallout reports for exceptions. BRIDSP-30 repeats BRIDSP-20 word for word; both are met by this FR.</w:t>
      </w:r>
    </w:p>
    <w:p>
      <w:r>
        <w:rPr/>
        <w:t>The Submitted Policies home shows tiles (received today, awaiting validation, fallout of the last run, for renewal this month, IAAF and TOR pending, insurer not accepted, hold cover unbooked, handling fees tagged today); each tile opens its filtered list.</w:t>
      </w:r>
    </w:p>
    <w:p>
      <w:pPr>
        <w:pStyle w:val="BDOILabel"/>
      </w:pPr>
      <w:r>
        <w:rPr/>
        <w:t>Preconditions</w:t>
      </w:r>
    </w:p>
    <w:p>
      <w:pPr>
        <w:tabs>
          <w:tab w:pos="312" w:val="left"/>
        </w:tabs>
        <w:spacing w:after="120"/>
        <w:ind w:left="312" w:hanging="283"/>
      </w:pPr>
      <w:r>
        <w:rPr>
          <w:color w:val="004EA8"/>
        </w:rPr>
        <w:t>•</w:t>
        <w:tab/>
      </w:r>
      <w:r>
        <w:rPr/>
        <w:t>The user has SBM_REPORT_VIEW.</w:t>
      </w:r>
    </w:p>
    <w:p>
      <w:pPr>
        <w:pStyle w:val="BDOILabel"/>
      </w:pPr>
      <w:r>
        <w:rPr/>
        <w:t>Main flow</w:t>
      </w:r>
    </w:p>
    <w:p>
      <w:pPr>
        <w:tabs>
          <w:tab w:pos="312" w:val="left"/>
        </w:tabs>
        <w:spacing w:after="40"/>
        <w:ind w:left="312" w:hanging="283"/>
      </w:pPr>
      <w:r>
        <w:rPr>
          <w:color w:val="004EA8"/>
        </w:rPr>
        <w:t>1.</w:t>
        <w:tab/>
      </w:r>
      <w:r>
        <w:rPr/>
        <w:t>The user selects a report and sets its parameters.</w:t>
      </w:r>
    </w:p>
    <w:p>
      <w:pPr>
        <w:tabs>
          <w:tab w:pos="312" w:val="left"/>
        </w:tabs>
        <w:spacing w:after="120"/>
        <w:ind w:left="312" w:hanging="283"/>
      </w:pPr>
      <w:r>
        <w:rPr>
          <w:color w:val="004EA8"/>
        </w:rPr>
        <w:t>2.</w:t>
        <w:tab/>
      </w:r>
      <w:r>
        <w:rPr/>
        <w:t>BIBS runs it within the user's scope.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without fields in the Report List are built with the obvious columns and flagged 'layout to confirm' (SP SQ25).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with user, parameters and time.</w:t>
      </w:r>
    </w:p>
    <w:p>
      <w:pPr>
        <w:pStyle w:val="BDOILabel"/>
      </w:pPr>
      <w:r>
        <w:rPr/>
        <w:t>Acceptance criteria</w:t>
      </w:r>
    </w:p>
    <w:p>
      <w:pPr>
        <w:tabs>
          <w:tab w:pos="312" w:val="left"/>
        </w:tabs>
        <w:spacing w:after="40"/>
        <w:ind w:left="312" w:hanging="283"/>
      </w:pPr>
      <w:r>
        <w:rPr>
          <w:color w:val="004EA8"/>
        </w:rPr>
        <w:t>1.</w:t>
        <w:tab/>
      </w:r>
      <w:r>
        <w:rPr/>
        <w:t>The Sanitation Report of a month shows the counts per the grouping of Report List row 156.</w:t>
      </w:r>
    </w:p>
    <w:p>
      <w:pPr>
        <w:tabs>
          <w:tab w:pos="312" w:val="left"/>
        </w:tabs>
        <w:spacing w:after="120"/>
        <w:ind w:left="312" w:hanging="283"/>
      </w:pPr>
      <w:r>
        <w:rPr>
          <w:color w:val="004EA8"/>
        </w:rPr>
        <w:t>2.</w:t>
        <w:tab/>
      </w:r>
      <w:r>
        <w:rPr/>
        <w:t>The process fallout report of a run lists every fallout record with its reason code.</w:t>
      </w:r>
    </w:p>
    <w:p>
      <w:pPr>
        <w:pStyle w:val="Heading3"/>
      </w:pPr>
      <w:bookmarkStart w:id="154" w:name="_Toc000154"/>
      <w:r>
        <w:rPr/>
        <w:t>FR-SP-081 View, download and print reports in several formats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report users (SBM_REPORT_EXPORT)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(Export,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/api/v1/reports/{code}/export?format=PDF|XLSX|ODS|CSV|XML</w:t>
            </w:r>
          </w:p>
        </w:tc>
      </w:tr>
    </w:tbl>
    <w:p>
      <w:pPr>
        <w:pStyle w:val="BDOISpacer"/>
      </w:pPr>
    </w:p>
    <w:p>
      <w:pPr>
        <w:pStyle w:val="BDOILabel"/>
      </w:pPr>
      <w:r>
        <w:rPr/>
        <w:t>Description</w:t>
      </w:r>
    </w:p>
    <w:p>
      <w:r>
        <w:rPr/>
        <w:t>Every report is rendered in the chosen format - Excel, PDF, ODS, CSV or XML - with print preview, saved variants and an archive of the exported files. This is the report framework built for BRD-1.</w:t>
      </w:r>
    </w:p>
    <w:p>
      <w:pPr>
        <w:pStyle w:val="BDOILabel"/>
      </w:pPr>
      <w:r>
        <w:rPr/>
        <w:t>Preconditions</w:t>
      </w:r>
    </w:p>
    <w:p>
      <w:pPr>
        <w:tabs>
          <w:tab w:pos="312" w:val="left"/>
        </w:tabs>
        <w:spacing w:after="120"/>
        <w:ind w:left="312" w:hanging="283"/>
      </w:pPr>
      <w:r>
        <w:rPr>
          <w:color w:val="004EA8"/>
        </w:rPr>
        <w:t>•</w:t>
        <w:tab/>
      </w:r>
      <w:r>
        <w:rPr/>
        <w:t>The user has SBM_REPORT_EXPORT.</w:t>
      </w:r>
    </w:p>
    <w:p>
      <w:pPr>
        <w:pStyle w:val="BDOILabel"/>
      </w:pPr>
      <w:r>
        <w:rPr/>
        <w:t>Main flow</w:t>
      </w:r>
    </w:p>
    <w:p>
      <w:pPr>
        <w:tabs>
          <w:tab w:pos="312" w:val="left"/>
        </w:tabs>
        <w:spacing w:after="120"/>
        <w:ind w:left="312" w:hanging="283"/>
      </w:pPr>
      <w:r>
        <w:rPr>
          <w:color w:val="004EA8"/>
        </w:rPr>
        <w:t>1.</w:t>
        <w:tab/>
      </w:r>
      <w:r>
        <w:rPr/>
        <w:t>The user runs a report and clicks Export with a format,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are archived with user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export.</w:t>
      </w:r>
    </w:p>
    <w:p>
      <w:pPr>
        <w:pStyle w:val="BDOILabel"/>
      </w:pPr>
      <w:r>
        <w:rPr/>
        <w:t>Acceptance criteria</w:t>
      </w:r>
    </w:p>
    <w:p>
      <w:pPr>
        <w:tabs>
          <w:tab w:pos="312" w:val="left"/>
        </w:tabs>
        <w:spacing w:after="120"/>
        <w:ind w:left="312" w:hanging="283"/>
      </w:pPr>
      <w:r>
        <w:rPr>
          <w:color w:val="004EA8"/>
        </w:rPr>
        <w:t>1.</w:t>
        <w:tab/>
      </w:r>
      <w:r>
        <w:rPr/>
        <w:t>SBM-MASTERLIST exported as Excel and as PDF has the same rows.</w:t>
      </w:r>
    </w:p>
    <w:p>
      <w:pPr>
        <w:pStyle w:val="Heading3"/>
      </w:pPr>
      <w:bookmarkStart w:id="155" w:name="_Toc000155"/>
      <w:r>
        <w:rPr/>
        <w:t>FR-SP-082 Send notifications and alerts for key events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alerts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and alert codes of section 5.6</w:t>
            </w:r>
          </w:p>
        </w:tc>
      </w:tr>
    </w:tbl>
    <w:p>
      <w:pPr>
        <w:pStyle w:val="BDOISpacer"/>
      </w:pPr>
    </w:p>
    <w:p>
      <w:pPr>
        <w:pStyle w:val="BDOILabel"/>
      </w:pPr>
      <w:r>
        <w:rPr/>
        <w:t>Description</w:t>
      </w:r>
    </w:p>
    <w:p>
      <w:r>
        <w:rPr/>
        <w:t>BIBS evaluates the notification rules and thresholds on each lifecycle event and notifies the users concerned in the app and, per their preferences, by e-mail. The events are those of BRIDSP-24 (section 5.6) - new submission or manual validation, pending IAAF or TOR, bucket moves, exceptions and fallout, nearing expiry and renewal start, TOR hand-over, placement file ready or sent, and the alert for hold covers of unbooked accounts.</w:t>
      </w:r>
    </w:p>
    <w:p>
      <w:r>
        <w:rPr/>
        <w:t>Client-facing items (RA, SFU, NAL, renewal notices, proposals, reminders, NRNS) are the letters of FR-SP-062 and of the Renewal module.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w:t>
      </w:r>
    </w:p>
    <w:p>
      <w:pPr>
        <w:tabs>
          <w:tab w:pos="312" w:val="left"/>
        </w:tabs>
        <w:spacing w:after="120"/>
        <w:ind w:left="312" w:hanging="283"/>
      </w:pPr>
      <w:r>
        <w:rPr>
          <w:color w:val="004EA8"/>
        </w:rPr>
        <w:t>2.</w:t>
        <w:tab/>
      </w:r>
      <w:r>
        <w:rPr/>
        <w:t>BIBS notifies the owners and raises the alert where a threshold is passed.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of an unbooked account is alerted 5 days (default) before the hold cover ends.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SBM_HOLD_COVER_UNBOOKED_ALERT_DAYS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choose in-app and e-mail per event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of the module.</w:t>
      </w:r>
    </w:p>
    <w:p>
      <w:pPr>
        <w:pStyle w:val="BDOILabel"/>
      </w:pPr>
      <w:r>
        <w:rPr/>
        <w:t>Audit</w:t>
      </w:r>
    </w:p>
    <w:p>
      <w:pPr>
        <w:tabs>
          <w:tab w:pos="312" w:val="left"/>
        </w:tabs>
        <w:spacing w:after="120"/>
        <w:ind w:left="312" w:hanging="283"/>
      </w:pPr>
      <w:r>
        <w:rPr>
          <w:color w:val="004EA8"/>
        </w:rPr>
        <w:t>•</w:t>
        <w:tab/>
      </w:r>
      <w:r>
        <w:rPr/>
        <w:t>Notifications and alerts are logged.</w:t>
      </w:r>
    </w:p>
    <w:p>
      <w:pPr>
        <w:pStyle w:val="BDOILabel"/>
      </w:pPr>
      <w:r>
        <w:rPr/>
        <w:t>Acceptance criteria</w:t>
      </w:r>
    </w:p>
    <w:p>
      <w:pPr>
        <w:tabs>
          <w:tab w:pos="312" w:val="left"/>
        </w:tabs>
        <w:spacing w:after="40"/>
        <w:ind w:left="312" w:hanging="283"/>
      </w:pPr>
      <w:r>
        <w:rPr>
          <w:color w:val="004EA8"/>
        </w:rPr>
        <w:t>1.</w:t>
        <w:tab/>
      </w:r>
      <w:r>
        <w:rPr/>
        <w:t>The approvers of level 1 are notified when an IAAF is submitted.</w:t>
      </w:r>
    </w:p>
    <w:p>
      <w:pPr>
        <w:tabs>
          <w:tab w:pos="312" w:val="left"/>
        </w:tabs>
        <w:spacing w:after="120"/>
        <w:ind w:left="312" w:hanging="283"/>
      </w:pPr>
      <w:r>
        <w:rPr>
          <w:color w:val="004EA8"/>
        </w:rPr>
        <w:t>2.</w:t>
        <w:tab/>
      </w:r>
      <w:r>
        <w:rPr/>
        <w:t>A confirmed hold cover whose account is not booked 5 days before it ends raises SBM_HOLD_COVER_UNBOOKED.</w:t>
      </w:r>
    </w:p>
    <w:p>
      <w:pPr>
        <w:pStyle w:val="Heading1"/>
        <w:pageBreakBefore/>
        <w:pBdr>
          <w:bottom w:val="single" w:sz="4" w:space="4" w:color="99C1E7"/>
        </w:pBdr>
      </w:pPr>
      <w:bookmarkStart w:id="156" w:name="_Toc000156"/>
      <w:r>
        <w:rPr/>
        <w:t>5 Workflow and status model</w:t>
      </w:r>
      <w:bookmarkEnd w:id="156"/>
    </w:p>
    <w:p>
      <w:pPr>
        <w:pStyle w:val="Heading2"/>
      </w:pPr>
      <w:bookmarkStart w:id="157" w:name="_Toc000157"/>
      <w:r>
        <w:rPr/>
        <w:t>5.1 Masterlist record (SBM_POLICY)</w:t>
      </w:r>
      <w:bookmarkEnd w:id="157"/>
    </w:p>
    <w:p>
      <w:r>
        <w:rPr/>
        <w:t>Figure 2 shows the workflow of a masterlist record. System transitions are driven by the processing run and by the account and booking events; user transitions are dispose, exclude, reinstate, renew (Renew with BDOI) and close. The figure shows the main path; Table 10 lists every status and what sets it.</w:t>
      </w:r>
    </w:p>
    <w:p>
      <w:pPr>
        <w:keepNext/>
        <w:spacing w:before="80" w:after="0"/>
        <w:jc w:val="center"/>
      </w:pPr>
      <w:r>
        <w:drawing>
          <wp:inline xmlns:a="http://schemas.openxmlformats.org/drawingml/2006/main" xmlns:pic="http://schemas.openxmlformats.org/drawingml/2006/picture">
            <wp:extent cx="6332220" cy="5790150"/>
            <wp:docPr id="4" name="Picture 4"/>
            <wp:cNvGraphicFramePr>
              <a:graphicFrameLocks noChangeAspect="1"/>
            </wp:cNvGraphicFramePr>
            <a:graphic>
              <a:graphicData uri="http://schemas.openxmlformats.org/drawingml/2006/picture">
                <pic:pic>
                  <pic:nvPicPr>
                    <pic:cNvPr id="0" name="brd12_policy_states.png"/>
                    <pic:cNvPicPr/>
                  </pic:nvPicPr>
                  <pic:blipFill>
                    <a:blip r:embed="rId16"/>
                    <a:stretch>
                      <a:fillRect/>
                    </a:stretch>
                  </pic:blipFill>
                  <pic:spPr>
                    <a:xfrm>
                      <a:off x="0" y="0"/>
                      <a:ext cx="6332220" cy="5790150"/>
                    </a:xfrm>
                    <a:prstGeom prst="rect"/>
                  </pic:spPr>
                </pic:pic>
              </a:graphicData>
            </a:graphic>
          </wp:inline>
        </w:drawing>
      </w:r>
    </w:p>
    <w:p>
      <w:pPr>
        <w:pStyle w:val="Caption"/>
        <w:jc w:val="center"/>
      </w:pPr>
      <w:r>
        <w:rPr>
          <w:b/>
          <w:i w:val="0"/>
        </w:rPr>
        <w:t xml:space="preserve">Figure 2: </w:t>
      </w:r>
      <w:r>
        <w:rPr/>
        <w:t>Workflow SBM_POLICY of a masterlist record</w:t>
      </w:r>
    </w:p>
    <w:p>
      <w:pPr>
        <w:pStyle w:val="Caption"/>
        <w:keepNext/>
        <w:spacing w:after="60"/>
      </w:pPr>
      <w:r>
        <w:rPr>
          <w:b/>
          <w:i w:val="0"/>
        </w:rPr>
        <w:t xml:space="preserve">Table 10: </w:t>
      </w:r>
      <w:r>
        <w:rPr/>
        <w:t>Statuses of a masterlist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523"/>
        <w:gridCol w:w="5046"/>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Set by</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403"/>
            <w:tcMar>
              <w:top w:w="50" w:type="dxa"/>
              <w:bottom w:w="50" w:type="dxa"/>
              <w:left w:w="90" w:type="dxa"/>
              <w:right w:w="90" w:type="dxa"/>
            </w:tcMar>
          </w:tcPr>
          <w:p>
            <w:pPr>
              <w:pStyle w:val="BDOITable"/>
            </w:pPr>
            <w:r>
              <w:rPr>
                <w:sz w:val="17"/>
              </w:rPr>
              <w:t>RECEIVED</w:t>
            </w:r>
          </w:p>
        </w:tc>
        <w:tc>
          <w:tcPr>
            <w:tcW w:type="dxa" w:w="2523"/>
            <w:tcMar>
              <w:top w:w="50" w:type="dxa"/>
              <w:bottom w:w="50" w:type="dxa"/>
              <w:left w:w="90" w:type="dxa"/>
              <w:right w:w="90" w:type="dxa"/>
            </w:tcMar>
          </w:tcPr>
          <w:p>
            <w:pPr>
              <w:pStyle w:val="BDOITable"/>
            </w:pPr>
            <w:r>
              <w:rPr>
                <w:sz w:val="17"/>
              </w:rPr>
              <w:t>Intake</w:t>
            </w:r>
          </w:p>
        </w:tc>
        <w:tc>
          <w:tcPr>
            <w:tcW w:type="dxa" w:w="5046"/>
            <w:tcMar>
              <w:top w:w="50" w:type="dxa"/>
              <w:bottom w:w="50" w:type="dxa"/>
              <w:left w:w="90" w:type="dxa"/>
              <w:right w:w="90" w:type="dxa"/>
            </w:tcMar>
          </w:tcPr>
          <w:p>
            <w:pPr>
              <w:pStyle w:val="BDOITable"/>
            </w:pPr>
            <w:r>
              <w:rPr>
                <w:sz w:val="17"/>
              </w:rPr>
              <w:t>Row loaded from a source; not yet confirmed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VALIDATED</w:t>
            </w:r>
          </w:p>
        </w:tc>
        <w:tc>
          <w:tcPr>
            <w:tcW w:type="dxa" w:w="2523"/>
            <w:tcMar>
              <w:top w:w="50" w:type="dxa"/>
              <w:bottom w:w="50" w:type="dxa"/>
              <w:left w:w="90" w:type="dxa"/>
              <w:right w:w="90" w:type="dxa"/>
            </w:tcMar>
            <w:shd w:val="clear" w:color="auto" w:fill="E5F5FF"/>
          </w:tcPr>
          <w:p>
            <w:pPr>
              <w:pStyle w:val="BDOITable"/>
            </w:pPr>
            <w:r>
              <w:rPr>
                <w:sz w:val="17"/>
              </w:rPr>
              <w:t>Extraction confirmation, manual entry</w:t>
            </w:r>
          </w:p>
        </w:tc>
        <w:tc>
          <w:tcPr>
            <w:tcW w:type="dxa" w:w="5046"/>
            <w:tcMar>
              <w:top w:w="50" w:type="dxa"/>
              <w:bottom w:w="50" w:type="dxa"/>
              <w:left w:w="90" w:type="dxa"/>
              <w:right w:w="90" w:type="dxa"/>
            </w:tcMar>
            <w:shd w:val="clear" w:color="auto" w:fill="E5F5FF"/>
          </w:tcPr>
          <w:p>
            <w:pPr>
              <w:pStyle w:val="BDOITable"/>
            </w:pPr>
            <w:r>
              <w:rPr>
                <w:sz w:val="17"/>
              </w:rPr>
              <w:t>Data confirmed by a user</w:t>
            </w:r>
          </w:p>
        </w:tc>
      </w:tr>
      <w:tr>
        <w:trPr>
          <w:cantSplit w:val="true"/>
        </w:trPr>
        <w:tc>
          <w:tcPr>
            <w:tcW w:type="dxa" w:w="2403"/>
            <w:tcMar>
              <w:top w:w="50" w:type="dxa"/>
              <w:bottom w:w="50" w:type="dxa"/>
              <w:left w:w="90" w:type="dxa"/>
              <w:right w:w="90" w:type="dxa"/>
            </w:tcMar>
          </w:tcPr>
          <w:p>
            <w:pPr>
              <w:pStyle w:val="BDOITable"/>
            </w:pPr>
            <w:r>
              <w:rPr>
                <w:sz w:val="17"/>
              </w:rPr>
              <w:t>CLASSIFIED</w:t>
            </w:r>
          </w:p>
        </w:tc>
        <w:tc>
          <w:tcPr>
            <w:tcW w:type="dxa" w:w="2523"/>
            <w:tcMar>
              <w:top w:w="50" w:type="dxa"/>
              <w:bottom w:w="50" w:type="dxa"/>
              <w:left w:w="90" w:type="dxa"/>
              <w:right w:w="90" w:type="dxa"/>
            </w:tcMar>
          </w:tcPr>
          <w:p>
            <w:pPr>
              <w:pStyle w:val="BDOITable"/>
            </w:pPr>
            <w:r>
              <w:rPr>
                <w:sz w:val="17"/>
              </w:rPr>
              <w:t>Processing run</w:t>
            </w:r>
          </w:p>
        </w:tc>
        <w:tc>
          <w:tcPr>
            <w:tcW w:type="dxa" w:w="5046"/>
            <w:tcMar>
              <w:top w:w="50" w:type="dxa"/>
              <w:bottom w:w="50" w:type="dxa"/>
              <w:left w:w="90" w:type="dxa"/>
              <w:right w:w="90" w:type="dxa"/>
            </w:tcMar>
          </w:tcPr>
          <w:p>
            <w:pPr>
              <w:pStyle w:val="BDOITable"/>
            </w:pPr>
            <w:r>
              <w:rPr>
                <w:sz w:val="17"/>
              </w:rPr>
              <w:t>Classification and bucket set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FOR_RENEWAL</w:t>
            </w:r>
          </w:p>
        </w:tc>
        <w:tc>
          <w:tcPr>
            <w:tcW w:type="dxa" w:w="2523"/>
            <w:tcMar>
              <w:top w:w="50" w:type="dxa"/>
              <w:bottom w:w="50" w:type="dxa"/>
              <w:left w:w="90" w:type="dxa"/>
              <w:right w:w="90" w:type="dxa"/>
            </w:tcMar>
            <w:shd w:val="clear" w:color="auto" w:fill="E5F5FF"/>
          </w:tcPr>
          <w:p>
            <w:pPr>
              <w:pStyle w:val="BDOITable"/>
            </w:pPr>
            <w:r>
              <w:rPr>
                <w:sz w:val="17"/>
              </w:rPr>
              <w:t>Run or manual disposition</w:t>
            </w:r>
          </w:p>
        </w:tc>
        <w:tc>
          <w:tcPr>
            <w:tcW w:type="dxa" w:w="5046"/>
            <w:tcMar>
              <w:top w:w="50" w:type="dxa"/>
              <w:bottom w:w="50" w:type="dxa"/>
              <w:left w:w="90" w:type="dxa"/>
              <w:right w:w="90" w:type="dxa"/>
            </w:tcMar>
            <w:shd w:val="clear" w:color="auto" w:fill="E5F5FF"/>
          </w:tcPr>
          <w:p>
            <w:pPr>
              <w:pStyle w:val="BDOITable"/>
            </w:pPr>
            <w:r>
              <w:rPr>
                <w:sz w:val="17"/>
              </w:rPr>
              <w:t>Renewable; waits for the expiry scan</w:t>
            </w:r>
          </w:p>
        </w:tc>
      </w:tr>
      <w:tr>
        <w:trPr>
          <w:cantSplit w:val="true"/>
        </w:trPr>
        <w:tc>
          <w:tcPr>
            <w:tcW w:type="dxa" w:w="2403"/>
            <w:tcMar>
              <w:top w:w="50" w:type="dxa"/>
              <w:bottom w:w="50" w:type="dxa"/>
              <w:left w:w="90" w:type="dxa"/>
              <w:right w:w="90" w:type="dxa"/>
            </w:tcMar>
          </w:tcPr>
          <w:p>
            <w:pPr>
              <w:pStyle w:val="BDOITable"/>
            </w:pPr>
            <w:r>
              <w:rPr>
                <w:sz w:val="17"/>
              </w:rPr>
              <w:t>FOR_MANUAL_DISPOSITION</w:t>
            </w:r>
          </w:p>
        </w:tc>
        <w:tc>
          <w:tcPr>
            <w:tcW w:type="dxa" w:w="2523"/>
            <w:tcMar>
              <w:top w:w="50" w:type="dxa"/>
              <w:bottom w:w="50" w:type="dxa"/>
              <w:left w:w="90" w:type="dxa"/>
              <w:right w:w="90" w:type="dxa"/>
            </w:tcMar>
          </w:tcPr>
          <w:p>
            <w:pPr>
              <w:pStyle w:val="BDOITable"/>
            </w:pPr>
            <w:r>
              <w:rPr>
                <w:sz w:val="17"/>
              </w:rPr>
              <w:t>Run</w:t>
            </w:r>
          </w:p>
        </w:tc>
        <w:tc>
          <w:tcPr>
            <w:tcW w:type="dxa" w:w="5046"/>
            <w:tcMar>
              <w:top w:w="50" w:type="dxa"/>
              <w:bottom w:w="50" w:type="dxa"/>
              <w:left w:w="90" w:type="dxa"/>
              <w:right w:w="90" w:type="dxa"/>
            </w:tcMar>
          </w:tcPr>
          <w:p>
            <w:pPr>
              <w:pStyle w:val="BDOITable"/>
            </w:pPr>
            <w:r>
              <w:rPr>
                <w:sz w:val="17"/>
              </w:rPr>
              <w:t>A handler decides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IN_REVIEW</w:t>
            </w:r>
          </w:p>
        </w:tc>
        <w:tc>
          <w:tcPr>
            <w:tcW w:type="dxa" w:w="2523"/>
            <w:tcMar>
              <w:top w:w="50" w:type="dxa"/>
              <w:bottom w:w="50" w:type="dxa"/>
              <w:left w:w="90" w:type="dxa"/>
              <w:right w:w="90" w:type="dxa"/>
            </w:tcMar>
            <w:shd w:val="clear" w:color="auto" w:fill="E5F5FF"/>
          </w:tcPr>
          <w:p>
            <w:pPr>
              <w:pStyle w:val="BDOITable"/>
            </w:pPr>
            <w:r>
              <w:rPr>
                <w:sz w:val="17"/>
              </w:rPr>
              <w:t>Run (documents to review)</w:t>
            </w:r>
          </w:p>
        </w:tc>
        <w:tc>
          <w:tcPr>
            <w:tcW w:type="dxa" w:w="5046"/>
            <w:tcMar>
              <w:top w:w="50" w:type="dxa"/>
              <w:bottom w:w="50" w:type="dxa"/>
              <w:left w:w="90" w:type="dxa"/>
              <w:right w:w="90" w:type="dxa"/>
            </w:tcMar>
            <w:shd w:val="clear" w:color="auto" w:fill="E5F5FF"/>
          </w:tcPr>
          <w:p>
            <w:pPr>
              <w:pStyle w:val="BDOITable"/>
            </w:pPr>
            <w:r>
              <w:rPr>
                <w:sz w:val="17"/>
              </w:rPr>
              <w:t>Policy review and IAAF in progress</w:t>
            </w:r>
          </w:p>
        </w:tc>
      </w:tr>
      <w:tr>
        <w:trPr>
          <w:cantSplit w:val="true"/>
        </w:trPr>
        <w:tc>
          <w:tcPr>
            <w:tcW w:type="dxa" w:w="2403"/>
            <w:tcMar>
              <w:top w:w="50" w:type="dxa"/>
              <w:bottom w:w="50" w:type="dxa"/>
              <w:left w:w="90" w:type="dxa"/>
              <w:right w:w="90" w:type="dxa"/>
            </w:tcMar>
          </w:tcPr>
          <w:p>
            <w:pPr>
              <w:pStyle w:val="BDOITable"/>
            </w:pPr>
            <w:r>
              <w:rPr>
                <w:sz w:val="17"/>
              </w:rPr>
              <w:t>EXCLUDED</w:t>
            </w:r>
          </w:p>
        </w:tc>
        <w:tc>
          <w:tcPr>
            <w:tcW w:type="dxa" w:w="2523"/>
            <w:tcMar>
              <w:top w:w="50" w:type="dxa"/>
              <w:bottom w:w="50" w:type="dxa"/>
              <w:left w:w="90" w:type="dxa"/>
              <w:right w:w="90" w:type="dxa"/>
            </w:tcMar>
          </w:tcPr>
          <w:p>
            <w:pPr>
              <w:pStyle w:val="BDOITable"/>
            </w:pPr>
            <w:r>
              <w:rPr>
                <w:sz w:val="17"/>
              </w:rPr>
              <w:t>Run or handler</w:t>
            </w:r>
          </w:p>
        </w:tc>
        <w:tc>
          <w:tcPr>
            <w:tcW w:type="dxa" w:w="5046"/>
            <w:tcMar>
              <w:top w:w="50" w:type="dxa"/>
              <w:bottom w:w="50" w:type="dxa"/>
              <w:left w:w="90" w:type="dxa"/>
              <w:right w:w="90" w:type="dxa"/>
            </w:tcMar>
          </w:tcPr>
          <w:p>
            <w:pPr>
              <w:pStyle w:val="BDOITable"/>
            </w:pPr>
            <w:r>
              <w:rPr>
                <w:sz w:val="17"/>
              </w:rPr>
              <w:t>Non-renewal bucket or manual exclusion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RENEWAL_IN_PROGRESS</w:t>
            </w:r>
          </w:p>
        </w:tc>
        <w:tc>
          <w:tcPr>
            <w:tcW w:type="dxa" w:w="2523"/>
            <w:tcMar>
              <w:top w:w="50" w:type="dxa"/>
              <w:bottom w:w="50" w:type="dxa"/>
              <w:left w:w="90" w:type="dxa"/>
              <w:right w:w="90" w:type="dxa"/>
            </w:tcMar>
            <w:shd w:val="clear" w:color="auto" w:fill="E5F5FF"/>
          </w:tcPr>
          <w:p>
            <w:pPr>
              <w:pStyle w:val="BDOITable"/>
            </w:pPr>
            <w:r>
              <w:rPr>
                <w:sz w:val="17"/>
              </w:rPr>
              <w:t>Expiry scan, Renew with BDOI</w:t>
            </w:r>
          </w:p>
        </w:tc>
        <w:tc>
          <w:tcPr>
            <w:tcW w:type="dxa" w:w="5046"/>
            <w:tcMar>
              <w:top w:w="50" w:type="dxa"/>
              <w:bottom w:w="50" w:type="dxa"/>
              <w:left w:w="90" w:type="dxa"/>
              <w:right w:w="90" w:type="dxa"/>
            </w:tcMar>
            <w:shd w:val="clear" w:color="auto" w:fill="E5F5FF"/>
          </w:tcPr>
          <w:p>
            <w:pPr>
              <w:pStyle w:val="BDOITable"/>
            </w:pPr>
            <w:r>
              <w:rPr>
                <w:sz w:val="17"/>
              </w:rPr>
              <w:t>Handed to the Renewal module</w:t>
            </w:r>
          </w:p>
        </w:tc>
      </w:tr>
      <w:tr>
        <w:trPr>
          <w:cantSplit w:val="true"/>
        </w:trPr>
        <w:tc>
          <w:tcPr>
            <w:tcW w:type="dxa" w:w="2403"/>
            <w:tcMar>
              <w:top w:w="50" w:type="dxa"/>
              <w:bottom w:w="50" w:type="dxa"/>
              <w:left w:w="90" w:type="dxa"/>
              <w:right w:w="90" w:type="dxa"/>
            </w:tcMar>
          </w:tcPr>
          <w:p>
            <w:pPr>
              <w:pStyle w:val="BDOITable"/>
            </w:pPr>
            <w:r>
              <w:rPr>
                <w:sz w:val="17"/>
              </w:rPr>
              <w:t>PLACED</w:t>
            </w:r>
          </w:p>
        </w:tc>
        <w:tc>
          <w:tcPr>
            <w:tcW w:type="dxa" w:w="2523"/>
            <w:tcMar>
              <w:top w:w="50" w:type="dxa"/>
              <w:bottom w:w="50" w:type="dxa"/>
              <w:left w:w="90" w:type="dxa"/>
              <w:right w:w="90" w:type="dxa"/>
            </w:tcMar>
          </w:tcPr>
          <w:p>
            <w:pPr>
              <w:pStyle w:val="BDOITable"/>
            </w:pPr>
            <w:r>
              <w:rPr>
                <w:sz w:val="17"/>
              </w:rPr>
              <w:t>Account event</w:t>
            </w:r>
          </w:p>
        </w:tc>
        <w:tc>
          <w:tcPr>
            <w:tcW w:type="dxa" w:w="5046"/>
            <w:tcMar>
              <w:top w:w="50" w:type="dxa"/>
              <w:bottom w:w="50" w:type="dxa"/>
              <w:left w:w="90" w:type="dxa"/>
              <w:right w:w="90" w:type="dxa"/>
            </w:tcMar>
          </w:tcPr>
          <w:p>
            <w:pPr>
              <w:pStyle w:val="BDOITable"/>
            </w:pPr>
            <w:r>
              <w:rPr>
                <w:sz w:val="17"/>
              </w:rPr>
              <w:t>Placement slip sent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BOOKED</w:t>
            </w:r>
          </w:p>
        </w:tc>
        <w:tc>
          <w:tcPr>
            <w:tcW w:type="dxa" w:w="2523"/>
            <w:tcMar>
              <w:top w:w="50" w:type="dxa"/>
              <w:bottom w:w="50" w:type="dxa"/>
              <w:left w:w="90" w:type="dxa"/>
              <w:right w:w="90" w:type="dxa"/>
            </w:tcMar>
            <w:shd w:val="clear" w:color="auto" w:fill="E5F5FF"/>
          </w:tcPr>
          <w:p>
            <w:pPr>
              <w:pStyle w:val="BDOITable"/>
            </w:pPr>
            <w:r>
              <w:rPr>
                <w:sz w:val="17"/>
              </w:rPr>
              <w:t>InvoiceBooked</w:t>
            </w:r>
          </w:p>
        </w:tc>
        <w:tc>
          <w:tcPr>
            <w:tcW w:type="dxa" w:w="5046"/>
            <w:tcMar>
              <w:top w:w="50" w:type="dxa"/>
              <w:bottom w:w="50" w:type="dxa"/>
              <w:left w:w="90" w:type="dxa"/>
              <w:right w:w="90" w:type="dxa"/>
            </w:tcMar>
            <w:shd w:val="clear" w:color="auto" w:fill="E5F5FF"/>
          </w:tcPr>
          <w:p>
            <w:pPr>
              <w:pStyle w:val="BDOITable"/>
            </w:pPr>
            <w:r>
              <w:rPr>
                <w:sz w:val="17"/>
              </w:rPr>
              <w:t>Renewal booked; invoice no. and date on the record</w:t>
            </w:r>
          </w:p>
        </w:tc>
      </w:tr>
      <w:tr>
        <w:trPr>
          <w:cantSplit w:val="true"/>
        </w:trPr>
        <w:tc>
          <w:tcPr>
            <w:tcW w:type="dxa" w:w="2403"/>
            <w:tcMar>
              <w:top w:w="50" w:type="dxa"/>
              <w:bottom w:w="50" w:type="dxa"/>
              <w:left w:w="90" w:type="dxa"/>
              <w:right w:w="90" w:type="dxa"/>
            </w:tcMar>
          </w:tcPr>
          <w:p>
            <w:pPr>
              <w:pStyle w:val="BDOITable"/>
            </w:pPr>
            <w:r>
              <w:rPr>
                <w:sz w:val="17"/>
              </w:rPr>
              <w:t>NOT_RENEWED</w:t>
            </w:r>
          </w:p>
        </w:tc>
        <w:tc>
          <w:tcPr>
            <w:tcW w:type="dxa" w:w="2523"/>
            <w:tcMar>
              <w:top w:w="50" w:type="dxa"/>
              <w:bottom w:w="50" w:type="dxa"/>
              <w:left w:w="90" w:type="dxa"/>
              <w:right w:w="90" w:type="dxa"/>
            </w:tcMar>
          </w:tcPr>
          <w:p>
            <w:pPr>
              <w:pStyle w:val="BDOITable"/>
            </w:pPr>
            <w:r>
              <w:rPr>
                <w:sz w:val="17"/>
              </w:rPr>
              <w:t>Renewal status query</w:t>
            </w:r>
          </w:p>
        </w:tc>
        <w:tc>
          <w:tcPr>
            <w:tcW w:type="dxa" w:w="5046"/>
            <w:tcMar>
              <w:top w:w="50" w:type="dxa"/>
              <w:bottom w:w="50" w:type="dxa"/>
              <w:left w:w="90" w:type="dxa"/>
              <w:right w:w="90" w:type="dxa"/>
            </w:tcMar>
          </w:tcPr>
          <w:p>
            <w:pPr>
              <w:pStyle w:val="BDOITable"/>
            </w:pPr>
            <w:r>
              <w:rPr>
                <w:sz w:val="17"/>
              </w:rPr>
              <w:t>Declined, lost or expired unrenewed, with the reason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CLOSED</w:t>
            </w:r>
          </w:p>
        </w:tc>
        <w:tc>
          <w:tcPr>
            <w:tcW w:type="dxa" w:w="2523"/>
            <w:tcMar>
              <w:top w:w="50" w:type="dxa"/>
              <w:bottom w:w="50" w:type="dxa"/>
              <w:left w:w="90" w:type="dxa"/>
              <w:right w:w="90" w:type="dxa"/>
            </w:tcMar>
            <w:shd w:val="clear" w:color="auto" w:fill="E5F5FF"/>
          </w:tcPr>
          <w:p>
            <w:pPr>
              <w:pStyle w:val="BDOITable"/>
            </w:pPr>
            <w:r>
              <w:rPr>
                <w:sz w:val="17"/>
              </w:rPr>
              <w:t>Handler or system</w:t>
            </w:r>
          </w:p>
        </w:tc>
        <w:tc>
          <w:tcPr>
            <w:tcW w:type="dxa" w:w="5046"/>
            <w:tcMar>
              <w:top w:w="50" w:type="dxa"/>
              <w:bottom w:w="50" w:type="dxa"/>
              <w:left w:w="90" w:type="dxa"/>
              <w:right w:w="90" w:type="dxa"/>
            </w:tcMar>
            <w:shd w:val="clear" w:color="auto" w:fill="E5F5FF"/>
          </w:tcPr>
          <w:p>
            <w:pPr>
              <w:pStyle w:val="BDOITable"/>
            </w:pPr>
            <w:r>
              <w:rPr>
                <w:sz w:val="17"/>
              </w:rPr>
              <w:t>No further action</w:t>
            </w:r>
          </w:p>
        </w:tc>
      </w:tr>
    </w:tbl>
    <w:p>
      <w:pPr>
        <w:pStyle w:val="BDOISpacer"/>
      </w:pPr>
    </w:p>
    <w:p>
      <w:pPr>
        <w:pStyle w:val="Heading2"/>
      </w:pPr>
      <w:bookmarkStart w:id="158" w:name="_Toc000158"/>
      <w:r>
        <w:rPr/>
        <w:t>5.2 Processing run</w:t>
      </w:r>
      <w:bookmarkEnd w:id="158"/>
    </w:p>
    <w:p>
      <w:r>
        <w:rPr/>
        <w:t>Figure 3 shows the steps of a processing run. Each step writes one result per record (outcome, bucket, reason code, rule id and rule-set version).</w:t>
      </w:r>
    </w:p>
    <w:p>
      <w:pPr>
        <w:keepNext/>
        <w:spacing w:before="80" w:after="0"/>
        <w:jc w:val="center"/>
      </w:pPr>
      <w:r>
        <w:drawing>
          <wp:inline xmlns:a="http://schemas.openxmlformats.org/drawingml/2006/main" xmlns:pic="http://schemas.openxmlformats.org/drawingml/2006/picture">
            <wp:extent cx="4320000" cy="4908531"/>
            <wp:docPr id="5" name="Picture 5"/>
            <wp:cNvGraphicFramePr>
              <a:graphicFrameLocks noChangeAspect="1"/>
            </wp:cNvGraphicFramePr>
            <a:graphic>
              <a:graphicData uri="http://schemas.openxmlformats.org/drawingml/2006/picture">
                <pic:pic>
                  <pic:nvPicPr>
                    <pic:cNvPr id="0" name="brd12_processing_run.png"/>
                    <pic:cNvPicPr/>
                  </pic:nvPicPr>
                  <pic:blipFill>
                    <a:blip r:embed="rId17"/>
                    <a:stretch>
                      <a:fillRect/>
                    </a:stretch>
                  </pic:blipFill>
                  <pic:spPr>
                    <a:xfrm>
                      <a:off x="0" y="0"/>
                      <a:ext cx="4320000" cy="4908531"/>
                    </a:xfrm>
                    <a:prstGeom prst="rect"/>
                  </pic:spPr>
                </pic:pic>
              </a:graphicData>
            </a:graphic>
          </wp:inline>
        </w:drawing>
      </w:r>
    </w:p>
    <w:p>
      <w:pPr>
        <w:pStyle w:val="Caption"/>
        <w:jc w:val="center"/>
      </w:pPr>
      <w:r>
        <w:rPr>
          <w:b/>
          <w:i w:val="0"/>
        </w:rPr>
        <w:t xml:space="preserve">Figure 3: </w:t>
      </w:r>
      <w:r>
        <w:rPr/>
        <w:t>Processing run steps (BRIDSP-08-16)</w:t>
      </w:r>
    </w:p>
    <w:p>
      <w:pPr>
        <w:pStyle w:val="Heading2"/>
      </w:pPr>
      <w:bookmarkStart w:id="159" w:name="_Toc000159"/>
      <w:r>
        <w:rPr/>
        <w:t>5.3 IAAF approval (SBM_IAAF)</w:t>
      </w:r>
      <w:bookmarkEnd w:id="159"/>
    </w:p>
    <w:p>
      <w:pPr>
        <w:keepNext/>
        <w:spacing w:before="80" w:after="0"/>
        <w:jc w:val="center"/>
      </w:pPr>
      <w:r>
        <w:drawing>
          <wp:inline xmlns:a="http://schemas.openxmlformats.org/drawingml/2006/main" xmlns:pic="http://schemas.openxmlformats.org/drawingml/2006/picture">
            <wp:extent cx="4680000" cy="2858276"/>
            <wp:docPr id="6" name="Picture 6"/>
            <wp:cNvGraphicFramePr>
              <a:graphicFrameLocks noChangeAspect="1"/>
            </wp:cNvGraphicFramePr>
            <a:graphic>
              <a:graphicData uri="http://schemas.openxmlformats.org/drawingml/2006/picture">
                <pic:pic>
                  <pic:nvPicPr>
                    <pic:cNvPr id="0" name="brd12_iaaf_workflow.png"/>
                    <pic:cNvPicPr/>
                  </pic:nvPicPr>
                  <pic:blipFill>
                    <a:blip r:embed="rId18"/>
                    <a:stretch>
                      <a:fillRect/>
                    </a:stretch>
                  </pic:blipFill>
                  <pic:spPr>
                    <a:xfrm>
                      <a:off x="0" y="0"/>
                      <a:ext cx="4680000" cy="2858276"/>
                    </a:xfrm>
                    <a:prstGeom prst="rect"/>
                  </pic:spPr>
                </pic:pic>
              </a:graphicData>
            </a:graphic>
          </wp:inline>
        </w:drawing>
      </w:r>
    </w:p>
    <w:p>
      <w:pPr>
        <w:pStyle w:val="Caption"/>
        <w:jc w:val="center"/>
      </w:pPr>
      <w:r>
        <w:rPr>
          <w:b/>
          <w:i w:val="0"/>
        </w:rPr>
        <w:t xml:space="preserve">Figure 4: </w:t>
      </w:r>
      <w:r>
        <w:rPr/>
        <w:t>Workflow SBM_IAAF</w:t>
      </w:r>
    </w:p>
    <w:p>
      <w:pPr>
        <w:pStyle w:val="Heading2"/>
      </w:pPr>
      <w:bookmarkStart w:id="160" w:name="_Toc000160"/>
      <w:r>
        <w:rPr/>
        <w:t>5.4 TOR approval (SBM_TOR)</w:t>
      </w:r>
      <w:bookmarkEnd w:id="160"/>
    </w:p>
    <w:p>
      <w:pPr>
        <w:keepNext/>
        <w:spacing w:before="80" w:after="0"/>
        <w:jc w:val="center"/>
      </w:pPr>
      <w:r>
        <w:drawing>
          <wp:inline xmlns:a="http://schemas.openxmlformats.org/drawingml/2006/main" xmlns:pic="http://schemas.openxmlformats.org/drawingml/2006/picture">
            <wp:extent cx="4680000" cy="2919661"/>
            <wp:docPr id="7" name="Picture 7"/>
            <wp:cNvGraphicFramePr>
              <a:graphicFrameLocks noChangeAspect="1"/>
            </wp:cNvGraphicFramePr>
            <a:graphic>
              <a:graphicData uri="http://schemas.openxmlformats.org/drawingml/2006/picture">
                <pic:pic>
                  <pic:nvPicPr>
                    <pic:cNvPr id="0" name="brd12_tor_workflow.png"/>
                    <pic:cNvPicPr/>
                  </pic:nvPicPr>
                  <pic:blipFill>
                    <a:blip r:embed="rId19"/>
                    <a:stretch>
                      <a:fillRect/>
                    </a:stretch>
                  </pic:blipFill>
                  <pic:spPr>
                    <a:xfrm>
                      <a:off x="0" y="0"/>
                      <a:ext cx="4680000" cy="2919661"/>
                    </a:xfrm>
                    <a:prstGeom prst="rect"/>
                  </pic:spPr>
                </pic:pic>
              </a:graphicData>
            </a:graphic>
          </wp:inline>
        </w:drawing>
      </w:r>
    </w:p>
    <w:p>
      <w:pPr>
        <w:pStyle w:val="Caption"/>
        <w:jc w:val="center"/>
      </w:pPr>
      <w:r>
        <w:rPr>
          <w:b/>
          <w:i w:val="0"/>
        </w:rPr>
        <w:t xml:space="preserve">Figure 5: </w:t>
      </w:r>
      <w:r>
        <w:rPr/>
        <w:t>Workflow SBM_TOR</w:t>
      </w:r>
    </w:p>
    <w:p>
      <w:pPr>
        <w:pStyle w:val="Heading2"/>
      </w:pPr>
      <w:bookmarkStart w:id="161" w:name="_Toc000161"/>
      <w:r>
        <w:rPr/>
        <w:t>5.5 Handling-fee tagging</w:t>
      </w:r>
      <w:bookmarkEnd w:id="161"/>
    </w:p>
    <w:p>
      <w:pPr>
        <w:keepNext/>
        <w:spacing w:before="80" w:after="0"/>
        <w:jc w:val="center"/>
      </w:pPr>
      <w:r>
        <w:drawing>
          <wp:inline xmlns:a="http://schemas.openxmlformats.org/drawingml/2006/main" xmlns:pic="http://schemas.openxmlformats.org/drawingml/2006/picture">
            <wp:extent cx="4680000" cy="2899426"/>
            <wp:docPr id="8" name="Picture 8"/>
            <wp:cNvGraphicFramePr>
              <a:graphicFrameLocks noChangeAspect="1"/>
            </wp:cNvGraphicFramePr>
            <a:graphic>
              <a:graphicData uri="http://schemas.openxmlformats.org/drawingml/2006/picture">
                <pic:pic>
                  <pic:nvPicPr>
                    <pic:cNvPr id="0" name="brd12_handling_fee.png"/>
                    <pic:cNvPicPr/>
                  </pic:nvPicPr>
                  <pic:blipFill>
                    <a:blip r:embed="rId20"/>
                    <a:stretch>
                      <a:fillRect/>
                    </a:stretch>
                  </pic:blipFill>
                  <pic:spPr>
                    <a:xfrm>
                      <a:off x="0" y="0"/>
                      <a:ext cx="4680000" cy="2899426"/>
                    </a:xfrm>
                    <a:prstGeom prst="rect"/>
                  </pic:spPr>
                </pic:pic>
              </a:graphicData>
            </a:graphic>
          </wp:inline>
        </w:drawing>
      </w:r>
    </w:p>
    <w:p>
      <w:pPr>
        <w:pStyle w:val="Caption"/>
        <w:jc w:val="center"/>
      </w:pPr>
      <w:r>
        <w:rPr>
          <w:b/>
          <w:i w:val="0"/>
        </w:rPr>
        <w:t xml:space="preserve">Figure 6: </w:t>
      </w:r>
      <w:r>
        <w:rPr/>
        <w:t>Handling-fee tagging (BRIDSP-31)</w:t>
      </w:r>
    </w:p>
    <w:p>
      <w:pPr>
        <w:pStyle w:val="Caption"/>
        <w:keepNext/>
        <w:spacing w:after="60"/>
      </w:pPr>
      <w:r>
        <w:rPr>
          <w:b/>
          <w:i w:val="0"/>
        </w:rPr>
        <w:t xml:space="preserve">Table 11: </w:t>
      </w:r>
      <w:r>
        <w:rPr/>
        <w:t>Handling-fee record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163"/>
            <w:tcMar>
              <w:top w:w="50" w:type="dxa"/>
              <w:bottom w:w="50" w:type="dxa"/>
              <w:left w:w="90" w:type="dxa"/>
              <w:right w:w="90" w:type="dxa"/>
            </w:tcMar>
          </w:tcPr>
          <w:p>
            <w:pPr>
              <w:pStyle w:val="BDOITable"/>
            </w:pPr>
            <w:r>
              <w:rPr>
                <w:sz w:val="17"/>
              </w:rPr>
              <w:t>BILLED</w:t>
            </w:r>
          </w:p>
        </w:tc>
        <w:tc>
          <w:tcPr>
            <w:tcW w:type="dxa" w:w="7809"/>
            <w:tcMar>
              <w:top w:w="50" w:type="dxa"/>
              <w:bottom w:w="50" w:type="dxa"/>
              <w:left w:w="90" w:type="dxa"/>
              <w:right w:w="90" w:type="dxa"/>
            </w:tcMar>
          </w:tcPr>
          <w:p>
            <w:pPr>
              <w:pStyle w:val="BDOITable"/>
            </w:pPr>
            <w:r>
              <w:rPr>
                <w:sz w:val="17"/>
              </w:rPr>
              <w:t>Record created from the billing list or a processing rule; waits for payment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w:t>
            </w:r>
          </w:p>
        </w:tc>
        <w:tc>
          <w:tcPr>
            <w:tcW w:type="dxa" w:w="7809"/>
            <w:tcMar>
              <w:top w:w="50" w:type="dxa"/>
              <w:bottom w:w="50" w:type="dxa"/>
              <w:left w:w="90" w:type="dxa"/>
              <w:right w:w="90" w:type="dxa"/>
            </w:tcMar>
            <w:shd w:val="clear" w:color="auto" w:fill="E5F5FF"/>
          </w:tcPr>
          <w:p>
            <w:pPr>
              <w:pStyle w:val="BDOITable"/>
            </w:pPr>
            <w:r>
              <w:rPr>
                <w:sz w:val="17"/>
              </w:rPr>
              <w:t>A payment matched and the disposition request was sent to Cashiering</w:t>
            </w:r>
          </w:p>
        </w:tc>
      </w:tr>
      <w:tr>
        <w:trPr>
          <w:cantSplit w:val="true"/>
        </w:trPr>
        <w:tc>
          <w:tcPr>
            <w:tcW w:type="dxa" w:w="2163"/>
            <w:tcMar>
              <w:top w:w="50" w:type="dxa"/>
              <w:bottom w:w="50" w:type="dxa"/>
              <w:left w:w="90" w:type="dxa"/>
              <w:right w:w="90" w:type="dxa"/>
            </w:tcMar>
          </w:tcPr>
          <w:p>
            <w:pPr>
              <w:pStyle w:val="BDOITable"/>
            </w:pPr>
            <w:r>
              <w:rPr>
                <w:sz w:val="17"/>
              </w:rPr>
              <w:t>APPLIED</w:t>
            </w:r>
          </w:p>
        </w:tc>
        <w:tc>
          <w:tcPr>
            <w:tcW w:type="dxa" w:w="7809"/>
            <w:tcMar>
              <w:top w:w="50" w:type="dxa"/>
              <w:bottom w:w="50" w:type="dxa"/>
              <w:left w:w="90" w:type="dxa"/>
              <w:right w:w="90" w:type="dxa"/>
            </w:tcMar>
          </w:tcPr>
          <w:p>
            <w:pPr>
              <w:pStyle w:val="BDOITable"/>
            </w:pPr>
            <w:r>
              <w:rPr>
                <w:sz w:val="17"/>
              </w:rPr>
              <w:t>Cashiering applied the payment and issued the OR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CANCELLED</w:t>
            </w:r>
          </w:p>
        </w:tc>
        <w:tc>
          <w:tcPr>
            <w:tcW w:type="dxa" w:w="7809"/>
            <w:tcMar>
              <w:top w:w="50" w:type="dxa"/>
              <w:bottom w:w="50" w:type="dxa"/>
              <w:left w:w="90" w:type="dxa"/>
              <w:right w:w="90" w:type="dxa"/>
            </w:tcMar>
            <w:shd w:val="clear" w:color="auto" w:fill="E5F5FF"/>
          </w:tcPr>
          <w:p>
            <w:pPr>
              <w:pStyle w:val="BDOITable"/>
            </w:pPr>
            <w:r>
              <w:rPr>
                <w:sz w:val="17"/>
              </w:rPr>
              <w:t>Record cancelled by the handler</w:t>
            </w:r>
          </w:p>
        </w:tc>
      </w:tr>
    </w:tbl>
    <w:p>
      <w:pPr>
        <w:pStyle w:val="BDOISpacer"/>
      </w:pPr>
    </w:p>
    <w:p>
      <w:pPr>
        <w:pStyle w:val="Heading2"/>
      </w:pPr>
      <w:bookmarkStart w:id="162" w:name="_Toc000162"/>
      <w:r>
        <w:rPr/>
        <w:t>5.6 Notifications and alerts</w:t>
      </w:r>
      <w:bookmarkEnd w:id="162"/>
    </w:p>
    <w:p>
      <w:pPr>
        <w:pStyle w:val="Caption"/>
        <w:keepNext/>
        <w:spacing w:after="60"/>
      </w:pPr>
      <w:r>
        <w:rPr>
          <w:b/>
          <w:i w:val="0"/>
        </w:rPr>
        <w:t xml:space="preserve">Table 12: </w:t>
      </w:r>
      <w:r>
        <w:rPr/>
        <w:t>Notification events and alerts (BRIDSP-24, p.7 and 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4205"/>
        <w:gridCol w:w="2403"/>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7"/>
              </w:rPr>
              <w:t>Event / alert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Recipients</w:t>
            </w:r>
          </w:p>
        </w:tc>
      </w:tr>
      <w:tr>
        <w:trPr>
          <w:cantSplit w:val="true"/>
        </w:trPr>
        <w:tc>
          <w:tcPr>
            <w:tcW w:type="dxa" w:w="3364"/>
            <w:tcMar>
              <w:top w:w="50" w:type="dxa"/>
              <w:bottom w:w="50" w:type="dxa"/>
              <w:left w:w="90" w:type="dxa"/>
              <w:right w:w="90" w:type="dxa"/>
            </w:tcMar>
          </w:tcPr>
          <w:p>
            <w:pPr>
              <w:pStyle w:val="BDOITable"/>
            </w:pPr>
            <w:r>
              <w:rPr>
                <w:sz w:val="17"/>
              </w:rPr>
              <w:t>SBM_NEW_SUBMISSION</w:t>
            </w:r>
          </w:p>
        </w:tc>
        <w:tc>
          <w:tcPr>
            <w:tcW w:type="dxa" w:w="4205"/>
            <w:tcMar>
              <w:top w:w="50" w:type="dxa"/>
              <w:bottom w:w="50" w:type="dxa"/>
              <w:left w:w="90" w:type="dxa"/>
              <w:right w:w="90" w:type="dxa"/>
            </w:tcMar>
          </w:tcPr>
          <w:p>
            <w:pPr>
              <w:pStyle w:val="BDOITable"/>
            </w:pPr>
            <w:r>
              <w:rPr>
                <w:sz w:val="17"/>
              </w:rPr>
              <w:t>New records from an intake run</w:t>
            </w:r>
          </w:p>
        </w:tc>
        <w:tc>
          <w:tcPr>
            <w:tcW w:type="dxa" w:w="2403"/>
            <w:tcMar>
              <w:top w:w="50" w:type="dxa"/>
              <w:bottom w:w="50" w:type="dxa"/>
              <w:left w:w="90" w:type="dxa"/>
              <w:right w:w="90" w:type="dxa"/>
            </w:tcMar>
          </w:tcPr>
          <w:p>
            <w:pPr>
              <w:pStyle w:val="BDOITable"/>
            </w:pPr>
            <w:r>
              <w:rPr>
                <w:sz w:val="17"/>
              </w:rPr>
              <w:t>Handlers of the segment</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SBM_MANUAL_VALIDATION</w:t>
            </w:r>
          </w:p>
        </w:tc>
        <w:tc>
          <w:tcPr>
            <w:tcW w:type="dxa" w:w="4205"/>
            <w:tcMar>
              <w:top w:w="50" w:type="dxa"/>
              <w:bottom w:w="50" w:type="dxa"/>
              <w:left w:w="90" w:type="dxa"/>
              <w:right w:w="90" w:type="dxa"/>
            </w:tcMar>
            <w:shd w:val="clear" w:color="auto" w:fill="E5F5FF"/>
          </w:tcPr>
          <w:p>
            <w:pPr>
              <w:pStyle w:val="BDOITable"/>
            </w:pPr>
            <w:r>
              <w:rPr>
                <w:sz w:val="17"/>
              </w:rPr>
              <w:t>A document waits for confirmation</w:t>
            </w:r>
          </w:p>
        </w:tc>
        <w:tc>
          <w:tcPr>
            <w:tcW w:type="dxa" w:w="2403"/>
            <w:tcMar>
              <w:top w:w="50" w:type="dxa"/>
              <w:bottom w:w="50" w:type="dxa"/>
              <w:left w:w="90" w:type="dxa"/>
              <w:right w:w="90" w:type="dxa"/>
            </w:tcMar>
            <w:shd w:val="clear" w:color="auto" w:fill="E5F5FF"/>
          </w:tcPr>
          <w:p>
            <w:pPr>
              <w:pStyle w:val="BDOITable"/>
            </w:pPr>
            <w:r>
              <w:rPr>
                <w:sz w:val="17"/>
              </w:rPr>
              <w:t>Handlers of the segment</w:t>
            </w:r>
          </w:p>
        </w:tc>
      </w:tr>
      <w:tr>
        <w:trPr>
          <w:cantSplit w:val="true"/>
        </w:trPr>
        <w:tc>
          <w:tcPr>
            <w:tcW w:type="dxa" w:w="3364"/>
            <w:tcMar>
              <w:top w:w="50" w:type="dxa"/>
              <w:bottom w:w="50" w:type="dxa"/>
              <w:left w:w="90" w:type="dxa"/>
              <w:right w:w="90" w:type="dxa"/>
            </w:tcMar>
          </w:tcPr>
          <w:p>
            <w:pPr>
              <w:pStyle w:val="BDOITable"/>
            </w:pPr>
            <w:r>
              <w:rPr>
                <w:sz w:val="17"/>
              </w:rPr>
              <w:t>SBM_IAAF_PENDING, SBM_TOR_PENDING</w:t>
            </w:r>
          </w:p>
        </w:tc>
        <w:tc>
          <w:tcPr>
            <w:tcW w:type="dxa" w:w="4205"/>
            <w:tcMar>
              <w:top w:w="50" w:type="dxa"/>
              <w:bottom w:w="50" w:type="dxa"/>
              <w:left w:w="90" w:type="dxa"/>
              <w:right w:w="90" w:type="dxa"/>
            </w:tcMar>
          </w:tcPr>
          <w:p>
            <w:pPr>
              <w:pStyle w:val="BDOITable"/>
            </w:pPr>
            <w:r>
              <w:rPr>
                <w:sz w:val="17"/>
              </w:rPr>
              <w:t>An approval level is waiting</w:t>
            </w:r>
          </w:p>
        </w:tc>
        <w:tc>
          <w:tcPr>
            <w:tcW w:type="dxa" w:w="2403"/>
            <w:tcMar>
              <w:top w:w="50" w:type="dxa"/>
              <w:bottom w:w="50" w:type="dxa"/>
              <w:left w:w="90" w:type="dxa"/>
              <w:right w:w="90" w:type="dxa"/>
            </w:tcMar>
          </w:tcPr>
          <w:p>
            <w:pPr>
              <w:pStyle w:val="BDOITable"/>
            </w:pPr>
            <w:r>
              <w:rPr>
                <w:sz w:val="17"/>
              </w:rPr>
              <w:t>Approvers of the level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SBM_BUCKET_CHANGED</w:t>
            </w:r>
          </w:p>
        </w:tc>
        <w:tc>
          <w:tcPr>
            <w:tcW w:type="dxa" w:w="4205"/>
            <w:tcMar>
              <w:top w:w="50" w:type="dxa"/>
              <w:bottom w:w="50" w:type="dxa"/>
              <w:left w:w="90" w:type="dxa"/>
              <w:right w:w="90" w:type="dxa"/>
            </w:tcMar>
            <w:shd w:val="clear" w:color="auto" w:fill="E5F5FF"/>
          </w:tcPr>
          <w:p>
            <w:pPr>
              <w:pStyle w:val="BDOITable"/>
            </w:pPr>
            <w:r>
              <w:rPr>
                <w:sz w:val="17"/>
              </w:rPr>
              <w:t>Move to renewal, manual or non-renewal buckets</w:t>
            </w:r>
          </w:p>
        </w:tc>
        <w:tc>
          <w:tcPr>
            <w:tcW w:type="dxa" w:w="2403"/>
            <w:tcMar>
              <w:top w:w="50" w:type="dxa"/>
              <w:bottom w:w="50" w:type="dxa"/>
              <w:left w:w="90" w:type="dxa"/>
              <w:right w:w="90" w:type="dxa"/>
            </w:tcMar>
            <w:shd w:val="clear" w:color="auto" w:fill="E5F5FF"/>
          </w:tcPr>
          <w:p>
            <w:pPr>
              <w:pStyle w:val="BDOITable"/>
            </w:pPr>
            <w:r>
              <w:rPr>
                <w:sz w:val="17"/>
              </w:rPr>
              <w:t>Handlers</w:t>
            </w:r>
          </w:p>
        </w:tc>
      </w:tr>
      <w:tr>
        <w:trPr>
          <w:cantSplit w:val="true"/>
        </w:trPr>
        <w:tc>
          <w:tcPr>
            <w:tcW w:type="dxa" w:w="3364"/>
            <w:tcMar>
              <w:top w:w="50" w:type="dxa"/>
              <w:bottom w:w="50" w:type="dxa"/>
              <w:left w:w="90" w:type="dxa"/>
              <w:right w:w="90" w:type="dxa"/>
            </w:tcMar>
          </w:tcPr>
          <w:p>
            <w:pPr>
              <w:pStyle w:val="BDOITable"/>
            </w:pPr>
            <w:r>
              <w:rPr>
                <w:sz w:val="17"/>
              </w:rPr>
              <w:t>SBM_FALLOUT</w:t>
            </w:r>
          </w:p>
        </w:tc>
        <w:tc>
          <w:tcPr>
            <w:tcW w:type="dxa" w:w="4205"/>
            <w:tcMar>
              <w:top w:w="50" w:type="dxa"/>
              <w:bottom w:w="50" w:type="dxa"/>
              <w:left w:w="90" w:type="dxa"/>
              <w:right w:w="90" w:type="dxa"/>
            </w:tcMar>
          </w:tcPr>
          <w:p>
            <w:pPr>
              <w:pStyle w:val="BDOITable"/>
            </w:pPr>
            <w:r>
              <w:rPr>
                <w:sz w:val="17"/>
              </w:rPr>
              <w:t>A run ends with fallout</w:t>
            </w:r>
          </w:p>
        </w:tc>
        <w:tc>
          <w:tcPr>
            <w:tcW w:type="dxa" w:w="2403"/>
            <w:tcMar>
              <w:top w:w="50" w:type="dxa"/>
              <w:bottom w:w="50" w:type="dxa"/>
              <w:left w:w="90" w:type="dxa"/>
              <w:right w:w="90" w:type="dxa"/>
            </w:tcMar>
          </w:tcPr>
          <w:p>
            <w:pPr>
              <w:pStyle w:val="BDOITable"/>
            </w:pPr>
            <w:r>
              <w:rPr>
                <w:sz w:val="17"/>
              </w:rPr>
              <w:t>Sanitation Handlers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SBM_EXPIRY_NEAR, SBM_RENEWAL_STARTED</w:t>
            </w:r>
          </w:p>
        </w:tc>
        <w:tc>
          <w:tcPr>
            <w:tcW w:type="dxa" w:w="4205"/>
            <w:tcMar>
              <w:top w:w="50" w:type="dxa"/>
              <w:bottom w:w="50" w:type="dxa"/>
              <w:left w:w="90" w:type="dxa"/>
              <w:right w:w="90" w:type="dxa"/>
            </w:tcMar>
            <w:shd w:val="clear" w:color="auto" w:fill="E5F5FF"/>
          </w:tcPr>
          <w:p>
            <w:pPr>
              <w:pStyle w:val="BDOITable"/>
            </w:pPr>
            <w:r>
              <w:rPr>
                <w:sz w:val="17"/>
              </w:rPr>
              <w:t>Policy within the lead days; hand-off made</w:t>
            </w:r>
          </w:p>
        </w:tc>
        <w:tc>
          <w:tcPr>
            <w:tcW w:type="dxa" w:w="2403"/>
            <w:tcMar>
              <w:top w:w="50" w:type="dxa"/>
              <w:bottom w:w="50" w:type="dxa"/>
              <w:left w:w="90" w:type="dxa"/>
              <w:right w:w="90" w:type="dxa"/>
            </w:tcMar>
            <w:shd w:val="clear" w:color="auto" w:fill="E5F5FF"/>
          </w:tcPr>
          <w:p>
            <w:pPr>
              <w:pStyle w:val="BDOITable"/>
            </w:pPr>
            <w:r>
              <w:rPr>
                <w:sz w:val="17"/>
              </w:rPr>
              <w:t>Handler, AO</w:t>
            </w:r>
          </w:p>
        </w:tc>
      </w:tr>
      <w:tr>
        <w:trPr>
          <w:cantSplit w:val="true"/>
        </w:trPr>
        <w:tc>
          <w:tcPr>
            <w:tcW w:type="dxa" w:w="3364"/>
            <w:tcMar>
              <w:top w:w="50" w:type="dxa"/>
              <w:bottom w:w="50" w:type="dxa"/>
              <w:left w:w="90" w:type="dxa"/>
              <w:right w:w="90" w:type="dxa"/>
            </w:tcMar>
          </w:tcPr>
          <w:p>
            <w:pPr>
              <w:pStyle w:val="BDOITable"/>
            </w:pPr>
            <w:r>
              <w:rPr>
                <w:sz w:val="17"/>
              </w:rPr>
              <w:t>SBM_TOR_RELEASED</w:t>
            </w:r>
          </w:p>
        </w:tc>
        <w:tc>
          <w:tcPr>
            <w:tcW w:type="dxa" w:w="4205"/>
            <w:tcMar>
              <w:top w:w="50" w:type="dxa"/>
              <w:bottom w:w="50" w:type="dxa"/>
              <w:left w:w="90" w:type="dxa"/>
              <w:right w:w="90" w:type="dxa"/>
            </w:tcMar>
          </w:tcPr>
          <w:p>
            <w:pPr>
              <w:pStyle w:val="BDOITable"/>
            </w:pPr>
            <w:r>
              <w:rPr>
                <w:sz w:val="17"/>
              </w:rPr>
              <w:t>TOR approved and handed over</w:t>
            </w:r>
          </w:p>
        </w:tc>
        <w:tc>
          <w:tcPr>
            <w:tcW w:type="dxa" w:w="2403"/>
            <w:tcMar>
              <w:top w:w="50" w:type="dxa"/>
              <w:bottom w:w="50" w:type="dxa"/>
              <w:left w:w="90" w:type="dxa"/>
              <w:right w:w="90" w:type="dxa"/>
            </w:tcMar>
          </w:tcPr>
          <w:p>
            <w:pPr>
              <w:pStyle w:val="BDOITable"/>
            </w:pPr>
            <w:r>
              <w:rPr>
                <w:sz w:val="17"/>
              </w:rPr>
              <w:t>Assigned AO</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SBM_PLACEMENT_READY, SBM_PLACEMENT_SENT</w:t>
            </w:r>
          </w:p>
        </w:tc>
        <w:tc>
          <w:tcPr>
            <w:tcW w:type="dxa" w:w="4205"/>
            <w:tcMar>
              <w:top w:w="50" w:type="dxa"/>
              <w:bottom w:w="50" w:type="dxa"/>
              <w:left w:w="90" w:type="dxa"/>
              <w:right w:w="90" w:type="dxa"/>
            </w:tcMar>
            <w:shd w:val="clear" w:color="auto" w:fill="E5F5FF"/>
          </w:tcPr>
          <w:p>
            <w:pPr>
              <w:pStyle w:val="BDOITable"/>
            </w:pPr>
            <w:r>
              <w:rPr>
                <w:sz w:val="17"/>
              </w:rPr>
              <w:t>Placement file ready or transmitted</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SBM_HOLD_COVER_UNBOOKED (alert)</w:t>
            </w:r>
          </w:p>
        </w:tc>
        <w:tc>
          <w:tcPr>
            <w:tcW w:type="dxa" w:w="4205"/>
            <w:tcMar>
              <w:top w:w="50" w:type="dxa"/>
              <w:bottom w:w="50" w:type="dxa"/>
              <w:left w:w="90" w:type="dxa"/>
              <w:right w:w="90" w:type="dxa"/>
            </w:tcMar>
          </w:tcPr>
          <w:p>
            <w:pPr>
              <w:pStyle w:val="BDOITable"/>
            </w:pPr>
            <w:r>
              <w:rPr>
                <w:sz w:val="17"/>
              </w:rPr>
              <w:t>Hold cover confirmed, account not booked n days before it ends</w:t>
            </w:r>
          </w:p>
        </w:tc>
        <w:tc>
          <w:tcPr>
            <w:tcW w:type="dxa" w:w="2403"/>
            <w:tcMar>
              <w:top w:w="50" w:type="dxa"/>
              <w:bottom w:w="50" w:type="dxa"/>
              <w:left w:w="90" w:type="dxa"/>
              <w:right w:w="90" w:type="dxa"/>
            </w:tcMar>
          </w:tcPr>
          <w:p>
            <w:pPr>
              <w:pStyle w:val="BDOITable"/>
            </w:pPr>
            <w:r>
              <w:rPr>
                <w:sz w:val="17"/>
              </w:rPr>
              <w:t>Handler, TL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SBM_INSURER_NOT_ACCEPTED (alert)</w:t>
            </w:r>
          </w:p>
        </w:tc>
        <w:tc>
          <w:tcPr>
            <w:tcW w:type="dxa" w:w="4205"/>
            <w:tcMar>
              <w:top w:w="50" w:type="dxa"/>
              <w:bottom w:w="50" w:type="dxa"/>
              <w:left w:w="90" w:type="dxa"/>
              <w:right w:w="90" w:type="dxa"/>
            </w:tcMar>
            <w:shd w:val="clear" w:color="auto" w:fill="E5F5FF"/>
          </w:tcPr>
          <w:p>
            <w:pPr>
              <w:pStyle w:val="BDOITable"/>
            </w:pPr>
            <w:r>
              <w:rPr>
                <w:sz w:val="17"/>
              </w:rPr>
              <w:t>Insurer has not accepted within the acceptance days</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SBM_INTAKE_FAILED, SBM_LETTER_FAILED, SBM_IAAF_SLA, SBM_TOR_SLA (alerts)</w:t>
            </w:r>
          </w:p>
        </w:tc>
        <w:tc>
          <w:tcPr>
            <w:tcW w:type="dxa" w:w="4205"/>
            <w:tcMar>
              <w:top w:w="50" w:type="dxa"/>
              <w:bottom w:w="50" w:type="dxa"/>
              <w:left w:w="90" w:type="dxa"/>
              <w:right w:w="90" w:type="dxa"/>
            </w:tcMar>
          </w:tcPr>
          <w:p>
            <w:pPr>
              <w:pStyle w:val="BDOITable"/>
            </w:pPr>
            <w:r>
              <w:rPr>
                <w:sz w:val="17"/>
              </w:rPr>
              <w:t>Intake or letter failure; approval past its SLA</w:t>
            </w:r>
          </w:p>
        </w:tc>
        <w:tc>
          <w:tcPr>
            <w:tcW w:type="dxa" w:w="2403"/>
            <w:tcMar>
              <w:top w:w="50" w:type="dxa"/>
              <w:bottom w:w="50" w:type="dxa"/>
              <w:left w:w="90" w:type="dxa"/>
              <w:right w:w="90" w:type="dxa"/>
            </w:tcMar>
          </w:tcPr>
          <w:p>
            <w:pPr>
              <w:pStyle w:val="BDOITable"/>
            </w:pPr>
            <w:r>
              <w:rPr>
                <w:sz w:val="17"/>
              </w:rPr>
              <w:t>Job owners, approvers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Letters to clients (RA, SFU, NAL, renewal notices, proposals, reminders, NRNS)</w:t>
            </w:r>
          </w:p>
        </w:tc>
        <w:tc>
          <w:tcPr>
            <w:tcW w:type="dxa" w:w="4205"/>
            <w:tcMar>
              <w:top w:w="50" w:type="dxa"/>
              <w:bottom w:w="50" w:type="dxa"/>
              <w:left w:w="90" w:type="dxa"/>
              <w:right w:w="90" w:type="dxa"/>
            </w:tcMar>
            <w:shd w:val="clear" w:color="auto" w:fill="E5F5FF"/>
          </w:tcPr>
          <w:p>
            <w:pPr>
              <w:pStyle w:val="BDOITable"/>
            </w:pPr>
            <w:r>
              <w:rPr>
                <w:sz w:val="17"/>
              </w:rPr>
              <w:t>Letter rules; Renewal letter engine</w:t>
            </w:r>
          </w:p>
        </w:tc>
        <w:tc>
          <w:tcPr>
            <w:tcW w:type="dxa" w:w="2403"/>
            <w:tcMar>
              <w:top w:w="50" w:type="dxa"/>
              <w:bottom w:w="50" w:type="dxa"/>
              <w:left w:w="90" w:type="dxa"/>
              <w:right w:w="90" w:type="dxa"/>
            </w:tcMar>
            <w:shd w:val="clear" w:color="auto" w:fill="E5F5FF"/>
          </w:tcPr>
          <w:p>
            <w:pPr>
              <w:pStyle w:val="BDOITable"/>
            </w:pPr>
            <w:r>
              <w:rPr>
                <w:sz w:val="17"/>
              </w:rPr>
              <w:t>Client or bank counterpart</w:t>
            </w:r>
          </w:p>
        </w:tc>
      </w:tr>
    </w:tbl>
    <w:p>
      <w:pPr>
        <w:pStyle w:val="BDOISpacer"/>
      </w:pPr>
    </w:p>
    <w:p>
      <w:pPr>
        <w:pStyle w:val="Heading1"/>
        <w:pageBreakBefore/>
        <w:pBdr>
          <w:bottom w:val="single" w:sz="4" w:space="4" w:color="99C1E7"/>
        </w:pBdr>
      </w:pPr>
      <w:bookmarkStart w:id="163" w:name="_Toc000163"/>
      <w:r>
        <w:rPr/>
        <w:t>6 Reports and documents</w:t>
      </w:r>
      <w:bookmarkEnd w:id="163"/>
    </w:p>
    <w:p>
      <w:pPr>
        <w:pStyle w:val="Heading2"/>
      </w:pPr>
      <w:bookmarkStart w:id="164" w:name="_Toc000164"/>
      <w:r>
        <w:rPr/>
        <w:t>6.1 Reports</w:t>
      </w:r>
      <w:bookmarkEnd w:id="164"/>
    </w:p>
    <w:p>
      <w:pPr>
        <w:pStyle w:val="Caption"/>
        <w:keepNext/>
        <w:spacing w:after="60"/>
      </w:pPr>
      <w:r>
        <w:rPr>
          <w:b/>
          <w:i w:val="0"/>
        </w:rPr>
        <w:t xml:space="preserve">Table 13: </w:t>
      </w:r>
      <w:r>
        <w:rPr/>
        <w:t>Submitted Policies reports (category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484"/>
        <w:gridCol w:w="2643"/>
        <w:gridCol w:w="1441"/>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 Report List</w:t>
            </w:r>
          </w:p>
        </w:tc>
      </w:tr>
      <w:tr>
        <w:trPr>
          <w:cantSplit w:val="true"/>
        </w:trPr>
        <w:tc>
          <w:tcPr>
            <w:tcW w:type="dxa" w:w="2403"/>
            <w:tcMar>
              <w:top w:w="50" w:type="dxa"/>
              <w:bottom w:w="50" w:type="dxa"/>
              <w:left w:w="90" w:type="dxa"/>
              <w:right w:w="90" w:type="dxa"/>
            </w:tcMar>
          </w:tcPr>
          <w:p>
            <w:pPr>
              <w:pStyle w:val="BDOITable"/>
            </w:pPr>
            <w:r>
              <w:rPr>
                <w:sz w:val="17"/>
              </w:rPr>
              <w:t>SBM-MASTERLIST</w:t>
            </w:r>
          </w:p>
        </w:tc>
        <w:tc>
          <w:tcPr>
            <w:tcW w:type="dxa" w:w="3484"/>
            <w:tcMar>
              <w:top w:w="50" w:type="dxa"/>
              <w:bottom w:w="50" w:type="dxa"/>
              <w:left w:w="90" w:type="dxa"/>
              <w:right w:w="90" w:type="dxa"/>
            </w:tcMar>
          </w:tcPr>
          <w:p>
            <w:pPr>
              <w:pStyle w:val="BDOITable"/>
            </w:pPr>
            <w:r>
              <w:rPr>
                <w:sz w:val="17"/>
              </w:rPr>
              <w:t>Submitted Masterlist Report / Extract</w:t>
            </w:r>
          </w:p>
        </w:tc>
        <w:tc>
          <w:tcPr>
            <w:tcW w:type="dxa" w:w="2643"/>
            <w:tcMar>
              <w:top w:w="50" w:type="dxa"/>
              <w:bottom w:w="50" w:type="dxa"/>
              <w:left w:w="90" w:type="dxa"/>
              <w:right w:w="90" w:type="dxa"/>
            </w:tcMar>
          </w:tcPr>
          <w:p>
            <w:pPr>
              <w:pStyle w:val="BDOITable"/>
            </w:pPr>
            <w:r>
              <w:rPr>
                <w:sz w:val="17"/>
              </w:rPr>
              <w:t>Fields of RL #151 per segment; migrated records included</w:t>
            </w:r>
          </w:p>
        </w:tc>
        <w:tc>
          <w:tcPr>
            <w:tcW w:type="dxa" w:w="1442"/>
            <w:tcMar>
              <w:top w:w="50" w:type="dxa"/>
              <w:bottom w:w="50" w:type="dxa"/>
              <w:left w:w="90" w:type="dxa"/>
              <w:right w:w="90" w:type="dxa"/>
            </w:tcMar>
          </w:tcPr>
          <w:p>
            <w:pPr>
              <w:pStyle w:val="BDOITable"/>
            </w:pPr>
            <w:r>
              <w:rPr>
                <w:sz w:val="17"/>
              </w:rPr>
              <w:t>BRIDSP-04, 28; RL #151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SBM-DOC-FALLOUT</w:t>
            </w:r>
          </w:p>
        </w:tc>
        <w:tc>
          <w:tcPr>
            <w:tcW w:type="dxa" w:w="3484"/>
            <w:tcMar>
              <w:top w:w="50" w:type="dxa"/>
              <w:bottom w:w="50" w:type="dxa"/>
              <w:left w:w="90" w:type="dxa"/>
              <w:right w:w="90" w:type="dxa"/>
            </w:tcMar>
            <w:shd w:val="clear" w:color="auto" w:fill="E5F5FF"/>
          </w:tcPr>
          <w:p>
            <w:pPr>
              <w:pStyle w:val="BDOITable"/>
            </w:pPr>
            <w:r>
              <w:rPr>
                <w:sz w:val="17"/>
              </w:rPr>
              <w:t>Document Processing Fallout</w:t>
            </w:r>
          </w:p>
        </w:tc>
        <w:tc>
          <w:tcPr>
            <w:tcW w:type="dxa" w:w="2643"/>
            <w:tcMar>
              <w:top w:w="50" w:type="dxa"/>
              <w:bottom w:w="50" w:type="dxa"/>
              <w:left w:w="90" w:type="dxa"/>
              <w:right w:w="90" w:type="dxa"/>
            </w:tcMar>
            <w:shd w:val="clear" w:color="auto" w:fill="E5F5FF"/>
          </w:tcPr>
          <w:p>
            <w:pPr>
              <w:pStyle w:val="BDOITable"/>
            </w:pPr>
            <w:r>
              <w:rPr>
                <w:sz w:val="17"/>
              </w:rPr>
              <w:t>Intake and extraction failures</w:t>
            </w:r>
          </w:p>
        </w:tc>
        <w:tc>
          <w:tcPr>
            <w:tcW w:type="dxa" w:w="1442"/>
            <w:tcMar>
              <w:top w:w="50" w:type="dxa"/>
              <w:bottom w:w="50" w:type="dxa"/>
              <w:left w:w="90" w:type="dxa"/>
              <w:right w:w="90" w:type="dxa"/>
            </w:tcMar>
            <w:shd w:val="clear" w:color="auto" w:fill="E5F5FF"/>
          </w:tcPr>
          <w:p>
            <w:pPr>
              <w:pStyle w:val="BDOITable"/>
            </w:pPr>
            <w:r>
              <w:rPr>
                <w:sz w:val="17"/>
              </w:rPr>
              <w:t>BRIDSP-10; RL #152</w:t>
            </w:r>
          </w:p>
        </w:tc>
      </w:tr>
      <w:tr>
        <w:trPr>
          <w:cantSplit w:val="true"/>
        </w:trPr>
        <w:tc>
          <w:tcPr>
            <w:tcW w:type="dxa" w:w="2403"/>
            <w:tcMar>
              <w:top w:w="50" w:type="dxa"/>
              <w:bottom w:w="50" w:type="dxa"/>
              <w:left w:w="90" w:type="dxa"/>
              <w:right w:w="90" w:type="dxa"/>
            </w:tcMar>
          </w:tcPr>
          <w:p>
            <w:pPr>
              <w:pStyle w:val="BDOITable"/>
            </w:pPr>
            <w:r>
              <w:rPr>
                <w:sz w:val="17"/>
              </w:rPr>
              <w:t>SBM-PROCESS-FALLOUT</w:t>
            </w:r>
          </w:p>
        </w:tc>
        <w:tc>
          <w:tcPr>
            <w:tcW w:type="dxa" w:w="3484"/>
            <w:tcMar>
              <w:top w:w="50" w:type="dxa"/>
              <w:bottom w:w="50" w:type="dxa"/>
              <w:left w:w="90" w:type="dxa"/>
              <w:right w:w="90" w:type="dxa"/>
            </w:tcMar>
          </w:tcPr>
          <w:p>
            <w:pPr>
              <w:pStyle w:val="BDOITable"/>
            </w:pPr>
            <w:r>
              <w:rPr>
                <w:sz w:val="17"/>
              </w:rPr>
              <w:t>Fallout: sanitation, matching, disposition, classification</w:t>
            </w:r>
          </w:p>
        </w:tc>
        <w:tc>
          <w:tcPr>
            <w:tcW w:type="dxa" w:w="2643"/>
            <w:tcMar>
              <w:top w:w="50" w:type="dxa"/>
              <w:bottom w:w="50" w:type="dxa"/>
              <w:left w:w="90" w:type="dxa"/>
              <w:right w:w="90" w:type="dxa"/>
            </w:tcMar>
          </w:tcPr>
          <w:p>
            <w:pPr>
              <w:pStyle w:val="BDOITable"/>
            </w:pPr>
            <w:r>
              <w:rPr>
                <w:sz w:val="17"/>
              </w:rPr>
              <w:t>Per run or period, with reason code</w:t>
            </w:r>
          </w:p>
        </w:tc>
        <w:tc>
          <w:tcPr>
            <w:tcW w:type="dxa" w:w="1442"/>
            <w:tcMar>
              <w:top w:w="50" w:type="dxa"/>
              <w:bottom w:w="50" w:type="dxa"/>
              <w:left w:w="90" w:type="dxa"/>
              <w:right w:w="90" w:type="dxa"/>
            </w:tcMar>
          </w:tcPr>
          <w:p>
            <w:pPr>
              <w:pStyle w:val="BDOITable"/>
            </w:pPr>
            <w:r>
              <w:rPr>
                <w:sz w:val="17"/>
              </w:rPr>
              <w:t>BRIDSP-10, 20; RL #153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SBM-NON-RENEWAL</w:t>
            </w:r>
          </w:p>
        </w:tc>
        <w:tc>
          <w:tcPr>
            <w:tcW w:type="dxa" w:w="3484"/>
            <w:tcMar>
              <w:top w:w="50" w:type="dxa"/>
              <w:bottom w:w="50" w:type="dxa"/>
              <w:left w:w="90" w:type="dxa"/>
              <w:right w:w="90" w:type="dxa"/>
            </w:tcMar>
            <w:shd w:val="clear" w:color="auto" w:fill="E5F5FF"/>
          </w:tcPr>
          <w:p>
            <w:pPr>
              <w:pStyle w:val="BDOITable"/>
            </w:pPr>
            <w:r>
              <w:rPr>
                <w:sz w:val="17"/>
              </w:rPr>
              <w:t>Non-renewal Report</w:t>
            </w:r>
          </w:p>
        </w:tc>
        <w:tc>
          <w:tcPr>
            <w:tcW w:type="dxa" w:w="2643"/>
            <w:tcMar>
              <w:top w:w="50" w:type="dxa"/>
              <w:bottom w:w="50" w:type="dxa"/>
              <w:left w:w="90" w:type="dxa"/>
              <w:right w:w="90" w:type="dxa"/>
            </w:tcMar>
            <w:shd w:val="clear" w:color="auto" w:fill="E5F5FF"/>
          </w:tcPr>
          <w:p>
            <w:pPr>
              <w:pStyle w:val="BDOITable"/>
            </w:pPr>
            <w:r>
              <w:rPr>
                <w:sz w:val="17"/>
              </w:rPr>
              <w:t>Exclusions with reason codes</w:t>
            </w:r>
          </w:p>
        </w:tc>
        <w:tc>
          <w:tcPr>
            <w:tcW w:type="dxa" w:w="1442"/>
            <w:tcMar>
              <w:top w:w="50" w:type="dxa"/>
              <w:bottom w:w="50" w:type="dxa"/>
              <w:left w:w="90" w:type="dxa"/>
              <w:right w:w="90" w:type="dxa"/>
            </w:tcMar>
            <w:shd w:val="clear" w:color="auto" w:fill="E5F5FF"/>
          </w:tcPr>
          <w:p>
            <w:pPr>
              <w:pStyle w:val="BDOITable"/>
            </w:pPr>
            <w:r>
              <w:rPr>
                <w:sz w:val="17"/>
              </w:rPr>
              <w:t>BRIDSP-14; RL #154</w:t>
            </w:r>
          </w:p>
        </w:tc>
      </w:tr>
      <w:tr>
        <w:trPr>
          <w:cantSplit w:val="true"/>
        </w:trPr>
        <w:tc>
          <w:tcPr>
            <w:tcW w:type="dxa" w:w="2403"/>
            <w:tcMar>
              <w:top w:w="50" w:type="dxa"/>
              <w:bottom w:w="50" w:type="dxa"/>
              <w:left w:w="90" w:type="dxa"/>
              <w:right w:w="90" w:type="dxa"/>
            </w:tcMar>
          </w:tcPr>
          <w:p>
            <w:pPr>
              <w:pStyle w:val="BDOITable"/>
            </w:pPr>
            <w:r>
              <w:rPr>
                <w:sz w:val="17"/>
              </w:rPr>
              <w:t>SBM-MIGRATION-ERRORS</w:t>
            </w:r>
          </w:p>
        </w:tc>
        <w:tc>
          <w:tcPr>
            <w:tcW w:type="dxa" w:w="3484"/>
            <w:tcMar>
              <w:top w:w="50" w:type="dxa"/>
              <w:bottom w:w="50" w:type="dxa"/>
              <w:left w:w="90" w:type="dxa"/>
              <w:right w:w="90" w:type="dxa"/>
            </w:tcMar>
          </w:tcPr>
          <w:p>
            <w:pPr>
              <w:pStyle w:val="BDOITable"/>
            </w:pPr>
            <w:r>
              <w:rPr>
                <w:sz w:val="17"/>
              </w:rPr>
              <w:t>Migration Error Log</w:t>
            </w:r>
          </w:p>
        </w:tc>
        <w:tc>
          <w:tcPr>
            <w:tcW w:type="dxa" w:w="2643"/>
            <w:tcMar>
              <w:top w:w="50" w:type="dxa"/>
              <w:bottom w:w="50" w:type="dxa"/>
              <w:left w:w="90" w:type="dxa"/>
              <w:right w:w="90" w:type="dxa"/>
            </w:tcMar>
          </w:tcPr>
          <w:p>
            <w:pPr>
              <w:pStyle w:val="BDOITable"/>
            </w:pPr>
            <w:r>
              <w:rPr>
                <w:sz w:val="17"/>
              </w:rPr>
              <w:t>Rows of the migration jobs that failed</w:t>
            </w:r>
          </w:p>
        </w:tc>
        <w:tc>
          <w:tcPr>
            <w:tcW w:type="dxa" w:w="1442"/>
            <w:tcMar>
              <w:top w:w="50" w:type="dxa"/>
              <w:bottom w:w="50" w:type="dxa"/>
              <w:left w:w="90" w:type="dxa"/>
              <w:right w:w="90" w:type="dxa"/>
            </w:tcMar>
          </w:tcPr>
          <w:p>
            <w:pPr>
              <w:pStyle w:val="BDOITable"/>
            </w:pPr>
            <w:r>
              <w:rPr>
                <w:sz w:val="17"/>
              </w:rPr>
              <w:t>BRIDSP-33; RL #155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SBM-SANITATION</w:t>
            </w:r>
          </w:p>
        </w:tc>
        <w:tc>
          <w:tcPr>
            <w:tcW w:type="dxa" w:w="3484"/>
            <w:tcMar>
              <w:top w:w="50" w:type="dxa"/>
              <w:bottom w:w="50" w:type="dxa"/>
              <w:left w:w="90" w:type="dxa"/>
              <w:right w:w="90" w:type="dxa"/>
            </w:tcMar>
            <w:shd w:val="clear" w:color="auto" w:fill="E5F5FF"/>
          </w:tcPr>
          <w:p>
            <w:pPr>
              <w:pStyle w:val="BDOITable"/>
            </w:pPr>
            <w:r>
              <w:rPr>
                <w:sz w:val="17"/>
              </w:rPr>
              <w:t>Sanitation Report (RMEL certification)</w:t>
            </w:r>
          </w:p>
        </w:tc>
        <w:tc>
          <w:tcPr>
            <w:tcW w:type="dxa" w:w="2643"/>
            <w:tcMar>
              <w:top w:w="50" w:type="dxa"/>
              <w:bottom w:w="50" w:type="dxa"/>
              <w:left w:w="90" w:type="dxa"/>
              <w:right w:w="90" w:type="dxa"/>
            </w:tcMar>
            <w:shd w:val="clear" w:color="auto" w:fill="E5F5FF"/>
          </w:tcPr>
          <w:p>
            <w:pPr>
              <w:pStyle w:val="BDOITable"/>
            </w:pPr>
            <w:r>
              <w:rPr>
                <w:sz w:val="17"/>
              </w:rPr>
              <w:t>Counts per the RL #156 grouping</w:t>
            </w:r>
          </w:p>
        </w:tc>
        <w:tc>
          <w:tcPr>
            <w:tcW w:type="dxa" w:w="1442"/>
            <w:tcMar>
              <w:top w:w="50" w:type="dxa"/>
              <w:bottom w:w="50" w:type="dxa"/>
              <w:left w:w="90" w:type="dxa"/>
              <w:right w:w="90" w:type="dxa"/>
            </w:tcMar>
            <w:shd w:val="clear" w:color="auto" w:fill="E5F5FF"/>
          </w:tcPr>
          <w:p>
            <w:pPr>
              <w:pStyle w:val="BDOITable"/>
            </w:pPr>
            <w:r>
              <w:rPr>
                <w:sz w:val="17"/>
              </w:rPr>
              <w:t>BRIDSP-20; RL #156</w:t>
            </w:r>
          </w:p>
        </w:tc>
      </w:tr>
      <w:tr>
        <w:trPr>
          <w:cantSplit w:val="true"/>
        </w:trPr>
        <w:tc>
          <w:tcPr>
            <w:tcW w:type="dxa" w:w="2403"/>
            <w:tcMar>
              <w:top w:w="50" w:type="dxa"/>
              <w:bottom w:w="50" w:type="dxa"/>
              <w:left w:w="90" w:type="dxa"/>
              <w:right w:w="90" w:type="dxa"/>
            </w:tcMar>
          </w:tcPr>
          <w:p>
            <w:pPr>
              <w:pStyle w:val="BDOITable"/>
            </w:pPr>
            <w:r>
              <w:rPr>
                <w:sz w:val="17"/>
              </w:rPr>
              <w:t>SBM-DISPOSITION</w:t>
            </w:r>
          </w:p>
        </w:tc>
        <w:tc>
          <w:tcPr>
            <w:tcW w:type="dxa" w:w="3484"/>
            <w:tcMar>
              <w:top w:w="50" w:type="dxa"/>
              <w:bottom w:w="50" w:type="dxa"/>
              <w:left w:w="90" w:type="dxa"/>
              <w:right w:w="90" w:type="dxa"/>
            </w:tcMar>
          </w:tcPr>
          <w:p>
            <w:pPr>
              <w:pStyle w:val="BDOITable"/>
            </w:pPr>
            <w:r>
              <w:rPr>
                <w:sz w:val="17"/>
              </w:rPr>
              <w:t>Disposition Report</w:t>
            </w:r>
          </w:p>
        </w:tc>
        <w:tc>
          <w:tcPr>
            <w:tcW w:type="dxa" w:w="2643"/>
            <w:tcMar>
              <w:top w:w="50" w:type="dxa"/>
              <w:bottom w:w="50" w:type="dxa"/>
              <w:left w:w="90" w:type="dxa"/>
              <w:right w:w="90" w:type="dxa"/>
            </w:tcMar>
          </w:tcPr>
          <w:p>
            <w:pPr>
              <w:pStyle w:val="BDOITable"/>
            </w:pPr>
            <w:r>
              <w:rPr>
                <w:sz w:val="17"/>
              </w:rPr>
              <w:t>Buckets and dispositions</w:t>
            </w:r>
          </w:p>
        </w:tc>
        <w:tc>
          <w:tcPr>
            <w:tcW w:type="dxa" w:w="1442"/>
            <w:tcMar>
              <w:top w:w="50" w:type="dxa"/>
              <w:bottom w:w="50" w:type="dxa"/>
              <w:left w:w="90" w:type="dxa"/>
              <w:right w:w="90" w:type="dxa"/>
            </w:tcMar>
          </w:tcPr>
          <w:p>
            <w:pPr>
              <w:pStyle w:val="BDOITable"/>
            </w:pPr>
            <w:r>
              <w:rPr>
                <w:sz w:val="17"/>
              </w:rPr>
              <w:t>BRIDSP-20; RL #157</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SBM-CLASSIFICATION</w:t>
            </w:r>
          </w:p>
        </w:tc>
        <w:tc>
          <w:tcPr>
            <w:tcW w:type="dxa" w:w="3484"/>
            <w:tcMar>
              <w:top w:w="50" w:type="dxa"/>
              <w:bottom w:w="50" w:type="dxa"/>
              <w:left w:w="90" w:type="dxa"/>
              <w:right w:w="90" w:type="dxa"/>
            </w:tcMar>
            <w:shd w:val="clear" w:color="auto" w:fill="E5F5FF"/>
          </w:tcPr>
          <w:p>
            <w:pPr>
              <w:pStyle w:val="BDOITable"/>
            </w:pPr>
            <w:r>
              <w:rPr>
                <w:sz w:val="17"/>
              </w:rPr>
              <w:t>Account Classification Report</w:t>
            </w:r>
          </w:p>
        </w:tc>
        <w:tc>
          <w:tcPr>
            <w:tcW w:type="dxa" w:w="2643"/>
            <w:tcMar>
              <w:top w:w="50" w:type="dxa"/>
              <w:bottom w:w="50" w:type="dxa"/>
              <w:left w:w="90" w:type="dxa"/>
              <w:right w:w="90" w:type="dxa"/>
            </w:tcMar>
            <w:shd w:val="clear" w:color="auto" w:fill="E5F5FF"/>
          </w:tcPr>
          <w:p>
            <w:pPr>
              <w:pStyle w:val="BDOITable"/>
            </w:pPr>
            <w:r>
              <w:rPr>
                <w:sz w:val="17"/>
              </w:rPr>
              <w:t>Inforced / Submitted</w:t>
            </w:r>
          </w:p>
        </w:tc>
        <w:tc>
          <w:tcPr>
            <w:tcW w:type="dxa" w:w="1442"/>
            <w:tcMar>
              <w:top w:w="50" w:type="dxa"/>
              <w:bottom w:w="50" w:type="dxa"/>
              <w:left w:w="90" w:type="dxa"/>
              <w:right w:w="90" w:type="dxa"/>
            </w:tcMar>
            <w:shd w:val="clear" w:color="auto" w:fill="E5F5FF"/>
          </w:tcPr>
          <w:p>
            <w:pPr>
              <w:pStyle w:val="BDOITable"/>
            </w:pPr>
            <w:r>
              <w:rPr>
                <w:sz w:val="17"/>
              </w:rPr>
              <w:t>BRIDSP-20; RL #158</w:t>
            </w:r>
          </w:p>
        </w:tc>
      </w:tr>
      <w:tr>
        <w:trPr>
          <w:cantSplit w:val="true"/>
        </w:trPr>
        <w:tc>
          <w:tcPr>
            <w:tcW w:type="dxa" w:w="2403"/>
            <w:tcMar>
              <w:top w:w="50" w:type="dxa"/>
              <w:bottom w:w="50" w:type="dxa"/>
              <w:left w:w="90" w:type="dxa"/>
              <w:right w:w="90" w:type="dxa"/>
            </w:tcMar>
          </w:tcPr>
          <w:p>
            <w:pPr>
              <w:pStyle w:val="BDOITable"/>
            </w:pPr>
            <w:r>
              <w:rPr>
                <w:sz w:val="17"/>
              </w:rPr>
              <w:t>SBM-RENEWABLE</w:t>
            </w:r>
          </w:p>
        </w:tc>
        <w:tc>
          <w:tcPr>
            <w:tcW w:type="dxa" w:w="3484"/>
            <w:tcMar>
              <w:top w:w="50" w:type="dxa"/>
              <w:bottom w:w="50" w:type="dxa"/>
              <w:left w:w="90" w:type="dxa"/>
              <w:right w:w="90" w:type="dxa"/>
            </w:tcMar>
          </w:tcPr>
          <w:p>
            <w:pPr>
              <w:pStyle w:val="BDOITable"/>
            </w:pPr>
            <w:r>
              <w:rPr>
                <w:sz w:val="17"/>
              </w:rPr>
              <w:t>Renewable Accounts / Policies</w:t>
            </w:r>
          </w:p>
        </w:tc>
        <w:tc>
          <w:tcPr>
            <w:tcW w:type="dxa" w:w="2643"/>
            <w:tcMar>
              <w:top w:w="50" w:type="dxa"/>
              <w:bottom w:w="50" w:type="dxa"/>
              <w:left w:w="90" w:type="dxa"/>
              <w:right w:w="90" w:type="dxa"/>
            </w:tcMar>
          </w:tcPr>
          <w:p>
            <w:pPr>
              <w:pStyle w:val="BDOITable"/>
            </w:pPr>
            <w:r>
              <w:rPr>
                <w:sz w:val="17"/>
              </w:rPr>
              <w:t>By bucket and expiry month</w:t>
            </w:r>
          </w:p>
        </w:tc>
        <w:tc>
          <w:tcPr>
            <w:tcW w:type="dxa" w:w="1442"/>
            <w:tcMar>
              <w:top w:w="50" w:type="dxa"/>
              <w:bottom w:w="50" w:type="dxa"/>
              <w:left w:w="90" w:type="dxa"/>
              <w:right w:w="90" w:type="dxa"/>
            </w:tcMar>
          </w:tcPr>
          <w:p>
            <w:pPr>
              <w:pStyle w:val="BDOITable"/>
            </w:pPr>
            <w:r>
              <w:rPr>
                <w:sz w:val="17"/>
              </w:rPr>
              <w:t>BRIDSP-25; RL #159</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SBM-IAAF</w:t>
            </w:r>
          </w:p>
        </w:tc>
        <w:tc>
          <w:tcPr>
            <w:tcW w:type="dxa" w:w="3484"/>
            <w:tcMar>
              <w:top w:w="50" w:type="dxa"/>
              <w:bottom w:w="50" w:type="dxa"/>
              <w:left w:w="90" w:type="dxa"/>
              <w:right w:w="90" w:type="dxa"/>
            </w:tcMar>
            <w:shd w:val="clear" w:color="auto" w:fill="E5F5FF"/>
          </w:tcPr>
          <w:p>
            <w:pPr>
              <w:pStyle w:val="BDOITable"/>
            </w:pPr>
            <w:r>
              <w:rPr>
                <w:sz w:val="17"/>
              </w:rPr>
              <w:t>IAAF Tracking / Review</w:t>
            </w:r>
          </w:p>
        </w:tc>
        <w:tc>
          <w:tcPr>
            <w:tcW w:type="dxa" w:w="2643"/>
            <w:tcMar>
              <w:top w:w="50" w:type="dxa"/>
              <w:bottom w:w="50" w:type="dxa"/>
              <w:left w:w="90" w:type="dxa"/>
              <w:right w:w="90" w:type="dxa"/>
            </w:tcMar>
            <w:shd w:val="clear" w:color="auto" w:fill="E5F5FF"/>
          </w:tcPr>
          <w:p>
            <w:pPr>
              <w:pStyle w:val="BDOITable"/>
            </w:pPr>
            <w:r>
              <w:rPr>
                <w:sz w:val="17"/>
              </w:rPr>
              <w:t>Reviews, approvals, audit</w:t>
            </w:r>
          </w:p>
        </w:tc>
        <w:tc>
          <w:tcPr>
            <w:tcW w:type="dxa" w:w="1442"/>
            <w:tcMar>
              <w:top w:w="50" w:type="dxa"/>
              <w:bottom w:w="50" w:type="dxa"/>
              <w:left w:w="90" w:type="dxa"/>
              <w:right w:w="90" w:type="dxa"/>
            </w:tcMar>
            <w:shd w:val="clear" w:color="auto" w:fill="E5F5FF"/>
          </w:tcPr>
          <w:p>
            <w:pPr>
              <w:pStyle w:val="BDOITable"/>
            </w:pPr>
            <w:r>
              <w:rPr>
                <w:sz w:val="17"/>
              </w:rPr>
              <w:t>BRIDSP-05-07; RL #160</w:t>
            </w:r>
          </w:p>
        </w:tc>
      </w:tr>
      <w:tr>
        <w:trPr>
          <w:cantSplit w:val="true"/>
        </w:trPr>
        <w:tc>
          <w:tcPr>
            <w:tcW w:type="dxa" w:w="2403"/>
            <w:tcMar>
              <w:top w:w="50" w:type="dxa"/>
              <w:bottom w:w="50" w:type="dxa"/>
              <w:left w:w="90" w:type="dxa"/>
              <w:right w:w="90" w:type="dxa"/>
            </w:tcMar>
          </w:tcPr>
          <w:p>
            <w:pPr>
              <w:pStyle w:val="BDOITable"/>
            </w:pPr>
            <w:r>
              <w:rPr>
                <w:sz w:val="17"/>
              </w:rPr>
              <w:t>SBM-TOR</w:t>
            </w:r>
          </w:p>
        </w:tc>
        <w:tc>
          <w:tcPr>
            <w:tcW w:type="dxa" w:w="3484"/>
            <w:tcMar>
              <w:top w:w="50" w:type="dxa"/>
              <w:bottom w:w="50" w:type="dxa"/>
              <w:left w:w="90" w:type="dxa"/>
              <w:right w:w="90" w:type="dxa"/>
            </w:tcMar>
          </w:tcPr>
          <w:p>
            <w:pPr>
              <w:pStyle w:val="BDOITable"/>
            </w:pPr>
            <w:r>
              <w:rPr>
                <w:sz w:val="17"/>
              </w:rPr>
              <w:t>TOR Status and Approval</w:t>
            </w:r>
          </w:p>
        </w:tc>
        <w:tc>
          <w:tcPr>
            <w:tcW w:type="dxa" w:w="2643"/>
            <w:tcMar>
              <w:top w:w="50" w:type="dxa"/>
              <w:bottom w:w="50" w:type="dxa"/>
              <w:left w:w="90" w:type="dxa"/>
              <w:right w:w="90" w:type="dxa"/>
            </w:tcMar>
          </w:tcPr>
          <w:p>
            <w:pPr>
              <w:pStyle w:val="BDOITable"/>
            </w:pPr>
            <w:r>
              <w:rPr>
                <w:sz w:val="17"/>
              </w:rPr>
              <w:t>Pending, Approved, Released; AO</w:t>
            </w:r>
          </w:p>
        </w:tc>
        <w:tc>
          <w:tcPr>
            <w:tcW w:type="dxa" w:w="1442"/>
            <w:tcMar>
              <w:top w:w="50" w:type="dxa"/>
              <w:bottom w:w="50" w:type="dxa"/>
              <w:left w:w="90" w:type="dxa"/>
              <w:right w:w="90" w:type="dxa"/>
            </w:tcMar>
          </w:tcPr>
          <w:p>
            <w:pPr>
              <w:pStyle w:val="BDOITable"/>
            </w:pPr>
            <w:r>
              <w:rPr>
                <w:sz w:val="17"/>
              </w:rPr>
              <w:t>BRIDSP-17-19; RL #161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SBM-HANDLING-FEE</w:t>
            </w:r>
          </w:p>
        </w:tc>
        <w:tc>
          <w:tcPr>
            <w:tcW w:type="dxa" w:w="3484"/>
            <w:tcMar>
              <w:top w:w="50" w:type="dxa"/>
              <w:bottom w:w="50" w:type="dxa"/>
              <w:left w:w="90" w:type="dxa"/>
              <w:right w:w="90" w:type="dxa"/>
            </w:tcMar>
            <w:shd w:val="clear" w:color="auto" w:fill="E5F5FF"/>
          </w:tcPr>
          <w:p>
            <w:pPr>
              <w:pStyle w:val="BDOITable"/>
            </w:pPr>
            <w:r>
              <w:rPr>
                <w:sz w:val="17"/>
              </w:rPr>
              <w:t>Handling Fee Payment Classification</w:t>
            </w:r>
          </w:p>
        </w:tc>
        <w:tc>
          <w:tcPr>
            <w:tcW w:type="dxa" w:w="2643"/>
            <w:tcMar>
              <w:top w:w="50" w:type="dxa"/>
              <w:bottom w:w="50" w:type="dxa"/>
              <w:left w:w="90" w:type="dxa"/>
              <w:right w:w="90" w:type="dxa"/>
            </w:tcMar>
            <w:shd w:val="clear" w:color="auto" w:fill="E5F5FF"/>
          </w:tcPr>
          <w:p>
            <w:pPr>
              <w:pStyle w:val="BDOITable"/>
            </w:pPr>
            <w:r>
              <w:rPr>
                <w:sz w:val="17"/>
              </w:rPr>
              <w:t>CLPC / OTC, status, OR</w:t>
            </w:r>
          </w:p>
        </w:tc>
        <w:tc>
          <w:tcPr>
            <w:tcW w:type="dxa" w:w="1442"/>
            <w:tcMar>
              <w:top w:w="50" w:type="dxa"/>
              <w:bottom w:w="50" w:type="dxa"/>
              <w:left w:w="90" w:type="dxa"/>
              <w:right w:w="90" w:type="dxa"/>
            </w:tcMar>
            <w:shd w:val="clear" w:color="auto" w:fill="E5F5FF"/>
          </w:tcPr>
          <w:p>
            <w:pPr>
              <w:pStyle w:val="BDOITable"/>
            </w:pPr>
            <w:r>
              <w:rPr>
                <w:sz w:val="17"/>
              </w:rPr>
              <w:t>BRIDSP-31; RL #162</w:t>
            </w:r>
          </w:p>
        </w:tc>
      </w:tr>
      <w:tr>
        <w:trPr>
          <w:cantSplit w:val="true"/>
        </w:trPr>
        <w:tc>
          <w:tcPr>
            <w:tcW w:type="dxa" w:w="2403"/>
            <w:tcMar>
              <w:top w:w="50" w:type="dxa"/>
              <w:bottom w:w="50" w:type="dxa"/>
              <w:left w:w="90" w:type="dxa"/>
              <w:right w:w="90" w:type="dxa"/>
            </w:tcMar>
          </w:tcPr>
          <w:p>
            <w:pPr>
              <w:pStyle w:val="BDOITable"/>
            </w:pPr>
            <w:r>
              <w:rPr>
                <w:sz w:val="17"/>
              </w:rPr>
              <w:t>SBM-CONVERSION</w:t>
            </w:r>
          </w:p>
        </w:tc>
        <w:tc>
          <w:tcPr>
            <w:tcW w:type="dxa" w:w="3484"/>
            <w:tcMar>
              <w:top w:w="50" w:type="dxa"/>
              <w:bottom w:w="50" w:type="dxa"/>
              <w:left w:w="90" w:type="dxa"/>
              <w:right w:w="90" w:type="dxa"/>
            </w:tcMar>
          </w:tcPr>
          <w:p>
            <w:pPr>
              <w:pStyle w:val="BDOITable"/>
            </w:pPr>
            <w:r>
              <w:rPr>
                <w:sz w:val="17"/>
              </w:rPr>
              <w:t>Submitted Policies Conversion</w:t>
            </w:r>
          </w:p>
        </w:tc>
        <w:tc>
          <w:tcPr>
            <w:tcW w:type="dxa" w:w="2643"/>
            <w:tcMar>
              <w:top w:w="50" w:type="dxa"/>
              <w:bottom w:w="50" w:type="dxa"/>
              <w:left w:w="90" w:type="dxa"/>
              <w:right w:w="90" w:type="dxa"/>
            </w:tcMar>
          </w:tcPr>
          <w:p>
            <w:pPr>
              <w:pStyle w:val="BDOITable"/>
            </w:pPr>
            <w:r>
              <w:rPr>
                <w:sz w:val="17"/>
              </w:rPr>
              <w:t>Renewed, Unrenewed, Process Placement by group; persistency; accounts for review</w:t>
            </w:r>
          </w:p>
        </w:tc>
        <w:tc>
          <w:tcPr>
            <w:tcW w:type="dxa" w:w="1442"/>
            <w:tcMar>
              <w:top w:w="50" w:type="dxa"/>
              <w:bottom w:w="50" w:type="dxa"/>
              <w:left w:w="90" w:type="dxa"/>
              <w:right w:w="90" w:type="dxa"/>
            </w:tcMar>
          </w:tcPr>
          <w:p>
            <w:pPr>
              <w:pStyle w:val="BDOITable"/>
            </w:pPr>
            <w:r>
              <w:rPr>
                <w:sz w:val="17"/>
              </w:rPr>
              <w:t>BRIDSP-29; RL #163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SBM-NO-TOUCH</w:t>
            </w:r>
          </w:p>
        </w:tc>
        <w:tc>
          <w:tcPr>
            <w:tcW w:type="dxa" w:w="3484"/>
            <w:tcMar>
              <w:top w:w="50" w:type="dxa"/>
              <w:bottom w:w="50" w:type="dxa"/>
              <w:left w:w="90" w:type="dxa"/>
              <w:right w:w="90" w:type="dxa"/>
            </w:tcMar>
            <w:shd w:val="clear" w:color="auto" w:fill="E5F5FF"/>
          </w:tcPr>
          <w:p>
            <w:pPr>
              <w:pStyle w:val="BDOITable"/>
            </w:pPr>
            <w:r>
              <w:rPr>
                <w:sz w:val="17"/>
              </w:rPr>
              <w:t>Submitted Policies No Touch</w:t>
            </w:r>
          </w:p>
        </w:tc>
        <w:tc>
          <w:tcPr>
            <w:tcW w:type="dxa" w:w="2643"/>
            <w:tcMar>
              <w:top w:w="50" w:type="dxa"/>
              <w:bottom w:w="50" w:type="dxa"/>
              <w:left w:w="90" w:type="dxa"/>
              <w:right w:w="90" w:type="dxa"/>
            </w:tcMar>
            <w:shd w:val="clear" w:color="auto" w:fill="E5F5FF"/>
          </w:tcPr>
          <w:p>
            <w:pPr>
              <w:pStyle w:val="BDOITable"/>
            </w:pPr>
            <w:r>
              <w:rPr>
                <w:sz w:val="17"/>
              </w:rPr>
              <w:t>Billing list to insurers; re-upload builds the billing statement</w:t>
            </w:r>
          </w:p>
        </w:tc>
        <w:tc>
          <w:tcPr>
            <w:tcW w:type="dxa" w:w="1442"/>
            <w:tcMar>
              <w:top w:w="50" w:type="dxa"/>
              <w:bottom w:w="50" w:type="dxa"/>
              <w:left w:w="90" w:type="dxa"/>
              <w:right w:w="90" w:type="dxa"/>
            </w:tcMar>
            <w:shd w:val="clear" w:color="auto" w:fill="E5F5FF"/>
          </w:tcPr>
          <w:p>
            <w:pPr>
              <w:pStyle w:val="BDOITable"/>
            </w:pPr>
            <w:r>
              <w:rPr>
                <w:sz w:val="17"/>
              </w:rPr>
              <w:t>BRIDSP-14; RL #164</w:t>
            </w:r>
          </w:p>
        </w:tc>
      </w:tr>
      <w:tr>
        <w:trPr>
          <w:cantSplit w:val="true"/>
        </w:trPr>
        <w:tc>
          <w:tcPr>
            <w:tcW w:type="dxa" w:w="2403"/>
            <w:tcMar>
              <w:top w:w="50" w:type="dxa"/>
              <w:bottom w:w="50" w:type="dxa"/>
              <w:left w:w="90" w:type="dxa"/>
              <w:right w:w="90" w:type="dxa"/>
            </w:tcMar>
          </w:tcPr>
          <w:p>
            <w:pPr>
              <w:pStyle w:val="BDOITable"/>
            </w:pPr>
            <w:r>
              <w:rPr>
                <w:sz w:val="17"/>
              </w:rPr>
              <w:t>SBM-PR-CONVERSION</w:t>
            </w:r>
          </w:p>
        </w:tc>
        <w:tc>
          <w:tcPr>
            <w:tcW w:type="dxa" w:w="3484"/>
            <w:tcMar>
              <w:top w:w="50" w:type="dxa"/>
              <w:bottom w:w="50" w:type="dxa"/>
              <w:left w:w="90" w:type="dxa"/>
              <w:right w:w="90" w:type="dxa"/>
            </w:tcMar>
          </w:tcPr>
          <w:p>
            <w:pPr>
              <w:pStyle w:val="BDOITable"/>
            </w:pPr>
            <w:r>
              <w:rPr>
                <w:sz w:val="17"/>
              </w:rPr>
              <w:t>Policy Review Conversion</w:t>
            </w:r>
          </w:p>
        </w:tc>
        <w:tc>
          <w:tcPr>
            <w:tcW w:type="dxa" w:w="2643"/>
            <w:tcMar>
              <w:top w:w="50" w:type="dxa"/>
              <w:bottom w:w="50" w:type="dxa"/>
              <w:left w:w="90" w:type="dxa"/>
              <w:right w:w="90" w:type="dxa"/>
            </w:tcMar>
          </w:tcPr>
          <w:p>
            <w:pPr>
              <w:pStyle w:val="BDOITable"/>
            </w:pPr>
            <w:r>
              <w:rPr>
                <w:sz w:val="17"/>
              </w:rPr>
              <w:t>Reviewed policies converted</w:t>
            </w:r>
          </w:p>
        </w:tc>
        <w:tc>
          <w:tcPr>
            <w:tcW w:type="dxa" w:w="1442"/>
            <w:tcMar>
              <w:top w:w="50" w:type="dxa"/>
              <w:bottom w:w="50" w:type="dxa"/>
              <w:left w:w="90" w:type="dxa"/>
              <w:right w:w="90" w:type="dxa"/>
            </w:tcMar>
          </w:tcPr>
          <w:p>
            <w:pPr>
              <w:pStyle w:val="BDOITable"/>
            </w:pPr>
            <w:r>
              <w:rPr>
                <w:sz w:val="17"/>
              </w:rPr>
              <w:t>RL #133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SBM-PR-MONITORING</w:t>
            </w:r>
          </w:p>
        </w:tc>
        <w:tc>
          <w:tcPr>
            <w:tcW w:type="dxa" w:w="3484"/>
            <w:tcMar>
              <w:top w:w="50" w:type="dxa"/>
              <w:bottom w:w="50" w:type="dxa"/>
              <w:left w:w="90" w:type="dxa"/>
              <w:right w:w="90" w:type="dxa"/>
            </w:tcMar>
            <w:shd w:val="clear" w:color="auto" w:fill="E5F5FF"/>
          </w:tcPr>
          <w:p>
            <w:pPr>
              <w:pStyle w:val="BDOITable"/>
            </w:pPr>
            <w:r>
              <w:rPr>
                <w:sz w:val="17"/>
              </w:rPr>
              <w:t>Policy Review Monitoring</w:t>
            </w:r>
          </w:p>
        </w:tc>
        <w:tc>
          <w:tcPr>
            <w:tcW w:type="dxa" w:w="2643"/>
            <w:tcMar>
              <w:top w:w="50" w:type="dxa"/>
              <w:bottom w:w="50" w:type="dxa"/>
              <w:left w:w="90" w:type="dxa"/>
              <w:right w:w="90" w:type="dxa"/>
            </w:tcMar>
            <w:shd w:val="clear" w:color="auto" w:fill="E5F5FF"/>
          </w:tcPr>
          <w:p>
            <w:pPr>
              <w:pStyle w:val="BDOITable"/>
            </w:pPr>
            <w:r>
              <w:rPr>
                <w:sz w:val="17"/>
              </w:rPr>
              <w:t>Ageing from bank request to endorsement (SP SQ24)</w:t>
            </w:r>
          </w:p>
        </w:tc>
        <w:tc>
          <w:tcPr>
            <w:tcW w:type="dxa" w:w="1442"/>
            <w:tcMar>
              <w:top w:w="50" w:type="dxa"/>
              <w:bottom w:w="50" w:type="dxa"/>
              <w:left w:w="90" w:type="dxa"/>
              <w:right w:w="90" w:type="dxa"/>
            </w:tcMar>
            <w:shd w:val="clear" w:color="auto" w:fill="E5F5FF"/>
          </w:tcPr>
          <w:p>
            <w:pPr>
              <w:pStyle w:val="BDOITable"/>
            </w:pPr>
            <w:r>
              <w:rPr>
                <w:sz w:val="17"/>
              </w:rPr>
              <w:t>RL #134</w:t>
            </w:r>
          </w:p>
        </w:tc>
      </w:tr>
      <w:tr>
        <w:trPr>
          <w:cantSplit w:val="true"/>
        </w:trPr>
        <w:tc>
          <w:tcPr>
            <w:tcW w:type="dxa" w:w="2403"/>
            <w:tcMar>
              <w:top w:w="50" w:type="dxa"/>
              <w:bottom w:w="50" w:type="dxa"/>
              <w:left w:w="90" w:type="dxa"/>
              <w:right w:w="90" w:type="dxa"/>
            </w:tcMar>
          </w:tcPr>
          <w:p>
            <w:pPr>
              <w:pStyle w:val="BDOITable"/>
            </w:pPr>
            <w:r>
              <w:rPr>
                <w:sz w:val="17"/>
              </w:rPr>
              <w:t>SBM-PERSISTENCY</w:t>
            </w:r>
          </w:p>
        </w:tc>
        <w:tc>
          <w:tcPr>
            <w:tcW w:type="dxa" w:w="3484"/>
            <w:tcMar>
              <w:top w:w="50" w:type="dxa"/>
              <w:bottom w:w="50" w:type="dxa"/>
              <w:left w:w="90" w:type="dxa"/>
              <w:right w:w="90" w:type="dxa"/>
            </w:tcMar>
          </w:tcPr>
          <w:p>
            <w:pPr>
              <w:pStyle w:val="BDOITable"/>
            </w:pPr>
            <w:r>
              <w:rPr>
                <w:sz w:val="17"/>
              </w:rPr>
              <w:t>Renewal Persistency (submitted accounts)</w:t>
            </w:r>
          </w:p>
        </w:tc>
        <w:tc>
          <w:tcPr>
            <w:tcW w:type="dxa" w:w="2643"/>
            <w:tcMar>
              <w:top w:w="50" w:type="dxa"/>
              <w:bottom w:w="50" w:type="dxa"/>
              <w:left w:w="90" w:type="dxa"/>
              <w:right w:w="90" w:type="dxa"/>
            </w:tcMar>
          </w:tcPr>
          <w:p>
            <w:pPr>
              <w:pStyle w:val="BDOITable"/>
            </w:pPr>
            <w:r>
              <w:rPr>
                <w:sz w:val="17"/>
              </w:rPr>
              <w:t>Renewal rate of submitted accounts</w:t>
            </w:r>
          </w:p>
        </w:tc>
        <w:tc>
          <w:tcPr>
            <w:tcW w:type="dxa" w:w="1442"/>
            <w:tcMar>
              <w:top w:w="50" w:type="dxa"/>
              <w:bottom w:w="50" w:type="dxa"/>
              <w:left w:w="90" w:type="dxa"/>
              <w:right w:w="90" w:type="dxa"/>
            </w:tcMar>
          </w:tcPr>
          <w:p>
            <w:pPr>
              <w:pStyle w:val="BDOITable"/>
            </w:pPr>
            <w:r>
              <w:rPr>
                <w:sz w:val="17"/>
              </w:rPr>
              <w:t>RL #135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SBM-PENETRATION, SBM-HOLD-COVER-GAP</w:t>
            </w:r>
          </w:p>
        </w:tc>
        <w:tc>
          <w:tcPr>
            <w:tcW w:type="dxa" w:w="3484"/>
            <w:tcMar>
              <w:top w:w="50" w:type="dxa"/>
              <w:bottom w:w="50" w:type="dxa"/>
              <w:left w:w="90" w:type="dxa"/>
              <w:right w:w="90" w:type="dxa"/>
            </w:tcMar>
            <w:shd w:val="clear" w:color="auto" w:fill="E5F5FF"/>
          </w:tcPr>
          <w:p>
            <w:pPr>
              <w:pStyle w:val="BDOITable"/>
            </w:pPr>
            <w:r>
              <w:rPr>
                <w:sz w:val="17"/>
              </w:rPr>
              <w:t>Penetration Report; Hold Cover with Gap</w:t>
            </w:r>
          </w:p>
        </w:tc>
        <w:tc>
          <w:tcPr>
            <w:tcW w:type="dxa" w:w="2643"/>
            <w:tcMar>
              <w:top w:w="50" w:type="dxa"/>
              <w:bottom w:w="50" w:type="dxa"/>
              <w:left w:w="90" w:type="dxa"/>
              <w:right w:w="90" w:type="dxa"/>
            </w:tcMar>
            <w:shd w:val="clear" w:color="auto" w:fill="E5F5FF"/>
          </w:tcPr>
          <w:p>
            <w:pPr>
              <w:pStyle w:val="BDOITable"/>
            </w:pPr>
            <w:r>
              <w:rPr>
                <w:sz w:val="17"/>
              </w:rPr>
              <w:t>CBG Motor per channel; hold covers with gaps</w:t>
            </w:r>
          </w:p>
        </w:tc>
        <w:tc>
          <w:tcPr>
            <w:tcW w:type="dxa" w:w="1442"/>
            <w:tcMar>
              <w:top w:w="50" w:type="dxa"/>
              <w:bottom w:w="50" w:type="dxa"/>
              <w:left w:w="90" w:type="dxa"/>
              <w:right w:w="90" w:type="dxa"/>
            </w:tcMar>
            <w:shd w:val="clear" w:color="auto" w:fill="E5F5FF"/>
          </w:tcPr>
          <w:p>
            <w:pPr>
              <w:pStyle w:val="BDOITable"/>
            </w:pPr>
            <w:r>
              <w:rPr>
                <w:sz w:val="17"/>
              </w:rPr>
              <w:t>RL #138</w:t>
            </w:r>
          </w:p>
        </w:tc>
      </w:tr>
      <w:tr>
        <w:trPr>
          <w:cantSplit w:val="true"/>
        </w:trPr>
        <w:tc>
          <w:tcPr>
            <w:tcW w:type="dxa" w:w="2403"/>
            <w:tcMar>
              <w:top w:w="50" w:type="dxa"/>
              <w:bottom w:w="50" w:type="dxa"/>
              <w:left w:w="90" w:type="dxa"/>
              <w:right w:w="90" w:type="dxa"/>
            </w:tcMar>
          </w:tcPr>
          <w:p>
            <w:pPr>
              <w:pStyle w:val="BDOITable"/>
            </w:pPr>
            <w:r>
              <w:rPr>
                <w:sz w:val="17"/>
              </w:rPr>
              <w:t>SBM-LETTERS</w:t>
            </w:r>
          </w:p>
        </w:tc>
        <w:tc>
          <w:tcPr>
            <w:tcW w:type="dxa" w:w="3484"/>
            <w:tcMar>
              <w:top w:w="50" w:type="dxa"/>
              <w:bottom w:w="50" w:type="dxa"/>
              <w:left w:w="90" w:type="dxa"/>
              <w:right w:w="90" w:type="dxa"/>
            </w:tcMar>
          </w:tcPr>
          <w:p>
            <w:pPr>
              <w:pStyle w:val="BDOITable"/>
            </w:pPr>
            <w:r>
              <w:rPr>
                <w:sz w:val="17"/>
              </w:rPr>
              <w:t>Letters register</w:t>
            </w:r>
          </w:p>
        </w:tc>
        <w:tc>
          <w:tcPr>
            <w:tcW w:type="dxa" w:w="2643"/>
            <w:tcMar>
              <w:top w:w="50" w:type="dxa"/>
              <w:bottom w:w="50" w:type="dxa"/>
              <w:left w:w="90" w:type="dxa"/>
              <w:right w:w="90" w:type="dxa"/>
            </w:tcMar>
          </w:tcPr>
          <w:p>
            <w:pPr>
              <w:pStyle w:val="BDOITable"/>
            </w:pPr>
            <w:r>
              <w:rPr>
                <w:sz w:val="17"/>
              </w:rPr>
              <w:t>Letters of this module and print batches</w:t>
            </w:r>
          </w:p>
        </w:tc>
        <w:tc>
          <w:tcPr>
            <w:tcW w:type="dxa" w:w="1442"/>
            <w:tcMar>
              <w:top w:w="50" w:type="dxa"/>
              <w:bottom w:w="50" w:type="dxa"/>
              <w:left w:w="90" w:type="dxa"/>
              <w:right w:w="90" w:type="dxa"/>
            </w:tcMar>
          </w:tcPr>
          <w:p>
            <w:pPr>
              <w:pStyle w:val="BDOITable"/>
            </w:pPr>
            <w:r>
              <w:rPr>
                <w:sz w:val="17"/>
              </w:rPr>
              <w:t>BRIDSP-22, 24</w:t>
            </w:r>
          </w:p>
        </w:tc>
      </w:tr>
    </w:tbl>
    <w:p>
      <w:pPr>
        <w:pStyle w:val="BDOISpacer"/>
      </w:pPr>
    </w:p>
    <w:p>
      <w:r>
        <w:rPr/>
        <w:t>All reports need SBM_REPORT_VIEW (export SBM_REPORT_EXPORT), apply the user's scope, export to PDF, XLSX, ODS, CSV and XML, and support saved variants and the archive. Rows without fields in the Report List are delivered with the obvious columns and marked "layout to confirm" (SP SQ25). The renewal letters of submitted policies are listed in the Renewal report RNW-RA-DISPATCH (source Submitted Policy).</w:t>
      </w:r>
    </w:p>
    <w:p>
      <w:pPr>
        <w:pStyle w:val="Heading2"/>
      </w:pPr>
      <w:bookmarkStart w:id="165" w:name="_Toc000165"/>
      <w:r>
        <w:rPr/>
        <w:t>6.2 Sanitation report grouping</w:t>
      </w:r>
      <w:bookmarkEnd w:id="165"/>
    </w:p>
    <w:p>
      <w:pPr>
        <w:pStyle w:val="Caption"/>
        <w:keepNext/>
        <w:spacing w:after="60"/>
      </w:pPr>
      <w:r>
        <w:rPr>
          <w:b/>
          <w:i w:val="0"/>
        </w:rPr>
        <w:t xml:space="preserve">Table 14: </w:t>
      </w:r>
      <w:r>
        <w:rPr/>
        <w:t>SBM-SANITATION grouping (RL #156, Motor)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Lines</w:t>
            </w:r>
          </w:p>
        </w:tc>
      </w:tr>
      <w:tr>
        <w:trPr>
          <w:cantSplit w:val="true"/>
        </w:trPr>
        <w:tc>
          <w:tcPr>
            <w:tcW w:type="dxa" w:w="2403"/>
            <w:tcMar>
              <w:top w:w="50" w:type="dxa"/>
              <w:bottom w:w="50" w:type="dxa"/>
              <w:left w:w="90" w:type="dxa"/>
              <w:right w:w="90" w:type="dxa"/>
            </w:tcMar>
          </w:tcPr>
          <w:p>
            <w:pPr>
              <w:pStyle w:val="BDOITable"/>
            </w:pPr>
            <w:r>
              <w:rPr>
                <w:sz w:val="17"/>
              </w:rPr>
              <w:t>Expiring accounts</w:t>
            </w:r>
          </w:p>
        </w:tc>
        <w:tc>
          <w:tcPr>
            <w:tcW w:type="dxa" w:w="7569"/>
            <w:tcMar>
              <w:top w:w="50" w:type="dxa"/>
              <w:bottom w:w="50" w:type="dxa"/>
              <w:left w:w="90" w:type="dxa"/>
              <w:right w:w="90" w:type="dxa"/>
            </w:tcMar>
          </w:tcPr>
          <w:p>
            <w:pPr>
              <w:pStyle w:val="BDOITable"/>
            </w:pPr>
            <w:r>
              <w:rPr>
                <w:sz w:val="17"/>
              </w:rPr>
              <w:t>Inforce; Submitted; Pending from previous months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 renewal</w:t>
            </w:r>
          </w:p>
        </w:tc>
        <w:tc>
          <w:tcPr>
            <w:tcW w:type="dxa" w:w="7569"/>
            <w:tcMar>
              <w:top w:w="50" w:type="dxa"/>
              <w:bottom w:w="50" w:type="dxa"/>
              <w:left w:w="90" w:type="dxa"/>
              <w:right w:w="90" w:type="dxa"/>
            </w:tcMar>
            <w:shd w:val="clear" w:color="auto" w:fill="E5F5FF"/>
          </w:tcPr>
          <w:p>
            <w:pPr>
              <w:pStyle w:val="BDOITable"/>
            </w:pPr>
            <w:r>
              <w:rPr>
                <w:sz w:val="17"/>
              </w:rPr>
              <w:t>Regular; RMU; Open Market; CTPL; Auto Promo (FFY)</w:t>
            </w:r>
          </w:p>
        </w:tc>
      </w:tr>
      <w:tr>
        <w:trPr>
          <w:cantSplit w:val="true"/>
        </w:trPr>
        <w:tc>
          <w:tcPr>
            <w:tcW w:type="dxa" w:w="2403"/>
            <w:tcMar>
              <w:top w:w="50" w:type="dxa"/>
              <w:bottom w:w="50" w:type="dxa"/>
              <w:left w:w="90" w:type="dxa"/>
              <w:right w:w="90" w:type="dxa"/>
            </w:tcMar>
          </w:tcPr>
          <w:p>
            <w:pPr>
              <w:pStyle w:val="BDOITable"/>
            </w:pPr>
            <w:r>
              <w:rPr>
                <w:sz w:val="17"/>
              </w:rPr>
              <w:t>Not for renewal</w:t>
            </w:r>
          </w:p>
        </w:tc>
        <w:tc>
          <w:tcPr>
            <w:tcW w:type="dxa" w:w="7569"/>
            <w:tcMar>
              <w:top w:w="50" w:type="dxa"/>
              <w:bottom w:w="50" w:type="dxa"/>
              <w:left w:w="90" w:type="dxa"/>
              <w:right w:w="90" w:type="dxa"/>
            </w:tcMar>
          </w:tcPr>
          <w:p>
            <w:pPr>
              <w:pStyle w:val="BDOITable"/>
            </w:pPr>
            <w:r>
              <w:rPr>
                <w:sz w:val="17"/>
              </w:rPr>
              <w:t>SM / BDO Employee; No Touch; Mortgaged; Fully Paid; Cancelled / Did Not Materialize; Branch Account; Total Loss; Endorsement; Duplicate; Incorrect Expiry / Encoding; No Record with LAMD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Other</w:t>
            </w:r>
          </w:p>
        </w:tc>
        <w:tc>
          <w:tcPr>
            <w:tcW w:type="dxa" w:w="7569"/>
            <w:tcMar>
              <w:top w:w="50" w:type="dxa"/>
              <w:bottom w:w="50" w:type="dxa"/>
              <w:left w:w="90" w:type="dxa"/>
              <w:right w:w="90" w:type="dxa"/>
            </w:tcMar>
            <w:shd w:val="clear" w:color="auto" w:fill="E5F5FF"/>
          </w:tcPr>
          <w:p>
            <w:pPr>
              <w:pStyle w:val="BDOITable"/>
            </w:pPr>
            <w:r>
              <w:rPr>
                <w:sz w:val="17"/>
              </w:rPr>
              <w:t>Pending for disposition; RB Submitted</w:t>
            </w:r>
          </w:p>
        </w:tc>
      </w:tr>
    </w:tbl>
    <w:p>
      <w:pPr>
        <w:pStyle w:val="BDOISpacer"/>
      </w:pPr>
    </w:p>
    <w:p>
      <w:pPr>
        <w:pStyle w:val="Heading2"/>
      </w:pPr>
      <w:bookmarkStart w:id="166" w:name="_Toc000166"/>
      <w:r>
        <w:rPr/>
        <w:t>6.3 Documents</w:t>
      </w:r>
      <w:bookmarkEnd w:id="166"/>
    </w:p>
    <w:p>
      <w:pPr>
        <w:pStyle w:val="Caption"/>
        <w:keepNext/>
        <w:spacing w:after="60"/>
      </w:pPr>
      <w:r>
        <w:rPr>
          <w:b/>
          <w:i w:val="0"/>
        </w:rPr>
        <w:t xml:space="preserve">Table 15: </w:t>
      </w:r>
      <w:r>
        <w:rPr/>
        <w:t>Submitted Policies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802"/>
        <w:gridCol w:w="5647"/>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523"/>
            <w:tcMar>
              <w:top w:w="50" w:type="dxa"/>
              <w:bottom w:w="50" w:type="dxa"/>
              <w:left w:w="90" w:type="dxa"/>
              <w:right w:w="90" w:type="dxa"/>
            </w:tcMar>
          </w:tcPr>
          <w:p>
            <w:pPr>
              <w:pStyle w:val="BDOITable"/>
            </w:pPr>
            <w:r>
              <w:rPr>
                <w:sz w:val="17"/>
              </w:rPr>
              <w:t>SBM_IAAF</w:t>
            </w:r>
          </w:p>
        </w:tc>
        <w:tc>
          <w:tcPr>
            <w:tcW w:type="dxa" w:w="1802"/>
            <w:tcMar>
              <w:top w:w="50" w:type="dxa"/>
              <w:bottom w:w="50" w:type="dxa"/>
              <w:left w:w="90" w:type="dxa"/>
              <w:right w:w="90" w:type="dxa"/>
            </w:tcMar>
          </w:tcPr>
          <w:p>
            <w:pPr>
              <w:pStyle w:val="BDOITable"/>
            </w:pPr>
            <w:r>
              <w:rPr>
                <w:sz w:val="17"/>
              </w:rPr>
              <w:t>PDF, e-mail to the bank counterpart</w:t>
            </w:r>
          </w:p>
        </w:tc>
        <w:tc>
          <w:tcPr>
            <w:tcW w:type="dxa" w:w="5647"/>
            <w:tcMar>
              <w:top w:w="50" w:type="dxa"/>
              <w:bottom w:w="50" w:type="dxa"/>
              <w:left w:w="90" w:type="dxa"/>
              <w:right w:w="90" w:type="dxa"/>
            </w:tcMar>
          </w:tcPr>
          <w:p>
            <w:pPr>
              <w:pStyle w:val="BDOITable"/>
            </w:pPr>
            <w:r>
              <w:rPr>
                <w:sz w:val="17"/>
              </w:rPr>
              <w:t>Policy and borrower; reviews with dates, adequacy and findings; review count; linked policies; approval levels with stamped signatures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SBM_TOR</w:t>
            </w:r>
          </w:p>
        </w:tc>
        <w:tc>
          <w:tcPr>
            <w:tcW w:type="dxa" w:w="1802"/>
            <w:tcMar>
              <w:top w:w="50" w:type="dxa"/>
              <w:bottom w:w="50" w:type="dxa"/>
              <w:left w:w="90" w:type="dxa"/>
              <w:right w:w="90" w:type="dxa"/>
            </w:tcMar>
            <w:shd w:val="clear" w:color="auto" w:fill="E5F5FF"/>
          </w:tcPr>
          <w:p>
            <w:pPr>
              <w:pStyle w:val="BDOITable"/>
            </w:pPr>
            <w:r>
              <w:rPr>
                <w:sz w:val="17"/>
              </w:rPr>
              <w:t>PDF, attachment TOR</w:t>
            </w:r>
          </w:p>
        </w:tc>
        <w:tc>
          <w:tcPr>
            <w:tcW w:type="dxa" w:w="5647"/>
            <w:tcMar>
              <w:top w:w="50" w:type="dxa"/>
              <w:bottom w:w="50" w:type="dxa"/>
              <w:left w:w="90" w:type="dxa"/>
              <w:right w:w="90" w:type="dxa"/>
            </w:tcMar>
            <w:shd w:val="clear" w:color="auto" w:fill="E5F5FF"/>
          </w:tcPr>
          <w:p>
            <w:pPr>
              <w:pStyle w:val="BDOITable"/>
            </w:pPr>
            <w:r>
              <w:rPr>
                <w:sz w:val="17"/>
              </w:rPr>
              <w:t>Account; breached limits with limit and value; proposed terms; approvals with stamped signatures</w:t>
            </w:r>
          </w:p>
        </w:tc>
      </w:tr>
      <w:tr>
        <w:trPr>
          <w:cantSplit w:val="true"/>
        </w:trPr>
        <w:tc>
          <w:tcPr>
            <w:tcW w:type="dxa" w:w="2523"/>
            <w:tcMar>
              <w:top w:w="50" w:type="dxa"/>
              <w:bottom w:w="50" w:type="dxa"/>
              <w:left w:w="90" w:type="dxa"/>
              <w:right w:w="90" w:type="dxa"/>
            </w:tcMar>
          </w:tcPr>
          <w:p>
            <w:pPr>
              <w:pStyle w:val="BDOITable"/>
            </w:pPr>
            <w:r>
              <w:rPr>
                <w:sz w:val="17"/>
              </w:rPr>
              <w:t>SBM_REMINDER</w:t>
            </w:r>
          </w:p>
        </w:tc>
        <w:tc>
          <w:tcPr>
            <w:tcW w:type="dxa" w:w="1802"/>
            <w:tcMar>
              <w:top w:w="50" w:type="dxa"/>
              <w:bottom w:w="50" w:type="dxa"/>
              <w:left w:w="90" w:type="dxa"/>
              <w:right w:w="90" w:type="dxa"/>
            </w:tcMar>
          </w:tcPr>
          <w:p>
            <w:pPr>
              <w:pStyle w:val="BDOITable"/>
            </w:pPr>
            <w:r>
              <w:rPr>
                <w:sz w:val="17"/>
              </w:rPr>
              <w:t>PDF, e-mail or print</w:t>
            </w:r>
          </w:p>
        </w:tc>
        <w:tc>
          <w:tcPr>
            <w:tcW w:type="dxa" w:w="5647"/>
            <w:tcMar>
              <w:top w:w="50" w:type="dxa"/>
              <w:bottom w:w="50" w:type="dxa"/>
              <w:left w:w="90" w:type="dxa"/>
              <w:right w:w="90" w:type="dxa"/>
            </w:tcMar>
          </w:tcPr>
          <w:p>
            <w:pPr>
              <w:pStyle w:val="BDOITable"/>
            </w:pPr>
            <w:r>
              <w:rPr>
                <w:sz w:val="17"/>
              </w:rPr>
              <w:t>Policy-review follow-up to the client c/o the bank counterpart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SBM_RENEWAL_NOTICE, SBM_RENEWAL_PROPOSAL</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647"/>
            <w:tcMar>
              <w:top w:w="50" w:type="dxa"/>
              <w:bottom w:w="50" w:type="dxa"/>
              <w:left w:w="90" w:type="dxa"/>
              <w:right w:w="90" w:type="dxa"/>
            </w:tcMar>
            <w:shd w:val="clear" w:color="auto" w:fill="E5F5FF"/>
          </w:tcPr>
          <w:p>
            <w:pPr>
              <w:pStyle w:val="BDOITable"/>
            </w:pPr>
            <w:r>
              <w:rPr>
                <w:sz w:val="17"/>
              </w:rPr>
              <w:t>Renewal notice and proposal (owner to confirm, XQ03)</w:t>
            </w:r>
          </w:p>
        </w:tc>
      </w:tr>
      <w:tr>
        <w:trPr>
          <w:cantSplit w:val="true"/>
        </w:trPr>
        <w:tc>
          <w:tcPr>
            <w:tcW w:type="dxa" w:w="2523"/>
            <w:tcMar>
              <w:top w:w="50" w:type="dxa"/>
              <w:bottom w:w="50" w:type="dxa"/>
              <w:left w:w="90" w:type="dxa"/>
              <w:right w:w="90" w:type="dxa"/>
            </w:tcMar>
          </w:tcPr>
          <w:p>
            <w:pPr>
              <w:pStyle w:val="BDOITable"/>
            </w:pPr>
            <w:r>
              <w:rPr>
                <w:sz w:val="17"/>
              </w:rPr>
              <w:t>SBM_NO_TOUCH_BILLING</w:t>
            </w:r>
          </w:p>
        </w:tc>
        <w:tc>
          <w:tcPr>
            <w:tcW w:type="dxa" w:w="1802"/>
            <w:tcMar>
              <w:top w:w="50" w:type="dxa"/>
              <w:bottom w:w="50" w:type="dxa"/>
              <w:left w:w="90" w:type="dxa"/>
              <w:right w:w="90" w:type="dxa"/>
            </w:tcMar>
          </w:tcPr>
          <w:p>
            <w:pPr>
              <w:pStyle w:val="BDOITable"/>
            </w:pPr>
            <w:r>
              <w:rPr>
                <w:sz w:val="17"/>
              </w:rPr>
              <w:t>XLSX, PDF</w:t>
            </w:r>
          </w:p>
        </w:tc>
        <w:tc>
          <w:tcPr>
            <w:tcW w:type="dxa" w:w="5647"/>
            <w:tcMar>
              <w:top w:w="50" w:type="dxa"/>
              <w:bottom w:w="50" w:type="dxa"/>
              <w:left w:w="90" w:type="dxa"/>
              <w:right w:w="90" w:type="dxa"/>
            </w:tcMar>
          </w:tcPr>
          <w:p>
            <w:pPr>
              <w:pStyle w:val="BDOITable"/>
            </w:pPr>
            <w:r>
              <w:rPr>
                <w:sz w:val="17"/>
              </w:rPr>
              <w:t>No Touch billing list and statement</w:t>
            </w:r>
          </w:p>
        </w:tc>
      </w:tr>
    </w:tbl>
    <w:p>
      <w:pPr>
        <w:pStyle w:val="BDOISpacer"/>
      </w:pPr>
    </w:p>
    <w:p>
      <w:r>
        <w:rPr/>
        <w:t>All templates are drafts until BDOI supplies the layouts (SP SQ07-SQ09). The RA (generic and FFY), NRNS, NAL and SFU templates belong to the Renewal module (RNW_RA_FIRST, RNW_RA_FFY, RNW_NRNS_REMINDER, RNW_NAL, RNW_SFU).</w:t>
      </w:r>
    </w:p>
    <w:p>
      <w:pPr>
        <w:pStyle w:val="Heading1"/>
        <w:pageBreakBefore/>
        <w:pBdr>
          <w:bottom w:val="single" w:sz="4" w:space="4" w:color="99C1E7"/>
        </w:pBdr>
      </w:pPr>
      <w:bookmarkStart w:id="167" w:name="_Toc000167"/>
      <w:r>
        <w:rPr/>
        <w:t>7 Interfaces and integration</w:t>
      </w:r>
      <w:bookmarkEnd w:id="167"/>
    </w:p>
    <w:p>
      <w:r>
        <w:rPr/>
        <w:t>Figure 7 shows the interfaces. Sources arrive as uploads; the renewal leaves through the hand-off port to the Renewal module; handling-fee payments are applied by Cashiering through the Operations ports.</w:t>
      </w:r>
    </w:p>
    <w:p>
      <w:pPr>
        <w:keepNext/>
        <w:spacing w:before="80" w:after="0"/>
        <w:jc w:val="center"/>
      </w:pPr>
      <w:r>
        <w:drawing>
          <wp:inline xmlns:a="http://schemas.openxmlformats.org/drawingml/2006/main" xmlns:pic="http://schemas.openxmlformats.org/drawingml/2006/picture">
            <wp:extent cx="6332220" cy="2778371"/>
            <wp:docPr id="9" name="Picture 9"/>
            <wp:cNvGraphicFramePr>
              <a:graphicFrameLocks noChangeAspect="1"/>
            </wp:cNvGraphicFramePr>
            <a:graphic>
              <a:graphicData uri="http://schemas.openxmlformats.org/drawingml/2006/picture">
                <pic:pic>
                  <pic:nvPicPr>
                    <pic:cNvPr id="0" name="brd12_integration.png"/>
                    <pic:cNvPicPr/>
                  </pic:nvPicPr>
                  <pic:blipFill>
                    <a:blip r:embed="rId21"/>
                    <a:stretch>
                      <a:fillRect/>
                    </a:stretch>
                  </pic:blipFill>
                  <pic:spPr>
                    <a:xfrm>
                      <a:off x="0" y="0"/>
                      <a:ext cx="6332220" cy="2778371"/>
                    </a:xfrm>
                    <a:prstGeom prst="rect"/>
                  </pic:spPr>
                </pic:pic>
              </a:graphicData>
            </a:graphic>
          </wp:inline>
        </w:drawing>
      </w:r>
    </w:p>
    <w:p>
      <w:pPr>
        <w:pStyle w:val="Caption"/>
        <w:jc w:val="center"/>
      </w:pPr>
      <w:r>
        <w:rPr>
          <w:b/>
          <w:i w:val="0"/>
        </w:rPr>
        <w:t xml:space="preserve">Figure 7: </w:t>
      </w:r>
      <w:r>
        <w:rPr/>
        <w:t>Interfaces of Submitted Policies (dashed = parked or upload)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56"/>
            <w:tcMar>
              <w:top w:w="50" w:type="dxa"/>
              <w:bottom w:w="50" w:type="dxa"/>
              <w:left w:w="90" w:type="dxa"/>
              <w:right w:w="90" w:type="dxa"/>
            </w:tcMar>
          </w:tcPr>
          <w:p>
            <w:pPr>
              <w:pStyle w:val="BDOITable"/>
            </w:pPr>
            <w:r>
              <w:rPr>
                <w:sz w:val="17"/>
              </w:rPr>
              <w:t>LFS, HLS, CIU, SPI, Loan Booking Report, IA masterlist</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Excel uploads per source layout; feeds parked (SubmittedSourceFeed)</w:t>
            </w:r>
          </w:p>
        </w:tc>
        <w:tc>
          <w:tcPr>
            <w:tcW w:type="dxa" w:w="1425"/>
            <w:tcMar>
              <w:top w:w="50" w:type="dxa"/>
              <w:bottom w:w="50" w:type="dxa"/>
              <w:left w:w="90" w:type="dxa"/>
              <w:right w:w="90" w:type="dxa"/>
            </w:tcMar>
          </w:tcPr>
          <w:p>
            <w:pPr>
              <w:pStyle w:val="BDOITable"/>
            </w:pPr>
            <w:r>
              <w:rPr>
                <w:sz w:val="17"/>
              </w:rPr>
              <w:t>BRIDSP-01</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Loan snapshot upload by PN</w:t>
            </w:r>
          </w:p>
        </w:tc>
        <w:tc>
          <w:tcPr>
            <w:tcW w:type="dxa" w:w="1425"/>
            <w:tcMar>
              <w:top w:w="50" w:type="dxa"/>
              <w:bottom w:w="50" w:type="dxa"/>
              <w:left w:w="90" w:type="dxa"/>
              <w:right w:w="90" w:type="dxa"/>
            </w:tcMar>
            <w:shd w:val="clear" w:color="auto" w:fill="E5F5FF"/>
          </w:tcPr>
          <w:p>
            <w:pPr>
              <w:pStyle w:val="BDOITable"/>
            </w:pPr>
            <w:r>
              <w:rPr>
                <w:sz w:val="17"/>
              </w:rPr>
              <w:t>BRIDSP-13</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Policy documents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Extraction of text PDFs; OCR parked</w:t>
            </w:r>
          </w:p>
        </w:tc>
        <w:tc>
          <w:tcPr>
            <w:tcW w:type="dxa" w:w="1425"/>
            <w:tcMar>
              <w:top w:w="50" w:type="dxa"/>
              <w:bottom w:w="50" w:type="dxa"/>
              <w:left w:w="90" w:type="dxa"/>
              <w:right w:w="90" w:type="dxa"/>
            </w:tcMar>
          </w:tcPr>
          <w:p>
            <w:pPr>
              <w:pStyle w:val="BDOITable"/>
            </w:pPr>
            <w:r>
              <w:rPr>
                <w:sz w:val="17"/>
              </w:rPr>
              <w:t>BRIDSP-02</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Excel masterlists</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One-time migration</w:t>
            </w:r>
          </w:p>
        </w:tc>
        <w:tc>
          <w:tcPr>
            <w:tcW w:type="dxa" w:w="1425"/>
            <w:tcMar>
              <w:top w:w="50" w:type="dxa"/>
              <w:bottom w:w="50" w:type="dxa"/>
              <w:left w:w="90" w:type="dxa"/>
              <w:right w:w="90" w:type="dxa"/>
            </w:tcMar>
            <w:shd w:val="clear" w:color="auto" w:fill="E5F5FF"/>
          </w:tcPr>
          <w:p>
            <w:pPr>
              <w:pStyle w:val="BDOITable"/>
            </w:pPr>
            <w:r>
              <w:rPr>
                <w:sz w:val="17"/>
              </w:rPr>
              <w:t>BRIDSP-33</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tcPr>
          <w:p>
            <w:pPr>
              <w:pStyle w:val="BDOITable"/>
            </w:pPr>
            <w:r>
              <w:rPr>
                <w:sz w:val="17"/>
              </w:rPr>
              <w:t>Renewal (BRD-6)</w:t>
            </w:r>
          </w:p>
        </w:tc>
        <w:tc>
          <w:tcPr>
            <w:tcW w:type="dxa" w:w="1068"/>
            <w:tcMar>
              <w:top w:w="50" w:type="dxa"/>
              <w:bottom w:w="50" w:type="dxa"/>
              <w:left w:w="90" w:type="dxa"/>
              <w:right w:w="90" w:type="dxa"/>
            </w:tcMar>
          </w:tcPr>
          <w:p>
            <w:pPr>
              <w:pStyle w:val="BDOITable"/>
            </w:pPr>
            <w:r>
              <w:rPr>
                <w:sz w:val="17"/>
              </w:rPr>
              <w:t>Out / In</w:t>
            </w:r>
          </w:p>
        </w:tc>
        <w:tc>
          <w:tcPr>
            <w:tcW w:type="dxa" w:w="4274"/>
            <w:tcMar>
              <w:top w:w="50" w:type="dxa"/>
              <w:bottom w:w="50" w:type="dxa"/>
              <w:left w:w="90" w:type="dxa"/>
              <w:right w:w="90" w:type="dxa"/>
            </w:tcMar>
          </w:tcPr>
          <w:p>
            <w:pPr>
              <w:pStyle w:val="BDOITable"/>
            </w:pPr>
            <w:r>
              <w:rPr>
                <w:sz w:val="17"/>
              </w:rPr>
              <w:t>RenewalHandOff; status query of a hand-off</w:t>
            </w:r>
          </w:p>
        </w:tc>
        <w:tc>
          <w:tcPr>
            <w:tcW w:type="dxa" w:w="1425"/>
            <w:tcMar>
              <w:top w:w="50" w:type="dxa"/>
              <w:bottom w:w="50" w:type="dxa"/>
              <w:left w:w="90" w:type="dxa"/>
              <w:right w:w="90" w:type="dxa"/>
            </w:tcMar>
          </w:tcPr>
          <w:p>
            <w:pPr>
              <w:pStyle w:val="BDOITable"/>
            </w:pPr>
            <w:r>
              <w:rPr>
                <w:sz w:val="17"/>
              </w:rPr>
              <w:t>BRIDSP-22, 23, 25, 26</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Hold cover re-assignment</w:t>
            </w:r>
          </w:p>
        </w:tc>
        <w:tc>
          <w:tcPr>
            <w:tcW w:type="dxa" w:w="1425"/>
            <w:tcMar>
              <w:top w:w="50" w:type="dxa"/>
              <w:bottom w:w="50" w:type="dxa"/>
              <w:left w:w="90" w:type="dxa"/>
              <w:right w:w="90" w:type="dxa"/>
            </w:tcMar>
            <w:shd w:val="clear" w:color="auto" w:fill="E5F5FF"/>
          </w:tcPr>
          <w:p>
            <w:pPr>
              <w:pStyle w:val="BDOITable"/>
            </w:pPr>
            <w:r>
              <w:rPr>
                <w:sz w:val="17"/>
              </w:rPr>
              <w:t>BRIDSP-32</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Account and booking (BRD-1)</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AccountStatusChanged; InvoiceBooked with business type RENEWAL (BT0)</w:t>
            </w:r>
          </w:p>
        </w:tc>
        <w:tc>
          <w:tcPr>
            <w:tcW w:type="dxa" w:w="1425"/>
            <w:tcMar>
              <w:top w:w="50" w:type="dxa"/>
              <w:bottom w:w="50" w:type="dxa"/>
              <w:left w:w="90" w:type="dxa"/>
              <w:right w:w="90" w:type="dxa"/>
            </w:tcMar>
          </w:tcPr>
          <w:p>
            <w:pPr>
              <w:pStyle w:val="BDOITable"/>
            </w:pPr>
            <w:r>
              <w:rPr>
                <w:sz w:val="17"/>
              </w:rPr>
              <w:t>BRIDSP-26, 27</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Cashiering and Collections</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Disposition request RECOGNIZE_INCOME for handling fees</w:t>
            </w:r>
          </w:p>
        </w:tc>
        <w:tc>
          <w:tcPr>
            <w:tcW w:type="dxa" w:w="1425"/>
            <w:tcMar>
              <w:top w:w="50" w:type="dxa"/>
              <w:bottom w:w="50" w:type="dxa"/>
              <w:left w:w="90" w:type="dxa"/>
              <w:right w:w="90" w:type="dxa"/>
            </w:tcMar>
            <w:shd w:val="clear" w:color="auto" w:fill="E5F5FF"/>
          </w:tcPr>
          <w:p>
            <w:pPr>
              <w:pStyle w:val="BDOITable"/>
            </w:pPr>
            <w:r>
              <w:rPr>
                <w:sz w:val="17"/>
              </w:rPr>
              <w:t>BRIDSP-31</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E-mail outbox</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IAAF, TOR, letters</w:t>
            </w:r>
          </w:p>
        </w:tc>
        <w:tc>
          <w:tcPr>
            <w:tcW w:type="dxa" w:w="1425"/>
            <w:tcMar>
              <w:top w:w="50" w:type="dxa"/>
              <w:bottom w:w="50" w:type="dxa"/>
              <w:left w:w="90" w:type="dxa"/>
              <w:right w:w="90" w:type="dxa"/>
            </w:tcMar>
          </w:tcPr>
          <w:p>
            <w:pPr>
              <w:pStyle w:val="BDOITable"/>
            </w:pPr>
            <w:r>
              <w:rPr>
                <w:sz w:val="17"/>
              </w:rPr>
              <w:t>BRIDSP-07, 22</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Mail house (COG)</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Print batches (merged PDF and control list)</w:t>
            </w:r>
          </w:p>
        </w:tc>
        <w:tc>
          <w:tcPr>
            <w:tcW w:type="dxa" w:w="1425"/>
            <w:tcMar>
              <w:top w:w="50" w:type="dxa"/>
              <w:bottom w:w="50" w:type="dxa"/>
              <w:left w:w="90" w:type="dxa"/>
              <w:right w:w="90" w:type="dxa"/>
            </w:tcMar>
            <w:shd w:val="clear" w:color="auto" w:fill="E5F5FF"/>
          </w:tcPr>
          <w:p>
            <w:pPr>
              <w:pStyle w:val="BDOITable"/>
            </w:pPr>
            <w:r>
              <w:rPr>
                <w:sz w:val="17"/>
              </w:rPr>
              <w:t>BRIDSP-22</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E-signature</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Qualified e-signature of IAAF and TOR; stamped signature until then</w:t>
            </w:r>
          </w:p>
        </w:tc>
        <w:tc>
          <w:tcPr>
            <w:tcW w:type="dxa" w:w="1425"/>
            <w:tcMar>
              <w:top w:w="50" w:type="dxa"/>
              <w:bottom w:w="50" w:type="dxa"/>
              <w:left w:w="90" w:type="dxa"/>
              <w:right w:w="90" w:type="dxa"/>
            </w:tcMar>
          </w:tcPr>
          <w:p>
            <w:pPr>
              <w:pStyle w:val="BDOITable"/>
            </w:pPr>
            <w:r>
              <w:rPr>
                <w:sz w:val="17"/>
              </w:rPr>
              <w:t>BRIDSP-07, 18</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ISYS / ARF</w:t>
            </w:r>
          </w:p>
        </w:tc>
        <w:tc>
          <w:tcPr>
            <w:tcW w:type="dxa" w:w="1068"/>
            <w:tcMar>
              <w:top w:w="50" w:type="dxa"/>
              <w:bottom w:w="50" w:type="dxa"/>
              <w:left w:w="90" w:type="dxa"/>
              <w:right w:w="90" w:type="dxa"/>
            </w:tcMar>
            <w:shd w:val="clear" w:color="auto" w:fill="E5F5FF"/>
          </w:tcPr>
          <w:p>
            <w:pPr>
              <w:pStyle w:val="BDOITable"/>
            </w:pPr>
            <w:r>
              <w:rPr>
                <w:sz w:val="17"/>
              </w:rPr>
              <w:t>-</w:t>
            </w:r>
          </w:p>
        </w:tc>
        <w:tc>
          <w:tcPr>
            <w:tcW w:type="dxa" w:w="4274"/>
            <w:tcMar>
              <w:top w:w="50" w:type="dxa"/>
              <w:bottom w:w="50" w:type="dxa"/>
              <w:left w:w="90" w:type="dxa"/>
              <w:right w:w="90" w:type="dxa"/>
            </w:tcMar>
            <w:shd w:val="clear" w:color="auto" w:fill="E5F5FF"/>
          </w:tcPr>
          <w:p>
            <w:pPr>
              <w:pStyle w:val="BDOITable"/>
            </w:pPr>
            <w:r>
              <w:rPr>
                <w:sz w:val="17"/>
              </w:rPr>
              <w:t>Not fed; the ARN is the reference (SP SQ20)</w:t>
            </w:r>
          </w:p>
        </w:tc>
        <w:tc>
          <w:tcPr>
            <w:tcW w:type="dxa" w:w="1425"/>
            <w:tcMar>
              <w:top w:w="50" w:type="dxa"/>
              <w:bottom w:w="50" w:type="dxa"/>
              <w:left w:w="90" w:type="dxa"/>
              <w:right w:w="90" w:type="dxa"/>
            </w:tcMar>
            <w:shd w:val="clear" w:color="auto" w:fill="E5F5FF"/>
          </w:tcPr>
          <w:p>
            <w:pPr>
              <w:pStyle w:val="BDOITable"/>
            </w:pPr>
            <w:r>
              <w:rPr>
                <w:sz w:val="17"/>
              </w:rPr>
              <w:t>p.5</w:t>
            </w:r>
          </w:p>
        </w:tc>
        <w:tc>
          <w:tcPr>
            <w:tcW w:type="dxa" w:w="950"/>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68" w:name="_Toc000168"/>
      <w:r>
        <w:rPr/>
        <w:t>8 Non-functional requirements</w:t>
      </w:r>
      <w:bookmarkEnd w:id="168"/>
    </w:p>
    <w:p>
      <w:pPr>
        <w:pStyle w:val="Caption"/>
        <w:keepNext/>
        <w:spacing w:after="60"/>
      </w:pPr>
      <w:r>
        <w:rPr>
          <w:b/>
          <w:i w:val="0"/>
        </w:rPr>
        <w:t xml:space="preserve">Table 17: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CBG Admin / Mktg 30 (15 concurrent) for log-in and sanitation; Non-CBG Corporate Policy Review officers 8 (6) for log-in and policy review</w:t>
            </w:r>
          </w:p>
        </w:tc>
        <w:tc>
          <w:tcPr>
            <w:tcW w:type="dxa" w:w="3244"/>
            <w:tcMar>
              <w:top w:w="50" w:type="dxa"/>
              <w:bottom w:w="50" w:type="dxa"/>
              <w:left w:w="90" w:type="dxa"/>
              <w:right w:w="90" w:type="dxa"/>
            </w:tcMar>
          </w:tcPr>
          <w:p>
            <w:pPr>
              <w:pStyle w:val="BDOITable"/>
            </w:pPr>
            <w:r>
              <w:rPr>
                <w:sz w:val="17"/>
              </w:rPr>
              <w:t>Within the BRD-1 sizing of 145 concurrent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Log-ins 22,000 a year (+5%); sanitation 63,000 a year (+25% a year); Non-CBG log-ins and policy reviews 2,000 a year each (+5%)</w:t>
            </w:r>
          </w:p>
        </w:tc>
        <w:tc>
          <w:tcPr>
            <w:tcW w:type="dxa" w:w="3244"/>
            <w:tcMar>
              <w:top w:w="50" w:type="dxa"/>
              <w:bottom w:w="50" w:type="dxa"/>
              <w:left w:w="90" w:type="dxa"/>
              <w:right w:w="90" w:type="dxa"/>
            </w:tcMar>
            <w:shd w:val="clear" w:color="auto" w:fill="E5F5FF"/>
          </w:tcPr>
          <w:p>
            <w:pPr>
              <w:pStyle w:val="BDOITable"/>
            </w:pPr>
            <w:r>
              <w:rPr>
                <w:sz w:val="17"/>
              </w:rPr>
              <w:t>Processing runs set-based per step; about 154,000 sanitations in year 5</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2 seconds for all listed transactions</w:t>
            </w:r>
          </w:p>
        </w:tc>
        <w:tc>
          <w:tcPr>
            <w:tcW w:type="dxa" w:w="3244"/>
            <w:tcMar>
              <w:top w:w="50" w:type="dxa"/>
              <w:bottom w:w="50" w:type="dxa"/>
              <w:left w:w="90" w:type="dxa"/>
              <w:right w:w="90" w:type="dxa"/>
            </w:tcMar>
          </w:tcPr>
          <w:p>
            <w:pPr>
              <w:pStyle w:val="BDOITable"/>
            </w:pPr>
            <w:r>
              <w:rPr>
                <w:sz w:val="17"/>
              </w:rPr>
              <w:t>Screens and single-record actions within 2 seconds; runs, exports and letters asynchronous with progress. Tighter than BRD-1 (10 s) and Operations (5 s) (SP SQ21)</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End of month and year-end; 08:00-18:00 daily; no mobile vs desktop difference</w:t>
            </w:r>
          </w:p>
        </w:tc>
        <w:tc>
          <w:tcPr>
            <w:tcW w:type="dxa" w:w="3244"/>
            <w:tcMar>
              <w:top w:w="50" w:type="dxa"/>
              <w:bottom w:w="50" w:type="dxa"/>
              <w:left w:w="90" w:type="dxa"/>
              <w:right w:w="90" w:type="dxa"/>
            </w:tcMar>
            <w:shd w:val="clear" w:color="auto" w:fill="E5F5FF"/>
          </w:tcPr>
          <w:p>
            <w:pPr>
              <w:pStyle w:val="BDOITable"/>
            </w:pPr>
            <w:r>
              <w:rPr>
                <w:sz w:val="17"/>
              </w:rPr>
              <w:t>Batch jobs at night (processing 21:30, expiry scan 22:00, letters 06:30 PHT)</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business hours; at most 45 minutes of planned downtime a month; maintenance 00:00-04:00</w:t>
            </w:r>
          </w:p>
        </w:tc>
        <w:tc>
          <w:tcPr>
            <w:tcW w:type="dxa" w:w="3244"/>
            <w:tcMar>
              <w:top w:w="50" w:type="dxa"/>
              <w:bottom w:w="50" w:type="dxa"/>
              <w:left w:w="90" w:type="dxa"/>
              <w:right w:w="90" w:type="dxa"/>
            </w:tcMar>
          </w:tcPr>
          <w:p>
            <w:pPr>
              <w:pStyle w:val="BDOITable"/>
            </w:pPr>
            <w:r>
              <w:rPr>
                <w:sz w:val="17"/>
              </w:rPr>
              <w:t>Platform deployment; one BIBS-wide NFR set is being agreed (XQ08)</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Continuity</w:t>
            </w:r>
          </w:p>
        </w:tc>
        <w:tc>
          <w:tcPr>
            <w:tcW w:type="dxa" w:w="3364"/>
            <w:tcMar>
              <w:top w:w="50" w:type="dxa"/>
              <w:bottom w:w="50" w:type="dxa"/>
              <w:left w:w="90" w:type="dxa"/>
              <w:right w:w="90" w:type="dxa"/>
            </w:tcMar>
            <w:shd w:val="clear" w:color="auto" w:fill="E5F5FF"/>
          </w:tcPr>
          <w:p>
            <w:pPr>
              <w:pStyle w:val="BDOITable"/>
            </w:pPr>
            <w:r>
              <w:rPr>
                <w:sz w:val="17"/>
              </w:rPr>
              <w:t>Critical services restored within 4 hours; full recovery within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Transaction and submitted policy records 5 years online, 5 years archive; daily backup kept 5 years; no anonymisation</w:t>
            </w:r>
          </w:p>
        </w:tc>
        <w:tc>
          <w:tcPr>
            <w:tcW w:type="dxa" w:w="3244"/>
            <w:tcMar>
              <w:top w:w="50" w:type="dxa"/>
              <w:bottom w:w="50" w:type="dxa"/>
              <w:left w:w="90" w:type="dxa"/>
              <w:right w:w="90" w:type="dxa"/>
            </w:tcMar>
          </w:tcPr>
          <w:p>
            <w:pPr>
              <w:pStyle w:val="BDOITable"/>
            </w:pPr>
            <w:r>
              <w:rPr>
                <w:sz w:val="17"/>
              </w:rPr>
              <w:t>Retention rule SUBMITTED_POLICY; differs from BRD-1 (5 / 15 years) (SP SQ22)</w:t>
            </w:r>
          </w:p>
        </w:tc>
        <w:tc>
          <w:tcPr>
            <w:tcW w:type="dxa" w:w="1562"/>
            <w:tcMar>
              <w:top w:w="50" w:type="dxa"/>
              <w:bottom w:w="50" w:type="dxa"/>
              <w:left w:w="90" w:type="dxa"/>
              <w:right w:w="90" w:type="dxa"/>
            </w:tcMar>
          </w:tcPr>
          <w:p>
            <w:pPr>
              <w:pStyle w:val="BDOITable"/>
            </w:pPr>
            <w:r>
              <w:rPr>
                <w:sz w:val="17"/>
              </w:rPr>
              <w:t>CONFIGURE</w:t>
            </w:r>
          </w:p>
        </w:tc>
      </w:tr>
    </w:tbl>
    <w:p>
      <w:pPr>
        <w:pStyle w:val="BDOISpacer"/>
      </w:pPr>
    </w:p>
    <w:p>
      <w:pPr>
        <w:pStyle w:val="Heading1"/>
        <w:pageBreakBefore/>
        <w:pBdr>
          <w:bottom w:val="single" w:sz="4" w:space="4" w:color="99C1E7"/>
        </w:pBdr>
      </w:pPr>
      <w:bookmarkStart w:id="169" w:name="_Toc000169"/>
      <w:r>
        <w:rPr/>
        <w:t>9 Configuration items owned by the business and the System Administrator</w:t>
      </w:r>
      <w:bookmarkEnd w:id="169"/>
    </w:p>
    <w:p>
      <w:r>
        <w:rPr/>
        <w:t>The items below are changed in BIBS without a release. Changes are audited.</w:t>
      </w:r>
    </w:p>
    <w:p>
      <w:pPr>
        <w:pStyle w:val="Heading2"/>
      </w:pPr>
      <w:bookmarkStart w:id="170" w:name="_Toc000170"/>
      <w:r>
        <w:rPr/>
        <w:t>9.1 Parameters</w:t>
      </w:r>
      <w:bookmarkEnd w:id="170"/>
    </w:p>
    <w:p>
      <w:pPr>
        <w:pStyle w:val="Caption"/>
        <w:keepNext/>
        <w:spacing w:after="60"/>
      </w:pPr>
      <w:r>
        <w:rPr>
          <w:b/>
          <w:i w:val="0"/>
        </w:rPr>
        <w:t xml:space="preserve">Table 18: </w:t>
      </w:r>
      <w:r>
        <w:rPr/>
        <w:t>Submitted Policies parameters (category SUBMITTED)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SBM_RENEWAL_LEAD_DAYS</w:t>
            </w:r>
          </w:p>
        </w:tc>
        <w:tc>
          <w:tcPr>
            <w:tcW w:type="dxa" w:w="1802"/>
            <w:tcMar>
              <w:top w:w="50" w:type="dxa"/>
              <w:bottom w:w="50" w:type="dxa"/>
              <w:left w:w="90" w:type="dxa"/>
              <w:right w:w="90" w:type="dxa"/>
            </w:tcMar>
          </w:tcPr>
          <w:p>
            <w:pPr>
              <w:pStyle w:val="BDOITable"/>
            </w:pPr>
            <w:r>
              <w:rPr>
                <w:sz w:val="17"/>
              </w:rPr>
              <w:t>CBG_FIRE=150, CBG_MOTOR=120</w:t>
            </w:r>
          </w:p>
        </w:tc>
        <w:tc>
          <w:tcPr>
            <w:tcW w:type="dxa" w:w="4445"/>
            <w:tcMar>
              <w:top w:w="50" w:type="dxa"/>
              <w:bottom w:w="50" w:type="dxa"/>
              <w:left w:w="90" w:type="dxa"/>
              <w:right w:w="90" w:type="dxa"/>
            </w:tcMar>
          </w:tcPr>
          <w:p>
            <w:pPr>
              <w:pStyle w:val="BDOITable"/>
            </w:pPr>
            <w:r>
              <w:rPr>
                <w:sz w:val="17"/>
              </w:rPr>
              <w:t>Days before expiry of the hand-off to Renewal,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SBM_MASTERLIST_DAYS_FROM_EXTRACTION</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Target days from extraction to masterlist (CBG Motor)</w:t>
            </w:r>
          </w:p>
        </w:tc>
      </w:tr>
      <w:tr>
        <w:trPr>
          <w:cantSplit w:val="true"/>
        </w:trPr>
        <w:tc>
          <w:tcPr>
            <w:tcW w:type="dxa" w:w="3724"/>
            <w:tcMar>
              <w:top w:w="50" w:type="dxa"/>
              <w:bottom w:w="50" w:type="dxa"/>
              <w:left w:w="90" w:type="dxa"/>
              <w:right w:w="90" w:type="dxa"/>
            </w:tcMar>
          </w:tcPr>
          <w:p>
            <w:pPr>
              <w:pStyle w:val="BDOITable"/>
            </w:pPr>
            <w:r>
              <w:rPr>
                <w:sz w:val="17"/>
              </w:rPr>
              <w:t>SBM_INSURER_ACCEPT_DAYS</w:t>
            </w:r>
          </w:p>
        </w:tc>
        <w:tc>
          <w:tcPr>
            <w:tcW w:type="dxa" w:w="1802"/>
            <w:tcMar>
              <w:top w:w="50" w:type="dxa"/>
              <w:bottom w:w="50" w:type="dxa"/>
              <w:left w:w="90" w:type="dxa"/>
              <w:right w:w="90" w:type="dxa"/>
            </w:tcMar>
          </w:tcPr>
          <w:p>
            <w:pPr>
              <w:pStyle w:val="BDOITable"/>
            </w:pPr>
            <w:r>
              <w:rPr>
                <w:sz w:val="17"/>
              </w:rPr>
              <w:t>5</w:t>
            </w:r>
          </w:p>
        </w:tc>
        <w:tc>
          <w:tcPr>
            <w:tcW w:type="dxa" w:w="4445"/>
            <w:tcMar>
              <w:top w:w="50" w:type="dxa"/>
              <w:bottom w:w="50" w:type="dxa"/>
              <w:left w:w="90" w:type="dxa"/>
              <w:right w:w="90" w:type="dxa"/>
            </w:tcMar>
          </w:tcPr>
          <w:p>
            <w:pPr>
              <w:pStyle w:val="BDOITable"/>
            </w:pPr>
            <w:r>
              <w:rPr>
                <w:sz w:val="17"/>
              </w:rPr>
              <w:t>Days for the insurer to accept the hold cover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SBM_HOLD_COVER_UNBOOKED_ALERT_DAYS</w:t>
            </w:r>
          </w:p>
        </w:tc>
        <w:tc>
          <w:tcPr>
            <w:tcW w:type="dxa" w:w="1802"/>
            <w:tcMar>
              <w:top w:w="50" w:type="dxa"/>
              <w:bottom w:w="50" w:type="dxa"/>
              <w:left w:w="90" w:type="dxa"/>
              <w:right w:w="90" w:type="dxa"/>
            </w:tcMar>
            <w:shd w:val="clear" w:color="auto" w:fill="E5F5FF"/>
          </w:tcPr>
          <w:p>
            <w:pPr>
              <w:pStyle w:val="BDOITable"/>
            </w:pPr>
            <w:r>
              <w:rPr>
                <w:sz w:val="17"/>
              </w:rPr>
              <w:t>5</w:t>
            </w:r>
          </w:p>
        </w:tc>
        <w:tc>
          <w:tcPr>
            <w:tcW w:type="dxa" w:w="4445"/>
            <w:tcMar>
              <w:top w:w="50" w:type="dxa"/>
              <w:bottom w:w="50" w:type="dxa"/>
              <w:left w:w="90" w:type="dxa"/>
              <w:right w:w="90" w:type="dxa"/>
            </w:tcMar>
            <w:shd w:val="clear" w:color="auto" w:fill="E5F5FF"/>
          </w:tcPr>
          <w:p>
            <w:pPr>
              <w:pStyle w:val="BDOITable"/>
            </w:pPr>
            <w:r>
              <w:rPr>
                <w:sz w:val="17"/>
              </w:rPr>
              <w:t>Days before the hold cover ends to alert an unbooked account</w:t>
            </w:r>
          </w:p>
        </w:tc>
      </w:tr>
      <w:tr>
        <w:trPr>
          <w:cantSplit w:val="true"/>
        </w:trPr>
        <w:tc>
          <w:tcPr>
            <w:tcW w:type="dxa" w:w="3724"/>
            <w:tcMar>
              <w:top w:w="50" w:type="dxa"/>
              <w:bottom w:w="50" w:type="dxa"/>
              <w:left w:w="90" w:type="dxa"/>
              <w:right w:w="90" w:type="dxa"/>
            </w:tcMar>
          </w:tcPr>
          <w:p>
            <w:pPr>
              <w:pStyle w:val="BDOITable"/>
            </w:pPr>
            <w:r>
              <w:rPr>
                <w:sz w:val="17"/>
              </w:rPr>
              <w:t>SBM_REVIEW_SLA_DAYS</w:t>
            </w:r>
          </w:p>
        </w:tc>
        <w:tc>
          <w:tcPr>
            <w:tcW w:type="dxa" w:w="1802"/>
            <w:tcMar>
              <w:top w:w="50" w:type="dxa"/>
              <w:bottom w:w="50" w:type="dxa"/>
              <w:left w:w="90" w:type="dxa"/>
              <w:right w:w="90" w:type="dxa"/>
            </w:tcMar>
          </w:tcPr>
          <w:p>
            <w:pPr>
              <w:pStyle w:val="BDOITable"/>
            </w:pPr>
            <w:r>
              <w:rPr>
                <w:sz w:val="17"/>
              </w:rPr>
              <w:t>to confirm</w:t>
            </w:r>
          </w:p>
        </w:tc>
        <w:tc>
          <w:tcPr>
            <w:tcW w:type="dxa" w:w="4445"/>
            <w:tcMar>
              <w:top w:w="50" w:type="dxa"/>
              <w:bottom w:w="50" w:type="dxa"/>
              <w:left w:w="90" w:type="dxa"/>
              <w:right w:w="90" w:type="dxa"/>
            </w:tcMar>
          </w:tcPr>
          <w:p>
            <w:pPr>
              <w:pStyle w:val="BDOITable"/>
            </w:pPr>
            <w:r>
              <w:rPr>
                <w:sz w:val="17"/>
              </w:rPr>
              <w:t>SLA of IAAF and TOR approval levels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RA timing of submitted policies</w:t>
            </w:r>
          </w:p>
        </w:tc>
        <w:tc>
          <w:tcPr>
            <w:tcW w:type="dxa" w:w="1802"/>
            <w:tcMar>
              <w:top w:w="50" w:type="dxa"/>
              <w:bottom w:w="50" w:type="dxa"/>
              <w:left w:w="90" w:type="dxa"/>
              <w:right w:w="90" w:type="dxa"/>
            </w:tcMar>
            <w:shd w:val="clear" w:color="auto" w:fill="E5F5FF"/>
          </w:tcPr>
          <w:p>
            <w:pPr>
              <w:pStyle w:val="BDOITable"/>
            </w:pPr>
            <w:r>
              <w:rPr>
                <w:sz w:val="17"/>
              </w:rPr>
              <w:t>90 days before expiry</w:t>
            </w:r>
          </w:p>
        </w:tc>
        <w:tc>
          <w:tcPr>
            <w:tcW w:type="dxa" w:w="4445"/>
            <w:tcMar>
              <w:top w:w="50" w:type="dxa"/>
              <w:bottom w:w="50" w:type="dxa"/>
              <w:left w:w="90" w:type="dxa"/>
              <w:right w:w="90" w:type="dxa"/>
            </w:tcMar>
            <w:shd w:val="clear" w:color="auto" w:fill="E5F5FF"/>
          </w:tcPr>
          <w:p>
            <w:pPr>
              <w:pStyle w:val="BDOITable"/>
            </w:pPr>
            <w:r>
              <w:rPr>
                <w:sz w:val="17"/>
              </w:rPr>
              <w:t>Hand-off parameter of the Renewal module (V1017), not of this module</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21:30, 22:00, 06:30, 07:00 PHT; tagger every 30 minutes</w:t>
            </w:r>
          </w:p>
        </w:tc>
        <w:tc>
          <w:tcPr>
            <w:tcW w:type="dxa" w:w="4445"/>
            <w:tcMar>
              <w:top w:w="50" w:type="dxa"/>
              <w:bottom w:w="50" w:type="dxa"/>
              <w:left w:w="90" w:type="dxa"/>
              <w:right w:w="90" w:type="dxa"/>
            </w:tcMar>
          </w:tcPr>
          <w:p>
            <w:pPr>
              <w:pStyle w:val="BDOITable"/>
            </w:pPr>
            <w:r>
              <w:rPr>
                <w:sz w:val="17"/>
              </w:rPr>
              <w:t>SBM_PROCESSING, SBM_EXPIRY_SCAN, SBM_LETTER_DISPATCH, SBM_HOLD_COVER_WATCH, SBM_HANDLING_FEE_TAGGER</w:t>
            </w:r>
          </w:p>
        </w:tc>
      </w:tr>
    </w:tbl>
    <w:p>
      <w:pPr>
        <w:pStyle w:val="BDOISpacer"/>
      </w:pPr>
    </w:p>
    <w:p>
      <w:pPr>
        <w:pStyle w:val="Heading2"/>
      </w:pPr>
      <w:bookmarkStart w:id="171" w:name="_Toc000171"/>
      <w:r>
        <w:rPr/>
        <w:t>9.2 Lists of values</w:t>
      </w:r>
      <w:bookmarkEnd w:id="171"/>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SBM_SEGMENT</w:t>
            </w:r>
          </w:p>
        </w:tc>
        <w:tc>
          <w:tcPr>
            <w:tcW w:type="dxa" w:w="6728"/>
            <w:tcMar>
              <w:top w:w="50" w:type="dxa"/>
              <w:bottom w:w="50" w:type="dxa"/>
              <w:left w:w="90" w:type="dxa"/>
              <w:right w:w="90" w:type="dxa"/>
            </w:tcMar>
          </w:tcPr>
          <w:p>
            <w:pPr>
              <w:pStyle w:val="BDOITable"/>
            </w:pPr>
            <w:r>
              <w:rPr>
                <w:sz w:val="17"/>
              </w:rPr>
              <w:t>CBG Motor; CBG Fire; Non-CBG Corporate and Branches; Non-CBG Retail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SBM_BUCKET</w:t>
            </w:r>
          </w:p>
        </w:tc>
        <w:tc>
          <w:tcPr>
            <w:tcW w:type="dxa" w:w="6728"/>
            <w:tcMar>
              <w:top w:w="50" w:type="dxa"/>
              <w:bottom w:w="50" w:type="dxa"/>
              <w:left w:w="90" w:type="dxa"/>
              <w:right w:w="90" w:type="dxa"/>
            </w:tcMar>
            <w:shd w:val="clear" w:color="auto" w:fill="E5F5FF"/>
          </w:tcPr>
          <w:p>
            <w:pPr>
              <w:pStyle w:val="BDOITable"/>
            </w:pPr>
            <w:r>
              <w:rPr>
                <w:sz w:val="17"/>
              </w:rPr>
              <w:t>For Renewal; For Manual Disposition; Non-Renewal; No Touch; FFY; BDO / SM Group Employee Accounts; RMU; For Review; Fully Paid Loan; OPM; BDOFC; Sold (attribute renewal_action)</w:t>
            </w:r>
          </w:p>
        </w:tc>
      </w:tr>
      <w:tr>
        <w:trPr>
          <w:cantSplit w:val="true"/>
        </w:trPr>
        <w:tc>
          <w:tcPr>
            <w:tcW w:type="dxa" w:w="3244"/>
            <w:tcMar>
              <w:top w:w="50" w:type="dxa"/>
              <w:bottom w:w="50" w:type="dxa"/>
              <w:left w:w="90" w:type="dxa"/>
              <w:right w:w="90" w:type="dxa"/>
            </w:tcMar>
          </w:tcPr>
          <w:p>
            <w:pPr>
              <w:pStyle w:val="BDOITable"/>
            </w:pPr>
            <w:r>
              <w:rPr>
                <w:sz w:val="17"/>
              </w:rPr>
              <w:t>SBM_NON_RENEWAL_REASON</w:t>
            </w:r>
          </w:p>
        </w:tc>
        <w:tc>
          <w:tcPr>
            <w:tcW w:type="dxa" w:w="6728"/>
            <w:tcMar>
              <w:top w:w="50" w:type="dxa"/>
              <w:bottom w:w="50" w:type="dxa"/>
              <w:left w:w="90" w:type="dxa"/>
              <w:right w:w="90" w:type="dxa"/>
            </w:tcMar>
          </w:tcPr>
          <w:p>
            <w:pPr>
              <w:pStyle w:val="BDOITable"/>
            </w:pPr>
            <w:r>
              <w:rPr>
                <w:sz w:val="17"/>
              </w:rPr>
              <w:t>Free First Year; SM Group Employee; No Touch; CARI; Bonds; RMU; and the RL #156 reasons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SBM_LOAN_STATUS</w:t>
            </w:r>
          </w:p>
        </w:tc>
        <w:tc>
          <w:tcPr>
            <w:tcW w:type="dxa" w:w="6728"/>
            <w:tcMar>
              <w:top w:w="50" w:type="dxa"/>
              <w:bottom w:w="50" w:type="dxa"/>
              <w:left w:w="90" w:type="dxa"/>
              <w:right w:w="90" w:type="dxa"/>
            </w:tcMar>
            <w:shd w:val="clear" w:color="auto" w:fill="E5F5FF"/>
          </w:tcPr>
          <w:p>
            <w:pPr>
              <w:pStyle w:val="BDOITable"/>
            </w:pPr>
            <w:r>
              <w:rPr>
                <w:sz w:val="17"/>
              </w:rPr>
              <w:t>Active; Open Market; Fully Paid; Remedial (RMU)</w:t>
            </w:r>
          </w:p>
        </w:tc>
      </w:tr>
      <w:tr>
        <w:trPr>
          <w:cantSplit w:val="true"/>
        </w:trPr>
        <w:tc>
          <w:tcPr>
            <w:tcW w:type="dxa" w:w="3244"/>
            <w:tcMar>
              <w:top w:w="50" w:type="dxa"/>
              <w:bottom w:w="50" w:type="dxa"/>
              <w:left w:w="90" w:type="dxa"/>
              <w:right w:w="90" w:type="dxa"/>
            </w:tcMar>
          </w:tcPr>
          <w:p>
            <w:pPr>
              <w:pStyle w:val="BDOITable"/>
            </w:pPr>
            <w:r>
              <w:rPr>
                <w:sz w:val="17"/>
              </w:rPr>
              <w:t>SBM_CONVERSION_STATUS</w:t>
            </w:r>
          </w:p>
        </w:tc>
        <w:tc>
          <w:tcPr>
            <w:tcW w:type="dxa" w:w="6728"/>
            <w:tcMar>
              <w:top w:w="50" w:type="dxa"/>
              <w:bottom w:w="50" w:type="dxa"/>
              <w:left w:w="90" w:type="dxa"/>
              <w:right w:w="90" w:type="dxa"/>
            </w:tcMar>
          </w:tcPr>
          <w:p>
            <w:pPr>
              <w:pStyle w:val="BDOITable"/>
            </w:pPr>
            <w:r>
              <w:rPr>
                <w:sz w:val="17"/>
              </w:rPr>
              <w:t>Renewed; Unrenewed; Process Placement (each by Inforce, NB Submitted, RB Submitted, OPM, RMU); Issued SFU</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SBM_REASON</w:t>
            </w:r>
          </w:p>
        </w:tc>
        <w:tc>
          <w:tcPr>
            <w:tcW w:type="dxa" w:w="6728"/>
            <w:tcMar>
              <w:top w:w="50" w:type="dxa"/>
              <w:bottom w:w="50" w:type="dxa"/>
              <w:left w:w="90" w:type="dxa"/>
              <w:right w:w="90" w:type="dxa"/>
            </w:tcMar>
            <w:shd w:val="clear" w:color="auto" w:fill="E5F5FF"/>
          </w:tcPr>
          <w:p>
            <w:pPr>
              <w:pStyle w:val="BDOITable"/>
            </w:pPr>
            <w:r>
              <w:rPr>
                <w:sz w:val="17"/>
              </w:rPr>
              <w:t>Fallout and exclusion reason codes (for example SBM_NO_RULE)</w:t>
            </w:r>
          </w:p>
        </w:tc>
      </w:tr>
      <w:tr>
        <w:trPr>
          <w:cantSplit w:val="true"/>
        </w:trPr>
        <w:tc>
          <w:tcPr>
            <w:tcW w:type="dxa" w:w="3244"/>
            <w:tcMar>
              <w:top w:w="50" w:type="dxa"/>
              <w:bottom w:w="50" w:type="dxa"/>
              <w:left w:w="90" w:type="dxa"/>
              <w:right w:w="90" w:type="dxa"/>
            </w:tcMar>
          </w:tcPr>
          <w:p>
            <w:pPr>
              <w:pStyle w:val="BDOITable"/>
            </w:pPr>
            <w:r>
              <w:rPr>
                <w:sz w:val="17"/>
              </w:rPr>
              <w:t>SBM_LETTER_TYPE</w:t>
            </w:r>
          </w:p>
        </w:tc>
        <w:tc>
          <w:tcPr>
            <w:tcW w:type="dxa" w:w="6728"/>
            <w:tcMar>
              <w:top w:w="50" w:type="dxa"/>
              <w:bottom w:w="50" w:type="dxa"/>
              <w:left w:w="90" w:type="dxa"/>
              <w:right w:w="90" w:type="dxa"/>
            </w:tcMar>
          </w:tcPr>
          <w:p>
            <w:pPr>
              <w:pStyle w:val="BDOITable"/>
            </w:pPr>
            <w:r>
              <w:rPr>
                <w:sz w:val="17"/>
              </w:rPr>
              <w:t>Reminder; Renewal notice; Renewal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SBM_DECLINE_REASON</w:t>
            </w:r>
          </w:p>
        </w:tc>
        <w:tc>
          <w:tcPr>
            <w:tcW w:type="dxa" w:w="6728"/>
            <w:tcMar>
              <w:top w:w="50" w:type="dxa"/>
              <w:bottom w:w="50" w:type="dxa"/>
              <w:left w:w="90" w:type="dxa"/>
              <w:right w:w="90" w:type="dxa"/>
            </w:tcMar>
            <w:shd w:val="clear" w:color="auto" w:fill="E5F5FF"/>
          </w:tcPr>
          <w:p>
            <w:pPr>
              <w:pStyle w:val="BDOITable"/>
            </w:pPr>
            <w:r>
              <w:rPr>
                <w:sz w:val="17"/>
              </w:rPr>
              <w:t>Reasons of insurer re-assignment</w:t>
            </w:r>
          </w:p>
        </w:tc>
      </w:tr>
      <w:tr>
        <w:trPr>
          <w:cantSplit w:val="true"/>
        </w:trPr>
        <w:tc>
          <w:tcPr>
            <w:tcW w:type="dxa" w:w="3244"/>
            <w:tcMar>
              <w:top w:w="50" w:type="dxa"/>
              <w:bottom w:w="50" w:type="dxa"/>
              <w:left w:w="90" w:type="dxa"/>
              <w:right w:w="90" w:type="dxa"/>
            </w:tcMar>
          </w:tcPr>
          <w:p>
            <w:pPr>
              <w:pStyle w:val="BDOITable"/>
            </w:pPr>
            <w:r>
              <w:rPr>
                <w:sz w:val="17"/>
              </w:rPr>
              <w:t>SBM_IAAF_FINDING</w:t>
            </w:r>
          </w:p>
        </w:tc>
        <w:tc>
          <w:tcPr>
            <w:tcW w:type="dxa" w:w="6728"/>
            <w:tcMar>
              <w:top w:w="50" w:type="dxa"/>
              <w:bottom w:w="50" w:type="dxa"/>
              <w:left w:w="90" w:type="dxa"/>
              <w:right w:w="90" w:type="dxa"/>
            </w:tcMar>
          </w:tcPr>
          <w:p>
            <w:pPr>
              <w:pStyle w:val="BDOITable"/>
            </w:pPr>
            <w:r>
              <w:rPr>
                <w:sz w:val="17"/>
              </w:rPr>
              <w:t>Findings of a policy review (to be supplied by BDOI)</w:t>
            </w:r>
          </w:p>
        </w:tc>
      </w:tr>
    </w:tbl>
    <w:p>
      <w:pPr>
        <w:pStyle w:val="BDOISpacer"/>
      </w:pPr>
    </w:p>
    <w:p>
      <w:pPr>
        <w:pStyle w:val="Heading2"/>
      </w:pPr>
      <w:bookmarkStart w:id="172" w:name="_Toc000172"/>
      <w:r>
        <w:rPr/>
        <w:t>9.3 Masters and rules maintained by the business</w:t>
      </w:r>
      <w:bookmarkEnd w:id="172"/>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763"/>
        <w:gridCol w:w="396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244"/>
            <w:tcMar>
              <w:top w:w="50" w:type="dxa"/>
              <w:bottom w:w="50" w:type="dxa"/>
              <w:left w:w="90" w:type="dxa"/>
              <w:right w:w="90" w:type="dxa"/>
            </w:tcMar>
          </w:tcPr>
          <w:p>
            <w:pPr>
              <w:pStyle w:val="BDOITable"/>
            </w:pPr>
            <w:r>
              <w:rPr>
                <w:sz w:val="17"/>
              </w:rPr>
              <w:t>Source register and upload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FR-SP-001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Rule sets (sanitation, matching, classification, disposition)</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FR-SP-020</w:t>
            </w:r>
          </w:p>
        </w:tc>
      </w:tr>
      <w:tr>
        <w:trPr>
          <w:cantSplit w:val="true"/>
        </w:trPr>
        <w:tc>
          <w:tcPr>
            <w:tcW w:type="dxa" w:w="3244"/>
            <w:tcMar>
              <w:top w:w="50" w:type="dxa"/>
              <w:bottom w:w="50" w:type="dxa"/>
              <w:left w:w="90" w:type="dxa"/>
              <w:right w:w="90" w:type="dxa"/>
            </w:tcMar>
          </w:tcPr>
          <w:p>
            <w:pPr>
              <w:pStyle w:val="BDOITable"/>
            </w:pPr>
            <w:r>
              <w:rPr>
                <w:sz w:val="17"/>
              </w:rPr>
              <w:t>Limit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FR-SP-050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Insurer rules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FR-SP-060</w:t>
            </w:r>
          </w:p>
        </w:tc>
      </w:tr>
      <w:tr>
        <w:trPr>
          <w:cantSplit w:val="true"/>
        </w:trPr>
        <w:tc>
          <w:tcPr>
            <w:tcW w:type="dxa" w:w="3244"/>
            <w:tcMar>
              <w:top w:w="50" w:type="dxa"/>
              <w:bottom w:w="50" w:type="dxa"/>
              <w:left w:w="90" w:type="dxa"/>
              <w:right w:w="90" w:type="dxa"/>
            </w:tcMar>
          </w:tcPr>
          <w:p>
            <w:pPr>
              <w:pStyle w:val="BDOITable"/>
            </w:pPr>
            <w:r>
              <w:rPr>
                <w:sz w:val="17"/>
              </w:rPr>
              <w:t>Letter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FR-SP-062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IAAF and TOR approval matrices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FR-SP-041, 052</w:t>
            </w:r>
          </w:p>
        </w:tc>
      </w:tr>
      <w:tr>
        <w:trPr>
          <w:cantSplit w:val="true"/>
        </w:trPr>
        <w:tc>
          <w:tcPr>
            <w:tcW w:type="dxa" w:w="3244"/>
            <w:tcMar>
              <w:top w:w="50" w:type="dxa"/>
              <w:bottom w:w="50" w:type="dxa"/>
              <w:left w:w="90" w:type="dxa"/>
              <w:right w:w="90" w:type="dxa"/>
            </w:tcMar>
          </w:tcPr>
          <w:p>
            <w:pPr>
              <w:pStyle w:val="BDOITable"/>
            </w:pPr>
            <w:r>
              <w:rPr>
                <w:sz w:val="17"/>
              </w:rPr>
              <w:t>Legacy status map</w:t>
            </w:r>
          </w:p>
        </w:tc>
        <w:tc>
          <w:tcPr>
            <w:tcW w:type="dxa" w:w="2763"/>
            <w:tcMar>
              <w:top w:w="50" w:type="dxa"/>
              <w:bottom w:w="50" w:type="dxa"/>
              <w:left w:w="90" w:type="dxa"/>
              <w:right w:w="90" w:type="dxa"/>
            </w:tcMar>
          </w:tcPr>
          <w:p>
            <w:pPr>
              <w:pStyle w:val="BDOITable"/>
            </w:pPr>
            <w:r>
              <w:rPr>
                <w:sz w:val="17"/>
              </w:rPr>
              <w:t>Team Lead</w:t>
            </w:r>
          </w:p>
        </w:tc>
        <w:tc>
          <w:tcPr>
            <w:tcW w:type="dxa" w:w="3965"/>
            <w:tcMar>
              <w:top w:w="50" w:type="dxa"/>
              <w:bottom w:w="50" w:type="dxa"/>
              <w:left w:w="90" w:type="dxa"/>
              <w:right w:w="90" w:type="dxa"/>
            </w:tcMar>
          </w:tcPr>
          <w:p>
            <w:pPr>
              <w:pStyle w:val="BDOITable"/>
            </w:pPr>
            <w:r>
              <w:rPr>
                <w:sz w:val="17"/>
              </w:rPr>
              <w:t>FR-SP-004</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User scope (segments, own accounts)</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FR-SP-011</w:t>
            </w:r>
          </w:p>
        </w:tc>
      </w:tr>
      <w:tr>
        <w:trPr>
          <w:cantSplit w:val="true"/>
        </w:trPr>
        <w:tc>
          <w:tcPr>
            <w:tcW w:type="dxa" w:w="3244"/>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Section 6.3</w:t>
            </w:r>
          </w:p>
        </w:tc>
      </w:tr>
    </w:tbl>
    <w:p>
      <w:pPr>
        <w:pStyle w:val="BDOISpacer"/>
      </w:pPr>
    </w:p>
    <w:p>
      <w:pPr>
        <w:pStyle w:val="Heading1"/>
        <w:pageBreakBefore/>
        <w:pBdr>
          <w:bottom w:val="single" w:sz="4" w:space="4" w:color="99C1E7"/>
        </w:pBdr>
      </w:pPr>
      <w:bookmarkStart w:id="173" w:name="_Toc000173"/>
      <w:r>
        <w:rPr/>
        <w:t>10 Assumptions, dependencies and open questions</w:t>
      </w:r>
      <w:bookmarkEnd w:id="173"/>
    </w:p>
    <w:p>
      <w:pPr>
        <w:pStyle w:val="Heading2"/>
      </w:pPr>
      <w:bookmarkStart w:id="174" w:name="_Toc000174"/>
      <w:r>
        <w:rPr/>
        <w:t>10.1 Assumptions</w:t>
      </w:r>
      <w:bookmarkEnd w:id="174"/>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A-SP-01</w:t>
            </w:r>
          </w:p>
        </w:tc>
        <w:tc>
          <w:tcPr>
            <w:tcW w:type="dxa" w:w="6608"/>
            <w:tcMar>
              <w:top w:w="50" w:type="dxa"/>
              <w:bottom w:w="50" w:type="dxa"/>
              <w:left w:w="90" w:type="dxa"/>
              <w:right w:w="90" w:type="dxa"/>
            </w:tcMar>
          </w:tcPr>
          <w:p>
            <w:pPr>
              <w:pStyle w:val="BDOITable"/>
            </w:pPr>
            <w:r>
              <w:rPr>
                <w:sz w:val="17"/>
              </w:rPr>
              <w:t>A submitted policy is not an account; it becomes one only when the client renews with BDOI</w:t>
            </w:r>
          </w:p>
        </w:tc>
        <w:tc>
          <w:tcPr>
            <w:tcW w:type="dxa" w:w="2283"/>
            <w:tcMar>
              <w:top w:w="50" w:type="dxa"/>
              <w:bottom w:w="50" w:type="dxa"/>
              <w:left w:w="90" w:type="dxa"/>
              <w:right w:w="90" w:type="dxa"/>
            </w:tcMar>
          </w:tcPr>
          <w:p>
            <w:pPr>
              <w:pStyle w:val="BDOITable"/>
            </w:pPr>
            <w:r>
              <w:rPr>
                <w:sz w:val="17"/>
              </w:rPr>
              <w:t>Design principle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A-SP-02</w:t>
            </w:r>
          </w:p>
        </w:tc>
        <w:tc>
          <w:tcPr>
            <w:tcW w:type="dxa" w:w="6608"/>
            <w:tcMar>
              <w:top w:w="50" w:type="dxa"/>
              <w:bottom w:w="50" w:type="dxa"/>
              <w:left w:w="90" w:type="dxa"/>
              <w:right w:w="90" w:type="dxa"/>
            </w:tcMar>
            <w:shd w:val="clear" w:color="auto" w:fill="E5F5FF"/>
          </w:tcPr>
          <w:p>
            <w:pPr>
              <w:pStyle w:val="BDOITable"/>
            </w:pPr>
            <w:r>
              <w:rPr>
                <w:sz w:val="17"/>
              </w:rPr>
              <w:t>Submitted = PN matched to an active LAMD loan and not BDOI-placed; Inforced = otherwise</w:t>
            </w:r>
          </w:p>
        </w:tc>
        <w:tc>
          <w:tcPr>
            <w:tcW w:type="dxa" w:w="2283"/>
            <w:tcMar>
              <w:top w:w="50" w:type="dxa"/>
              <w:bottom w:w="50" w:type="dxa"/>
              <w:left w:w="90" w:type="dxa"/>
              <w:right w:w="90" w:type="dxa"/>
            </w:tcMar>
            <w:shd w:val="clear" w:color="auto" w:fill="E5F5FF"/>
          </w:tcPr>
          <w:p>
            <w:pPr>
              <w:pStyle w:val="BDOITable"/>
            </w:pPr>
            <w:r>
              <w:rPr>
                <w:sz w:val="17"/>
              </w:rPr>
              <w:t>SP SQ04</w:t>
            </w:r>
          </w:p>
        </w:tc>
      </w:tr>
      <w:tr>
        <w:trPr>
          <w:cantSplit w:val="true"/>
        </w:trPr>
        <w:tc>
          <w:tcPr>
            <w:tcW w:type="dxa" w:w="1081"/>
            <w:tcMar>
              <w:top w:w="50" w:type="dxa"/>
              <w:bottom w:w="50" w:type="dxa"/>
              <w:left w:w="90" w:type="dxa"/>
              <w:right w:w="90" w:type="dxa"/>
            </w:tcMar>
          </w:tcPr>
          <w:p>
            <w:pPr>
              <w:pStyle w:val="BDOITable"/>
            </w:pPr>
            <w:r>
              <w:rPr>
                <w:sz w:val="17"/>
              </w:rPr>
              <w:t>A-SP-03</w:t>
            </w:r>
          </w:p>
        </w:tc>
        <w:tc>
          <w:tcPr>
            <w:tcW w:type="dxa" w:w="6608"/>
            <w:tcMar>
              <w:top w:w="50" w:type="dxa"/>
              <w:bottom w:w="50" w:type="dxa"/>
              <w:left w:w="90" w:type="dxa"/>
              <w:right w:w="90" w:type="dxa"/>
            </w:tcMar>
          </w:tcPr>
          <w:p>
            <w:pPr>
              <w:pStyle w:val="BDOITable"/>
            </w:pPr>
            <w:r>
              <w:rPr>
                <w:sz w:val="17"/>
              </w:rPr>
              <w:t>One IAAF per policy, with links to related policies</w:t>
            </w:r>
          </w:p>
        </w:tc>
        <w:tc>
          <w:tcPr>
            <w:tcW w:type="dxa" w:w="2283"/>
            <w:tcMar>
              <w:top w:w="50" w:type="dxa"/>
              <w:bottom w:w="50" w:type="dxa"/>
              <w:left w:w="90" w:type="dxa"/>
              <w:right w:w="90" w:type="dxa"/>
            </w:tcMar>
          </w:tcPr>
          <w:p>
            <w:pPr>
              <w:pStyle w:val="BDOITable"/>
            </w:pPr>
            <w:r>
              <w:rPr>
                <w:sz w:val="17"/>
              </w:rPr>
              <w:t>SP 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A-SP-04</w:t>
            </w:r>
          </w:p>
        </w:tc>
        <w:tc>
          <w:tcPr>
            <w:tcW w:type="dxa" w:w="6608"/>
            <w:tcMar>
              <w:top w:w="50" w:type="dxa"/>
              <w:bottom w:w="50" w:type="dxa"/>
              <w:left w:w="90" w:type="dxa"/>
              <w:right w:w="90" w:type="dxa"/>
            </w:tcMar>
            <w:shd w:val="clear" w:color="auto" w:fill="E5F5FF"/>
          </w:tcPr>
          <w:p>
            <w:pPr>
              <w:pStyle w:val="BDOITable"/>
            </w:pPr>
            <w:r>
              <w:rPr>
                <w:sz w:val="17"/>
              </w:rPr>
              <w:t>The Renewal module owns the renewal of submitted policies from the hand-off on</w:t>
            </w:r>
          </w:p>
        </w:tc>
        <w:tc>
          <w:tcPr>
            <w:tcW w:type="dxa" w:w="2283"/>
            <w:tcMar>
              <w:top w:w="50" w:type="dxa"/>
              <w:bottom w:w="50" w:type="dxa"/>
              <w:left w:w="90" w:type="dxa"/>
              <w:right w:w="90" w:type="dxa"/>
            </w:tcMar>
            <w:shd w:val="clear" w:color="auto" w:fill="E5F5FF"/>
          </w:tcPr>
          <w:p>
            <w:pPr>
              <w:pStyle w:val="BDOITable"/>
            </w:pPr>
            <w:r>
              <w:rPr>
                <w:sz w:val="17"/>
              </w:rPr>
              <w:t>Decision D2</w:t>
            </w:r>
          </w:p>
        </w:tc>
      </w:tr>
      <w:tr>
        <w:trPr>
          <w:cantSplit w:val="true"/>
        </w:trPr>
        <w:tc>
          <w:tcPr>
            <w:tcW w:type="dxa" w:w="1081"/>
            <w:tcMar>
              <w:top w:w="50" w:type="dxa"/>
              <w:bottom w:w="50" w:type="dxa"/>
              <w:left w:w="90" w:type="dxa"/>
              <w:right w:w="90" w:type="dxa"/>
            </w:tcMar>
          </w:tcPr>
          <w:p>
            <w:pPr>
              <w:pStyle w:val="BDOITable"/>
            </w:pPr>
            <w:r>
              <w:rPr>
                <w:sz w:val="17"/>
              </w:rPr>
              <w:t>A-SP-05</w:t>
            </w:r>
          </w:p>
        </w:tc>
        <w:tc>
          <w:tcPr>
            <w:tcW w:type="dxa" w:w="6608"/>
            <w:tcMar>
              <w:top w:w="50" w:type="dxa"/>
              <w:bottom w:w="50" w:type="dxa"/>
              <w:left w:w="90" w:type="dxa"/>
              <w:right w:w="90" w:type="dxa"/>
            </w:tcMar>
          </w:tcPr>
          <w:p>
            <w:pPr>
              <w:pStyle w:val="BDOITable"/>
            </w:pPr>
            <w:r>
              <w:rPr>
                <w:sz w:val="17"/>
              </w:rPr>
              <w:t>BRIDSP-20 and BRIDSP-30 are the same requirement and are met once</w:t>
            </w:r>
          </w:p>
        </w:tc>
        <w:tc>
          <w:tcPr>
            <w:tcW w:type="dxa" w:w="2283"/>
            <w:tcMar>
              <w:top w:w="50" w:type="dxa"/>
              <w:bottom w:w="50" w:type="dxa"/>
              <w:left w:w="90" w:type="dxa"/>
              <w:right w:w="90" w:type="dxa"/>
            </w:tcMar>
          </w:tcPr>
          <w:p>
            <w:pPr>
              <w:pStyle w:val="BDOITable"/>
            </w:pPr>
            <w:r>
              <w:rPr>
                <w:sz w:val="17"/>
              </w:rPr>
              <w:t>BRD p.10, 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A-SP-06</w:t>
            </w:r>
          </w:p>
        </w:tc>
        <w:tc>
          <w:tcPr>
            <w:tcW w:type="dxa" w:w="6608"/>
            <w:tcMar>
              <w:top w:w="50" w:type="dxa"/>
              <w:bottom w:w="50" w:type="dxa"/>
              <w:left w:w="90" w:type="dxa"/>
              <w:right w:w="90" w:type="dxa"/>
            </w:tcMar>
            <w:shd w:val="clear" w:color="auto" w:fill="E5F5FF"/>
          </w:tcPr>
          <w:p>
            <w:pPr>
              <w:pStyle w:val="BDOITable"/>
            </w:pPr>
            <w:r>
              <w:rPr>
                <w:sz w:val="17"/>
              </w:rPr>
              <w:t>The BIBS ARN replaces the ISYS reference and the ARF</w:t>
            </w:r>
          </w:p>
        </w:tc>
        <w:tc>
          <w:tcPr>
            <w:tcW w:type="dxa" w:w="2283"/>
            <w:tcMar>
              <w:top w:w="50" w:type="dxa"/>
              <w:bottom w:w="50" w:type="dxa"/>
              <w:left w:w="90" w:type="dxa"/>
              <w:right w:w="90" w:type="dxa"/>
            </w:tcMar>
            <w:shd w:val="clear" w:color="auto" w:fill="E5F5FF"/>
          </w:tcPr>
          <w:p>
            <w:pPr>
              <w:pStyle w:val="BDOITable"/>
            </w:pPr>
            <w:r>
              <w:rPr>
                <w:sz w:val="17"/>
              </w:rPr>
              <w:t>SP SQ20</w:t>
            </w:r>
          </w:p>
        </w:tc>
      </w:tr>
      <w:tr>
        <w:trPr>
          <w:cantSplit w:val="true"/>
        </w:trPr>
        <w:tc>
          <w:tcPr>
            <w:tcW w:type="dxa" w:w="1081"/>
            <w:tcMar>
              <w:top w:w="50" w:type="dxa"/>
              <w:bottom w:w="50" w:type="dxa"/>
              <w:left w:w="90" w:type="dxa"/>
              <w:right w:w="90" w:type="dxa"/>
            </w:tcMar>
          </w:tcPr>
          <w:p>
            <w:pPr>
              <w:pStyle w:val="BDOITable"/>
            </w:pPr>
            <w:r>
              <w:rPr>
                <w:sz w:val="17"/>
              </w:rPr>
              <w:t>A-SP-07</w:t>
            </w:r>
          </w:p>
        </w:tc>
        <w:tc>
          <w:tcPr>
            <w:tcW w:type="dxa" w:w="6608"/>
            <w:tcMar>
              <w:top w:w="50" w:type="dxa"/>
              <w:bottom w:w="50" w:type="dxa"/>
              <w:left w:w="90" w:type="dxa"/>
              <w:right w:w="90" w:type="dxa"/>
            </w:tcMar>
          </w:tcPr>
          <w:p>
            <w:pPr>
              <w:pStyle w:val="BDOITable"/>
            </w:pPr>
            <w:r>
              <w:rPr>
                <w:sz w:val="17"/>
              </w:rPr>
              <w:t>Sources arrive as Excel files until BDOI names the feeds</w:t>
            </w:r>
          </w:p>
        </w:tc>
        <w:tc>
          <w:tcPr>
            <w:tcW w:type="dxa" w:w="2283"/>
            <w:tcMar>
              <w:top w:w="50" w:type="dxa"/>
              <w:bottom w:w="50" w:type="dxa"/>
              <w:left w:w="90" w:type="dxa"/>
              <w:right w:w="90" w:type="dxa"/>
            </w:tcMar>
          </w:tcPr>
          <w:p>
            <w:pPr>
              <w:pStyle w:val="BDOITable"/>
            </w:pPr>
            <w:r>
              <w:rPr>
                <w:sz w:val="17"/>
              </w:rPr>
              <w:t>SP SQ01</w:t>
            </w:r>
          </w:p>
        </w:tc>
      </w:tr>
    </w:tbl>
    <w:p>
      <w:pPr>
        <w:pStyle w:val="BDOISpacer"/>
      </w:pPr>
    </w:p>
    <w:p>
      <w:pPr>
        <w:pStyle w:val="Heading2"/>
      </w:pPr>
      <w:bookmarkStart w:id="175" w:name="_Toc000175"/>
      <w:r>
        <w:rPr/>
        <w:t>10.2 Dependencies</w:t>
      </w:r>
      <w:bookmarkEnd w:id="175"/>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D-SP-01</w:t>
            </w:r>
          </w:p>
        </w:tc>
        <w:tc>
          <w:tcPr>
            <w:tcW w:type="dxa" w:w="6608"/>
            <w:tcMar>
              <w:top w:w="50" w:type="dxa"/>
              <w:bottom w:w="50" w:type="dxa"/>
              <w:left w:w="90" w:type="dxa"/>
              <w:right w:w="90" w:type="dxa"/>
            </w:tcMar>
          </w:tcPr>
          <w:p>
            <w:pPr>
              <w:pStyle w:val="BDOITable"/>
            </w:pPr>
            <w:r>
              <w:rPr>
                <w:sz w:val="17"/>
              </w:rPr>
              <w:t>The shared account business-type change BT0 (V822) is merged</w:t>
            </w:r>
          </w:p>
        </w:tc>
        <w:tc>
          <w:tcPr>
            <w:tcW w:type="dxa" w:w="2283"/>
            <w:tcMar>
              <w:top w:w="50" w:type="dxa"/>
              <w:bottom w:w="50" w:type="dxa"/>
              <w:left w:w="90" w:type="dxa"/>
              <w:right w:w="90" w:type="dxa"/>
            </w:tcMar>
          </w:tcPr>
          <w:p>
            <w:pPr>
              <w:pStyle w:val="BDOITable"/>
            </w:pPr>
            <w:r>
              <w:rPr>
                <w:sz w:val="17"/>
              </w:rPr>
              <w:t>FR-SP-065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D-SP-02</w:t>
            </w:r>
          </w:p>
        </w:tc>
        <w:tc>
          <w:tcPr>
            <w:tcW w:type="dxa" w:w="6608"/>
            <w:tcMar>
              <w:top w:w="50" w:type="dxa"/>
              <w:bottom w:w="50" w:type="dxa"/>
              <w:left w:w="90" w:type="dxa"/>
              <w:right w:w="90" w:type="dxa"/>
            </w:tcMar>
            <w:shd w:val="clear" w:color="auto" w:fill="E5F5FF"/>
          </w:tcPr>
          <w:p>
            <w:pPr>
              <w:pStyle w:val="BDOITable"/>
            </w:pPr>
            <w:r>
              <w:rPr>
                <w:sz w:val="17"/>
              </w:rPr>
              <w:t>The Renewal module implements RenewalHandOff (wave R3); until then hand-offs wait as pending</w:t>
            </w:r>
          </w:p>
        </w:tc>
        <w:tc>
          <w:tcPr>
            <w:tcW w:type="dxa" w:w="2283"/>
            <w:tcMar>
              <w:top w:w="50" w:type="dxa"/>
              <w:bottom w:w="50" w:type="dxa"/>
              <w:left w:w="90" w:type="dxa"/>
              <w:right w:w="90" w:type="dxa"/>
            </w:tcMar>
            <w:shd w:val="clear" w:color="auto" w:fill="E5F5FF"/>
          </w:tcPr>
          <w:p>
            <w:pPr>
              <w:pStyle w:val="BDOITable"/>
            </w:pPr>
            <w:r>
              <w:rPr>
                <w:sz w:val="17"/>
              </w:rPr>
              <w:t>FR-SP-060, 062 (D2)</w:t>
            </w:r>
          </w:p>
        </w:tc>
      </w:tr>
      <w:tr>
        <w:trPr>
          <w:cantSplit w:val="true"/>
        </w:trPr>
        <w:tc>
          <w:tcPr>
            <w:tcW w:type="dxa" w:w="1081"/>
            <w:tcMar>
              <w:top w:w="50" w:type="dxa"/>
              <w:bottom w:w="50" w:type="dxa"/>
              <w:left w:w="90" w:type="dxa"/>
              <w:right w:w="90" w:type="dxa"/>
            </w:tcMar>
          </w:tcPr>
          <w:p>
            <w:pPr>
              <w:pStyle w:val="BDOITable"/>
            </w:pPr>
            <w:r>
              <w:rPr>
                <w:sz w:val="17"/>
              </w:rPr>
              <w:t>D-SP-03</w:t>
            </w:r>
          </w:p>
        </w:tc>
        <w:tc>
          <w:tcPr>
            <w:tcW w:type="dxa" w:w="6608"/>
            <w:tcMar>
              <w:top w:w="50" w:type="dxa"/>
              <w:bottom w:w="50" w:type="dxa"/>
              <w:left w:w="90" w:type="dxa"/>
              <w:right w:w="90" w:type="dxa"/>
            </w:tcMar>
          </w:tcPr>
          <w:p>
            <w:pPr>
              <w:pStyle w:val="BDOITable"/>
            </w:pPr>
            <w:r>
              <w:rPr>
                <w:sz w:val="17"/>
              </w:rPr>
              <w:t>Cashiering and Collections expose the unapplied-payment ports with the action RECOGNIZE_INCOME</w:t>
            </w:r>
          </w:p>
        </w:tc>
        <w:tc>
          <w:tcPr>
            <w:tcW w:type="dxa" w:w="2283"/>
            <w:tcMar>
              <w:top w:w="50" w:type="dxa"/>
              <w:bottom w:w="50" w:type="dxa"/>
              <w:left w:w="90" w:type="dxa"/>
              <w:right w:w="90" w:type="dxa"/>
            </w:tcMar>
          </w:tcPr>
          <w:p>
            <w:pPr>
              <w:pStyle w:val="BDOITable"/>
            </w:pPr>
            <w:r>
              <w:rPr>
                <w:sz w:val="17"/>
              </w:rPr>
              <w:t>FR-SP-070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D-SP-04</w:t>
            </w:r>
          </w:p>
        </w:tc>
        <w:tc>
          <w:tcPr>
            <w:tcW w:type="dxa" w:w="6608"/>
            <w:tcMar>
              <w:top w:w="50" w:type="dxa"/>
              <w:bottom w:w="50" w:type="dxa"/>
              <w:left w:w="90" w:type="dxa"/>
              <w:right w:w="90" w:type="dxa"/>
            </w:tcMar>
            <w:shd w:val="clear" w:color="auto" w:fill="E5F5FF"/>
          </w:tcPr>
          <w:p>
            <w:pPr>
              <w:pStyle w:val="BDOITable"/>
            </w:pPr>
            <w:r>
              <w:rPr>
                <w:sz w:val="17"/>
              </w:rPr>
              <w:t>Placement adds the hold cover re-assignment</w:t>
            </w:r>
          </w:p>
        </w:tc>
        <w:tc>
          <w:tcPr>
            <w:tcW w:type="dxa" w:w="2283"/>
            <w:tcMar>
              <w:top w:w="50" w:type="dxa"/>
              <w:bottom w:w="50" w:type="dxa"/>
              <w:left w:w="90" w:type="dxa"/>
              <w:right w:w="90" w:type="dxa"/>
            </w:tcMar>
            <w:shd w:val="clear" w:color="auto" w:fill="E5F5FF"/>
          </w:tcPr>
          <w:p>
            <w:pPr>
              <w:pStyle w:val="BDOITable"/>
            </w:pPr>
            <w:r>
              <w:rPr>
                <w:sz w:val="17"/>
              </w:rPr>
              <w:t>FR-SP-063</w:t>
            </w:r>
          </w:p>
        </w:tc>
      </w:tr>
      <w:tr>
        <w:trPr>
          <w:cantSplit w:val="true"/>
        </w:trPr>
        <w:tc>
          <w:tcPr>
            <w:tcW w:type="dxa" w:w="1081"/>
            <w:tcMar>
              <w:top w:w="50" w:type="dxa"/>
              <w:bottom w:w="50" w:type="dxa"/>
              <w:left w:w="90" w:type="dxa"/>
              <w:right w:w="90" w:type="dxa"/>
            </w:tcMar>
          </w:tcPr>
          <w:p>
            <w:pPr>
              <w:pStyle w:val="BDOITable"/>
            </w:pPr>
            <w:r>
              <w:rPr>
                <w:sz w:val="17"/>
              </w:rPr>
              <w:t>D-SP-05</w:t>
            </w:r>
          </w:p>
        </w:tc>
        <w:tc>
          <w:tcPr>
            <w:tcW w:type="dxa" w:w="6608"/>
            <w:tcMar>
              <w:top w:w="50" w:type="dxa"/>
              <w:bottom w:w="50" w:type="dxa"/>
              <w:left w:w="90" w:type="dxa"/>
              <w:right w:w="90" w:type="dxa"/>
            </w:tcMar>
          </w:tcPr>
          <w:p>
            <w:pPr>
              <w:pStyle w:val="BDOITable"/>
            </w:pPr>
            <w:r>
              <w:rPr>
                <w:sz w:val="17"/>
              </w:rPr>
              <w:t>BDOI supplies the source layouts, rule content, matrices, templates and the LAMD definition</w:t>
            </w:r>
          </w:p>
        </w:tc>
        <w:tc>
          <w:tcPr>
            <w:tcW w:type="dxa" w:w="2283"/>
            <w:tcMar>
              <w:top w:w="50" w:type="dxa"/>
              <w:bottom w:w="50" w:type="dxa"/>
              <w:left w:w="90" w:type="dxa"/>
              <w:right w:w="90" w:type="dxa"/>
            </w:tcMar>
          </w:tcPr>
          <w:p>
            <w:pPr>
              <w:pStyle w:val="BDOITable"/>
            </w:pPr>
            <w:r>
              <w:rPr>
                <w:sz w:val="17"/>
              </w:rPr>
              <w:t>FR-SP-001, 020, 041, 052, 062</w:t>
            </w:r>
          </w:p>
        </w:tc>
      </w:tr>
    </w:tbl>
    <w:p>
      <w:pPr>
        <w:pStyle w:val="BDOISpacer"/>
      </w:pPr>
    </w:p>
    <w:p>
      <w:pPr>
        <w:pStyle w:val="Heading2"/>
      </w:pPr>
      <w:bookmarkStart w:id="176" w:name="_Toc000176"/>
      <w:r>
        <w:rPr/>
        <w:t>10.3 Open questions</w:t>
      </w:r>
      <w:bookmarkEnd w:id="176"/>
    </w:p>
    <w:p>
      <w:pPr>
        <w:pStyle w:val="Caption"/>
        <w:keepNext/>
        <w:spacing w:after="60"/>
      </w:pPr>
      <w:r>
        <w:rPr>
          <w:b/>
          <w:i w:val="0"/>
        </w:rPr>
        <w:t xml:space="preserve">Table 23: </w:t>
      </w:r>
      <w:r>
        <w:rPr/>
        <w:t>Open questions on BRD-12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55"/>
        <w:gridCol w:w="5912"/>
        <w:gridCol w:w="1672"/>
        <w:gridCol w:w="1433"/>
      </w:tblGrid>
      <w:tr>
        <w:trPr>
          <w:tblHeader w:val="true"/>
          <w:cantSplit w:val="true"/>
        </w:trPr>
        <w:tc>
          <w:tcPr>
            <w:tcW w:type="dxa" w:w="955"/>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91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955"/>
            <w:tcMar>
              <w:top w:w="50" w:type="dxa"/>
              <w:bottom w:w="50" w:type="dxa"/>
              <w:left w:w="90" w:type="dxa"/>
              <w:right w:w="90" w:type="dxa"/>
            </w:tcMar>
          </w:tcPr>
          <w:p>
            <w:pPr>
              <w:pStyle w:val="BDOITable"/>
            </w:pPr>
            <w:r>
              <w:rPr>
                <w:sz w:val="17"/>
              </w:rPr>
              <w:t>SP SQ01</w:t>
            </w:r>
          </w:p>
        </w:tc>
        <w:tc>
          <w:tcPr>
            <w:tcW w:type="dxa" w:w="5912"/>
            <w:tcMar>
              <w:top w:w="50" w:type="dxa"/>
              <w:bottom w:w="50" w:type="dxa"/>
              <w:left w:w="90" w:type="dxa"/>
              <w:right w:w="90" w:type="dxa"/>
            </w:tcMar>
          </w:tcPr>
          <w:p>
            <w:pPr>
              <w:pStyle w:val="BDOITable"/>
            </w:pPr>
            <w:r>
              <w:rPr>
                <w:sz w:val="17"/>
              </w:rPr>
              <w:t>Definition, owner, layout, frequency and transport of each source</w:t>
            </w:r>
          </w:p>
        </w:tc>
        <w:tc>
          <w:tcPr>
            <w:tcW w:type="dxa" w:w="1672"/>
            <w:tcMar>
              <w:top w:w="50" w:type="dxa"/>
              <w:bottom w:w="50" w:type="dxa"/>
              <w:left w:w="90" w:type="dxa"/>
              <w:right w:w="90" w:type="dxa"/>
            </w:tcMar>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SQ02</w:t>
            </w:r>
          </w:p>
        </w:tc>
        <w:tc>
          <w:tcPr>
            <w:tcW w:type="dxa" w:w="5912"/>
            <w:tcMar>
              <w:top w:w="50" w:type="dxa"/>
              <w:bottom w:w="50" w:type="dxa"/>
              <w:left w:w="90" w:type="dxa"/>
              <w:right w:w="90" w:type="dxa"/>
            </w:tcMar>
            <w:shd w:val="clear" w:color="auto" w:fill="E5F5FF"/>
          </w:tcPr>
          <w:p>
            <w:pPr>
              <w:pStyle w:val="BDOITable"/>
            </w:pPr>
            <w:r>
              <w:rPr>
                <w:sz w:val="17"/>
              </w:rPr>
              <w:t>Prescribed submission formats per segment and business type</w:t>
            </w:r>
          </w:p>
        </w:tc>
        <w:tc>
          <w:tcPr>
            <w:tcW w:type="dxa" w:w="1672"/>
            <w:tcMar>
              <w:top w:w="50" w:type="dxa"/>
              <w:bottom w:w="50" w:type="dxa"/>
              <w:left w:w="90" w:type="dxa"/>
              <w:right w:w="90" w:type="dxa"/>
            </w:tcMar>
            <w:shd w:val="clear" w:color="auto" w:fill="E5F5FF"/>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SQ03</w:t>
            </w:r>
          </w:p>
        </w:tc>
        <w:tc>
          <w:tcPr>
            <w:tcW w:type="dxa" w:w="5912"/>
            <w:tcMar>
              <w:top w:w="50" w:type="dxa"/>
              <w:bottom w:w="50" w:type="dxa"/>
              <w:left w:w="90" w:type="dxa"/>
              <w:right w:w="90" w:type="dxa"/>
            </w:tcMar>
          </w:tcPr>
          <w:p>
            <w:pPr>
              <w:pStyle w:val="BDOITable"/>
            </w:pPr>
            <w:r>
              <w:rPr>
                <w:sz w:val="17"/>
              </w:rPr>
              <w:t>Document types, share of scanned documents, OCR, mandatory fields</w:t>
            </w:r>
          </w:p>
        </w:tc>
        <w:tc>
          <w:tcPr>
            <w:tcW w:type="dxa" w:w="1672"/>
            <w:tcMar>
              <w:top w:w="50" w:type="dxa"/>
              <w:bottom w:w="50" w:type="dxa"/>
              <w:left w:w="90" w:type="dxa"/>
              <w:right w:w="90" w:type="dxa"/>
            </w:tcMar>
          </w:tcPr>
          <w:p>
            <w:pPr>
              <w:pStyle w:val="BDOITable"/>
            </w:pPr>
            <w:r>
              <w:rPr>
                <w:sz w:val="17"/>
              </w:rPr>
              <w:t>FR-SP-002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SQ04</w:t>
            </w:r>
          </w:p>
        </w:tc>
        <w:tc>
          <w:tcPr>
            <w:tcW w:type="dxa" w:w="5912"/>
            <w:tcMar>
              <w:top w:w="50" w:type="dxa"/>
              <w:bottom w:w="50" w:type="dxa"/>
              <w:left w:w="90" w:type="dxa"/>
              <w:right w:w="90" w:type="dxa"/>
            </w:tcMar>
            <w:shd w:val="clear" w:color="auto" w:fill="E5F5FF"/>
          </w:tcPr>
          <w:p>
            <w:pPr>
              <w:pStyle w:val="BDOITable"/>
            </w:pPr>
            <w:r>
              <w:rPr>
                <w:sz w:val="17"/>
              </w:rPr>
              <w:t>Definitions of Inforced and Submitted</w:t>
            </w:r>
          </w:p>
        </w:tc>
        <w:tc>
          <w:tcPr>
            <w:tcW w:type="dxa" w:w="1672"/>
            <w:tcMar>
              <w:top w:w="50" w:type="dxa"/>
              <w:bottom w:w="50" w:type="dxa"/>
              <w:left w:w="90" w:type="dxa"/>
              <w:right w:w="90" w:type="dxa"/>
            </w:tcMar>
            <w:shd w:val="clear" w:color="auto" w:fill="E5F5FF"/>
          </w:tcPr>
          <w:p>
            <w:pPr>
              <w:pStyle w:val="BDOITable"/>
            </w:pPr>
            <w:r>
              <w:rPr>
                <w:sz w:val="17"/>
              </w:rPr>
              <w:t>FR-SP-030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SQ05</w:t>
            </w:r>
          </w:p>
        </w:tc>
        <w:tc>
          <w:tcPr>
            <w:tcW w:type="dxa" w:w="5912"/>
            <w:tcMar>
              <w:top w:w="50" w:type="dxa"/>
              <w:bottom w:w="50" w:type="dxa"/>
              <w:left w:w="90" w:type="dxa"/>
              <w:right w:w="90" w:type="dxa"/>
            </w:tcMar>
          </w:tcPr>
          <w:p>
            <w:pPr>
              <w:pStyle w:val="BDOITable"/>
            </w:pPr>
            <w:r>
              <w:rPr>
                <w:sz w:val="17"/>
              </w:rPr>
              <w:t>Complete bucket list and precedence (RMU, FFY, Fully Paid conflicts); CARI, Bonds, BDOFC, OPM, Sold</w:t>
            </w:r>
          </w:p>
        </w:tc>
        <w:tc>
          <w:tcPr>
            <w:tcW w:type="dxa" w:w="1672"/>
            <w:tcMar>
              <w:top w:w="50" w:type="dxa"/>
              <w:bottom w:w="50" w:type="dxa"/>
              <w:left w:w="90" w:type="dxa"/>
              <w:right w:w="90" w:type="dxa"/>
            </w:tcMar>
          </w:tcPr>
          <w:p>
            <w:pPr>
              <w:pStyle w:val="BDOITable"/>
            </w:pPr>
            <w:r>
              <w:rPr>
                <w:sz w:val="17"/>
              </w:rPr>
              <w:t>FR-SP-031, 033, 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SQ06</w:t>
            </w:r>
          </w:p>
        </w:tc>
        <w:tc>
          <w:tcPr>
            <w:tcW w:type="dxa" w:w="5912"/>
            <w:tcMar>
              <w:top w:w="50" w:type="dxa"/>
              <w:bottom w:w="50" w:type="dxa"/>
              <w:left w:w="90" w:type="dxa"/>
              <w:right w:w="90" w:type="dxa"/>
            </w:tcMar>
            <w:shd w:val="clear" w:color="auto" w:fill="E5F5FF"/>
          </w:tcPr>
          <w:p>
            <w:pPr>
              <w:pStyle w:val="BDOITable"/>
            </w:pPr>
            <w:r>
              <w:rPr>
                <w:sz w:val="17"/>
              </w:rPr>
              <w:t>LAMD fields and frequency; Generic vs FFY RA rule (XQ01: one or two LAMD intakes)</w:t>
            </w:r>
          </w:p>
        </w:tc>
        <w:tc>
          <w:tcPr>
            <w:tcW w:type="dxa" w:w="1672"/>
            <w:tcMar>
              <w:top w:w="50" w:type="dxa"/>
              <w:bottom w:w="50" w:type="dxa"/>
              <w:left w:w="90" w:type="dxa"/>
              <w:right w:w="90" w:type="dxa"/>
            </w:tcMar>
            <w:shd w:val="clear" w:color="auto" w:fill="E5F5FF"/>
          </w:tcPr>
          <w:p>
            <w:pPr>
              <w:pStyle w:val="BDOITable"/>
            </w:pPr>
            <w:r>
              <w:rPr>
                <w:sz w:val="17"/>
              </w:rPr>
              <w:t>FR-SP-032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SQ07</w:t>
            </w:r>
          </w:p>
        </w:tc>
        <w:tc>
          <w:tcPr>
            <w:tcW w:type="dxa" w:w="5912"/>
            <w:tcMar>
              <w:top w:w="50" w:type="dxa"/>
              <w:bottom w:w="50" w:type="dxa"/>
              <w:left w:w="90" w:type="dxa"/>
              <w:right w:w="90" w:type="dxa"/>
            </w:tcMar>
          </w:tcPr>
          <w:p>
            <w:pPr>
              <w:pStyle w:val="BDOITable"/>
            </w:pPr>
            <w:r>
              <w:rPr>
                <w:sz w:val="17"/>
              </w:rPr>
              <w:t>IAAF approval matrix, signature method, template; one IAAF per policy</w:t>
            </w:r>
          </w:p>
        </w:tc>
        <w:tc>
          <w:tcPr>
            <w:tcW w:type="dxa" w:w="1672"/>
            <w:tcMar>
              <w:top w:w="50" w:type="dxa"/>
              <w:bottom w:w="50" w:type="dxa"/>
              <w:left w:w="90" w:type="dxa"/>
              <w:right w:w="90" w:type="dxa"/>
            </w:tcMar>
          </w:tcPr>
          <w:p>
            <w:pPr>
              <w:pStyle w:val="BDOITable"/>
            </w:pPr>
            <w:r>
              <w:rPr>
                <w:sz w:val="17"/>
              </w:rPr>
              <w:t>FR-SP-040,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SQ08</w:t>
            </w:r>
          </w:p>
        </w:tc>
        <w:tc>
          <w:tcPr>
            <w:tcW w:type="dxa" w:w="5912"/>
            <w:tcMar>
              <w:top w:w="50" w:type="dxa"/>
              <w:bottom w:w="50" w:type="dxa"/>
              <w:left w:w="90" w:type="dxa"/>
              <w:right w:w="90" w:type="dxa"/>
            </w:tcMar>
            <w:shd w:val="clear" w:color="auto" w:fill="E5F5FF"/>
          </w:tcPr>
          <w:p>
            <w:pPr>
              <w:pStyle w:val="BDOITable"/>
            </w:pPr>
            <w:r>
              <w:rPr>
                <w:sz w:val="17"/>
              </w:rPr>
              <w:t>TSU matrix; limits per insurer and product; TOR template; meaning of Released</w:t>
            </w:r>
          </w:p>
        </w:tc>
        <w:tc>
          <w:tcPr>
            <w:tcW w:type="dxa" w:w="1672"/>
            <w:tcMar>
              <w:top w:w="50" w:type="dxa"/>
              <w:bottom w:w="50" w:type="dxa"/>
              <w:left w:w="90" w:type="dxa"/>
              <w:right w:w="90" w:type="dxa"/>
            </w:tcMar>
            <w:shd w:val="clear" w:color="auto" w:fill="E5F5FF"/>
          </w:tcPr>
          <w:p>
            <w:pPr>
              <w:pStyle w:val="BDOITable"/>
            </w:pPr>
            <w:r>
              <w:rPr>
                <w:sz w:val="17"/>
              </w:rPr>
              <w:t>FR-SP-050 to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SQ09</w:t>
            </w:r>
          </w:p>
        </w:tc>
        <w:tc>
          <w:tcPr>
            <w:tcW w:type="dxa" w:w="5912"/>
            <w:tcMar>
              <w:top w:w="50" w:type="dxa"/>
              <w:bottom w:w="50" w:type="dxa"/>
              <w:left w:w="90" w:type="dxa"/>
              <w:right w:w="90" w:type="dxa"/>
            </w:tcMar>
          </w:tcPr>
          <w:p>
            <w:pPr>
              <w:pStyle w:val="BDOITable"/>
            </w:pPr>
            <w:r>
              <w:rPr>
                <w:sz w:val="17"/>
              </w:rPr>
              <w:t>Letter templates, triggers, lead days and channels; COG format (XQ03)</w:t>
            </w:r>
          </w:p>
        </w:tc>
        <w:tc>
          <w:tcPr>
            <w:tcW w:type="dxa" w:w="1672"/>
            <w:tcMar>
              <w:top w:w="50" w:type="dxa"/>
              <w:bottom w:w="50" w:type="dxa"/>
              <w:left w:w="90" w:type="dxa"/>
              <w:right w:w="90" w:type="dxa"/>
            </w:tcMar>
          </w:tcPr>
          <w:p>
            <w:pPr>
              <w:pStyle w:val="BDOITable"/>
            </w:pPr>
            <w:r>
              <w:rPr>
                <w:sz w:val="17"/>
              </w:rPr>
              <w:t>FR-SP-062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SQ10</w:t>
            </w:r>
          </w:p>
        </w:tc>
        <w:tc>
          <w:tcPr>
            <w:tcW w:type="dxa" w:w="5912"/>
            <w:tcMar>
              <w:top w:w="50" w:type="dxa"/>
              <w:bottom w:w="50" w:type="dxa"/>
              <w:left w:w="90" w:type="dxa"/>
              <w:right w:w="90" w:type="dxa"/>
            </w:tcMar>
            <w:shd w:val="clear" w:color="auto" w:fill="E5F5FF"/>
          </w:tcPr>
          <w:p>
            <w:pPr>
              <w:pStyle w:val="BDOITable"/>
            </w:pPr>
            <w:r>
              <w:rPr>
                <w:sz w:val="17"/>
              </w:rPr>
              <w:t>Owner of the renewal of submitted policies</w:t>
            </w:r>
          </w:p>
        </w:tc>
        <w:tc>
          <w:tcPr>
            <w:tcW w:type="dxa" w:w="1672"/>
            <w:tcMar>
              <w:top w:w="50" w:type="dxa"/>
              <w:bottom w:w="50" w:type="dxa"/>
              <w:left w:w="90" w:type="dxa"/>
              <w:right w:w="90" w:type="dxa"/>
            </w:tcMar>
            <w:shd w:val="clear" w:color="auto" w:fill="E5F5FF"/>
          </w:tcPr>
          <w:p>
            <w:pPr>
              <w:pStyle w:val="BDOITable"/>
            </w:pPr>
            <w:r>
              <w:rPr>
                <w:sz w:val="17"/>
              </w:rPr>
              <w:t>FR-SP-060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955"/>
            <w:tcMar>
              <w:top w:w="50" w:type="dxa"/>
              <w:bottom w:w="50" w:type="dxa"/>
              <w:left w:w="90" w:type="dxa"/>
              <w:right w:w="90" w:type="dxa"/>
            </w:tcMar>
          </w:tcPr>
          <w:p>
            <w:pPr>
              <w:pStyle w:val="BDOITable"/>
            </w:pPr>
            <w:r>
              <w:rPr>
                <w:sz w:val="17"/>
              </w:rPr>
              <w:t>SP SQ11</w:t>
            </w:r>
          </w:p>
        </w:tc>
        <w:tc>
          <w:tcPr>
            <w:tcW w:type="dxa" w:w="5912"/>
            <w:tcMar>
              <w:top w:w="50" w:type="dxa"/>
              <w:bottom w:w="50" w:type="dxa"/>
              <w:left w:w="90" w:type="dxa"/>
              <w:right w:w="90" w:type="dxa"/>
            </w:tcMar>
          </w:tcPr>
          <w:p>
            <w:pPr>
              <w:pStyle w:val="BDOITable"/>
            </w:pPr>
            <w:r>
              <w:rPr>
                <w:sz w:val="17"/>
              </w:rPr>
              <w:t>Insurer assignment rules</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SQ12</w:t>
            </w:r>
          </w:p>
        </w:tc>
        <w:tc>
          <w:tcPr>
            <w:tcW w:type="dxa" w:w="5912"/>
            <w:tcMar>
              <w:top w:w="50" w:type="dxa"/>
              <w:bottom w:w="50" w:type="dxa"/>
              <w:left w:w="90" w:type="dxa"/>
              <w:right w:w="90" w:type="dxa"/>
            </w:tcMar>
            <w:shd w:val="clear" w:color="auto" w:fill="E5F5FF"/>
          </w:tcPr>
          <w:p>
            <w:pPr>
              <w:pStyle w:val="BDOITable"/>
            </w:pPr>
            <w:r>
              <w:rPr>
                <w:sz w:val="17"/>
              </w:rPr>
              <w:t>Acceptance window 3 or 5 days; outcome when no insurer accepts; alert lead days</w:t>
            </w:r>
          </w:p>
        </w:tc>
        <w:tc>
          <w:tcPr>
            <w:tcW w:type="dxa" w:w="1672"/>
            <w:tcMar>
              <w:top w:w="50" w:type="dxa"/>
              <w:bottom w:w="50" w:type="dxa"/>
              <w:left w:w="90" w:type="dxa"/>
              <w:right w:w="90" w:type="dxa"/>
            </w:tcMar>
            <w:shd w:val="clear" w:color="auto" w:fill="E5F5FF"/>
          </w:tcPr>
          <w:p>
            <w:pPr>
              <w:pStyle w:val="BDOITable"/>
            </w:pPr>
            <w:r>
              <w:rPr>
                <w:sz w:val="17"/>
              </w:rPr>
              <w:t>FR-SP-063, 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SQ13</w:t>
            </w:r>
          </w:p>
        </w:tc>
        <w:tc>
          <w:tcPr>
            <w:tcW w:type="dxa" w:w="5912"/>
            <w:tcMar>
              <w:top w:w="50" w:type="dxa"/>
              <w:bottom w:w="50" w:type="dxa"/>
              <w:left w:w="90" w:type="dxa"/>
              <w:right w:w="90" w:type="dxa"/>
            </w:tcMar>
          </w:tcPr>
          <w:p>
            <w:pPr>
              <w:pStyle w:val="BDOITable"/>
            </w:pPr>
            <w:r>
              <w:rPr>
                <w:sz w:val="17"/>
              </w:rPr>
              <w:t>Handling fee amount, VAT, OR, GL account and record creation</w:t>
            </w:r>
          </w:p>
        </w:tc>
        <w:tc>
          <w:tcPr>
            <w:tcW w:type="dxa" w:w="1672"/>
            <w:tcMar>
              <w:top w:w="50" w:type="dxa"/>
              <w:bottom w:w="50" w:type="dxa"/>
              <w:left w:w="90" w:type="dxa"/>
              <w:right w:w="90" w:type="dxa"/>
            </w:tcMar>
          </w:tcPr>
          <w:p>
            <w:pPr>
              <w:pStyle w:val="BDOITable"/>
            </w:pPr>
            <w:r>
              <w:rPr>
                <w:sz w:val="17"/>
              </w:rPr>
              <w:t>FR-SP-070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SQ14</w:t>
            </w:r>
          </w:p>
        </w:tc>
        <w:tc>
          <w:tcPr>
            <w:tcW w:type="dxa" w:w="5912"/>
            <w:tcMar>
              <w:top w:w="50" w:type="dxa"/>
              <w:bottom w:w="50" w:type="dxa"/>
              <w:left w:w="90" w:type="dxa"/>
              <w:right w:w="90" w:type="dxa"/>
            </w:tcMar>
            <w:shd w:val="clear" w:color="auto" w:fill="E5F5FF"/>
          </w:tcPr>
          <w:p>
            <w:pPr>
              <w:pStyle w:val="BDOITable"/>
            </w:pPr>
            <w:r>
              <w:rPr>
                <w:sz w:val="17"/>
              </w:rPr>
              <w:t>No Touch service-fee basis and billing statement</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SQ15</w:t>
            </w:r>
          </w:p>
        </w:tc>
        <w:tc>
          <w:tcPr>
            <w:tcW w:type="dxa" w:w="5912"/>
            <w:tcMar>
              <w:top w:w="50" w:type="dxa"/>
              <w:bottom w:w="50" w:type="dxa"/>
              <w:left w:w="90" w:type="dxa"/>
              <w:right w:w="90" w:type="dxa"/>
            </w:tcMar>
          </w:tcPr>
          <w:p>
            <w:pPr>
              <w:pStyle w:val="BDOITable"/>
            </w:pPr>
            <w:r>
              <w:rPr>
                <w:sz w:val="17"/>
              </w:rPr>
              <w:t>Access matrix and data scope of the personas</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SQ16</w:t>
            </w:r>
          </w:p>
        </w:tc>
        <w:tc>
          <w:tcPr>
            <w:tcW w:type="dxa" w:w="5912"/>
            <w:tcMar>
              <w:top w:w="50" w:type="dxa"/>
              <w:bottom w:w="50" w:type="dxa"/>
              <w:left w:w="90" w:type="dxa"/>
              <w:right w:w="90" w:type="dxa"/>
            </w:tcMar>
            <w:shd w:val="clear" w:color="auto" w:fill="E5F5FF"/>
          </w:tcPr>
          <w:p>
            <w:pPr>
              <w:pStyle w:val="BDOITable"/>
            </w:pPr>
            <w:r>
              <w:rPr>
                <w:sz w:val="17"/>
              </w:rPr>
              <w:t>Migration files, volumes, statuses and cut-over</w:t>
            </w:r>
          </w:p>
        </w:tc>
        <w:tc>
          <w:tcPr>
            <w:tcW w:type="dxa" w:w="1672"/>
            <w:tcMar>
              <w:top w:w="50" w:type="dxa"/>
              <w:bottom w:w="50" w:type="dxa"/>
              <w:left w:w="90" w:type="dxa"/>
              <w:right w:w="90" w:type="dxa"/>
            </w:tcMar>
            <w:shd w:val="clear" w:color="auto" w:fill="E5F5FF"/>
          </w:tcPr>
          <w:p>
            <w:pPr>
              <w:pStyle w:val="BDOITable"/>
            </w:pPr>
            <w:r>
              <w:rPr>
                <w:sz w:val="17"/>
              </w:rPr>
              <w:t>FR-SP-004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SQ17</w:t>
            </w:r>
          </w:p>
        </w:tc>
        <w:tc>
          <w:tcPr>
            <w:tcW w:type="dxa" w:w="5912"/>
            <w:tcMar>
              <w:top w:w="50" w:type="dxa"/>
              <w:bottom w:w="50" w:type="dxa"/>
              <w:left w:w="90" w:type="dxa"/>
              <w:right w:w="90" w:type="dxa"/>
            </w:tcMar>
          </w:tcPr>
          <w:p>
            <w:pPr>
              <w:pStyle w:val="BDOITable"/>
            </w:pPr>
            <w:r>
              <w:rPr>
                <w:sz w:val="17"/>
              </w:rPr>
              <w:t>Meaning of opportunity tag and conversion; who overrides a rule tag</w:t>
            </w:r>
          </w:p>
        </w:tc>
        <w:tc>
          <w:tcPr>
            <w:tcW w:type="dxa" w:w="1672"/>
            <w:tcMar>
              <w:top w:w="50" w:type="dxa"/>
              <w:bottom w:w="50" w:type="dxa"/>
              <w:left w:w="90" w:type="dxa"/>
              <w:right w:w="90" w:type="dxa"/>
            </w:tcMar>
          </w:tcPr>
          <w:p>
            <w:pPr>
              <w:pStyle w:val="BDOITable"/>
            </w:pPr>
            <w:r>
              <w:rPr>
                <w:sz w:val="17"/>
              </w:rPr>
              <w:t>FR-SP-003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SQ18</w:t>
            </w:r>
          </w:p>
        </w:tc>
        <w:tc>
          <w:tcPr>
            <w:tcW w:type="dxa" w:w="5912"/>
            <w:tcMar>
              <w:top w:w="50" w:type="dxa"/>
              <w:bottom w:w="50" w:type="dxa"/>
              <w:left w:w="90" w:type="dxa"/>
              <w:right w:w="90" w:type="dxa"/>
            </w:tcMar>
            <w:shd w:val="clear" w:color="auto" w:fill="E5F5FF"/>
          </w:tcPr>
          <w:p>
            <w:pPr>
              <w:pStyle w:val="BDOITable"/>
            </w:pPr>
            <w:r>
              <w:rPr>
                <w:sz w:val="17"/>
              </w:rPr>
              <w:t>Penetration report inputs and channel rule</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SQ19</w:t>
            </w:r>
          </w:p>
        </w:tc>
        <w:tc>
          <w:tcPr>
            <w:tcW w:type="dxa" w:w="5912"/>
            <w:tcMar>
              <w:top w:w="50" w:type="dxa"/>
              <w:bottom w:w="50" w:type="dxa"/>
              <w:left w:w="90" w:type="dxa"/>
              <w:right w:w="90" w:type="dxa"/>
            </w:tcMar>
          </w:tcPr>
          <w:p>
            <w:pPr>
              <w:pStyle w:val="BDOITable"/>
            </w:pPr>
            <w:r>
              <w:rPr>
                <w:sz w:val="17"/>
              </w:rPr>
              <w:t>Expansion of the acronyms of the BRD</w:t>
            </w:r>
          </w:p>
        </w:tc>
        <w:tc>
          <w:tcPr>
            <w:tcW w:type="dxa" w:w="1672"/>
            <w:tcMar>
              <w:top w:w="50" w:type="dxa"/>
              <w:bottom w:w="50" w:type="dxa"/>
              <w:left w:w="90" w:type="dxa"/>
              <w:right w:w="90" w:type="dxa"/>
            </w:tcMar>
          </w:tcPr>
          <w:p>
            <w:pPr>
              <w:pStyle w:val="BDOITable"/>
            </w:pPr>
            <w:r>
              <w:rPr>
                <w:sz w:val="17"/>
              </w:rPr>
              <w:t>Section 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SQ20</w:t>
            </w:r>
          </w:p>
        </w:tc>
        <w:tc>
          <w:tcPr>
            <w:tcW w:type="dxa" w:w="5912"/>
            <w:tcMar>
              <w:top w:w="50" w:type="dxa"/>
              <w:bottom w:w="50" w:type="dxa"/>
              <w:left w:w="90" w:type="dxa"/>
              <w:right w:w="90" w:type="dxa"/>
            </w:tcMar>
            <w:shd w:val="clear" w:color="auto" w:fill="E5F5FF"/>
          </w:tcPr>
          <w:p>
            <w:pPr>
              <w:pStyle w:val="BDOITable"/>
            </w:pPr>
            <w:r>
              <w:rPr>
                <w:sz w:val="17"/>
              </w:rPr>
              <w:t>BIBS ARN replaces the ISYS reference and ARF</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SQ21</w:t>
            </w:r>
          </w:p>
        </w:tc>
        <w:tc>
          <w:tcPr>
            <w:tcW w:type="dxa" w:w="5912"/>
            <w:tcMar>
              <w:top w:w="50" w:type="dxa"/>
              <w:bottom w:w="50" w:type="dxa"/>
              <w:left w:w="90" w:type="dxa"/>
              <w:right w:w="90" w:type="dxa"/>
            </w:tcMar>
          </w:tcPr>
          <w:p>
            <w:pPr>
              <w:pStyle w:val="BDOITable"/>
            </w:pPr>
            <w:r>
              <w:rPr>
                <w:sz w:val="17"/>
              </w:rPr>
              <w:t>2-second response against 10 s (BRD-1) and 5 s (Operations)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SQ22</w:t>
            </w:r>
          </w:p>
        </w:tc>
        <w:tc>
          <w:tcPr>
            <w:tcW w:type="dxa" w:w="5912"/>
            <w:tcMar>
              <w:top w:w="50" w:type="dxa"/>
              <w:bottom w:w="50" w:type="dxa"/>
              <w:left w:w="90" w:type="dxa"/>
              <w:right w:w="90" w:type="dxa"/>
            </w:tcMar>
            <w:shd w:val="clear" w:color="auto" w:fill="E5F5FF"/>
          </w:tcPr>
          <w:p>
            <w:pPr>
              <w:pStyle w:val="BDOITable"/>
            </w:pPr>
            <w:r>
              <w:rPr>
                <w:sz w:val="17"/>
              </w:rPr>
              <w:t>Retention 5 + 5 years against 5 + 15 years (BRD-1)</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SQ23</w:t>
            </w:r>
          </w:p>
        </w:tc>
        <w:tc>
          <w:tcPr>
            <w:tcW w:type="dxa" w:w="5912"/>
            <w:tcMar>
              <w:top w:w="50" w:type="dxa"/>
              <w:bottom w:w="50" w:type="dxa"/>
              <w:left w:w="90" w:type="dxa"/>
              <w:right w:w="90" w:type="dxa"/>
            </w:tcMar>
          </w:tcPr>
          <w:p>
            <w:pPr>
              <w:pStyle w:val="BDOITable"/>
            </w:pPr>
            <w:r>
              <w:rPr>
                <w:sz w:val="17"/>
              </w:rPr>
              <w:t>Non-CBG Retail employee accounts: quotation and NRNS by e-mail</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SQ24</w:t>
            </w:r>
          </w:p>
        </w:tc>
        <w:tc>
          <w:tcPr>
            <w:tcW w:type="dxa" w:w="5912"/>
            <w:tcMar>
              <w:top w:w="50" w:type="dxa"/>
              <w:bottom w:w="50" w:type="dxa"/>
              <w:left w:w="90" w:type="dxa"/>
              <w:right w:w="90" w:type="dxa"/>
            </w:tcMar>
            <w:shd w:val="clear" w:color="auto" w:fill="E5F5FF"/>
          </w:tcPr>
          <w:p>
            <w:pPr>
              <w:pStyle w:val="BDOITable"/>
            </w:pPr>
            <w:r>
              <w:rPr>
                <w:sz w:val="17"/>
              </w:rPr>
              <w:t>Start and end events of the policy-review ageing</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SQ25</w:t>
            </w:r>
          </w:p>
        </w:tc>
        <w:tc>
          <w:tcPr>
            <w:tcW w:type="dxa" w:w="5912"/>
            <w:tcMar>
              <w:top w:w="50" w:type="dxa"/>
              <w:bottom w:w="50" w:type="dxa"/>
              <w:left w:w="90" w:type="dxa"/>
              <w:right w:w="90" w:type="dxa"/>
            </w:tcMar>
          </w:tcPr>
          <w:p>
            <w:pPr>
              <w:pStyle w:val="BDOITable"/>
            </w:pPr>
            <w:r>
              <w:rPr>
                <w:sz w:val="17"/>
              </w:rPr>
              <w:t>Final fields of the reports without layouts</w:t>
            </w:r>
          </w:p>
        </w:tc>
        <w:tc>
          <w:tcPr>
            <w:tcW w:type="dxa" w:w="1672"/>
            <w:tcMar>
              <w:top w:w="50" w:type="dxa"/>
              <w:bottom w:w="50" w:type="dxa"/>
              <w:left w:w="90" w:type="dxa"/>
              <w:right w:w="90" w:type="dxa"/>
            </w:tcMar>
          </w:tcPr>
          <w:p>
            <w:pPr>
              <w:pStyle w:val="BDOITable"/>
            </w:pPr>
            <w:r>
              <w:rPr>
                <w:sz w:val="17"/>
              </w:rPr>
              <w:t>FR-SP-080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77" w:name="_Toc000177"/>
      <w:r>
        <w:rPr/>
        <w:t>11 Traceability</w:t>
      </w:r>
      <w:bookmarkEnd w:id="177"/>
    </w:p>
    <w:p>
      <w:r>
        <w:rPr/>
        <w:t>Every BRD-12 requirement ID is met by at least one FR.</w:t>
      </w:r>
    </w:p>
    <w:p>
      <w:pPr>
        <w:pStyle w:val="Caption"/>
        <w:keepNext/>
        <w:spacing w:after="60"/>
      </w:pPr>
      <w:r>
        <w:rPr>
          <w:b/>
          <w:i w:val="0"/>
        </w:rPr>
        <w:t xml:space="preserve">Table 24: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922"/>
        <w:gridCol w:w="3244"/>
        <w:gridCol w:w="348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API / job</w:t>
            </w:r>
          </w:p>
        </w:tc>
      </w:tr>
      <w:tr>
        <w:trPr>
          <w:cantSplit w:val="true"/>
        </w:trPr>
        <w:tc>
          <w:tcPr>
            <w:tcW w:type="dxa" w:w="1322"/>
            <w:tcMar>
              <w:top w:w="50" w:type="dxa"/>
              <w:bottom w:w="50" w:type="dxa"/>
              <w:left w:w="90" w:type="dxa"/>
              <w:right w:w="90" w:type="dxa"/>
            </w:tcMar>
          </w:tcPr>
          <w:p>
            <w:pPr>
              <w:pStyle w:val="BDOITable"/>
            </w:pPr>
            <w:r>
              <w:rPr>
                <w:sz w:val="16"/>
              </w:rPr>
              <w:t>BRIDSP-01 (p.8)</w:t>
            </w:r>
          </w:p>
        </w:tc>
        <w:tc>
          <w:tcPr>
            <w:tcW w:type="dxa" w:w="1922"/>
            <w:tcMar>
              <w:top w:w="50" w:type="dxa"/>
              <w:bottom w:w="50" w:type="dxa"/>
              <w:left w:w="90" w:type="dxa"/>
              <w:right w:w="90" w:type="dxa"/>
            </w:tcMar>
          </w:tcPr>
          <w:p>
            <w:pPr>
              <w:pStyle w:val="BDOITable"/>
            </w:pPr>
            <w:r>
              <w:rPr>
                <w:sz w:val="16"/>
              </w:rPr>
              <w:t>FR-SP-001</w:t>
            </w:r>
          </w:p>
        </w:tc>
        <w:tc>
          <w:tcPr>
            <w:tcW w:type="dxa" w:w="3244"/>
            <w:tcMar>
              <w:top w:w="50" w:type="dxa"/>
              <w:bottom w:w="50" w:type="dxa"/>
              <w:left w:w="90" w:type="dxa"/>
              <w:right w:w="90" w:type="dxa"/>
            </w:tcMar>
          </w:tcPr>
          <w:p>
            <w:pPr>
              <w:pStyle w:val="BDOITable"/>
            </w:pPr>
            <w:r>
              <w:rPr>
                <w:sz w:val="16"/>
              </w:rPr>
              <w:t>Upload &amp; Intake</w:t>
            </w:r>
          </w:p>
        </w:tc>
        <w:tc>
          <w:tcPr>
            <w:tcW w:type="dxa" w:w="3484"/>
            <w:tcMar>
              <w:top w:w="50" w:type="dxa"/>
              <w:bottom w:w="50" w:type="dxa"/>
              <w:left w:w="90" w:type="dxa"/>
              <w:right w:w="90" w:type="dxa"/>
            </w:tcMar>
          </w:tcPr>
          <w:p>
            <w:pPr>
              <w:pStyle w:val="BDOITable"/>
            </w:pPr>
            <w:r>
              <w:rPr>
                <w:sz w:val="16"/>
              </w:rPr>
              <w:t>Bulk handlers per source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BRIDSP-02 (p.8)</w:t>
            </w:r>
          </w:p>
        </w:tc>
        <w:tc>
          <w:tcPr>
            <w:tcW w:type="dxa" w:w="1922"/>
            <w:tcMar>
              <w:top w:w="50" w:type="dxa"/>
              <w:bottom w:w="50" w:type="dxa"/>
              <w:left w:w="90" w:type="dxa"/>
              <w:right w:w="90" w:type="dxa"/>
            </w:tcMar>
            <w:shd w:val="clear" w:color="auto" w:fill="E5F5FF"/>
          </w:tcPr>
          <w:p>
            <w:pPr>
              <w:pStyle w:val="BDOITable"/>
            </w:pPr>
            <w:r>
              <w:rPr>
                <w:sz w:val="16"/>
              </w:rPr>
              <w:t>FR-SP-002</w:t>
            </w:r>
          </w:p>
        </w:tc>
        <w:tc>
          <w:tcPr>
            <w:tcW w:type="dxa" w:w="3244"/>
            <w:tcMar>
              <w:top w:w="50" w:type="dxa"/>
              <w:bottom w:w="50" w:type="dxa"/>
              <w:left w:w="90" w:type="dxa"/>
              <w:right w:w="90" w:type="dxa"/>
            </w:tcMar>
            <w:shd w:val="clear" w:color="auto" w:fill="E5F5FF"/>
          </w:tcPr>
          <w:p>
            <w:pPr>
              <w:pStyle w:val="BDOITable"/>
            </w:pPr>
            <w:r>
              <w:rPr>
                <w:sz w:val="16"/>
              </w:rPr>
              <w:t>Extraction Review</w:t>
            </w:r>
          </w:p>
        </w:tc>
        <w:tc>
          <w:tcPr>
            <w:tcW w:type="dxa" w:w="3484"/>
            <w:tcMar>
              <w:top w:w="50" w:type="dxa"/>
              <w:bottom w:w="50" w:type="dxa"/>
              <w:left w:w="90" w:type="dxa"/>
              <w:right w:w="90" w:type="dxa"/>
            </w:tcMar>
            <w:shd w:val="clear" w:color="auto" w:fill="E5F5FF"/>
          </w:tcPr>
          <w:p>
            <w:pPr>
              <w:pStyle w:val="BDOITable"/>
            </w:pPr>
            <w:r>
              <w:rPr>
                <w:sz w:val="16"/>
              </w:rPr>
              <w:t>/submitted/extractions</w:t>
            </w:r>
          </w:p>
        </w:tc>
      </w:tr>
      <w:tr>
        <w:trPr>
          <w:cantSplit w:val="true"/>
        </w:trPr>
        <w:tc>
          <w:tcPr>
            <w:tcW w:type="dxa" w:w="1322"/>
            <w:tcMar>
              <w:top w:w="50" w:type="dxa"/>
              <w:bottom w:w="50" w:type="dxa"/>
              <w:left w:w="90" w:type="dxa"/>
              <w:right w:w="90" w:type="dxa"/>
            </w:tcMar>
          </w:tcPr>
          <w:p>
            <w:pPr>
              <w:pStyle w:val="BDOITable"/>
            </w:pPr>
            <w:r>
              <w:rPr>
                <w:sz w:val="16"/>
              </w:rPr>
              <w:t>BRIDSP-03 (p.8)</w:t>
            </w:r>
          </w:p>
        </w:tc>
        <w:tc>
          <w:tcPr>
            <w:tcW w:type="dxa" w:w="1922"/>
            <w:tcMar>
              <w:top w:w="50" w:type="dxa"/>
              <w:bottom w:w="50" w:type="dxa"/>
              <w:left w:w="90" w:type="dxa"/>
              <w:right w:w="90" w:type="dxa"/>
            </w:tcMar>
          </w:tcPr>
          <w:p>
            <w:pPr>
              <w:pStyle w:val="BDOITable"/>
            </w:pPr>
            <w:r>
              <w:rPr>
                <w:sz w:val="16"/>
              </w:rPr>
              <w:t>FR-SP-003</w:t>
            </w:r>
          </w:p>
        </w:tc>
        <w:tc>
          <w:tcPr>
            <w:tcW w:type="dxa" w:w="3244"/>
            <w:tcMar>
              <w:top w:w="50" w:type="dxa"/>
              <w:bottom w:w="50" w:type="dxa"/>
              <w:left w:w="90" w:type="dxa"/>
              <w:right w:w="90" w:type="dxa"/>
            </w:tcMar>
          </w:tcPr>
          <w:p>
            <w:pPr>
              <w:pStyle w:val="BDOITable"/>
            </w:pPr>
            <w:r>
              <w:rPr>
                <w:sz w:val="16"/>
              </w:rPr>
              <w:t>Masterlist; Policy record</w:t>
            </w:r>
          </w:p>
        </w:tc>
        <w:tc>
          <w:tcPr>
            <w:tcW w:type="dxa" w:w="3484"/>
            <w:tcMar>
              <w:top w:w="50" w:type="dxa"/>
              <w:bottom w:w="50" w:type="dxa"/>
              <w:left w:w="90" w:type="dxa"/>
              <w:right w:w="90" w:type="dxa"/>
            </w:tcMar>
          </w:tcPr>
          <w:p>
            <w:pPr>
              <w:pStyle w:val="BDOITable"/>
            </w:pPr>
            <w:r>
              <w:rPr>
                <w:sz w:val="16"/>
              </w:rPr>
              <w:t>/submitted/policies; .../renewal-tag</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BRIDSP-04 (p.9)</w:t>
            </w:r>
          </w:p>
        </w:tc>
        <w:tc>
          <w:tcPr>
            <w:tcW w:type="dxa" w:w="1922"/>
            <w:tcMar>
              <w:top w:w="50" w:type="dxa"/>
              <w:bottom w:w="50" w:type="dxa"/>
              <w:left w:w="90" w:type="dxa"/>
              <w:right w:w="90" w:type="dxa"/>
            </w:tcMar>
            <w:shd w:val="clear" w:color="auto" w:fill="E5F5FF"/>
          </w:tcPr>
          <w:p>
            <w:pPr>
              <w:pStyle w:val="BDOITable"/>
            </w:pPr>
            <w:r>
              <w:rPr>
                <w:sz w:val="16"/>
              </w:rPr>
              <w:t>FR-SP-010</w:t>
            </w:r>
          </w:p>
        </w:tc>
        <w:tc>
          <w:tcPr>
            <w:tcW w:type="dxa" w:w="3244"/>
            <w:tcMar>
              <w:top w:w="50" w:type="dxa"/>
              <w:bottom w:w="50" w:type="dxa"/>
              <w:left w:w="90" w:type="dxa"/>
              <w:right w:w="90" w:type="dxa"/>
            </w:tcMar>
            <w:shd w:val="clear" w:color="auto" w:fill="E5F5FF"/>
          </w:tcPr>
          <w:p>
            <w:pPr>
              <w:pStyle w:val="BDOITable"/>
            </w:pPr>
            <w:r>
              <w:rPr>
                <w:sz w:val="16"/>
              </w:rPr>
              <w:t>Masterlist; Policy record</w:t>
            </w:r>
          </w:p>
        </w:tc>
        <w:tc>
          <w:tcPr>
            <w:tcW w:type="dxa" w:w="3484"/>
            <w:tcMar>
              <w:top w:w="50" w:type="dxa"/>
              <w:bottom w:w="50" w:type="dxa"/>
              <w:left w:w="90" w:type="dxa"/>
              <w:right w:w="90" w:type="dxa"/>
            </w:tcMar>
            <w:shd w:val="clear" w:color="auto" w:fill="E5F5FF"/>
          </w:tcPr>
          <w:p>
            <w:pPr>
              <w:pStyle w:val="BDOITable"/>
            </w:pPr>
            <w:r>
              <w:rPr>
                <w:sz w:val="16"/>
              </w:rPr>
              <w:t>/submitted/policies</w:t>
            </w:r>
          </w:p>
        </w:tc>
      </w:tr>
      <w:tr>
        <w:trPr>
          <w:cantSplit w:val="true"/>
        </w:trPr>
        <w:tc>
          <w:tcPr>
            <w:tcW w:type="dxa" w:w="1322"/>
            <w:tcMar>
              <w:top w:w="50" w:type="dxa"/>
              <w:bottom w:w="50" w:type="dxa"/>
              <w:left w:w="90" w:type="dxa"/>
              <w:right w:w="90" w:type="dxa"/>
            </w:tcMar>
          </w:tcPr>
          <w:p>
            <w:pPr>
              <w:pStyle w:val="BDOITable"/>
            </w:pPr>
            <w:r>
              <w:rPr>
                <w:sz w:val="16"/>
              </w:rPr>
              <w:t>BRIDSP-05 (p.9)</w:t>
            </w:r>
          </w:p>
        </w:tc>
        <w:tc>
          <w:tcPr>
            <w:tcW w:type="dxa" w:w="1922"/>
            <w:tcMar>
              <w:top w:w="50" w:type="dxa"/>
              <w:bottom w:w="50" w:type="dxa"/>
              <w:left w:w="90" w:type="dxa"/>
              <w:right w:w="90" w:type="dxa"/>
            </w:tcMar>
          </w:tcPr>
          <w:p>
            <w:pPr>
              <w:pStyle w:val="BDOITable"/>
            </w:pPr>
            <w:r>
              <w:rPr>
                <w:sz w:val="16"/>
              </w:rPr>
              <w:t>FR-SP-040</w:t>
            </w:r>
          </w:p>
        </w:tc>
        <w:tc>
          <w:tcPr>
            <w:tcW w:type="dxa" w:w="3244"/>
            <w:tcMar>
              <w:top w:w="50" w:type="dxa"/>
              <w:bottom w:w="50" w:type="dxa"/>
              <w:left w:w="90" w:type="dxa"/>
              <w:right w:w="90" w:type="dxa"/>
            </w:tcMar>
          </w:tcPr>
          <w:p>
            <w:pPr>
              <w:pStyle w:val="BDOITable"/>
            </w:pPr>
            <w:r>
              <w:rPr>
                <w:sz w:val="16"/>
              </w:rPr>
              <w:t>Policy Reviews / IAAF</w:t>
            </w:r>
          </w:p>
        </w:tc>
        <w:tc>
          <w:tcPr>
            <w:tcW w:type="dxa" w:w="3484"/>
            <w:tcMar>
              <w:top w:w="50" w:type="dxa"/>
              <w:bottom w:w="50" w:type="dxa"/>
              <w:left w:w="90" w:type="dxa"/>
              <w:right w:w="90" w:type="dxa"/>
            </w:tcMar>
          </w:tcPr>
          <w:p>
            <w:pPr>
              <w:pStyle w:val="BDOITable"/>
            </w:pPr>
            <w:r>
              <w:rPr>
                <w:sz w:val="16"/>
              </w:rPr>
              <w:t>.../iaaf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BRIDSP-06 (p.9)</w:t>
            </w:r>
          </w:p>
        </w:tc>
        <w:tc>
          <w:tcPr>
            <w:tcW w:type="dxa" w:w="1922"/>
            <w:tcMar>
              <w:top w:w="50" w:type="dxa"/>
              <w:bottom w:w="50" w:type="dxa"/>
              <w:left w:w="90" w:type="dxa"/>
              <w:right w:w="90" w:type="dxa"/>
            </w:tcMar>
            <w:shd w:val="clear" w:color="auto" w:fill="E5F5FF"/>
          </w:tcPr>
          <w:p>
            <w:pPr>
              <w:pStyle w:val="BDOITable"/>
            </w:pPr>
            <w:r>
              <w:rPr>
                <w:sz w:val="16"/>
              </w:rPr>
              <w:t>FR-SP-040</w:t>
            </w:r>
          </w:p>
        </w:tc>
        <w:tc>
          <w:tcPr>
            <w:tcW w:type="dxa" w:w="3244"/>
            <w:tcMar>
              <w:top w:w="50" w:type="dxa"/>
              <w:bottom w:w="50" w:type="dxa"/>
              <w:left w:w="90" w:type="dxa"/>
              <w:right w:w="90" w:type="dxa"/>
            </w:tcMar>
            <w:shd w:val="clear" w:color="auto" w:fill="E5F5FF"/>
          </w:tcPr>
          <w:p>
            <w:pPr>
              <w:pStyle w:val="BDOITable"/>
            </w:pPr>
            <w:r>
              <w:rPr>
                <w:sz w:val="16"/>
              </w:rPr>
              <w:t>Policy Reviews / IAAF</w:t>
            </w:r>
          </w:p>
        </w:tc>
        <w:tc>
          <w:tcPr>
            <w:tcW w:type="dxa" w:w="3484"/>
            <w:tcMar>
              <w:top w:w="50" w:type="dxa"/>
              <w:bottom w:w="50" w:type="dxa"/>
              <w:left w:w="90" w:type="dxa"/>
              <w:right w:w="90" w:type="dxa"/>
            </w:tcMar>
            <w:shd w:val="clear" w:color="auto" w:fill="E5F5FF"/>
          </w:tcPr>
          <w:p>
            <w:pPr>
              <w:pStyle w:val="BDOITable"/>
            </w:pPr>
            <w:r>
              <w:rPr>
                <w:sz w:val="16"/>
              </w:rPr>
              <w:t>.../reviews</w:t>
            </w:r>
          </w:p>
        </w:tc>
      </w:tr>
      <w:tr>
        <w:trPr>
          <w:cantSplit w:val="true"/>
        </w:trPr>
        <w:tc>
          <w:tcPr>
            <w:tcW w:type="dxa" w:w="1322"/>
            <w:tcMar>
              <w:top w:w="50" w:type="dxa"/>
              <w:bottom w:w="50" w:type="dxa"/>
              <w:left w:w="90" w:type="dxa"/>
              <w:right w:w="90" w:type="dxa"/>
            </w:tcMar>
          </w:tcPr>
          <w:p>
            <w:pPr>
              <w:pStyle w:val="BDOITable"/>
            </w:pPr>
            <w:r>
              <w:rPr>
                <w:sz w:val="16"/>
              </w:rPr>
              <w:t>BRIDSP-07 (p.9)</w:t>
            </w:r>
          </w:p>
        </w:tc>
        <w:tc>
          <w:tcPr>
            <w:tcW w:type="dxa" w:w="1922"/>
            <w:tcMar>
              <w:top w:w="50" w:type="dxa"/>
              <w:bottom w:w="50" w:type="dxa"/>
              <w:left w:w="90" w:type="dxa"/>
              <w:right w:w="90" w:type="dxa"/>
            </w:tcMar>
          </w:tcPr>
          <w:p>
            <w:pPr>
              <w:pStyle w:val="BDOITable"/>
            </w:pPr>
            <w:r>
              <w:rPr>
                <w:sz w:val="16"/>
              </w:rPr>
              <w:t>FR-SP-041</w:t>
            </w:r>
          </w:p>
        </w:tc>
        <w:tc>
          <w:tcPr>
            <w:tcW w:type="dxa" w:w="3244"/>
            <w:tcMar>
              <w:top w:w="50" w:type="dxa"/>
              <w:bottom w:w="50" w:type="dxa"/>
              <w:left w:w="90" w:type="dxa"/>
              <w:right w:w="90" w:type="dxa"/>
            </w:tcMar>
          </w:tcPr>
          <w:p>
            <w:pPr>
              <w:pStyle w:val="BDOITable"/>
            </w:pPr>
            <w:r>
              <w:rPr>
                <w:sz w:val="16"/>
              </w:rPr>
              <w:t>My Approvals; IAAF page</w:t>
            </w:r>
          </w:p>
        </w:tc>
        <w:tc>
          <w:tcPr>
            <w:tcW w:type="dxa" w:w="3484"/>
            <w:tcMar>
              <w:top w:w="50" w:type="dxa"/>
              <w:bottom w:w="50" w:type="dxa"/>
              <w:left w:w="90" w:type="dxa"/>
              <w:right w:w="90" w:type="dxa"/>
            </w:tcMar>
          </w:tcPr>
          <w:p>
            <w:pPr>
              <w:pStyle w:val="BDOITable"/>
            </w:pPr>
            <w:r>
              <w:rPr>
                <w:sz w:val="16"/>
              </w:rPr>
              <w:t>Workflow SBM_IAAF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BRIDSP-08 (p.9)</w:t>
            </w:r>
          </w:p>
        </w:tc>
        <w:tc>
          <w:tcPr>
            <w:tcW w:type="dxa" w:w="1922"/>
            <w:tcMar>
              <w:top w:w="50" w:type="dxa"/>
              <w:bottom w:w="50" w:type="dxa"/>
              <w:left w:w="90" w:type="dxa"/>
              <w:right w:w="90" w:type="dxa"/>
            </w:tcMar>
            <w:shd w:val="clear" w:color="auto" w:fill="E5F5FF"/>
          </w:tcPr>
          <w:p>
            <w:pPr>
              <w:pStyle w:val="BDOITable"/>
            </w:pPr>
            <w:r>
              <w:rPr>
                <w:sz w:val="16"/>
              </w:rPr>
              <w:t>FR-SP-020</w:t>
            </w:r>
          </w:p>
        </w:tc>
        <w:tc>
          <w:tcPr>
            <w:tcW w:type="dxa" w:w="3244"/>
            <w:tcMar>
              <w:top w:w="50" w:type="dxa"/>
              <w:bottom w:w="50" w:type="dxa"/>
              <w:left w:w="90" w:type="dxa"/>
              <w:right w:w="90" w:type="dxa"/>
            </w:tcMar>
            <w:shd w:val="clear" w:color="auto" w:fill="E5F5FF"/>
          </w:tcPr>
          <w:p>
            <w:pPr>
              <w:pStyle w:val="BDOITable"/>
            </w:pPr>
            <w:r>
              <w:rPr>
                <w:sz w:val="16"/>
              </w:rPr>
              <w:t>Setup (Rule Sets)</w:t>
            </w:r>
          </w:p>
        </w:tc>
        <w:tc>
          <w:tcPr>
            <w:tcW w:type="dxa" w:w="3484"/>
            <w:tcMar>
              <w:top w:w="50" w:type="dxa"/>
              <w:bottom w:w="50" w:type="dxa"/>
              <w:left w:w="90" w:type="dxa"/>
              <w:right w:w="90" w:type="dxa"/>
            </w:tcMar>
            <w:shd w:val="clear" w:color="auto" w:fill="E5F5FF"/>
          </w:tcPr>
          <w:p>
            <w:pPr>
              <w:pStyle w:val="BDOITable"/>
            </w:pPr>
            <w:r>
              <w:rPr>
                <w:sz w:val="16"/>
              </w:rPr>
              <w:t>/submitted/setup/rule-sets</w:t>
            </w:r>
          </w:p>
        </w:tc>
      </w:tr>
      <w:tr>
        <w:trPr>
          <w:cantSplit w:val="true"/>
        </w:trPr>
        <w:tc>
          <w:tcPr>
            <w:tcW w:type="dxa" w:w="1322"/>
            <w:tcMar>
              <w:top w:w="50" w:type="dxa"/>
              <w:bottom w:w="50" w:type="dxa"/>
              <w:left w:w="90" w:type="dxa"/>
              <w:right w:w="90" w:type="dxa"/>
            </w:tcMar>
          </w:tcPr>
          <w:p>
            <w:pPr>
              <w:pStyle w:val="BDOITable"/>
            </w:pPr>
            <w:r>
              <w:rPr>
                <w:sz w:val="16"/>
              </w:rPr>
              <w:t>BRIDSP-09 (p.9)</w:t>
            </w:r>
          </w:p>
        </w:tc>
        <w:tc>
          <w:tcPr>
            <w:tcW w:type="dxa" w:w="1922"/>
            <w:tcMar>
              <w:top w:w="50" w:type="dxa"/>
              <w:bottom w:w="50" w:type="dxa"/>
              <w:left w:w="90" w:type="dxa"/>
              <w:right w:w="90" w:type="dxa"/>
            </w:tcMar>
          </w:tcPr>
          <w:p>
            <w:pPr>
              <w:pStyle w:val="BDOITable"/>
            </w:pPr>
            <w:r>
              <w:rPr>
                <w:sz w:val="16"/>
              </w:rPr>
              <w:t>FR-SP-021</w:t>
            </w:r>
          </w:p>
        </w:tc>
        <w:tc>
          <w:tcPr>
            <w:tcW w:type="dxa" w:w="3244"/>
            <w:tcMar>
              <w:top w:w="50" w:type="dxa"/>
              <w:bottom w:w="50" w:type="dxa"/>
              <w:left w:w="90" w:type="dxa"/>
              <w:right w:w="90" w:type="dxa"/>
            </w:tcMar>
          </w:tcPr>
          <w:p>
            <w:pPr>
              <w:pStyle w:val="BDOITable"/>
            </w:pPr>
            <w:r>
              <w:rPr>
                <w:sz w:val="16"/>
              </w:rPr>
              <w:t>Processing Runs</w:t>
            </w:r>
          </w:p>
        </w:tc>
        <w:tc>
          <w:tcPr>
            <w:tcW w:type="dxa" w:w="3484"/>
            <w:tcMar>
              <w:top w:w="50" w:type="dxa"/>
              <w:bottom w:w="50" w:type="dxa"/>
              <w:left w:w="90" w:type="dxa"/>
              <w:right w:w="90" w:type="dxa"/>
            </w:tcMar>
          </w:tcPr>
          <w:p>
            <w:pPr>
              <w:pStyle w:val="BDOITable"/>
            </w:pPr>
            <w:r>
              <w:rPr>
                <w:sz w:val="16"/>
              </w:rPr>
              <w:t>/submitted/runs; job SBM_PROCESSING</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BRIDSP-10 (p.9)</w:t>
            </w:r>
          </w:p>
        </w:tc>
        <w:tc>
          <w:tcPr>
            <w:tcW w:type="dxa" w:w="1922"/>
            <w:tcMar>
              <w:top w:w="50" w:type="dxa"/>
              <w:bottom w:w="50" w:type="dxa"/>
              <w:left w:w="90" w:type="dxa"/>
              <w:right w:w="90" w:type="dxa"/>
            </w:tcMar>
            <w:shd w:val="clear" w:color="auto" w:fill="E5F5FF"/>
          </w:tcPr>
          <w:p>
            <w:pPr>
              <w:pStyle w:val="BDOITable"/>
            </w:pPr>
            <w:r>
              <w:rPr>
                <w:sz w:val="16"/>
              </w:rPr>
              <w:t>FR-SP-022</w:t>
            </w:r>
          </w:p>
        </w:tc>
        <w:tc>
          <w:tcPr>
            <w:tcW w:type="dxa" w:w="3244"/>
            <w:tcMar>
              <w:top w:w="50" w:type="dxa"/>
              <w:bottom w:w="50" w:type="dxa"/>
              <w:left w:w="90" w:type="dxa"/>
              <w:right w:w="90" w:type="dxa"/>
            </w:tcMar>
            <w:shd w:val="clear" w:color="auto" w:fill="E5F5FF"/>
          </w:tcPr>
          <w:p>
            <w:pPr>
              <w:pStyle w:val="BDOITable"/>
            </w:pPr>
            <w:r>
              <w:rPr>
                <w:sz w:val="16"/>
              </w:rPr>
              <w:t>Processing Runs (Fallout)</w:t>
            </w:r>
          </w:p>
        </w:tc>
        <w:tc>
          <w:tcPr>
            <w:tcW w:type="dxa" w:w="3484"/>
            <w:tcMar>
              <w:top w:w="50" w:type="dxa"/>
              <w:bottom w:w="50" w:type="dxa"/>
              <w:left w:w="90" w:type="dxa"/>
              <w:right w:w="90" w:type="dxa"/>
            </w:tcMar>
            <w:shd w:val="clear" w:color="auto" w:fill="E5F5FF"/>
          </w:tcPr>
          <w:p>
            <w:pPr>
              <w:pStyle w:val="BDOITable"/>
            </w:pPr>
            <w:r>
              <w:rPr>
                <w:sz w:val="16"/>
              </w:rPr>
              <w:t>Reports SBM-DOC-FALLOUT, SBM-PROCESS-FALLOUT</w:t>
            </w:r>
          </w:p>
        </w:tc>
      </w:tr>
      <w:tr>
        <w:trPr>
          <w:cantSplit w:val="true"/>
        </w:trPr>
        <w:tc>
          <w:tcPr>
            <w:tcW w:type="dxa" w:w="1322"/>
            <w:tcMar>
              <w:top w:w="50" w:type="dxa"/>
              <w:bottom w:w="50" w:type="dxa"/>
              <w:left w:w="90" w:type="dxa"/>
              <w:right w:w="90" w:type="dxa"/>
            </w:tcMar>
          </w:tcPr>
          <w:p>
            <w:pPr>
              <w:pStyle w:val="BDOITable"/>
            </w:pPr>
            <w:r>
              <w:rPr>
                <w:sz w:val="16"/>
              </w:rPr>
              <w:t>BRIDSP-11 (p.9)</w:t>
            </w:r>
          </w:p>
        </w:tc>
        <w:tc>
          <w:tcPr>
            <w:tcW w:type="dxa" w:w="1922"/>
            <w:tcMar>
              <w:top w:w="50" w:type="dxa"/>
              <w:bottom w:w="50" w:type="dxa"/>
              <w:left w:w="90" w:type="dxa"/>
              <w:right w:w="90" w:type="dxa"/>
            </w:tcMar>
          </w:tcPr>
          <w:p>
            <w:pPr>
              <w:pStyle w:val="BDOITable"/>
            </w:pPr>
            <w:r>
              <w:rPr>
                <w:sz w:val="16"/>
              </w:rPr>
              <w:t>FR-SP-030</w:t>
            </w:r>
          </w:p>
        </w:tc>
        <w:tc>
          <w:tcPr>
            <w:tcW w:type="dxa" w:w="3244"/>
            <w:tcMar>
              <w:top w:w="50" w:type="dxa"/>
              <w:bottom w:w="50" w:type="dxa"/>
              <w:left w:w="90" w:type="dxa"/>
              <w:right w:w="90" w:type="dxa"/>
            </w:tcMar>
          </w:tcPr>
          <w:p>
            <w:pPr>
              <w:pStyle w:val="BDOITable"/>
            </w:pPr>
            <w:r>
              <w:rPr>
                <w:sz w:val="16"/>
              </w:rPr>
              <w:t>Policy record (Loan &amp; Matching)</w:t>
            </w:r>
          </w:p>
        </w:tc>
        <w:tc>
          <w:tcPr>
            <w:tcW w:type="dxa" w:w="3484"/>
            <w:tcMar>
              <w:top w:w="50" w:type="dxa"/>
              <w:bottom w:w="50" w:type="dxa"/>
              <w:left w:w="90" w:type="dxa"/>
              <w:right w:w="90" w:type="dxa"/>
            </w:tcMar>
          </w:tcPr>
          <w:p>
            <w:pPr>
              <w:pStyle w:val="BDOITable"/>
            </w:pPr>
            <w:r>
              <w:rPr>
                <w:sz w:val="16"/>
              </w:rPr>
              <w:t>Classification step</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BRIDSP-12 (p.9)</w:t>
            </w:r>
          </w:p>
        </w:tc>
        <w:tc>
          <w:tcPr>
            <w:tcW w:type="dxa" w:w="1922"/>
            <w:tcMar>
              <w:top w:w="50" w:type="dxa"/>
              <w:bottom w:w="50" w:type="dxa"/>
              <w:left w:w="90" w:type="dxa"/>
              <w:right w:w="90" w:type="dxa"/>
            </w:tcMar>
            <w:shd w:val="clear" w:color="auto" w:fill="E5F5FF"/>
          </w:tcPr>
          <w:p>
            <w:pPr>
              <w:pStyle w:val="BDOITable"/>
            </w:pPr>
            <w:r>
              <w:rPr>
                <w:sz w:val="16"/>
              </w:rPr>
              <w:t>FR-SP-031</w:t>
            </w:r>
          </w:p>
        </w:tc>
        <w:tc>
          <w:tcPr>
            <w:tcW w:type="dxa" w:w="3244"/>
            <w:tcMar>
              <w:top w:w="50" w:type="dxa"/>
              <w:bottom w:w="50" w:type="dxa"/>
              <w:left w:w="90" w:type="dxa"/>
              <w:right w:w="90" w:type="dxa"/>
            </w:tcMar>
            <w:shd w:val="clear" w:color="auto" w:fill="E5F5FF"/>
          </w:tcPr>
          <w:p>
            <w:pPr>
              <w:pStyle w:val="BDOITable"/>
            </w:pPr>
            <w:r>
              <w:rPr>
                <w:sz w:val="16"/>
              </w:rPr>
              <w:t>Masterlist (buckets)</w:t>
            </w:r>
          </w:p>
        </w:tc>
        <w:tc>
          <w:tcPr>
            <w:tcW w:type="dxa" w:w="3484"/>
            <w:tcMar>
              <w:top w:w="50" w:type="dxa"/>
              <w:bottom w:w="50" w:type="dxa"/>
              <w:left w:w="90" w:type="dxa"/>
              <w:right w:w="90" w:type="dxa"/>
            </w:tcMar>
            <w:shd w:val="clear" w:color="auto" w:fill="E5F5FF"/>
          </w:tcPr>
          <w:p>
            <w:pPr>
              <w:pStyle w:val="BDOITable"/>
            </w:pPr>
            <w:r>
              <w:rPr>
                <w:sz w:val="16"/>
              </w:rPr>
              <w:t>Disposition step</w:t>
            </w:r>
          </w:p>
        </w:tc>
      </w:tr>
      <w:tr>
        <w:trPr>
          <w:cantSplit w:val="true"/>
        </w:trPr>
        <w:tc>
          <w:tcPr>
            <w:tcW w:type="dxa" w:w="1322"/>
            <w:tcMar>
              <w:top w:w="50" w:type="dxa"/>
              <w:bottom w:w="50" w:type="dxa"/>
              <w:left w:w="90" w:type="dxa"/>
              <w:right w:w="90" w:type="dxa"/>
            </w:tcMar>
          </w:tcPr>
          <w:p>
            <w:pPr>
              <w:pStyle w:val="BDOITable"/>
            </w:pPr>
            <w:r>
              <w:rPr>
                <w:sz w:val="16"/>
              </w:rPr>
              <w:t>BRIDSP-13 (p.10)</w:t>
            </w:r>
          </w:p>
        </w:tc>
        <w:tc>
          <w:tcPr>
            <w:tcW w:type="dxa" w:w="1922"/>
            <w:tcMar>
              <w:top w:w="50" w:type="dxa"/>
              <w:bottom w:w="50" w:type="dxa"/>
              <w:left w:w="90" w:type="dxa"/>
              <w:right w:w="90" w:type="dxa"/>
            </w:tcMar>
          </w:tcPr>
          <w:p>
            <w:pPr>
              <w:pStyle w:val="BDOITable"/>
            </w:pPr>
            <w:r>
              <w:rPr>
                <w:sz w:val="16"/>
              </w:rPr>
              <w:t>FR-SP-032</w:t>
            </w:r>
          </w:p>
        </w:tc>
        <w:tc>
          <w:tcPr>
            <w:tcW w:type="dxa" w:w="3244"/>
            <w:tcMar>
              <w:top w:w="50" w:type="dxa"/>
              <w:bottom w:w="50" w:type="dxa"/>
              <w:left w:w="90" w:type="dxa"/>
              <w:right w:w="90" w:type="dxa"/>
            </w:tcMar>
          </w:tcPr>
          <w:p>
            <w:pPr>
              <w:pStyle w:val="BDOITable"/>
            </w:pPr>
            <w:r>
              <w:rPr>
                <w:sz w:val="16"/>
              </w:rPr>
              <w:t>Upload &amp; Intake (LAMD)</w:t>
            </w:r>
          </w:p>
        </w:tc>
        <w:tc>
          <w:tcPr>
            <w:tcW w:type="dxa" w:w="3484"/>
            <w:tcMar>
              <w:top w:w="50" w:type="dxa"/>
              <w:bottom w:w="50" w:type="dxa"/>
              <w:left w:w="90" w:type="dxa"/>
              <w:right w:w="90" w:type="dxa"/>
            </w:tcMar>
          </w:tcPr>
          <w:p>
            <w:pPr>
              <w:pStyle w:val="BDOITable"/>
            </w:pPr>
            <w:r>
              <w:rPr>
                <w:sz w:val="16"/>
              </w:rPr>
              <w:t>Bulk SBM_LAMD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BRIDSP-14 (p.10)</w:t>
            </w:r>
          </w:p>
        </w:tc>
        <w:tc>
          <w:tcPr>
            <w:tcW w:type="dxa" w:w="1922"/>
            <w:tcMar>
              <w:top w:w="50" w:type="dxa"/>
              <w:bottom w:w="50" w:type="dxa"/>
              <w:left w:w="90" w:type="dxa"/>
              <w:right w:w="90" w:type="dxa"/>
            </w:tcMar>
            <w:shd w:val="clear" w:color="auto" w:fill="E5F5FF"/>
          </w:tcPr>
          <w:p>
            <w:pPr>
              <w:pStyle w:val="BDOITable"/>
            </w:pPr>
            <w:r>
              <w:rPr>
                <w:sz w:val="16"/>
              </w:rPr>
              <w:t>FR-SP-033</w:t>
            </w:r>
          </w:p>
        </w:tc>
        <w:tc>
          <w:tcPr>
            <w:tcW w:type="dxa" w:w="3244"/>
            <w:tcMar>
              <w:top w:w="50" w:type="dxa"/>
              <w:bottom w:w="50" w:type="dxa"/>
              <w:left w:w="90" w:type="dxa"/>
              <w:right w:w="90" w:type="dxa"/>
            </w:tcMar>
            <w:shd w:val="clear" w:color="auto" w:fill="E5F5FF"/>
          </w:tcPr>
          <w:p>
            <w:pPr>
              <w:pStyle w:val="BDOITable"/>
            </w:pPr>
            <w:r>
              <w:rPr>
                <w:sz w:val="16"/>
              </w:rPr>
              <w:t>Masterlist (Non-Renewal)</w:t>
            </w:r>
          </w:p>
        </w:tc>
        <w:tc>
          <w:tcPr>
            <w:tcW w:type="dxa" w:w="3484"/>
            <w:tcMar>
              <w:top w:w="50" w:type="dxa"/>
              <w:bottom w:w="50" w:type="dxa"/>
              <w:left w:w="90" w:type="dxa"/>
              <w:right w:w="90" w:type="dxa"/>
            </w:tcMar>
            <w:shd w:val="clear" w:color="auto" w:fill="E5F5FF"/>
          </w:tcPr>
          <w:p>
            <w:pPr>
              <w:pStyle w:val="BDOITable"/>
            </w:pPr>
            <w:r>
              <w:rPr>
                <w:sz w:val="16"/>
              </w:rPr>
              <w:t>Report SBM-NON-RENEWAL</w:t>
            </w:r>
          </w:p>
        </w:tc>
      </w:tr>
      <w:tr>
        <w:trPr>
          <w:cantSplit w:val="true"/>
        </w:trPr>
        <w:tc>
          <w:tcPr>
            <w:tcW w:type="dxa" w:w="1322"/>
            <w:tcMar>
              <w:top w:w="50" w:type="dxa"/>
              <w:bottom w:w="50" w:type="dxa"/>
              <w:left w:w="90" w:type="dxa"/>
              <w:right w:w="90" w:type="dxa"/>
            </w:tcMar>
          </w:tcPr>
          <w:p>
            <w:pPr>
              <w:pStyle w:val="BDOITable"/>
            </w:pPr>
            <w:r>
              <w:rPr>
                <w:sz w:val="16"/>
              </w:rPr>
              <w:t>BRIDSP-15 (p.10)</w:t>
            </w:r>
          </w:p>
        </w:tc>
        <w:tc>
          <w:tcPr>
            <w:tcW w:type="dxa" w:w="1922"/>
            <w:tcMar>
              <w:top w:w="50" w:type="dxa"/>
              <w:bottom w:w="50" w:type="dxa"/>
              <w:left w:w="90" w:type="dxa"/>
              <w:right w:w="90" w:type="dxa"/>
            </w:tcMar>
          </w:tcPr>
          <w:p>
            <w:pPr>
              <w:pStyle w:val="BDOITable"/>
            </w:pPr>
            <w:r>
              <w:rPr>
                <w:sz w:val="16"/>
              </w:rPr>
              <w:t>FR-SP-034</w:t>
            </w:r>
          </w:p>
        </w:tc>
        <w:tc>
          <w:tcPr>
            <w:tcW w:type="dxa" w:w="3244"/>
            <w:tcMar>
              <w:top w:w="50" w:type="dxa"/>
              <w:bottom w:w="50" w:type="dxa"/>
              <w:left w:w="90" w:type="dxa"/>
              <w:right w:w="90" w:type="dxa"/>
            </w:tcMar>
          </w:tcPr>
          <w:p>
            <w:pPr>
              <w:pStyle w:val="BDOITable"/>
            </w:pPr>
            <w:r>
              <w:rPr>
                <w:sz w:val="16"/>
              </w:rPr>
              <w:t>Masterlist; Renewal tab</w:t>
            </w:r>
          </w:p>
        </w:tc>
        <w:tc>
          <w:tcPr>
            <w:tcW w:type="dxa" w:w="3484"/>
            <w:tcMar>
              <w:top w:w="50" w:type="dxa"/>
              <w:bottom w:w="50" w:type="dxa"/>
              <w:left w:w="90" w:type="dxa"/>
              <w:right w:w="90" w:type="dxa"/>
            </w:tcMar>
          </w:tcPr>
          <w:p>
            <w:pPr>
              <w:pStyle w:val="BDOITable"/>
            </w:pPr>
            <w:r>
              <w:rPr>
                <w:sz w:val="16"/>
              </w:rPr>
              <w:t>Disposition step; RenewalHandOff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BRIDSP-16 (p.10)</w:t>
            </w:r>
          </w:p>
        </w:tc>
        <w:tc>
          <w:tcPr>
            <w:tcW w:type="dxa" w:w="1922"/>
            <w:tcMar>
              <w:top w:w="50" w:type="dxa"/>
              <w:bottom w:w="50" w:type="dxa"/>
              <w:left w:w="90" w:type="dxa"/>
              <w:right w:w="90" w:type="dxa"/>
            </w:tcMar>
            <w:shd w:val="clear" w:color="auto" w:fill="E5F5FF"/>
          </w:tcPr>
          <w:p>
            <w:pPr>
              <w:pStyle w:val="BDOITable"/>
            </w:pPr>
            <w:r>
              <w:rPr>
                <w:sz w:val="16"/>
              </w:rPr>
              <w:t>FR-SP-050</w:t>
            </w:r>
          </w:p>
        </w:tc>
        <w:tc>
          <w:tcPr>
            <w:tcW w:type="dxa" w:w="3244"/>
            <w:tcMar>
              <w:top w:w="50" w:type="dxa"/>
              <w:bottom w:w="50" w:type="dxa"/>
              <w:left w:w="90" w:type="dxa"/>
              <w:right w:w="90" w:type="dxa"/>
            </w:tcMar>
            <w:shd w:val="clear" w:color="auto" w:fill="E5F5FF"/>
          </w:tcPr>
          <w:p>
            <w:pPr>
              <w:pStyle w:val="BDOITable"/>
            </w:pPr>
            <w:r>
              <w:rPr>
                <w:sz w:val="16"/>
              </w:rPr>
              <w:t>Policy record; Setup (Limit Rules)</w:t>
            </w:r>
          </w:p>
        </w:tc>
        <w:tc>
          <w:tcPr>
            <w:tcW w:type="dxa" w:w="3484"/>
            <w:tcMar>
              <w:top w:w="50" w:type="dxa"/>
              <w:bottom w:w="50" w:type="dxa"/>
              <w:left w:w="90" w:type="dxa"/>
              <w:right w:w="90" w:type="dxa"/>
            </w:tcMar>
            <w:shd w:val="clear" w:color="auto" w:fill="E5F5FF"/>
          </w:tcPr>
          <w:p>
            <w:pPr>
              <w:pStyle w:val="BDOITable"/>
            </w:pPr>
            <w:r>
              <w:rPr>
                <w:sz w:val="16"/>
              </w:rPr>
              <w:t>Limits step</w:t>
            </w:r>
          </w:p>
        </w:tc>
      </w:tr>
      <w:tr>
        <w:trPr>
          <w:cantSplit w:val="true"/>
        </w:trPr>
        <w:tc>
          <w:tcPr>
            <w:tcW w:type="dxa" w:w="1322"/>
            <w:tcMar>
              <w:top w:w="50" w:type="dxa"/>
              <w:bottom w:w="50" w:type="dxa"/>
              <w:left w:w="90" w:type="dxa"/>
              <w:right w:w="90" w:type="dxa"/>
            </w:tcMar>
          </w:tcPr>
          <w:p>
            <w:pPr>
              <w:pStyle w:val="BDOITable"/>
            </w:pPr>
            <w:r>
              <w:rPr>
                <w:sz w:val="16"/>
              </w:rPr>
              <w:t>BRIDSP-17 (p.10)</w:t>
            </w:r>
          </w:p>
        </w:tc>
        <w:tc>
          <w:tcPr>
            <w:tcW w:type="dxa" w:w="1922"/>
            <w:tcMar>
              <w:top w:w="50" w:type="dxa"/>
              <w:bottom w:w="50" w:type="dxa"/>
              <w:left w:w="90" w:type="dxa"/>
              <w:right w:w="90" w:type="dxa"/>
            </w:tcMar>
          </w:tcPr>
          <w:p>
            <w:pPr>
              <w:pStyle w:val="BDOITable"/>
            </w:pPr>
            <w:r>
              <w:rPr>
                <w:sz w:val="16"/>
              </w:rPr>
              <w:t>FR-SP-051</w:t>
            </w:r>
          </w:p>
        </w:tc>
        <w:tc>
          <w:tcPr>
            <w:tcW w:type="dxa" w:w="3244"/>
            <w:tcMar>
              <w:top w:w="50" w:type="dxa"/>
              <w:bottom w:w="50" w:type="dxa"/>
              <w:left w:w="90" w:type="dxa"/>
              <w:right w:w="90" w:type="dxa"/>
            </w:tcMar>
          </w:tcPr>
          <w:p>
            <w:pPr>
              <w:pStyle w:val="BDOITable"/>
            </w:pPr>
            <w:r>
              <w:rPr>
                <w:sz w:val="16"/>
              </w:rPr>
              <w:t>TOR</w:t>
            </w:r>
          </w:p>
        </w:tc>
        <w:tc>
          <w:tcPr>
            <w:tcW w:type="dxa" w:w="3484"/>
            <w:tcMar>
              <w:top w:w="50" w:type="dxa"/>
              <w:bottom w:w="50" w:type="dxa"/>
              <w:left w:w="90" w:type="dxa"/>
              <w:right w:w="90" w:type="dxa"/>
            </w:tcMar>
          </w:tcPr>
          <w:p>
            <w:pPr>
              <w:pStyle w:val="BDOITable"/>
            </w:pPr>
            <w:r>
              <w:rPr>
                <w:sz w:val="16"/>
              </w:rPr>
              <w:t>/submitted/tors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BRIDSP-18 (p.10)</w:t>
            </w:r>
          </w:p>
        </w:tc>
        <w:tc>
          <w:tcPr>
            <w:tcW w:type="dxa" w:w="1922"/>
            <w:tcMar>
              <w:top w:w="50" w:type="dxa"/>
              <w:bottom w:w="50" w:type="dxa"/>
              <w:left w:w="90" w:type="dxa"/>
              <w:right w:w="90" w:type="dxa"/>
            </w:tcMar>
            <w:shd w:val="clear" w:color="auto" w:fill="E5F5FF"/>
          </w:tcPr>
          <w:p>
            <w:pPr>
              <w:pStyle w:val="BDOITable"/>
            </w:pPr>
            <w:r>
              <w:rPr>
                <w:sz w:val="16"/>
              </w:rPr>
              <w:t>FR-SP-052</w:t>
            </w:r>
          </w:p>
        </w:tc>
        <w:tc>
          <w:tcPr>
            <w:tcW w:type="dxa" w:w="3244"/>
            <w:tcMar>
              <w:top w:w="50" w:type="dxa"/>
              <w:bottom w:w="50" w:type="dxa"/>
              <w:left w:w="90" w:type="dxa"/>
              <w:right w:w="90" w:type="dxa"/>
            </w:tcMar>
            <w:shd w:val="clear" w:color="auto" w:fill="E5F5FF"/>
          </w:tcPr>
          <w:p>
            <w:pPr>
              <w:pStyle w:val="BDOITable"/>
            </w:pPr>
            <w:r>
              <w:rPr>
                <w:sz w:val="16"/>
              </w:rPr>
              <w:t>My Approvals; TOR page</w:t>
            </w:r>
          </w:p>
        </w:tc>
        <w:tc>
          <w:tcPr>
            <w:tcW w:type="dxa" w:w="3484"/>
            <w:tcMar>
              <w:top w:w="50" w:type="dxa"/>
              <w:bottom w:w="50" w:type="dxa"/>
              <w:left w:w="90" w:type="dxa"/>
              <w:right w:w="90" w:type="dxa"/>
            </w:tcMar>
            <w:shd w:val="clear" w:color="auto" w:fill="E5F5FF"/>
          </w:tcPr>
          <w:p>
            <w:pPr>
              <w:pStyle w:val="BDOITable"/>
            </w:pPr>
            <w:r>
              <w:rPr>
                <w:sz w:val="16"/>
              </w:rPr>
              <w:t>Workflow SBM_TOR</w:t>
            </w:r>
          </w:p>
        </w:tc>
      </w:tr>
      <w:tr>
        <w:trPr>
          <w:cantSplit w:val="true"/>
        </w:trPr>
        <w:tc>
          <w:tcPr>
            <w:tcW w:type="dxa" w:w="1322"/>
            <w:tcMar>
              <w:top w:w="50" w:type="dxa"/>
              <w:bottom w:w="50" w:type="dxa"/>
              <w:left w:w="90" w:type="dxa"/>
              <w:right w:w="90" w:type="dxa"/>
            </w:tcMar>
          </w:tcPr>
          <w:p>
            <w:pPr>
              <w:pStyle w:val="BDOITable"/>
            </w:pPr>
            <w:r>
              <w:rPr>
                <w:sz w:val="16"/>
              </w:rPr>
              <w:t>BRIDSP-19 (p.10)</w:t>
            </w:r>
          </w:p>
        </w:tc>
        <w:tc>
          <w:tcPr>
            <w:tcW w:type="dxa" w:w="1922"/>
            <w:tcMar>
              <w:top w:w="50" w:type="dxa"/>
              <w:bottom w:w="50" w:type="dxa"/>
              <w:left w:w="90" w:type="dxa"/>
              <w:right w:w="90" w:type="dxa"/>
            </w:tcMar>
          </w:tcPr>
          <w:p>
            <w:pPr>
              <w:pStyle w:val="BDOITable"/>
            </w:pPr>
            <w:r>
              <w:rPr>
                <w:sz w:val="16"/>
              </w:rPr>
              <w:t>FR-SP-053</w:t>
            </w:r>
          </w:p>
        </w:tc>
        <w:tc>
          <w:tcPr>
            <w:tcW w:type="dxa" w:w="3244"/>
            <w:tcMar>
              <w:top w:w="50" w:type="dxa"/>
              <w:bottom w:w="50" w:type="dxa"/>
              <w:left w:w="90" w:type="dxa"/>
              <w:right w:w="90" w:type="dxa"/>
            </w:tcMar>
          </w:tcPr>
          <w:p>
            <w:pPr>
              <w:pStyle w:val="BDOITable"/>
            </w:pPr>
            <w:r>
              <w:rPr>
                <w:sz w:val="16"/>
              </w:rPr>
              <w:t>Notifications; TOR page</w:t>
            </w:r>
          </w:p>
        </w:tc>
        <w:tc>
          <w:tcPr>
            <w:tcW w:type="dxa" w:w="3484"/>
            <w:tcMar>
              <w:top w:w="50" w:type="dxa"/>
              <w:bottom w:w="50" w:type="dxa"/>
              <w:left w:w="90" w:type="dxa"/>
              <w:right w:w="90" w:type="dxa"/>
            </w:tcMar>
          </w:tcPr>
          <w:p>
            <w:pPr>
              <w:pStyle w:val="BDOITable"/>
            </w:pPr>
            <w:r>
              <w:rPr>
                <w:sz w:val="16"/>
              </w:rPr>
              <w:t>/submitted/tors/{id}.pdf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BRIDSP-20 (p.10)</w:t>
            </w:r>
          </w:p>
        </w:tc>
        <w:tc>
          <w:tcPr>
            <w:tcW w:type="dxa" w:w="1922"/>
            <w:tcMar>
              <w:top w:w="50" w:type="dxa"/>
              <w:bottom w:w="50" w:type="dxa"/>
              <w:left w:w="90" w:type="dxa"/>
              <w:right w:w="90" w:type="dxa"/>
            </w:tcMar>
            <w:shd w:val="clear" w:color="auto" w:fill="E5F5FF"/>
          </w:tcPr>
          <w:p>
            <w:pPr>
              <w:pStyle w:val="BDOITable"/>
            </w:pPr>
            <w:r>
              <w:rPr>
                <w:sz w:val="16"/>
              </w:rPr>
              <w:t>FR-SP-080</w:t>
            </w:r>
          </w:p>
        </w:tc>
        <w:tc>
          <w:tcPr>
            <w:tcW w:type="dxa" w:w="3244"/>
            <w:tcMar>
              <w:top w:w="50" w:type="dxa"/>
              <w:bottom w:w="50" w:type="dxa"/>
              <w:left w:w="90" w:type="dxa"/>
              <w:right w:w="90" w:type="dxa"/>
            </w:tcMar>
            <w:shd w:val="clear" w:color="auto" w:fill="E5F5FF"/>
          </w:tcPr>
          <w:p>
            <w:pPr>
              <w:pStyle w:val="BDOITable"/>
            </w:pPr>
            <w:r>
              <w:rPr>
                <w:sz w:val="16"/>
              </w:rPr>
              <w:t>Reports; home</w:t>
            </w:r>
          </w:p>
        </w:tc>
        <w:tc>
          <w:tcPr>
            <w:tcW w:type="dxa" w:w="3484"/>
            <w:tcMar>
              <w:top w:w="50" w:type="dxa"/>
              <w:bottom w:w="50" w:type="dxa"/>
              <w:left w:w="90" w:type="dxa"/>
              <w:right w:w="90" w:type="dxa"/>
            </w:tcMar>
            <w:shd w:val="clear" w:color="auto" w:fill="E5F5FF"/>
          </w:tcPr>
          <w:p>
            <w:pPr>
              <w:pStyle w:val="BDOITable"/>
            </w:pPr>
            <w:r>
              <w:rPr>
                <w:sz w:val="16"/>
              </w:rPr>
              <w:t>Report service</w:t>
            </w:r>
          </w:p>
        </w:tc>
      </w:tr>
      <w:tr>
        <w:trPr>
          <w:cantSplit w:val="true"/>
        </w:trPr>
        <w:tc>
          <w:tcPr>
            <w:tcW w:type="dxa" w:w="1322"/>
            <w:tcMar>
              <w:top w:w="50" w:type="dxa"/>
              <w:bottom w:w="50" w:type="dxa"/>
              <w:left w:w="90" w:type="dxa"/>
              <w:right w:w="90" w:type="dxa"/>
            </w:tcMar>
          </w:tcPr>
          <w:p>
            <w:pPr>
              <w:pStyle w:val="BDOITable"/>
            </w:pPr>
            <w:r>
              <w:rPr>
                <w:sz w:val="16"/>
              </w:rPr>
              <w:t>BRIDSP-21 (p.10)</w:t>
            </w:r>
          </w:p>
        </w:tc>
        <w:tc>
          <w:tcPr>
            <w:tcW w:type="dxa" w:w="1922"/>
            <w:tcMar>
              <w:top w:w="50" w:type="dxa"/>
              <w:bottom w:w="50" w:type="dxa"/>
              <w:left w:w="90" w:type="dxa"/>
              <w:right w:w="90" w:type="dxa"/>
            </w:tcMar>
          </w:tcPr>
          <w:p>
            <w:pPr>
              <w:pStyle w:val="BDOITable"/>
            </w:pPr>
            <w:r>
              <w:rPr>
                <w:sz w:val="16"/>
              </w:rPr>
              <w:t>FR-SP-081</w:t>
            </w:r>
          </w:p>
        </w:tc>
        <w:tc>
          <w:tcPr>
            <w:tcW w:type="dxa" w:w="3244"/>
            <w:tcMar>
              <w:top w:w="50" w:type="dxa"/>
              <w:bottom w:w="50" w:type="dxa"/>
              <w:left w:w="90" w:type="dxa"/>
              <w:right w:w="90" w:type="dxa"/>
            </w:tcMar>
          </w:tcPr>
          <w:p>
            <w:pPr>
              <w:pStyle w:val="BDOITable"/>
            </w:pPr>
            <w:r>
              <w:rPr>
                <w:sz w:val="16"/>
              </w:rPr>
              <w:t>Reports (Export, Print)</w:t>
            </w:r>
          </w:p>
        </w:tc>
        <w:tc>
          <w:tcPr>
            <w:tcW w:type="dxa" w:w="3484"/>
            <w:tcMar>
              <w:top w:w="50" w:type="dxa"/>
              <w:bottom w:w="50" w:type="dxa"/>
              <w:left w:w="90" w:type="dxa"/>
              <w:right w:w="90" w:type="dxa"/>
            </w:tcMar>
          </w:tcPr>
          <w:p>
            <w:pPr>
              <w:pStyle w:val="BDOITable"/>
            </w:pPr>
            <w:r>
              <w:rPr>
                <w:sz w:val="16"/>
              </w:rPr>
              <w:t>/reports/{code}/export</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BRIDSP-22 (p.11)</w:t>
            </w:r>
          </w:p>
        </w:tc>
        <w:tc>
          <w:tcPr>
            <w:tcW w:type="dxa" w:w="1922"/>
            <w:tcMar>
              <w:top w:w="50" w:type="dxa"/>
              <w:bottom w:w="50" w:type="dxa"/>
              <w:left w:w="90" w:type="dxa"/>
              <w:right w:w="90" w:type="dxa"/>
            </w:tcMar>
            <w:shd w:val="clear" w:color="auto" w:fill="E5F5FF"/>
          </w:tcPr>
          <w:p>
            <w:pPr>
              <w:pStyle w:val="BDOITable"/>
            </w:pPr>
            <w:r>
              <w:rPr>
                <w:sz w:val="16"/>
              </w:rPr>
              <w:t>FR-SP-062</w:t>
            </w:r>
          </w:p>
        </w:tc>
        <w:tc>
          <w:tcPr>
            <w:tcW w:type="dxa" w:w="3244"/>
            <w:tcMar>
              <w:top w:w="50" w:type="dxa"/>
              <w:bottom w:w="50" w:type="dxa"/>
              <w:left w:w="90" w:type="dxa"/>
              <w:right w:w="90" w:type="dxa"/>
            </w:tcMar>
            <w:shd w:val="clear" w:color="auto" w:fill="E5F5FF"/>
          </w:tcPr>
          <w:p>
            <w:pPr>
              <w:pStyle w:val="BDOITable"/>
            </w:pPr>
            <w:r>
              <w:rPr>
                <w:sz w:val="16"/>
              </w:rPr>
              <w:t>Letters &amp; Print Batches</w:t>
            </w:r>
          </w:p>
        </w:tc>
        <w:tc>
          <w:tcPr>
            <w:tcW w:type="dxa" w:w="3484"/>
            <w:tcMar>
              <w:top w:w="50" w:type="dxa"/>
              <w:bottom w:w="50" w:type="dxa"/>
              <w:left w:w="90" w:type="dxa"/>
              <w:right w:w="90" w:type="dxa"/>
            </w:tcMar>
            <w:shd w:val="clear" w:color="auto" w:fill="E5F5FF"/>
          </w:tcPr>
          <w:p>
            <w:pPr>
              <w:pStyle w:val="BDOITable"/>
            </w:pPr>
            <w:r>
              <w:rPr>
                <w:sz w:val="16"/>
              </w:rPr>
              <w:t>Job SBM_LETTER_DISPATCH</w:t>
            </w:r>
          </w:p>
        </w:tc>
      </w:tr>
      <w:tr>
        <w:trPr>
          <w:cantSplit w:val="true"/>
        </w:trPr>
        <w:tc>
          <w:tcPr>
            <w:tcW w:type="dxa" w:w="1322"/>
            <w:tcMar>
              <w:top w:w="50" w:type="dxa"/>
              <w:bottom w:w="50" w:type="dxa"/>
              <w:left w:w="90" w:type="dxa"/>
              <w:right w:w="90" w:type="dxa"/>
            </w:tcMar>
          </w:tcPr>
          <w:p>
            <w:pPr>
              <w:pStyle w:val="BDOITable"/>
            </w:pPr>
            <w:r>
              <w:rPr>
                <w:sz w:val="16"/>
              </w:rPr>
              <w:t>BRIDSP-23 (p.11)</w:t>
            </w:r>
          </w:p>
        </w:tc>
        <w:tc>
          <w:tcPr>
            <w:tcW w:type="dxa" w:w="1922"/>
            <w:tcMar>
              <w:top w:w="50" w:type="dxa"/>
              <w:bottom w:w="50" w:type="dxa"/>
              <w:left w:w="90" w:type="dxa"/>
              <w:right w:w="90" w:type="dxa"/>
            </w:tcMar>
          </w:tcPr>
          <w:p>
            <w:pPr>
              <w:pStyle w:val="BDOITable"/>
            </w:pPr>
            <w:r>
              <w:rPr>
                <w:sz w:val="16"/>
              </w:rPr>
              <w:t>FR-SP-060</w:t>
            </w:r>
          </w:p>
        </w:tc>
        <w:tc>
          <w:tcPr>
            <w:tcW w:type="dxa" w:w="3244"/>
            <w:tcMar>
              <w:top w:w="50" w:type="dxa"/>
              <w:bottom w:w="50" w:type="dxa"/>
              <w:left w:w="90" w:type="dxa"/>
              <w:right w:w="90" w:type="dxa"/>
            </w:tcMar>
          </w:tcPr>
          <w:p>
            <w:pPr>
              <w:pStyle w:val="BDOITable"/>
            </w:pPr>
            <w:r>
              <w:rPr>
                <w:sz w:val="16"/>
              </w:rPr>
              <w:t>Renewal Work List</w:t>
            </w:r>
          </w:p>
        </w:tc>
        <w:tc>
          <w:tcPr>
            <w:tcW w:type="dxa" w:w="3484"/>
            <w:tcMar>
              <w:top w:w="50" w:type="dxa"/>
              <w:bottom w:w="50" w:type="dxa"/>
              <w:left w:w="90" w:type="dxa"/>
              <w:right w:w="90" w:type="dxa"/>
            </w:tcMar>
          </w:tcPr>
          <w:p>
            <w:pPr>
              <w:pStyle w:val="BDOITable"/>
            </w:pPr>
            <w:r>
              <w:rPr>
                <w:sz w:val="16"/>
              </w:rPr>
              <w:t>Job SBM_EXPIRY_SCAN; RenewalHandOff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BRIDSP-24 (p.11)</w:t>
            </w:r>
          </w:p>
        </w:tc>
        <w:tc>
          <w:tcPr>
            <w:tcW w:type="dxa" w:w="1922"/>
            <w:tcMar>
              <w:top w:w="50" w:type="dxa"/>
              <w:bottom w:w="50" w:type="dxa"/>
              <w:left w:w="90" w:type="dxa"/>
              <w:right w:w="90" w:type="dxa"/>
            </w:tcMar>
            <w:shd w:val="clear" w:color="auto" w:fill="E5F5FF"/>
          </w:tcPr>
          <w:p>
            <w:pPr>
              <w:pStyle w:val="BDOITable"/>
            </w:pPr>
            <w:r>
              <w:rPr>
                <w:sz w:val="16"/>
              </w:rPr>
              <w:t>FR-SP-082</w:t>
            </w:r>
          </w:p>
        </w:tc>
        <w:tc>
          <w:tcPr>
            <w:tcW w:type="dxa" w:w="3244"/>
            <w:tcMar>
              <w:top w:w="50" w:type="dxa"/>
              <w:bottom w:w="50" w:type="dxa"/>
              <w:left w:w="90" w:type="dxa"/>
              <w:right w:w="90" w:type="dxa"/>
            </w:tcMar>
            <w:shd w:val="clear" w:color="auto" w:fill="E5F5FF"/>
          </w:tcPr>
          <w:p>
            <w:pPr>
              <w:pStyle w:val="BDOITable"/>
            </w:pPr>
            <w:r>
              <w:rPr>
                <w:sz w:val="16"/>
              </w:rPr>
              <w:t>Notifications</w:t>
            </w:r>
          </w:p>
        </w:tc>
        <w:tc>
          <w:tcPr>
            <w:tcW w:type="dxa" w:w="3484"/>
            <w:tcMar>
              <w:top w:w="50" w:type="dxa"/>
              <w:bottom w:w="50" w:type="dxa"/>
              <w:left w:w="90" w:type="dxa"/>
              <w:right w:w="90" w:type="dxa"/>
            </w:tcMar>
            <w:shd w:val="clear" w:color="auto" w:fill="E5F5FF"/>
          </w:tcPr>
          <w:p>
            <w:pPr>
              <w:pStyle w:val="BDOITable"/>
            </w:pPr>
            <w:r>
              <w:rPr>
                <w:sz w:val="16"/>
              </w:rPr>
              <w:t>Events and alerts SBM_*</w:t>
            </w:r>
          </w:p>
        </w:tc>
      </w:tr>
      <w:tr>
        <w:trPr>
          <w:cantSplit w:val="true"/>
        </w:trPr>
        <w:tc>
          <w:tcPr>
            <w:tcW w:type="dxa" w:w="1322"/>
            <w:tcMar>
              <w:top w:w="50" w:type="dxa"/>
              <w:bottom w:w="50" w:type="dxa"/>
              <w:left w:w="90" w:type="dxa"/>
              <w:right w:w="90" w:type="dxa"/>
            </w:tcMar>
          </w:tcPr>
          <w:p>
            <w:pPr>
              <w:pStyle w:val="BDOITable"/>
            </w:pPr>
            <w:r>
              <w:rPr>
                <w:sz w:val="16"/>
              </w:rPr>
              <w:t>BRIDSP-25 (p.11)</w:t>
            </w:r>
          </w:p>
        </w:tc>
        <w:tc>
          <w:tcPr>
            <w:tcW w:type="dxa" w:w="1922"/>
            <w:tcMar>
              <w:top w:w="50" w:type="dxa"/>
              <w:bottom w:w="50" w:type="dxa"/>
              <w:left w:w="90" w:type="dxa"/>
              <w:right w:w="90" w:type="dxa"/>
            </w:tcMar>
          </w:tcPr>
          <w:p>
            <w:pPr>
              <w:pStyle w:val="BDOITable"/>
            </w:pPr>
            <w:r>
              <w:rPr>
                <w:sz w:val="16"/>
              </w:rPr>
              <w:t>FR-SP-061</w:t>
            </w:r>
          </w:p>
        </w:tc>
        <w:tc>
          <w:tcPr>
            <w:tcW w:type="dxa" w:w="3244"/>
            <w:tcMar>
              <w:top w:w="50" w:type="dxa"/>
              <w:bottom w:w="50" w:type="dxa"/>
              <w:left w:w="90" w:type="dxa"/>
              <w:right w:w="90" w:type="dxa"/>
            </w:tcMar>
          </w:tcPr>
          <w:p>
            <w:pPr>
              <w:pStyle w:val="BDOITable"/>
            </w:pPr>
            <w:r>
              <w:rPr>
                <w:sz w:val="16"/>
              </w:rPr>
              <w:t>Renewal Work List</w:t>
            </w:r>
          </w:p>
        </w:tc>
        <w:tc>
          <w:tcPr>
            <w:tcW w:type="dxa" w:w="3484"/>
            <w:tcMar>
              <w:top w:w="50" w:type="dxa"/>
              <w:bottom w:w="50" w:type="dxa"/>
              <w:left w:w="90" w:type="dxa"/>
              <w:right w:w="90" w:type="dxa"/>
            </w:tcMar>
          </w:tcPr>
          <w:p>
            <w:pPr>
              <w:pStyle w:val="BDOITable"/>
            </w:pPr>
            <w:r>
              <w:rPr>
                <w:sz w:val="16"/>
              </w:rPr>
              <w:t>Report SBM-RENEWABLE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BRIDSP-26 (p.11)</w:t>
            </w:r>
          </w:p>
        </w:tc>
        <w:tc>
          <w:tcPr>
            <w:tcW w:type="dxa" w:w="1922"/>
            <w:tcMar>
              <w:top w:w="50" w:type="dxa"/>
              <w:bottom w:w="50" w:type="dxa"/>
              <w:left w:w="90" w:type="dxa"/>
              <w:right w:w="90" w:type="dxa"/>
            </w:tcMar>
            <w:shd w:val="clear" w:color="auto" w:fill="E5F5FF"/>
          </w:tcPr>
          <w:p>
            <w:pPr>
              <w:pStyle w:val="BDOITable"/>
            </w:pPr>
            <w:r>
              <w:rPr>
                <w:sz w:val="16"/>
              </w:rPr>
              <w:t>FR-SP-064</w:t>
            </w:r>
          </w:p>
        </w:tc>
        <w:tc>
          <w:tcPr>
            <w:tcW w:type="dxa" w:w="3244"/>
            <w:tcMar>
              <w:top w:w="50" w:type="dxa"/>
              <w:bottom w:w="50" w:type="dxa"/>
              <w:left w:w="90" w:type="dxa"/>
              <w:right w:w="90" w:type="dxa"/>
            </w:tcMar>
            <w:shd w:val="clear" w:color="auto" w:fill="E5F5FF"/>
          </w:tcPr>
          <w:p>
            <w:pPr>
              <w:pStyle w:val="BDOITable"/>
            </w:pPr>
            <w:r>
              <w:rPr>
                <w:sz w:val="16"/>
              </w:rPr>
              <w:t>BRD-1 Placement</w:t>
            </w:r>
          </w:p>
        </w:tc>
        <w:tc>
          <w:tcPr>
            <w:tcW w:type="dxa" w:w="3484"/>
            <w:tcMar>
              <w:top w:w="50" w:type="dxa"/>
              <w:bottom w:w="50" w:type="dxa"/>
              <w:left w:w="90" w:type="dxa"/>
              <w:right w:w="90" w:type="dxa"/>
            </w:tcMar>
            <w:shd w:val="clear" w:color="auto" w:fill="E5F5FF"/>
          </w:tcPr>
          <w:p>
            <w:pPr>
              <w:pStyle w:val="BDOITable"/>
            </w:pPr>
            <w:r>
              <w:rPr>
                <w:sz w:val="16"/>
              </w:rPr>
              <w:t>Payment gate; placement slip</w:t>
            </w:r>
          </w:p>
        </w:tc>
      </w:tr>
      <w:tr>
        <w:trPr>
          <w:cantSplit w:val="true"/>
        </w:trPr>
        <w:tc>
          <w:tcPr>
            <w:tcW w:type="dxa" w:w="1322"/>
            <w:tcMar>
              <w:top w:w="50" w:type="dxa"/>
              <w:bottom w:w="50" w:type="dxa"/>
              <w:left w:w="90" w:type="dxa"/>
              <w:right w:w="90" w:type="dxa"/>
            </w:tcMar>
          </w:tcPr>
          <w:p>
            <w:pPr>
              <w:pStyle w:val="BDOITable"/>
            </w:pPr>
            <w:r>
              <w:rPr>
                <w:sz w:val="16"/>
              </w:rPr>
              <w:t>BRIDSP-27 (p.11)</w:t>
            </w:r>
          </w:p>
        </w:tc>
        <w:tc>
          <w:tcPr>
            <w:tcW w:type="dxa" w:w="1922"/>
            <w:tcMar>
              <w:top w:w="50" w:type="dxa"/>
              <w:bottom w:w="50" w:type="dxa"/>
              <w:left w:w="90" w:type="dxa"/>
              <w:right w:w="90" w:type="dxa"/>
            </w:tcMar>
          </w:tcPr>
          <w:p>
            <w:pPr>
              <w:pStyle w:val="BDOITable"/>
            </w:pPr>
            <w:r>
              <w:rPr>
                <w:sz w:val="16"/>
              </w:rPr>
              <w:t>FR-SP-065</w:t>
            </w:r>
          </w:p>
        </w:tc>
        <w:tc>
          <w:tcPr>
            <w:tcW w:type="dxa" w:w="3244"/>
            <w:tcMar>
              <w:top w:w="50" w:type="dxa"/>
              <w:bottom w:w="50" w:type="dxa"/>
              <w:left w:w="90" w:type="dxa"/>
              <w:right w:w="90" w:type="dxa"/>
            </w:tcMar>
          </w:tcPr>
          <w:p>
            <w:pPr>
              <w:pStyle w:val="BDOITable"/>
            </w:pPr>
            <w:r>
              <w:rPr>
                <w:sz w:val="16"/>
              </w:rPr>
              <w:t>BRD-1 Booking; Masterlist</w:t>
            </w:r>
          </w:p>
        </w:tc>
        <w:tc>
          <w:tcPr>
            <w:tcW w:type="dxa" w:w="3484"/>
            <w:tcMar>
              <w:top w:w="50" w:type="dxa"/>
              <w:bottom w:w="50" w:type="dxa"/>
              <w:left w:w="90" w:type="dxa"/>
              <w:right w:w="90" w:type="dxa"/>
            </w:tcMar>
          </w:tcPr>
          <w:p>
            <w:pPr>
              <w:pStyle w:val="BDOITable"/>
            </w:pPr>
            <w:r>
              <w:rPr>
                <w:sz w:val="16"/>
              </w:rPr>
              <w:t>InvoiceBooked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BRIDSP-28 (p.12)</w:t>
            </w:r>
          </w:p>
        </w:tc>
        <w:tc>
          <w:tcPr>
            <w:tcW w:type="dxa" w:w="1922"/>
            <w:tcMar>
              <w:top w:w="50" w:type="dxa"/>
              <w:bottom w:w="50" w:type="dxa"/>
              <w:left w:w="90" w:type="dxa"/>
              <w:right w:w="90" w:type="dxa"/>
            </w:tcMar>
            <w:shd w:val="clear" w:color="auto" w:fill="E5F5FF"/>
          </w:tcPr>
          <w:p>
            <w:pPr>
              <w:pStyle w:val="BDOITable"/>
            </w:pPr>
            <w:r>
              <w:rPr>
                <w:sz w:val="16"/>
              </w:rPr>
              <w:t>FR-SP-011</w:t>
            </w:r>
          </w:p>
        </w:tc>
        <w:tc>
          <w:tcPr>
            <w:tcW w:type="dxa" w:w="3244"/>
            <w:tcMar>
              <w:top w:w="50" w:type="dxa"/>
              <w:bottom w:w="50" w:type="dxa"/>
              <w:left w:w="90" w:type="dxa"/>
              <w:right w:w="90" w:type="dxa"/>
            </w:tcMar>
            <w:shd w:val="clear" w:color="auto" w:fill="E5F5FF"/>
          </w:tcPr>
          <w:p>
            <w:pPr>
              <w:pStyle w:val="BDOITable"/>
            </w:pPr>
            <w:r>
              <w:rPr>
                <w:sz w:val="16"/>
              </w:rPr>
              <w:t>Masterlist (Export)</w:t>
            </w:r>
          </w:p>
        </w:tc>
        <w:tc>
          <w:tcPr>
            <w:tcW w:type="dxa" w:w="3484"/>
            <w:tcMar>
              <w:top w:w="50" w:type="dxa"/>
              <w:bottom w:w="50" w:type="dxa"/>
              <w:left w:w="90" w:type="dxa"/>
              <w:right w:w="90" w:type="dxa"/>
            </w:tcMar>
            <w:shd w:val="clear" w:color="auto" w:fill="E5F5FF"/>
          </w:tcPr>
          <w:p>
            <w:pPr>
              <w:pStyle w:val="BDOITable"/>
            </w:pPr>
            <w:r>
              <w:rPr>
                <w:sz w:val="16"/>
              </w:rPr>
              <w:t>Report SBM-MASTERLIST</w:t>
            </w:r>
          </w:p>
        </w:tc>
      </w:tr>
      <w:tr>
        <w:trPr>
          <w:cantSplit w:val="true"/>
        </w:trPr>
        <w:tc>
          <w:tcPr>
            <w:tcW w:type="dxa" w:w="1322"/>
            <w:tcMar>
              <w:top w:w="50" w:type="dxa"/>
              <w:bottom w:w="50" w:type="dxa"/>
              <w:left w:w="90" w:type="dxa"/>
              <w:right w:w="90" w:type="dxa"/>
            </w:tcMar>
          </w:tcPr>
          <w:p>
            <w:pPr>
              <w:pStyle w:val="BDOITable"/>
            </w:pPr>
            <w:r>
              <w:rPr>
                <w:sz w:val="16"/>
              </w:rPr>
              <w:t>BRIDSP-29 (p.12)</w:t>
            </w:r>
          </w:p>
        </w:tc>
        <w:tc>
          <w:tcPr>
            <w:tcW w:type="dxa" w:w="1922"/>
            <w:tcMar>
              <w:top w:w="50" w:type="dxa"/>
              <w:bottom w:w="50" w:type="dxa"/>
              <w:left w:w="90" w:type="dxa"/>
              <w:right w:w="90" w:type="dxa"/>
            </w:tcMar>
          </w:tcPr>
          <w:p>
            <w:pPr>
              <w:pStyle w:val="BDOITable"/>
            </w:pPr>
            <w:r>
              <w:rPr>
                <w:sz w:val="16"/>
              </w:rPr>
              <w:t>FR-SP-012</w:t>
            </w:r>
          </w:p>
        </w:tc>
        <w:tc>
          <w:tcPr>
            <w:tcW w:type="dxa" w:w="3244"/>
            <w:tcMar>
              <w:top w:w="50" w:type="dxa"/>
              <w:bottom w:w="50" w:type="dxa"/>
              <w:left w:w="90" w:type="dxa"/>
              <w:right w:w="90" w:type="dxa"/>
            </w:tcMar>
          </w:tcPr>
          <w:p>
            <w:pPr>
              <w:pStyle w:val="BDOITable"/>
            </w:pPr>
            <w:r>
              <w:rPr>
                <w:sz w:val="16"/>
              </w:rPr>
              <w:t>Masterlist; Policy record (History)</w:t>
            </w:r>
          </w:p>
        </w:tc>
        <w:tc>
          <w:tcPr>
            <w:tcW w:type="dxa" w:w="3484"/>
            <w:tcMar>
              <w:top w:w="50" w:type="dxa"/>
              <w:bottom w:w="50" w:type="dxa"/>
              <w:left w:w="90" w:type="dxa"/>
              <w:right w:w="90" w:type="dxa"/>
            </w:tcMar>
          </w:tcPr>
          <w:p>
            <w:pPr>
              <w:pStyle w:val="BDOITable"/>
            </w:pPr>
            <w:r>
              <w:rPr>
                <w:sz w:val="16"/>
              </w:rPr>
              <w:t>/submitted/policies/{id}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BRIDSP-30 (p.12)</w:t>
            </w:r>
          </w:p>
        </w:tc>
        <w:tc>
          <w:tcPr>
            <w:tcW w:type="dxa" w:w="1922"/>
            <w:tcMar>
              <w:top w:w="50" w:type="dxa"/>
              <w:bottom w:w="50" w:type="dxa"/>
              <w:left w:w="90" w:type="dxa"/>
              <w:right w:w="90" w:type="dxa"/>
            </w:tcMar>
            <w:shd w:val="clear" w:color="auto" w:fill="E5F5FF"/>
          </w:tcPr>
          <w:p>
            <w:pPr>
              <w:pStyle w:val="BDOITable"/>
            </w:pPr>
            <w:r>
              <w:rPr>
                <w:sz w:val="16"/>
              </w:rPr>
              <w:t>FR-SP-080</w:t>
            </w:r>
          </w:p>
        </w:tc>
        <w:tc>
          <w:tcPr>
            <w:tcW w:type="dxa" w:w="3244"/>
            <w:tcMar>
              <w:top w:w="50" w:type="dxa"/>
              <w:bottom w:w="50" w:type="dxa"/>
              <w:left w:w="90" w:type="dxa"/>
              <w:right w:w="90" w:type="dxa"/>
            </w:tcMar>
            <w:shd w:val="clear" w:color="auto" w:fill="E5F5FF"/>
          </w:tcPr>
          <w:p>
            <w:pPr>
              <w:pStyle w:val="BDOITable"/>
            </w:pPr>
            <w:r>
              <w:rPr>
                <w:sz w:val="16"/>
              </w:rPr>
              <w:t>Reports; home</w:t>
            </w:r>
          </w:p>
        </w:tc>
        <w:tc>
          <w:tcPr>
            <w:tcW w:type="dxa" w:w="3484"/>
            <w:tcMar>
              <w:top w:w="50" w:type="dxa"/>
              <w:bottom w:w="50" w:type="dxa"/>
              <w:left w:w="90" w:type="dxa"/>
              <w:right w:w="90" w:type="dxa"/>
            </w:tcMar>
            <w:shd w:val="clear" w:color="auto" w:fill="E5F5FF"/>
          </w:tcPr>
          <w:p>
            <w:pPr>
              <w:pStyle w:val="BDOITable"/>
            </w:pPr>
            <w:r>
              <w:rPr>
                <w:sz w:val="16"/>
              </w:rPr>
              <w:t>Report service</w:t>
            </w:r>
          </w:p>
        </w:tc>
      </w:tr>
      <w:tr>
        <w:trPr>
          <w:cantSplit w:val="true"/>
        </w:trPr>
        <w:tc>
          <w:tcPr>
            <w:tcW w:type="dxa" w:w="1322"/>
            <w:tcMar>
              <w:top w:w="50" w:type="dxa"/>
              <w:bottom w:w="50" w:type="dxa"/>
              <w:left w:w="90" w:type="dxa"/>
              <w:right w:w="90" w:type="dxa"/>
            </w:tcMar>
          </w:tcPr>
          <w:p>
            <w:pPr>
              <w:pStyle w:val="BDOITable"/>
            </w:pPr>
            <w:r>
              <w:rPr>
                <w:sz w:val="16"/>
              </w:rPr>
              <w:t>BRIDSP-31 (p.12)</w:t>
            </w:r>
          </w:p>
        </w:tc>
        <w:tc>
          <w:tcPr>
            <w:tcW w:type="dxa" w:w="1922"/>
            <w:tcMar>
              <w:top w:w="50" w:type="dxa"/>
              <w:bottom w:w="50" w:type="dxa"/>
              <w:left w:w="90" w:type="dxa"/>
              <w:right w:w="90" w:type="dxa"/>
            </w:tcMar>
          </w:tcPr>
          <w:p>
            <w:pPr>
              <w:pStyle w:val="BDOITable"/>
            </w:pPr>
            <w:r>
              <w:rPr>
                <w:sz w:val="16"/>
              </w:rPr>
              <w:t>FR-SP-070</w:t>
            </w:r>
          </w:p>
        </w:tc>
        <w:tc>
          <w:tcPr>
            <w:tcW w:type="dxa" w:w="3244"/>
            <w:tcMar>
              <w:top w:w="50" w:type="dxa"/>
              <w:bottom w:w="50" w:type="dxa"/>
              <w:left w:w="90" w:type="dxa"/>
              <w:right w:w="90" w:type="dxa"/>
            </w:tcMar>
          </w:tcPr>
          <w:p>
            <w:pPr>
              <w:pStyle w:val="BDOITable"/>
            </w:pPr>
            <w:r>
              <w:rPr>
                <w:sz w:val="16"/>
              </w:rPr>
              <w:t>Handling Fees</w:t>
            </w:r>
          </w:p>
        </w:tc>
        <w:tc>
          <w:tcPr>
            <w:tcW w:type="dxa" w:w="3484"/>
            <w:tcMar>
              <w:top w:w="50" w:type="dxa"/>
              <w:bottom w:w="50" w:type="dxa"/>
              <w:left w:w="90" w:type="dxa"/>
              <w:right w:w="90" w:type="dxa"/>
            </w:tcMar>
          </w:tcPr>
          <w:p>
            <w:pPr>
              <w:pStyle w:val="BDOITable"/>
            </w:pPr>
            <w:r>
              <w:rPr>
                <w:sz w:val="16"/>
              </w:rPr>
              <w:t>Job SBM_HANDLING_FEE_TAGGER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BRIDSP-32 (p.12)</w:t>
            </w:r>
          </w:p>
        </w:tc>
        <w:tc>
          <w:tcPr>
            <w:tcW w:type="dxa" w:w="1922"/>
            <w:tcMar>
              <w:top w:w="50" w:type="dxa"/>
              <w:bottom w:w="50" w:type="dxa"/>
              <w:left w:w="90" w:type="dxa"/>
              <w:right w:w="90" w:type="dxa"/>
            </w:tcMar>
            <w:shd w:val="clear" w:color="auto" w:fill="E5F5FF"/>
          </w:tcPr>
          <w:p>
            <w:pPr>
              <w:pStyle w:val="BDOITable"/>
            </w:pPr>
            <w:r>
              <w:rPr>
                <w:sz w:val="16"/>
              </w:rPr>
              <w:t>FR-SP-063</w:t>
            </w:r>
          </w:p>
        </w:tc>
        <w:tc>
          <w:tcPr>
            <w:tcW w:type="dxa" w:w="3244"/>
            <w:tcMar>
              <w:top w:w="50" w:type="dxa"/>
              <w:bottom w:w="50" w:type="dxa"/>
              <w:left w:w="90" w:type="dxa"/>
              <w:right w:w="90" w:type="dxa"/>
            </w:tcMar>
            <w:shd w:val="clear" w:color="auto" w:fill="E5F5FF"/>
          </w:tcPr>
          <w:p>
            <w:pPr>
              <w:pStyle w:val="BDOITable"/>
            </w:pPr>
            <w:r>
              <w:rPr>
                <w:sz w:val="16"/>
              </w:rPr>
              <w:t>Renewal Work List</w:t>
            </w:r>
          </w:p>
        </w:tc>
        <w:tc>
          <w:tcPr>
            <w:tcW w:type="dxa" w:w="3484"/>
            <w:tcMar>
              <w:top w:w="50" w:type="dxa"/>
              <w:bottom w:w="50" w:type="dxa"/>
              <w:left w:w="90" w:type="dxa"/>
              <w:right w:w="90" w:type="dxa"/>
            </w:tcMar>
            <w:shd w:val="clear" w:color="auto" w:fill="E5F5FF"/>
          </w:tcPr>
          <w:p>
            <w:pPr>
              <w:pStyle w:val="BDOITable"/>
            </w:pPr>
            <w:r>
              <w:rPr>
                <w:sz w:val="16"/>
              </w:rPr>
              <w:t>.../reassign-insurer</w:t>
            </w:r>
          </w:p>
        </w:tc>
      </w:tr>
      <w:tr>
        <w:trPr>
          <w:cantSplit w:val="true"/>
        </w:trPr>
        <w:tc>
          <w:tcPr>
            <w:tcW w:type="dxa" w:w="1322"/>
            <w:tcMar>
              <w:top w:w="50" w:type="dxa"/>
              <w:bottom w:w="50" w:type="dxa"/>
              <w:left w:w="90" w:type="dxa"/>
              <w:right w:w="90" w:type="dxa"/>
            </w:tcMar>
          </w:tcPr>
          <w:p>
            <w:pPr>
              <w:pStyle w:val="BDOITable"/>
            </w:pPr>
            <w:r>
              <w:rPr>
                <w:sz w:val="16"/>
              </w:rPr>
              <w:t>BRIDSP-33 (p.12)</w:t>
            </w:r>
          </w:p>
        </w:tc>
        <w:tc>
          <w:tcPr>
            <w:tcW w:type="dxa" w:w="1922"/>
            <w:tcMar>
              <w:top w:w="50" w:type="dxa"/>
              <w:bottom w:w="50" w:type="dxa"/>
              <w:left w:w="90" w:type="dxa"/>
              <w:right w:w="90" w:type="dxa"/>
            </w:tcMar>
          </w:tcPr>
          <w:p>
            <w:pPr>
              <w:pStyle w:val="BDOITable"/>
            </w:pPr>
            <w:r>
              <w:rPr>
                <w:sz w:val="16"/>
              </w:rPr>
              <w:t>FR-SP-004</w:t>
            </w:r>
          </w:p>
        </w:tc>
        <w:tc>
          <w:tcPr>
            <w:tcW w:type="dxa" w:w="3244"/>
            <w:tcMar>
              <w:top w:w="50" w:type="dxa"/>
              <w:bottom w:w="50" w:type="dxa"/>
              <w:left w:w="90" w:type="dxa"/>
              <w:right w:w="90" w:type="dxa"/>
            </w:tcMar>
          </w:tcPr>
          <w:p>
            <w:pPr>
              <w:pStyle w:val="BDOITable"/>
            </w:pPr>
            <w:r>
              <w:rPr>
                <w:sz w:val="16"/>
              </w:rPr>
              <w:t>Upload &amp; Intake (Migration)</w:t>
            </w:r>
          </w:p>
        </w:tc>
        <w:tc>
          <w:tcPr>
            <w:tcW w:type="dxa" w:w="3484"/>
            <w:tcMar>
              <w:top w:w="50" w:type="dxa"/>
              <w:bottom w:w="50" w:type="dxa"/>
              <w:left w:w="90" w:type="dxa"/>
              <w:right w:w="90" w:type="dxa"/>
            </w:tcMar>
          </w:tcPr>
          <w:p>
            <w:pPr>
              <w:pStyle w:val="BDOITable"/>
            </w:pPr>
            <w:r>
              <w:rPr>
                <w:sz w:val="16"/>
              </w:rPr>
              <w:t>Bulk SBM_MIGRATION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Usage requirements (p.13-14)</w:t>
            </w:r>
          </w:p>
        </w:tc>
        <w:tc>
          <w:tcPr>
            <w:tcW w:type="dxa" w:w="1922"/>
            <w:tcMar>
              <w:top w:w="50" w:type="dxa"/>
              <w:bottom w:w="50" w:type="dxa"/>
              <w:left w:w="90" w:type="dxa"/>
              <w:right w:w="90" w:type="dxa"/>
            </w:tcMar>
            <w:shd w:val="clear" w:color="auto" w:fill="E5F5FF"/>
          </w:tcPr>
          <w:p>
            <w:pPr>
              <w:pStyle w:val="BDOITable"/>
            </w:pPr>
            <w:r>
              <w:rPr>
                <w:sz w:val="16"/>
              </w:rPr>
              <w:t>Section 8</w:t>
            </w:r>
          </w:p>
        </w:tc>
        <w:tc>
          <w:tcPr>
            <w:tcW w:type="dxa" w:w="3244"/>
            <w:tcMar>
              <w:top w:w="50" w:type="dxa"/>
              <w:bottom w:w="50" w:type="dxa"/>
              <w:left w:w="90" w:type="dxa"/>
              <w:right w:w="90" w:type="dxa"/>
            </w:tcMar>
            <w:shd w:val="clear" w:color="auto" w:fill="E5F5FF"/>
          </w:tcPr>
          <w:p>
            <w:pPr>
              <w:pStyle w:val="BDOITable"/>
            </w:pPr>
            <w:r>
              <w:rPr>
                <w:sz w:val="16"/>
              </w:rPr>
              <w:t>-</w:t>
            </w:r>
          </w:p>
        </w:tc>
        <w:tc>
          <w:tcPr>
            <w:tcW w:type="dxa" w:w="3484"/>
            <w:tcMar>
              <w:top w:w="50" w:type="dxa"/>
              <w:bottom w:w="50" w:type="dxa"/>
              <w:left w:w="90" w:type="dxa"/>
              <w:right w:w="90" w:type="dxa"/>
            </w:tcMar>
            <w:shd w:val="clear" w:color="auto" w:fill="E5F5FF"/>
          </w:tcPr>
          <w:p>
            <w:pPr>
              <w:pStyle w:val="BDOITable"/>
            </w:pPr>
            <w:r>
              <w:rPr>
                <w:sz w:val="16"/>
              </w:rPr>
              <w:t>-</w:t>
            </w:r>
          </w:p>
        </w:tc>
      </w:tr>
    </w:tbl>
    <w:p>
      <w:pPr>
        <w:pStyle w:val="BDOISpacer"/>
      </w:pPr>
    </w:p>
    <w:p>
      <w:r>
        <w:rPr/>
        <w:t xml:space="preserve">API paths start with </w:t>
      </w:r>
      <w:r>
        <w:rPr>
          <w:rFonts w:ascii="Courier New" w:hAnsi="Courier New" w:cs="Courier New" w:eastAsia="Courier New"/>
          <w:color w:val="2E2E2E"/>
          <w:sz w:val="19"/>
        </w:rPr>
        <w:t>/api/v1</w:t>
      </w:r>
      <w:r>
        <w:rPr/>
        <w:t>. They are the paths of the build design (R3) and are confirmed at build.</w:t>
      </w:r>
    </w:p>
    <w:p>
      <w:pPr>
        <w:pStyle w:val="Heading1"/>
        <w:pageBreakBefore/>
        <w:pBdr>
          <w:bottom w:val="single" w:sz="4" w:space="4" w:color="99C1E7"/>
        </w:pBdr>
      </w:pPr>
      <w:bookmarkStart w:id="178" w:name="_Toc000178"/>
      <w:r>
        <w:rPr/>
        <w:t>12 Sign-off</w:t>
      </w:r>
      <w:bookmarkEnd w:id="178"/>
    </w:p>
    <w:p>
      <w:r>
        <w:rPr/>
        <w:t>By signing, BDOI confirms that this FRS describes the Submitted Policies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BRD-12 Submitted Policies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Submitted Policies</dc:title>
  <dc:subject>BIBS – BDOI Broker System</dc:subject>
  <dc:creator>iorta TechNXT</dc:creator>
  <cp:keywords>FRS,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