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Accounting, Disbursement and ACSL - Cover Note</w:t>
      </w:r>
    </w:p>
    <w:p>
      <w:pPr>
        <w:spacing w:after="40"/>
      </w:pPr>
      <w:r>
        <w:rPr>
          <w:color w:val="2E2E2E"/>
          <w:sz w:val="28"/>
        </w:rPr>
        <w:t>BRD-5 Accounting, Disbursement, Accounting Controls and Subsidiary Ledger - Cover note to the two volumes of the FRS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BIBS-FRS-BRD-05-CN</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25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Comptrollership Head (pending)</w:t>
            </w:r>
          </w:p>
        </w:tc>
        <w:tc>
          <w:tcPr>
            <w:tcW w:type="dxa" w:w="2606"/>
            <w:tcMar>
              <w:top w:w="50" w:type="dxa"/>
              <w:bottom w:w="50" w:type="dxa"/>
              <w:left w:w="90" w:type="dxa"/>
              <w:right w:w="90" w:type="dxa"/>
            </w:tcMar>
          </w:tcPr>
          <w:p>
            <w:pPr>
              <w:pStyle w:val="BDOITable"/>
            </w:pPr>
            <w:r>
              <w:rPr>
                <w:sz w:val="18"/>
              </w:rPr>
              <w:t>First issue with Volumes 1 and 2</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Head, Comptrollership</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 of both volumes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FRBS, Disbursement, ACSL, Marketing, Business and System Administration</w:t>
            </w:r>
          </w:p>
        </w:tc>
        <w:tc>
          <w:tcPr>
            <w:tcW w:type="dxa" w:w="2266"/>
            <w:tcMar>
              <w:top w:w="50" w:type="dxa"/>
              <w:bottom w:w="50" w:type="dxa"/>
              <w:left w:w="90" w:type="dxa"/>
              <w:right w:w="90" w:type="dxa"/>
            </w:tcMar>
            <w:shd w:val="clear" w:color="auto" w:fill="E5F5FF"/>
          </w:tcPr>
          <w:p>
            <w:pPr>
              <w:pStyle w:val="BDOITable"/>
            </w:pPr>
            <w:r>
              <w:rPr>
                <w:sz w:val="18"/>
              </w:rPr>
              <w:t>Business owners</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their volume</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BRD owner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Delivery,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1 The two volumes</w:t>
        </w:r>
        <w:r>
          <w:t xml:space="preserve">	</w:t>
        </w:r>
        <w:r>
          <w:t xml:space="preserve">4</w:t>
        </w:r>
      </w:hyperlink>
    </w:p>
    <w:p>
      <w:pPr>
        <w:pStyle w:val="toc2"/>
      </w:pPr>
      <w:hyperlink w:anchor="_Toc000102" w:history="1">
        <w:r>
          <w:t xml:space="preserve">1.1 Purpose of this note</w:t>
        </w:r>
        <w:r>
          <w:t xml:space="preserve">	</w:t>
        </w:r>
        <w:r>
          <w:t xml:space="preserve">4</w:t>
        </w:r>
      </w:hyperlink>
    </w:p>
    <w:p>
      <w:pPr>
        <w:pStyle w:val="toc2"/>
      </w:pPr>
      <w:hyperlink w:anchor="_Toc000103" w:history="1">
        <w:r>
          <w:t xml:space="preserve">1.2 Why two volumes</w:t>
        </w:r>
        <w:r>
          <w:t xml:space="preserve">	</w:t>
        </w:r>
        <w:r>
          <w:t xml:space="preserve">4</w:t>
        </w:r>
      </w:hyperlink>
    </w:p>
    <w:p>
      <w:pPr>
        <w:pStyle w:val="toc2"/>
      </w:pPr>
      <w:hyperlink w:anchor="_Toc000104" w:history="1">
        <w:r>
          <w:t xml:space="preserve">1.3 Structure shared by both volumes</w:t>
        </w:r>
        <w:r>
          <w:t xml:space="preserve">	</w:t>
        </w:r>
        <w:r>
          <w:t xml:space="preserve">4</w:t>
        </w:r>
      </w:hyperlink>
    </w:p>
    <w:p>
      <w:pPr>
        <w:pStyle w:val="toc2"/>
      </w:pPr>
      <w:hyperlink w:anchor="_Toc000105" w:history="1">
        <w:r>
          <w:t xml:space="preserve">1.4 Conventions</w:t>
        </w:r>
        <w:r>
          <w:t xml:space="preserve">	</w:t>
        </w:r>
        <w:r>
          <w:t xml:space="preserve">5</w:t>
        </w:r>
      </w:hyperlink>
    </w:p>
    <w:p>
      <w:pPr>
        <w:pStyle w:val="toc1"/>
      </w:pPr>
      <w:hyperlink w:anchor="_Toc000106" w:history="1">
        <w:r>
          <w:t xml:space="preserve">2 Coverage and references</w:t>
        </w:r>
        <w:r>
          <w:t xml:space="preserve">	</w:t>
        </w:r>
        <w:r>
          <w:t xml:space="preserve">6</w:t>
        </w:r>
      </w:hyperlink>
    </w:p>
    <w:p>
      <w:pPr>
        <w:pStyle w:val="toc2"/>
      </w:pPr>
      <w:hyperlink w:anchor="_Toc000107" w:history="1">
        <w:r>
          <w:t xml:space="preserve">2.1 Coverage</w:t>
        </w:r>
        <w:r>
          <w:t xml:space="preserve">	</w:t>
        </w:r>
        <w:r>
          <w:t xml:space="preserve">6</w:t>
        </w:r>
      </w:hyperlink>
    </w:p>
    <w:p>
      <w:pPr>
        <w:pStyle w:val="toc2"/>
      </w:pPr>
      <w:hyperlink w:anchor="_Toc000108" w:history="1">
        <w:r>
          <w:t xml:space="preserve">2.2 Shared references</w:t>
        </w:r>
        <w:r>
          <w:t xml:space="preserve">	</w:t>
        </w:r>
        <w:r>
          <w:t xml:space="preserve">6</w:t>
        </w:r>
      </w:hyperlink>
    </w:p>
    <w:p>
      <w:pPr>
        <w:pStyle w:val="toc1"/>
      </w:pPr>
      <w:hyperlink w:anchor="_Toc000109" w:history="1">
        <w:r>
          <w:t xml:space="preserve">3 Sign-off route</w:t>
        </w:r>
        <w:r>
          <w:t xml:space="preserve">	</w:t>
        </w:r>
        <w:r>
          <w:t xml:space="preserve">7</w:t>
        </w:r>
      </w:hyperlink>
      <w:r>
        <w:fldChar w:fldCharType="end"/>
      </w:r>
    </w:p>
    <w:p>
      <w:pPr>
        <w:pStyle w:val="Heading1"/>
        <w:pageBreakBefore/>
        <w:pBdr>
          <w:bottom w:val="single" w:sz="4" w:space="4" w:color="99C1E7"/>
        </w:pBdr>
      </w:pPr>
      <w:bookmarkStart w:id="101" w:name="_Toc000101"/>
      <w:r>
        <w:rPr/>
        <w:t>1 The two volumes</w:t>
      </w:r>
      <w:bookmarkEnd w:id="101"/>
    </w:p>
    <w:p>
      <w:pPr>
        <w:pStyle w:val="Heading2"/>
      </w:pPr>
      <w:bookmarkStart w:id="102" w:name="_Toc000102"/>
      <w:r>
        <w:rPr/>
        <w:t>1.1 Purpose of this note</w:t>
      </w:r>
      <w:bookmarkEnd w:id="102"/>
    </w:p>
    <w:p>
      <w:r>
        <w:rPr/>
        <w:t>The Functional Requirements Specification (FRS) of BRD-5 - Accounting, Disbursement, and Accounting Controls and Subsidiary Ledger - states how BIBS meets the 277 requirement IDs of the BRD and its two addenda. It is issued in two volumes. This note explains the split, lists what each volume contains, gives the references and conventions both volumes share, and sets out the sign-off route.</w:t>
      </w:r>
    </w:p>
    <w:p>
      <w:pPr>
        <w:pStyle w:val="Heading2"/>
      </w:pPr>
      <w:bookmarkStart w:id="103" w:name="_Toc000103"/>
      <w:r>
        <w:rPr/>
        <w:t>1.2 Why two volumes</w:t>
      </w:r>
      <w:bookmarkEnd w:id="103"/>
    </w:p>
    <w:p>
      <w:r>
        <w:rPr/>
        <w:t>BRD-5 covers five business areas owned by different units: Financial Reporting and Budget (FRBS), business and system administration, Disbursement, Marketing refund and cash-advance requests, and ACSL. Written at the level of detail of the reference FRS (one FR per requirement group, with rules, validations, fields and acceptance criteria), one document would exceed 200 pages. The FRS is therefore split along the owners of the requirements, so that each unit reviews and signs one volume.</w:t>
      </w:r>
    </w:p>
    <w:p>
      <w:pPr>
        <w:pStyle w:val="Caption"/>
        <w:keepNext/>
        <w:spacing w:after="60"/>
      </w:pPr>
      <w:r>
        <w:rPr>
          <w:b/>
          <w:i w:val="0"/>
        </w:rPr>
        <w:t xml:space="preserve">Table 1: </w:t>
      </w:r>
      <w:r>
        <w:rPr/>
        <w:t>The documents of the BRD-5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3845"/>
        <w:gridCol w:w="1922"/>
        <w:gridCol w:w="1321"/>
        <w:gridCol w:w="841"/>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8"/>
              </w:rPr>
              <w:t>Content</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8"/>
              </w:rPr>
              <w:t>BRD IDs</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8"/>
              </w:rPr>
              <w:t>FRs</w:t>
            </w:r>
          </w:p>
        </w:tc>
        <w:tc>
          <w:tcPr>
            <w:tcW w:type="dxa" w:w="841"/>
            <w:shd w:val="clear" w:color="auto" w:fill="004EA8"/>
            <w:tcMar>
              <w:top w:w="50" w:type="dxa"/>
              <w:bottom w:w="50" w:type="dxa"/>
              <w:left w:w="90" w:type="dxa"/>
              <w:right w:w="90" w:type="dxa"/>
            </w:tcMar>
            <w:vAlign w:val="center"/>
          </w:tcPr>
          <w:p>
            <w:pPr>
              <w:pStyle w:val="BDOITableHeader"/>
            </w:pPr>
            <w:r>
              <w:rPr>
                <w:b/>
                <w:color w:val="FFFFFF"/>
                <w:sz w:val="18"/>
              </w:rPr>
              <w:t>Pages</w:t>
            </w:r>
          </w:p>
        </w:tc>
      </w:tr>
      <w:tr>
        <w:trPr>
          <w:cantSplit w:val="true"/>
        </w:trPr>
        <w:tc>
          <w:tcPr>
            <w:tcW w:type="dxa" w:w="2042"/>
            <w:tcMar>
              <w:top w:w="50" w:type="dxa"/>
              <w:bottom w:w="50" w:type="dxa"/>
              <w:left w:w="90" w:type="dxa"/>
              <w:right w:w="90" w:type="dxa"/>
            </w:tcMar>
          </w:tcPr>
          <w:p>
            <w:pPr>
              <w:pStyle w:val="BDOITable"/>
            </w:pPr>
            <w:r>
              <w:rPr>
                <w:sz w:val="18"/>
              </w:rPr>
              <w:t>Cover note (this document)</w:t>
            </w:r>
          </w:p>
        </w:tc>
        <w:tc>
          <w:tcPr>
            <w:tcW w:type="dxa" w:w="3845"/>
            <w:tcMar>
              <w:top w:w="50" w:type="dxa"/>
              <w:bottom w:w="50" w:type="dxa"/>
              <w:left w:w="90" w:type="dxa"/>
              <w:right w:w="90" w:type="dxa"/>
            </w:tcMar>
          </w:tcPr>
          <w:p>
            <w:pPr>
              <w:pStyle w:val="BDOITable"/>
            </w:pPr>
            <w:r>
              <w:rPr>
                <w:sz w:val="18"/>
              </w:rPr>
              <w:t>Split, contents, shared references, sign-off route</w:t>
            </w:r>
          </w:p>
        </w:tc>
        <w:tc>
          <w:tcPr>
            <w:tcW w:type="dxa" w:w="1922"/>
            <w:tcMar>
              <w:top w:w="50" w:type="dxa"/>
              <w:bottom w:w="50" w:type="dxa"/>
              <w:left w:w="90" w:type="dxa"/>
              <w:right w:w="90" w:type="dxa"/>
            </w:tcMar>
          </w:tcPr>
          <w:p>
            <w:pPr>
              <w:pStyle w:val="BDOITable"/>
            </w:pPr>
            <w:r>
              <w:rPr>
                <w:sz w:val="18"/>
              </w:rPr>
              <w:t>-</w:t>
            </w:r>
          </w:p>
        </w:tc>
        <w:tc>
          <w:tcPr>
            <w:tcW w:type="dxa" w:w="1322"/>
            <w:tcMar>
              <w:top w:w="50" w:type="dxa"/>
              <w:bottom w:w="50" w:type="dxa"/>
              <w:left w:w="90" w:type="dxa"/>
              <w:right w:w="90" w:type="dxa"/>
            </w:tcMar>
          </w:tcPr>
          <w:p>
            <w:pPr>
              <w:pStyle w:val="BDOITable"/>
            </w:pPr>
            <w:r>
              <w:rPr>
                <w:sz w:val="18"/>
              </w:rPr>
              <w:t>-</w:t>
            </w:r>
          </w:p>
        </w:tc>
        <w:tc>
          <w:tcPr>
            <w:tcW w:type="dxa" w:w="841"/>
            <w:tcMar>
              <w:top w:w="50" w:type="dxa"/>
              <w:bottom w:w="50" w:type="dxa"/>
              <w:left w:w="90" w:type="dxa"/>
              <w:right w:w="90" w:type="dxa"/>
            </w:tcMar>
          </w:tcPr>
          <w:p>
            <w:pPr>
              <w:pStyle w:val="BDOITable"/>
            </w:pPr>
            <w:r>
              <w:rPr>
                <w:sz w:val="18"/>
              </w:rPr>
              <w:t>-</w:t>
            </w:r>
          </w:p>
        </w:tc>
      </w:tr>
      <w:tr>
        <w:trPr>
          <w:cantSplit w:val="true"/>
        </w:trPr>
        <w:tc>
          <w:tcPr>
            <w:tcW w:type="dxa" w:w="2042"/>
            <w:tcMar>
              <w:top w:w="50" w:type="dxa"/>
              <w:bottom w:w="50" w:type="dxa"/>
              <w:left w:w="90" w:type="dxa"/>
              <w:right w:w="90" w:type="dxa"/>
            </w:tcMar>
            <w:shd w:val="clear" w:color="auto" w:fill="E5F5FF"/>
          </w:tcPr>
          <w:p>
            <w:pPr>
              <w:pStyle w:val="BDOITable"/>
            </w:pPr>
            <w:r>
              <w:rPr>
                <w:sz w:val="18"/>
              </w:rPr>
              <w:t>Volume 1 - FRBS and Accounting</w:t>
            </w:r>
          </w:p>
        </w:tc>
        <w:tc>
          <w:tcPr>
            <w:tcW w:type="dxa" w:w="3845"/>
            <w:tcMar>
              <w:top w:w="50" w:type="dxa"/>
              <w:bottom w:w="50" w:type="dxa"/>
              <w:left w:w="90" w:type="dxa"/>
              <w:right w:w="90" w:type="dxa"/>
            </w:tcMar>
            <w:shd w:val="clear" w:color="auto" w:fill="E5F5FF"/>
          </w:tcPr>
          <w:p>
            <w:pPr>
              <w:pStyle w:val="BDOITable"/>
            </w:pPr>
            <w:r>
              <w:rPr>
                <w:sz w:val="18"/>
              </w:rPr>
              <w:t>General ledger platform, chart and rates, journals, closing, revaluation, bank reconciliation, service fee, report pack, BIR outputs, business and system administration</w:t>
            </w:r>
          </w:p>
        </w:tc>
        <w:tc>
          <w:tcPr>
            <w:tcW w:type="dxa" w:w="1922"/>
            <w:tcMar>
              <w:top w:w="50" w:type="dxa"/>
              <w:bottom w:w="50" w:type="dxa"/>
              <w:left w:w="90" w:type="dxa"/>
              <w:right w:w="90" w:type="dxa"/>
            </w:tcMar>
            <w:shd w:val="clear" w:color="auto" w:fill="E5F5FF"/>
          </w:tcPr>
          <w:p>
            <w:pPr>
              <w:pStyle w:val="BDOITable"/>
            </w:pPr>
            <w:r>
              <w:rPr>
                <w:sz w:val="18"/>
              </w:rPr>
              <w:t>FRBS 60, BASAU 25 (85)</w:t>
            </w:r>
          </w:p>
        </w:tc>
        <w:tc>
          <w:tcPr>
            <w:tcW w:type="dxa" w:w="1322"/>
            <w:tcMar>
              <w:top w:w="50" w:type="dxa"/>
              <w:bottom w:w="50" w:type="dxa"/>
              <w:left w:w="90" w:type="dxa"/>
              <w:right w:w="90" w:type="dxa"/>
            </w:tcMar>
            <w:shd w:val="clear" w:color="auto" w:fill="E5F5FF"/>
          </w:tcPr>
          <w:p>
            <w:pPr>
              <w:pStyle w:val="BDOITable"/>
            </w:pPr>
            <w:r>
              <w:rPr>
                <w:sz w:val="18"/>
              </w:rPr>
              <w:t>38 FR-AC</w:t>
            </w:r>
          </w:p>
        </w:tc>
        <w:tc>
          <w:tcPr>
            <w:tcW w:type="dxa" w:w="841"/>
            <w:tcMar>
              <w:top w:w="50" w:type="dxa"/>
              <w:bottom w:w="50" w:type="dxa"/>
              <w:left w:w="90" w:type="dxa"/>
              <w:right w:w="90" w:type="dxa"/>
            </w:tcMar>
            <w:shd w:val="clear" w:color="auto" w:fill="E5F5FF"/>
          </w:tcPr>
          <w:p>
            <w:pPr>
              <w:pStyle w:val="BDOITable"/>
            </w:pPr>
            <w:r>
              <w:rPr>
                <w:sz w:val="18"/>
              </w:rPr>
              <w:t>74</w:t>
            </w:r>
          </w:p>
        </w:tc>
      </w:tr>
      <w:tr>
        <w:trPr>
          <w:cantSplit w:val="true"/>
        </w:trPr>
        <w:tc>
          <w:tcPr>
            <w:tcW w:type="dxa" w:w="2042"/>
            <w:tcMar>
              <w:top w:w="50" w:type="dxa"/>
              <w:bottom w:w="50" w:type="dxa"/>
              <w:left w:w="90" w:type="dxa"/>
              <w:right w:w="90" w:type="dxa"/>
            </w:tcMar>
          </w:tcPr>
          <w:p>
            <w:pPr>
              <w:pStyle w:val="BDOITable"/>
            </w:pPr>
            <w:r>
              <w:rPr>
                <w:sz w:val="18"/>
              </w:rPr>
              <w:t>Volume 2 - Disbursement, Payment Requests and ACSL</w:t>
            </w:r>
          </w:p>
        </w:tc>
        <w:tc>
          <w:tcPr>
            <w:tcW w:type="dxa" w:w="3845"/>
            <w:tcMar>
              <w:top w:w="50" w:type="dxa"/>
              <w:bottom w:w="50" w:type="dxa"/>
              <w:left w:w="90" w:type="dxa"/>
              <w:right w:w="90" w:type="dxa"/>
            </w:tcMar>
          </w:tcPr>
          <w:p>
            <w:pPr>
              <w:pStyle w:val="BDOITable"/>
            </w:pPr>
            <w:r>
              <w:rPr>
                <w:sz w:val="18"/>
              </w:rPr>
              <w:t>Payees, request intake, disbursement vouchers, seven modes of payment, end of day, funding, tagging, CPC2 and early-incentive service invoice; Marketing refund, cash-advance and check-cancellation requests; ACSL reconciliations, investigations, corrections and remittance deductions</w:t>
            </w:r>
          </w:p>
        </w:tc>
        <w:tc>
          <w:tcPr>
            <w:tcW w:type="dxa" w:w="1922"/>
            <w:tcMar>
              <w:top w:w="50" w:type="dxa"/>
              <w:bottom w:w="50" w:type="dxa"/>
              <w:left w:w="90" w:type="dxa"/>
              <w:right w:w="90" w:type="dxa"/>
            </w:tcMar>
          </w:tcPr>
          <w:p>
            <w:pPr>
              <w:pStyle w:val="BDOITable"/>
            </w:pPr>
            <w:r>
              <w:rPr>
                <w:sz w:val="18"/>
              </w:rPr>
              <w:t>DIS 111, MKT 36, ACSL 45 (192)</w:t>
            </w:r>
          </w:p>
        </w:tc>
        <w:tc>
          <w:tcPr>
            <w:tcW w:type="dxa" w:w="1322"/>
            <w:tcMar>
              <w:top w:w="50" w:type="dxa"/>
              <w:bottom w:w="50" w:type="dxa"/>
              <w:left w:w="90" w:type="dxa"/>
              <w:right w:w="90" w:type="dxa"/>
            </w:tcMar>
          </w:tcPr>
          <w:p>
            <w:pPr>
              <w:pStyle w:val="BDOITable"/>
            </w:pPr>
            <w:r>
              <w:rPr>
                <w:sz w:val="18"/>
              </w:rPr>
              <w:t>83 FR-DS, FR-PQ, FR-AS</w:t>
            </w:r>
          </w:p>
        </w:tc>
        <w:tc>
          <w:tcPr>
            <w:tcW w:type="dxa" w:w="841"/>
            <w:tcMar>
              <w:top w:w="50" w:type="dxa"/>
              <w:bottom w:w="50" w:type="dxa"/>
              <w:left w:w="90" w:type="dxa"/>
              <w:right w:w="90" w:type="dxa"/>
            </w:tcMar>
          </w:tcPr>
          <w:p>
            <w:pPr>
              <w:pStyle w:val="BDOITable"/>
            </w:pPr>
            <w:r>
              <w:rPr>
                <w:sz w:val="18"/>
              </w:rPr>
              <w:t>124</w:t>
            </w:r>
          </w:p>
        </w:tc>
      </w:tr>
    </w:tbl>
    <w:p>
      <w:pPr>
        <w:pStyle w:val="BDOISpacer"/>
      </w:pPr>
    </w:p>
    <w:p>
      <w:r>
        <w:rPr/>
        <w:t xml:space="preserve">File names: </w:t>
      </w:r>
      <w:r>
        <w:rPr>
          <w:rFonts w:ascii="Courier New" w:hAnsi="Courier New" w:cs="Courier New" w:eastAsia="Courier New"/>
          <w:color w:val="2E2E2E"/>
          <w:sz w:val="19"/>
        </w:rPr>
        <w:t>BIBS_FRS_BRD-05_Accounting_Disbursement_ACSL_Vol1_v1.0.docx</w:t>
      </w:r>
      <w:r>
        <w:rPr/>
        <w:t xml:space="preserve"> and </w:t>
      </w:r>
      <w:r>
        <w:rPr>
          <w:rFonts w:ascii="Courier New" w:hAnsi="Courier New" w:cs="Courier New" w:eastAsia="Courier New"/>
          <w:color w:val="2E2E2E"/>
          <w:sz w:val="19"/>
        </w:rPr>
        <w:t>BIBS_FRS_BRD-05_Accounting_Disbursement_ACSL_Vol2_v1.0.docx</w:t>
      </w:r>
      <w:r>
        <w:rPr/>
        <w:t>.</w:t>
      </w:r>
    </w:p>
    <w:p>
      <w:pPr>
        <w:pStyle w:val="Heading2"/>
      </w:pPr>
      <w:bookmarkStart w:id="104" w:name="_Toc000104"/>
      <w:r>
        <w:rPr/>
        <w:t>1.3 Structure shared by both volumes</w:t>
      </w:r>
      <w:bookmarkEnd w:id="104"/>
    </w:p>
    <w:p>
      <w:r>
        <w:rPr/>
        <w:t>Both volumes follow the structure of the reference FRS of BRD-3:</w:t>
      </w:r>
    </w:p>
    <w:p>
      <w:pPr>
        <w:pStyle w:val="Caption"/>
        <w:keepNext/>
        <w:spacing w:after="60"/>
      </w:pPr>
      <w:r>
        <w:rPr>
          <w:b/>
          <w:i w:val="0"/>
        </w:rPr>
        <w:t xml:space="preserve">Table 2: </w:t>
      </w:r>
      <w:r>
        <w:rPr/>
        <w:t>Chapters of each volume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00"/>
        <w:gridCol w:w="3003"/>
        <w:gridCol w:w="6368"/>
      </w:tblGrid>
      <w:tr>
        <w:trPr>
          <w:tblHeader w:val="true"/>
          <w:cantSplit w:val="true"/>
        </w:trPr>
        <w:tc>
          <w:tcPr>
            <w:tcW w:type="dxa" w:w="601"/>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8"/>
              </w:rPr>
              <w:t>Chapter</w:t>
            </w:r>
          </w:p>
        </w:tc>
        <w:tc>
          <w:tcPr>
            <w:tcW w:type="dxa" w:w="6368"/>
            <w:shd w:val="clear" w:color="auto" w:fill="004EA8"/>
            <w:tcMar>
              <w:top w:w="50" w:type="dxa"/>
              <w:bottom w:w="50" w:type="dxa"/>
              <w:left w:w="90" w:type="dxa"/>
              <w:right w:w="90" w:type="dxa"/>
            </w:tcMar>
            <w:vAlign w:val="center"/>
          </w:tcPr>
          <w:p>
            <w:pPr>
              <w:pStyle w:val="BDOITableHeader"/>
            </w:pPr>
            <w:r>
              <w:rPr>
                <w:b/>
                <w:color w:val="FFFFFF"/>
                <w:sz w:val="18"/>
              </w:rPr>
              <w:t>Content</w:t>
            </w:r>
          </w:p>
        </w:tc>
      </w:tr>
      <w:tr>
        <w:trPr>
          <w:cantSplit w:val="true"/>
        </w:trPr>
        <w:tc>
          <w:tcPr>
            <w:tcW w:type="dxa" w:w="601"/>
            <w:tcMar>
              <w:top w:w="50" w:type="dxa"/>
              <w:bottom w:w="50" w:type="dxa"/>
              <w:left w:w="90" w:type="dxa"/>
              <w:right w:w="90" w:type="dxa"/>
            </w:tcMar>
          </w:tcPr>
          <w:p>
            <w:pPr>
              <w:pStyle w:val="BDOITable"/>
            </w:pPr>
            <w:r>
              <w:rPr>
                <w:sz w:val="18"/>
              </w:rPr>
              <w:t>1</w:t>
            </w:r>
          </w:p>
        </w:tc>
        <w:tc>
          <w:tcPr>
            <w:tcW w:type="dxa" w:w="3004"/>
            <w:tcMar>
              <w:top w:w="50" w:type="dxa"/>
              <w:bottom w:w="50" w:type="dxa"/>
              <w:left w:w="90" w:type="dxa"/>
              <w:right w:w="90" w:type="dxa"/>
            </w:tcMar>
          </w:tcPr>
          <w:p>
            <w:pPr>
              <w:pStyle w:val="BDOITable"/>
            </w:pPr>
            <w:r>
              <w:rPr>
                <w:sz w:val="18"/>
              </w:rPr>
              <w:t>Introduction</w:t>
            </w:r>
          </w:p>
        </w:tc>
        <w:tc>
          <w:tcPr>
            <w:tcW w:type="dxa" w:w="6368"/>
            <w:tcMar>
              <w:top w:w="50" w:type="dxa"/>
              <w:bottom w:w="50" w:type="dxa"/>
              <w:left w:w="90" w:type="dxa"/>
              <w:right w:w="90" w:type="dxa"/>
            </w:tcMar>
          </w:tcPr>
          <w:p>
            <w:pPr>
              <w:pStyle w:val="BDOITable"/>
            </w:pPr>
            <w:r>
              <w:rPr>
                <w:sz w:val="18"/>
              </w:rPr>
              <w:t>Purpose, scope, references, definitions and how to read the FRs</w:t>
            </w:r>
          </w:p>
        </w:tc>
      </w:tr>
      <w:tr>
        <w:trPr>
          <w:cantSplit w:val="true"/>
        </w:trPr>
        <w:tc>
          <w:tcPr>
            <w:tcW w:type="dxa" w:w="601"/>
            <w:tcMar>
              <w:top w:w="50" w:type="dxa"/>
              <w:bottom w:w="50" w:type="dxa"/>
              <w:left w:w="90" w:type="dxa"/>
              <w:right w:w="90" w:type="dxa"/>
            </w:tcMar>
            <w:shd w:val="clear" w:color="auto" w:fill="E5F5FF"/>
          </w:tcPr>
          <w:p>
            <w:pPr>
              <w:pStyle w:val="BDOITable"/>
            </w:pPr>
            <w:r>
              <w:rPr>
                <w:sz w:val="18"/>
              </w:rPr>
              <w:t>2</w:t>
            </w:r>
          </w:p>
        </w:tc>
        <w:tc>
          <w:tcPr>
            <w:tcW w:type="dxa" w:w="3004"/>
            <w:tcMar>
              <w:top w:w="50" w:type="dxa"/>
              <w:bottom w:w="50" w:type="dxa"/>
              <w:left w:w="90" w:type="dxa"/>
              <w:right w:w="90" w:type="dxa"/>
            </w:tcMar>
            <w:shd w:val="clear" w:color="auto" w:fill="E5F5FF"/>
          </w:tcPr>
          <w:p>
            <w:pPr>
              <w:pStyle w:val="BDOITable"/>
            </w:pPr>
            <w:r>
              <w:rPr>
                <w:sz w:val="18"/>
              </w:rPr>
              <w:t>Business context</w:t>
            </w:r>
          </w:p>
        </w:tc>
        <w:tc>
          <w:tcPr>
            <w:tcW w:type="dxa" w:w="6368"/>
            <w:tcMar>
              <w:top w:w="50" w:type="dxa"/>
              <w:bottom w:w="50" w:type="dxa"/>
              <w:left w:w="90" w:type="dxa"/>
              <w:right w:w="90" w:type="dxa"/>
            </w:tcMar>
            <w:shd w:val="clear" w:color="auto" w:fill="E5F5FF"/>
          </w:tcPr>
          <w:p>
            <w:pPr>
              <w:pStyle w:val="BDOITable"/>
            </w:pPr>
            <w:r>
              <w:rPr>
                <w:sz w:val="18"/>
              </w:rPr>
              <w:t>Current and envisioned process; process overview with a figure</w:t>
            </w:r>
          </w:p>
        </w:tc>
      </w:tr>
      <w:tr>
        <w:trPr>
          <w:cantSplit w:val="true"/>
        </w:trPr>
        <w:tc>
          <w:tcPr>
            <w:tcW w:type="dxa" w:w="601"/>
            <w:tcMar>
              <w:top w:w="50" w:type="dxa"/>
              <w:bottom w:w="50" w:type="dxa"/>
              <w:left w:w="90" w:type="dxa"/>
              <w:right w:w="90" w:type="dxa"/>
            </w:tcMar>
          </w:tcPr>
          <w:p>
            <w:pPr>
              <w:pStyle w:val="BDOITable"/>
            </w:pPr>
            <w:r>
              <w:rPr>
                <w:sz w:val="18"/>
              </w:rPr>
              <w:t>3</w:t>
            </w:r>
          </w:p>
        </w:tc>
        <w:tc>
          <w:tcPr>
            <w:tcW w:type="dxa" w:w="3004"/>
            <w:tcMar>
              <w:top w:w="50" w:type="dxa"/>
              <w:bottom w:w="50" w:type="dxa"/>
              <w:left w:w="90" w:type="dxa"/>
              <w:right w:w="90" w:type="dxa"/>
            </w:tcMar>
          </w:tcPr>
          <w:p>
            <w:pPr>
              <w:pStyle w:val="BDOITable"/>
            </w:pPr>
            <w:r>
              <w:rPr>
                <w:sz w:val="18"/>
              </w:rPr>
              <w:t>Personas and roles</w:t>
            </w:r>
          </w:p>
        </w:tc>
        <w:tc>
          <w:tcPr>
            <w:tcW w:type="dxa" w:w="6368"/>
            <w:tcMar>
              <w:top w:w="50" w:type="dxa"/>
              <w:bottom w:w="50" w:type="dxa"/>
              <w:left w:w="90" w:type="dxa"/>
              <w:right w:w="90" w:type="dxa"/>
            </w:tcMar>
          </w:tcPr>
          <w:p>
            <w:pPr>
              <w:pStyle w:val="BDOITable"/>
            </w:pPr>
            <w:r>
              <w:rPr>
                <w:sz w:val="18"/>
              </w:rPr>
              <w:t>Personas, permissions and the role-to-permission matrix</w:t>
            </w:r>
          </w:p>
        </w:tc>
      </w:tr>
      <w:tr>
        <w:trPr>
          <w:cantSplit w:val="true"/>
        </w:trPr>
        <w:tc>
          <w:tcPr>
            <w:tcW w:type="dxa" w:w="601"/>
            <w:tcMar>
              <w:top w:w="50" w:type="dxa"/>
              <w:bottom w:w="50" w:type="dxa"/>
              <w:left w:w="90" w:type="dxa"/>
              <w:right w:w="90" w:type="dxa"/>
            </w:tcMar>
            <w:shd w:val="clear" w:color="auto" w:fill="E5F5FF"/>
          </w:tcPr>
          <w:p>
            <w:pPr>
              <w:pStyle w:val="BDOITable"/>
            </w:pPr>
            <w:r>
              <w:rPr>
                <w:sz w:val="18"/>
              </w:rPr>
              <w:t>4</w:t>
            </w:r>
          </w:p>
        </w:tc>
        <w:tc>
          <w:tcPr>
            <w:tcW w:type="dxa" w:w="3004"/>
            <w:tcMar>
              <w:top w:w="50" w:type="dxa"/>
              <w:bottom w:w="50" w:type="dxa"/>
              <w:left w:w="90" w:type="dxa"/>
              <w:right w:w="90" w:type="dxa"/>
            </w:tcMar>
            <w:shd w:val="clear" w:color="auto" w:fill="E5F5FF"/>
          </w:tcPr>
          <w:p>
            <w:pPr>
              <w:pStyle w:val="BDOITable"/>
            </w:pPr>
            <w:r>
              <w:rPr>
                <w:sz w:val="18"/>
              </w:rPr>
              <w:t>Functional requirements</w:t>
            </w:r>
          </w:p>
        </w:tc>
        <w:tc>
          <w:tcPr>
            <w:tcW w:type="dxa" w:w="6368"/>
            <w:tcMar>
              <w:top w:w="50" w:type="dxa"/>
              <w:bottom w:w="50" w:type="dxa"/>
              <w:left w:w="90" w:type="dxa"/>
              <w:right w:w="90" w:type="dxa"/>
            </w:tcMar>
            <w:shd w:val="clear" w:color="auto" w:fill="E5F5FF"/>
          </w:tcPr>
          <w:p>
            <w:pPr>
              <w:pStyle w:val="BDOITable"/>
            </w:pPr>
            <w:r>
              <w:rPr>
                <w:sz w:val="18"/>
              </w:rPr>
              <w:t>One FR per requirement group, each citing the BRD IDs and pages</w:t>
            </w:r>
          </w:p>
        </w:tc>
      </w:tr>
      <w:tr>
        <w:trPr>
          <w:cantSplit w:val="true"/>
        </w:trPr>
        <w:tc>
          <w:tcPr>
            <w:tcW w:type="dxa" w:w="601"/>
            <w:tcMar>
              <w:top w:w="50" w:type="dxa"/>
              <w:bottom w:w="50" w:type="dxa"/>
              <w:left w:w="90" w:type="dxa"/>
              <w:right w:w="90" w:type="dxa"/>
            </w:tcMar>
          </w:tcPr>
          <w:p>
            <w:pPr>
              <w:pStyle w:val="BDOITable"/>
            </w:pPr>
            <w:r>
              <w:rPr>
                <w:sz w:val="18"/>
              </w:rPr>
              <w:t>5</w:t>
            </w:r>
          </w:p>
        </w:tc>
        <w:tc>
          <w:tcPr>
            <w:tcW w:type="dxa" w:w="3004"/>
            <w:tcMar>
              <w:top w:w="50" w:type="dxa"/>
              <w:bottom w:w="50" w:type="dxa"/>
              <w:left w:w="90" w:type="dxa"/>
              <w:right w:w="90" w:type="dxa"/>
            </w:tcMar>
          </w:tcPr>
          <w:p>
            <w:pPr>
              <w:pStyle w:val="BDOITable"/>
            </w:pPr>
            <w:r>
              <w:rPr>
                <w:sz w:val="18"/>
              </w:rPr>
              <w:t>Workflows and statuses</w:t>
            </w:r>
          </w:p>
        </w:tc>
        <w:tc>
          <w:tcPr>
            <w:tcW w:type="dxa" w:w="6368"/>
            <w:tcMar>
              <w:top w:w="50" w:type="dxa"/>
              <w:bottom w:w="50" w:type="dxa"/>
              <w:left w:w="90" w:type="dxa"/>
              <w:right w:w="90" w:type="dxa"/>
            </w:tcMar>
          </w:tcPr>
          <w:p>
            <w:pPr>
              <w:pStyle w:val="BDOITable"/>
            </w:pPr>
            <w:r>
              <w:rPr>
                <w:sz w:val="18"/>
              </w:rPr>
              <w:t>A figure and a status table per workflow; accounting events</w:t>
            </w:r>
          </w:p>
        </w:tc>
      </w:tr>
      <w:tr>
        <w:trPr>
          <w:cantSplit w:val="true"/>
        </w:trPr>
        <w:tc>
          <w:tcPr>
            <w:tcW w:type="dxa" w:w="601"/>
            <w:tcMar>
              <w:top w:w="50" w:type="dxa"/>
              <w:bottom w:w="50" w:type="dxa"/>
              <w:left w:w="90" w:type="dxa"/>
              <w:right w:w="90" w:type="dxa"/>
            </w:tcMar>
            <w:shd w:val="clear" w:color="auto" w:fill="E5F5FF"/>
          </w:tcPr>
          <w:p>
            <w:pPr>
              <w:pStyle w:val="BDOITable"/>
            </w:pPr>
            <w:r>
              <w:rPr>
                <w:sz w:val="18"/>
              </w:rPr>
              <w:t>6</w:t>
            </w:r>
          </w:p>
        </w:tc>
        <w:tc>
          <w:tcPr>
            <w:tcW w:type="dxa" w:w="3004"/>
            <w:tcMar>
              <w:top w:w="50" w:type="dxa"/>
              <w:bottom w:w="50" w:type="dxa"/>
              <w:left w:w="90" w:type="dxa"/>
              <w:right w:w="90" w:type="dxa"/>
            </w:tcMar>
            <w:shd w:val="clear" w:color="auto" w:fill="E5F5FF"/>
          </w:tcPr>
          <w:p>
            <w:pPr>
              <w:pStyle w:val="BDOITable"/>
            </w:pPr>
            <w:r>
              <w:rPr>
                <w:sz w:val="18"/>
              </w:rPr>
              <w:t>Reports and documents</w:t>
            </w:r>
          </w:p>
        </w:tc>
        <w:tc>
          <w:tcPr>
            <w:tcW w:type="dxa" w:w="6368"/>
            <w:tcMar>
              <w:top w:w="50" w:type="dxa"/>
              <w:bottom w:w="50" w:type="dxa"/>
              <w:left w:w="90" w:type="dxa"/>
              <w:right w:w="90" w:type="dxa"/>
            </w:tcMar>
            <w:shd w:val="clear" w:color="auto" w:fill="E5F5FF"/>
          </w:tcPr>
          <w:p>
            <w:pPr>
              <w:pStyle w:val="BDOITable"/>
            </w:pPr>
            <w:r>
              <w:rPr>
                <w:sz w:val="18"/>
              </w:rPr>
              <w:t>Reports with their codes and status; document templates</w:t>
            </w:r>
          </w:p>
        </w:tc>
      </w:tr>
      <w:tr>
        <w:trPr>
          <w:cantSplit w:val="true"/>
        </w:trPr>
        <w:tc>
          <w:tcPr>
            <w:tcW w:type="dxa" w:w="601"/>
            <w:tcMar>
              <w:top w:w="50" w:type="dxa"/>
              <w:bottom w:w="50" w:type="dxa"/>
              <w:left w:w="90" w:type="dxa"/>
              <w:right w:w="90" w:type="dxa"/>
            </w:tcMar>
          </w:tcPr>
          <w:p>
            <w:pPr>
              <w:pStyle w:val="BDOITable"/>
            </w:pPr>
            <w:r>
              <w:rPr>
                <w:sz w:val="18"/>
              </w:rPr>
              <w:t>7</w:t>
            </w:r>
          </w:p>
        </w:tc>
        <w:tc>
          <w:tcPr>
            <w:tcW w:type="dxa" w:w="3004"/>
            <w:tcMar>
              <w:top w:w="50" w:type="dxa"/>
              <w:bottom w:w="50" w:type="dxa"/>
              <w:left w:w="90" w:type="dxa"/>
              <w:right w:w="90" w:type="dxa"/>
            </w:tcMar>
          </w:tcPr>
          <w:p>
            <w:pPr>
              <w:pStyle w:val="BDOITable"/>
            </w:pPr>
            <w:r>
              <w:rPr>
                <w:sz w:val="18"/>
              </w:rPr>
              <w:t>Interfaces</w:t>
            </w:r>
          </w:p>
        </w:tc>
        <w:tc>
          <w:tcPr>
            <w:tcW w:type="dxa" w:w="6368"/>
            <w:tcMar>
              <w:top w:w="50" w:type="dxa"/>
              <w:bottom w:w="50" w:type="dxa"/>
              <w:left w:w="90" w:type="dxa"/>
              <w:right w:w="90" w:type="dxa"/>
            </w:tcMar>
          </w:tcPr>
          <w:p>
            <w:pPr>
              <w:pStyle w:val="BDOITable"/>
            </w:pPr>
            <w:r>
              <w:rPr>
                <w:sz w:val="18"/>
              </w:rPr>
              <w:t>Figure and table of the interfaces</w:t>
            </w:r>
          </w:p>
        </w:tc>
      </w:tr>
      <w:tr>
        <w:trPr>
          <w:cantSplit w:val="true"/>
        </w:trPr>
        <w:tc>
          <w:tcPr>
            <w:tcW w:type="dxa" w:w="601"/>
            <w:tcMar>
              <w:top w:w="50" w:type="dxa"/>
              <w:bottom w:w="50" w:type="dxa"/>
              <w:left w:w="90" w:type="dxa"/>
              <w:right w:w="90" w:type="dxa"/>
            </w:tcMar>
            <w:shd w:val="clear" w:color="auto" w:fill="E5F5FF"/>
          </w:tcPr>
          <w:p>
            <w:pPr>
              <w:pStyle w:val="BDOITable"/>
            </w:pPr>
            <w:r>
              <w:rPr>
                <w:sz w:val="18"/>
              </w:rPr>
              <w:t>8</w:t>
            </w:r>
          </w:p>
        </w:tc>
        <w:tc>
          <w:tcPr>
            <w:tcW w:type="dxa" w:w="3004"/>
            <w:tcMar>
              <w:top w:w="50" w:type="dxa"/>
              <w:bottom w:w="50" w:type="dxa"/>
              <w:left w:w="90" w:type="dxa"/>
              <w:right w:w="90" w:type="dxa"/>
            </w:tcMar>
            <w:shd w:val="clear" w:color="auto" w:fill="E5F5FF"/>
          </w:tcPr>
          <w:p>
            <w:pPr>
              <w:pStyle w:val="BDOITable"/>
            </w:pPr>
            <w:r>
              <w:rPr>
                <w:sz w:val="18"/>
              </w:rPr>
              <w:t>Non-functional requirements</w:t>
            </w:r>
          </w:p>
        </w:tc>
        <w:tc>
          <w:tcPr>
            <w:tcW w:type="dxa" w:w="6368"/>
            <w:tcMar>
              <w:top w:w="50" w:type="dxa"/>
              <w:bottom w:w="50" w:type="dxa"/>
              <w:left w:w="90" w:type="dxa"/>
              <w:right w:w="90" w:type="dxa"/>
            </w:tcMar>
            <w:shd w:val="clear" w:color="auto" w:fill="E5F5FF"/>
          </w:tcPr>
          <w:p>
            <w:pPr>
              <w:pStyle w:val="BDOITable"/>
            </w:pPr>
            <w:r>
              <w:rPr>
                <w:sz w:val="18"/>
              </w:rPr>
              <w:t>BRD values and the BIBS approach</w:t>
            </w:r>
          </w:p>
        </w:tc>
      </w:tr>
      <w:tr>
        <w:trPr>
          <w:cantSplit w:val="true"/>
        </w:trPr>
        <w:tc>
          <w:tcPr>
            <w:tcW w:type="dxa" w:w="601"/>
            <w:tcMar>
              <w:top w:w="50" w:type="dxa"/>
              <w:bottom w:w="50" w:type="dxa"/>
              <w:left w:w="90" w:type="dxa"/>
              <w:right w:w="90" w:type="dxa"/>
            </w:tcMar>
          </w:tcPr>
          <w:p>
            <w:pPr>
              <w:pStyle w:val="BDOITable"/>
            </w:pPr>
            <w:r>
              <w:rPr>
                <w:sz w:val="18"/>
              </w:rPr>
              <w:t>9</w:t>
            </w:r>
          </w:p>
        </w:tc>
        <w:tc>
          <w:tcPr>
            <w:tcW w:type="dxa" w:w="3004"/>
            <w:tcMar>
              <w:top w:w="50" w:type="dxa"/>
              <w:bottom w:w="50" w:type="dxa"/>
              <w:left w:w="90" w:type="dxa"/>
              <w:right w:w="90" w:type="dxa"/>
            </w:tcMar>
          </w:tcPr>
          <w:p>
            <w:pPr>
              <w:pStyle w:val="BDOITable"/>
            </w:pPr>
            <w:r>
              <w:rPr>
                <w:sz w:val="18"/>
              </w:rPr>
              <w:t>Configuration</w:t>
            </w:r>
          </w:p>
        </w:tc>
        <w:tc>
          <w:tcPr>
            <w:tcW w:type="dxa" w:w="6368"/>
            <w:tcMar>
              <w:top w:w="50" w:type="dxa"/>
              <w:bottom w:w="50" w:type="dxa"/>
              <w:left w:w="90" w:type="dxa"/>
              <w:right w:w="90" w:type="dxa"/>
            </w:tcMar>
          </w:tcPr>
          <w:p>
            <w:pPr>
              <w:pStyle w:val="BDOITable"/>
            </w:pPr>
            <w:r>
              <w:rPr>
                <w:sz w:val="18"/>
              </w:rPr>
              <w:t>Parameters, jobs, lists of values, alerts, masters</w:t>
            </w:r>
          </w:p>
        </w:tc>
      </w:tr>
      <w:tr>
        <w:trPr>
          <w:cantSplit w:val="true"/>
        </w:trPr>
        <w:tc>
          <w:tcPr>
            <w:tcW w:type="dxa" w:w="601"/>
            <w:tcMar>
              <w:top w:w="50" w:type="dxa"/>
              <w:bottom w:w="50" w:type="dxa"/>
              <w:left w:w="90" w:type="dxa"/>
              <w:right w:w="90" w:type="dxa"/>
            </w:tcMar>
            <w:shd w:val="clear" w:color="auto" w:fill="E5F5FF"/>
          </w:tcPr>
          <w:p>
            <w:pPr>
              <w:pStyle w:val="BDOITable"/>
            </w:pPr>
            <w:r>
              <w:rPr>
                <w:sz w:val="18"/>
              </w:rPr>
              <w:t>10</w:t>
            </w:r>
          </w:p>
        </w:tc>
        <w:tc>
          <w:tcPr>
            <w:tcW w:type="dxa" w:w="3004"/>
            <w:tcMar>
              <w:top w:w="50" w:type="dxa"/>
              <w:bottom w:w="50" w:type="dxa"/>
              <w:left w:w="90" w:type="dxa"/>
              <w:right w:w="90" w:type="dxa"/>
            </w:tcMar>
            <w:shd w:val="clear" w:color="auto" w:fill="E5F5FF"/>
          </w:tcPr>
          <w:p>
            <w:pPr>
              <w:pStyle w:val="BDOITable"/>
            </w:pPr>
            <w:r>
              <w:rPr>
                <w:sz w:val="18"/>
              </w:rPr>
              <w:t>Assumptions, dependencies, open questions</w:t>
            </w:r>
          </w:p>
        </w:tc>
        <w:tc>
          <w:tcPr>
            <w:tcW w:type="dxa" w:w="6368"/>
            <w:tcMar>
              <w:top w:w="50" w:type="dxa"/>
              <w:bottom w:w="50" w:type="dxa"/>
              <w:left w:w="90" w:type="dxa"/>
              <w:right w:w="90" w:type="dxa"/>
            </w:tcMar>
            <w:shd w:val="clear" w:color="auto" w:fill="E5F5FF"/>
          </w:tcPr>
          <w:p>
            <w:pPr>
              <w:pStyle w:val="BDOITable"/>
            </w:pPr>
            <w:r>
              <w:rPr>
                <w:sz w:val="18"/>
              </w:rPr>
              <w:t>Items that need a BDOI answer (AQ numbers)</w:t>
            </w:r>
          </w:p>
        </w:tc>
      </w:tr>
      <w:tr>
        <w:trPr>
          <w:cantSplit w:val="true"/>
        </w:trPr>
        <w:tc>
          <w:tcPr>
            <w:tcW w:type="dxa" w:w="601"/>
            <w:tcMar>
              <w:top w:w="50" w:type="dxa"/>
              <w:bottom w:w="50" w:type="dxa"/>
              <w:left w:w="90" w:type="dxa"/>
              <w:right w:w="90" w:type="dxa"/>
            </w:tcMar>
          </w:tcPr>
          <w:p>
            <w:pPr>
              <w:pStyle w:val="BDOITable"/>
            </w:pPr>
            <w:r>
              <w:rPr>
                <w:sz w:val="18"/>
              </w:rPr>
              <w:t>11</w:t>
            </w:r>
          </w:p>
        </w:tc>
        <w:tc>
          <w:tcPr>
            <w:tcW w:type="dxa" w:w="3004"/>
            <w:tcMar>
              <w:top w:w="50" w:type="dxa"/>
              <w:bottom w:w="50" w:type="dxa"/>
              <w:left w:w="90" w:type="dxa"/>
              <w:right w:w="90" w:type="dxa"/>
            </w:tcMar>
          </w:tcPr>
          <w:p>
            <w:pPr>
              <w:pStyle w:val="BDOITable"/>
            </w:pPr>
            <w:r>
              <w:rPr>
                <w:sz w:val="18"/>
              </w:rPr>
              <w:t>Traceability</w:t>
            </w:r>
          </w:p>
        </w:tc>
        <w:tc>
          <w:tcPr>
            <w:tcW w:type="dxa" w:w="6368"/>
            <w:tcMar>
              <w:top w:w="50" w:type="dxa"/>
              <w:bottom w:w="50" w:type="dxa"/>
              <w:left w:w="90" w:type="dxa"/>
              <w:right w:w="90" w:type="dxa"/>
            </w:tcMar>
          </w:tcPr>
          <w:p>
            <w:pPr>
              <w:pStyle w:val="BDOITable"/>
            </w:pPr>
            <w:r>
              <w:rPr>
                <w:sz w:val="18"/>
              </w:rPr>
              <w:t>Every BRD ID to its FR, screen and test cases, with a coverage summary</w:t>
            </w:r>
          </w:p>
        </w:tc>
      </w:tr>
      <w:tr>
        <w:trPr>
          <w:cantSplit w:val="true"/>
        </w:trPr>
        <w:tc>
          <w:tcPr>
            <w:tcW w:type="dxa" w:w="601"/>
            <w:tcMar>
              <w:top w:w="50" w:type="dxa"/>
              <w:bottom w:w="50" w:type="dxa"/>
              <w:left w:w="90" w:type="dxa"/>
              <w:right w:w="90" w:type="dxa"/>
            </w:tcMar>
            <w:shd w:val="clear" w:color="auto" w:fill="E5F5FF"/>
          </w:tcPr>
          <w:p>
            <w:pPr>
              <w:pStyle w:val="BDOITable"/>
            </w:pPr>
            <w:r>
              <w:rPr>
                <w:sz w:val="18"/>
              </w:rPr>
              <w:t>12</w:t>
            </w:r>
          </w:p>
        </w:tc>
        <w:tc>
          <w:tcPr>
            <w:tcW w:type="dxa" w:w="3004"/>
            <w:tcMar>
              <w:top w:w="50" w:type="dxa"/>
              <w:bottom w:w="50" w:type="dxa"/>
              <w:left w:w="90" w:type="dxa"/>
              <w:right w:w="90" w:type="dxa"/>
            </w:tcMar>
            <w:shd w:val="clear" w:color="auto" w:fill="E5F5FF"/>
          </w:tcPr>
          <w:p>
            <w:pPr>
              <w:pStyle w:val="BDOITable"/>
            </w:pPr>
            <w:r>
              <w:rPr>
                <w:sz w:val="18"/>
              </w:rPr>
              <w:t>Proposed business rules and clarifications for confirmation</w:t>
            </w:r>
          </w:p>
        </w:tc>
        <w:tc>
          <w:tcPr>
            <w:tcW w:type="dxa" w:w="6368"/>
            <w:tcMar>
              <w:top w:w="50" w:type="dxa"/>
              <w:bottom w:w="50" w:type="dxa"/>
              <w:left w:w="90" w:type="dxa"/>
              <w:right w:w="90" w:type="dxa"/>
            </w:tcMar>
            <w:shd w:val="clear" w:color="auto" w:fill="E5F5FF"/>
          </w:tcPr>
          <w:p>
            <w:pPr>
              <w:pStyle w:val="BDOITable"/>
            </w:pPr>
            <w:r>
              <w:rPr>
                <w:sz w:val="18"/>
              </w:rPr>
              <w:t>Each point where the proposed rule or screen differs from the BRD or needs a decision of BDOI</w:t>
            </w:r>
          </w:p>
        </w:tc>
      </w:tr>
      <w:tr>
        <w:trPr>
          <w:cantSplit w:val="true"/>
        </w:trPr>
        <w:tc>
          <w:tcPr>
            <w:tcW w:type="dxa" w:w="601"/>
            <w:tcMar>
              <w:top w:w="50" w:type="dxa"/>
              <w:bottom w:w="50" w:type="dxa"/>
              <w:left w:w="90" w:type="dxa"/>
              <w:right w:w="90" w:type="dxa"/>
            </w:tcMar>
          </w:tcPr>
          <w:p>
            <w:pPr>
              <w:pStyle w:val="BDOITable"/>
            </w:pPr>
            <w:r>
              <w:rPr>
                <w:sz w:val="18"/>
              </w:rPr>
              <w:t>13</w:t>
            </w:r>
          </w:p>
        </w:tc>
        <w:tc>
          <w:tcPr>
            <w:tcW w:type="dxa" w:w="3004"/>
            <w:tcMar>
              <w:top w:w="50" w:type="dxa"/>
              <w:bottom w:w="50" w:type="dxa"/>
              <w:left w:w="90" w:type="dxa"/>
              <w:right w:w="90" w:type="dxa"/>
            </w:tcMar>
          </w:tcPr>
          <w:p>
            <w:pPr>
              <w:pStyle w:val="BDOITable"/>
            </w:pPr>
            <w:r>
              <w:rPr>
                <w:sz w:val="18"/>
              </w:rPr>
              <w:t>Sign-off</w:t>
            </w:r>
          </w:p>
        </w:tc>
        <w:tc>
          <w:tcPr>
            <w:tcW w:type="dxa" w:w="6368"/>
            <w:tcMar>
              <w:top w:w="50" w:type="dxa"/>
              <w:bottom w:w="50" w:type="dxa"/>
              <w:left w:w="90" w:type="dxa"/>
              <w:right w:w="90" w:type="dxa"/>
            </w:tcMar>
          </w:tcPr>
          <w:p>
            <w:pPr>
              <w:pStyle w:val="BDOITable"/>
            </w:pPr>
            <w:r>
              <w:rPr>
                <w:sz w:val="18"/>
              </w:rPr>
              <w:t>Signatories of the volume</w:t>
            </w:r>
          </w:p>
        </w:tc>
      </w:tr>
    </w:tbl>
    <w:p>
      <w:pPr>
        <w:pStyle w:val="BDOISpacer"/>
      </w:pPr>
    </w:p>
    <w:p>
      <w:pPr>
        <w:pStyle w:val="Heading2"/>
      </w:pPr>
      <w:bookmarkStart w:id="105" w:name="_Toc000105"/>
      <w:r>
        <w:rPr/>
        <w:t>1.4 Conventions</w:t>
      </w:r>
      <w:bookmarkEnd w:id="105"/>
    </w:p>
    <w:p>
      <w:pPr>
        <w:tabs>
          <w:tab w:pos="312" w:val="left"/>
        </w:tabs>
        <w:spacing w:after="40"/>
        <w:ind w:left="312" w:hanging="283"/>
      </w:pPr>
      <w:r>
        <w:rPr>
          <w:color w:val="004EA8"/>
        </w:rPr>
        <w:t>•</w:t>
        <w:tab/>
      </w:r>
      <w:r>
        <w:rPr>
          <w:b/>
        </w:rPr>
        <w:t>BRD references.</w:t>
      </w:r>
      <w:r>
        <w:rPr/>
        <w:t xml:space="preserve"> Each FR cites the BRD ID and the page of the BRD-5 PDF ("p.69"); "Add.1" is Addendum 1 (pp.28-39) and "Add.2" the Workshop Addendum (pp.1-15). Rows renumbered by Addendum 1 are used in their new form.</w:t>
      </w:r>
    </w:p>
    <w:p>
      <w:pPr>
        <w:tabs>
          <w:tab w:pos="312" w:val="left"/>
        </w:tabs>
        <w:spacing w:after="40"/>
        <w:ind w:left="312" w:hanging="283"/>
      </w:pPr>
      <w:r>
        <w:rPr>
          <w:color w:val="004EA8"/>
        </w:rPr>
        <w:t>•</w:t>
        <w:tab/>
      </w:r>
      <w:r>
        <w:rPr>
          <w:b/>
        </w:rPr>
        <w:t>Messages and codes.</w:t>
      </w:r>
      <w:r>
        <w:rPr/>
        <w:t xml:space="preserve"> Validation messages, error codes, lists of values, parameters and permissions are those shown on the screens. A validation done by the screen or the platform shows "-" as code.</w:t>
      </w:r>
    </w:p>
    <w:p>
      <w:pPr>
        <w:tabs>
          <w:tab w:pos="312" w:val="left"/>
        </w:tabs>
        <w:spacing w:after="40"/>
        <w:ind w:left="312" w:hanging="283"/>
      </w:pPr>
      <w:r>
        <w:rPr>
          <w:color w:val="004EA8"/>
        </w:rPr>
        <w:t>•</w:t>
        <w:tab/>
      </w:r>
      <w:r>
        <w:rPr>
          <w:b/>
        </w:rPr>
        <w:t>Clarifications.</w:t>
      </w:r>
      <w:r>
        <w:rPr/>
        <w:t xml:space="preserve"> Where the proposed rule or screen differs from the BRD text or needs a decision of BDOI, the FR says so in a note; chapter 12 of each volume lists each point with the decision requested.</w:t>
      </w:r>
    </w:p>
    <w:p>
      <w:pPr>
        <w:tabs>
          <w:tab w:pos="312" w:val="left"/>
        </w:tabs>
        <w:spacing w:after="40"/>
        <w:ind w:left="312" w:hanging="283"/>
      </w:pPr>
      <w:r>
        <w:rPr>
          <w:color w:val="004EA8"/>
        </w:rPr>
        <w:t>•</w:t>
        <w:tab/>
      </w:r>
      <w:r>
        <w:rPr>
          <w:b/>
        </w:rPr>
        <w:t>Items waiting for BDOI data.</w:t>
      </w:r>
      <w:r>
        <w:rPr/>
        <w:t xml:space="preserve"> A function that waits for BDOI data (layouts, accounts, lists) names its open question. The answer is applied as configuration, without a change to the system, unless the FR says otherwise.</w:t>
      </w:r>
    </w:p>
    <w:p>
      <w:pPr>
        <w:tabs>
          <w:tab w:pos="312" w:val="left"/>
        </w:tabs>
        <w:spacing w:after="120"/>
        <w:ind w:left="312" w:hanging="283"/>
      </w:pPr>
      <w:r>
        <w:rPr>
          <w:color w:val="004EA8"/>
        </w:rPr>
        <w:t>•</w:t>
        <w:tab/>
      </w:r>
      <w:r>
        <w:rPr>
          <w:b/>
        </w:rPr>
        <w:t>Cross-references.</w:t>
      </w:r>
      <w:r>
        <w:rPr/>
        <w:t xml:space="preserve"> A reference to the other volume names the FR and the volume, for example "FR-DS-041, Volume 2". The accounting events of BRD-5 and their seed entries are in Volume 1, section 5.5.</w:t>
      </w:r>
    </w:p>
    <w:p>
      <w:pPr>
        <w:pStyle w:val="Heading1"/>
        <w:pageBreakBefore/>
        <w:pBdr>
          <w:bottom w:val="single" w:sz="4" w:space="4" w:color="99C1E7"/>
        </w:pBdr>
      </w:pPr>
      <w:bookmarkStart w:id="106" w:name="_Toc000106"/>
      <w:r>
        <w:rPr/>
        <w:t>2 Coverage and references</w:t>
      </w:r>
      <w:bookmarkEnd w:id="106"/>
    </w:p>
    <w:p>
      <w:pPr>
        <w:pStyle w:val="Heading2"/>
      </w:pPr>
      <w:bookmarkStart w:id="107" w:name="_Toc000107"/>
      <w:r>
        <w:rPr/>
        <w:t>2.1 Coverage</w:t>
      </w:r>
      <w:bookmarkEnd w:id="107"/>
    </w:p>
    <w:p>
      <w:pPr>
        <w:pStyle w:val="Caption"/>
        <w:keepNext/>
        <w:spacing w:after="60"/>
      </w:pPr>
      <w:r>
        <w:rPr>
          <w:b/>
          <w:i w:val="0"/>
        </w:rPr>
        <w:t xml:space="preserve">Table 3: </w:t>
      </w:r>
      <w:r>
        <w:rPr/>
        <w:t>Coverage of BRD-5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899"/>
        <w:gridCol w:w="1424"/>
        <w:gridCol w:w="1424"/>
        <w:gridCol w:w="1424"/>
        <w:gridCol w:w="1799"/>
      </w:tblGrid>
      <w:tr>
        <w:trPr>
          <w:tblHeader w:val="true"/>
          <w:cantSplit w:val="true"/>
        </w:trPr>
        <w:tc>
          <w:tcPr>
            <w:tcW w:type="dxa" w:w="3899"/>
            <w:shd w:val="clear" w:color="auto" w:fill="004EA8"/>
            <w:tcMar>
              <w:top w:w="50" w:type="dxa"/>
              <w:bottom w:w="50" w:type="dxa"/>
              <w:left w:w="90" w:type="dxa"/>
              <w:right w:w="90" w:type="dxa"/>
            </w:tcMar>
            <w:vAlign w:val="center"/>
          </w:tcPr>
          <w:p>
            <w:pPr>
              <w:pStyle w:val="BDOITableHeader"/>
            </w:pPr>
            <w:r>
              <w:rPr>
                <w:b/>
                <w:color w:val="FFFFFF"/>
                <w:sz w:val="17"/>
              </w:rPr>
              <w:t>Volume</w:t>
            </w:r>
          </w:p>
        </w:tc>
        <w:tc>
          <w:tcPr>
            <w:tcW w:type="dxa" w:w="1425"/>
            <w:shd w:val="clear" w:color="auto" w:fill="004EA8"/>
            <w:tcMar>
              <w:top w:w="50" w:type="dxa"/>
              <w:bottom w:w="50" w:type="dxa"/>
              <w:left w:w="90" w:type="dxa"/>
              <w:right w:w="90" w:type="dxa"/>
            </w:tcMar>
            <w:vAlign w:val="center"/>
          </w:tcPr>
          <w:p>
            <w:pPr>
              <w:pStyle w:val="BDOITableHeader"/>
            </w:pPr>
            <w:r>
              <w:rPr>
                <w:b/>
                <w:color w:val="FFFFFF"/>
                <w:sz w:val="17"/>
              </w:rPr>
              <w:t>BRD IDs</w:t>
            </w:r>
          </w:p>
        </w:tc>
        <w:tc>
          <w:tcPr>
            <w:tcW w:type="dxa" w:w="1425"/>
            <w:shd w:val="clear" w:color="auto" w:fill="004EA8"/>
            <w:tcMar>
              <w:top w:w="50" w:type="dxa"/>
              <w:bottom w:w="50" w:type="dxa"/>
              <w:left w:w="90" w:type="dxa"/>
              <w:right w:w="90" w:type="dxa"/>
            </w:tcMar>
            <w:vAlign w:val="center"/>
          </w:tcPr>
          <w:p>
            <w:pPr>
              <w:pStyle w:val="BDOITableHeader"/>
            </w:pPr>
            <w:r>
              <w:rPr>
                <w:b/>
                <w:color w:val="FFFFFF"/>
                <w:sz w:val="17"/>
              </w:rPr>
              <w:t>Covered by an FR</w:t>
            </w:r>
          </w:p>
        </w:tc>
        <w:tc>
          <w:tcPr>
            <w:tcW w:type="dxa" w:w="1425"/>
            <w:shd w:val="clear" w:color="auto" w:fill="004EA8"/>
            <w:tcMar>
              <w:top w:w="50" w:type="dxa"/>
              <w:bottom w:w="50" w:type="dxa"/>
              <w:left w:w="90" w:type="dxa"/>
              <w:right w:w="90" w:type="dxa"/>
            </w:tcMar>
            <w:vAlign w:val="center"/>
          </w:tcPr>
          <w:p>
            <w:pPr>
              <w:pStyle w:val="BDOITableHeader"/>
            </w:pPr>
            <w:r>
              <w:rPr>
                <w:b/>
                <w:color w:val="FFFFFF"/>
                <w:sz w:val="17"/>
              </w:rPr>
              <w:t>Out</w:t>
            </w:r>
          </w:p>
        </w:tc>
        <w:tc>
          <w:tcPr>
            <w:tcW w:type="dxa" w:w="1799"/>
            <w:shd w:val="clear" w:color="auto" w:fill="004EA8"/>
            <w:tcMar>
              <w:top w:w="50" w:type="dxa"/>
              <w:bottom w:w="50" w:type="dxa"/>
              <w:left w:w="90" w:type="dxa"/>
              <w:right w:w="90" w:type="dxa"/>
            </w:tcMar>
            <w:vAlign w:val="center"/>
          </w:tcPr>
          <w:p>
            <w:pPr>
              <w:pStyle w:val="BDOITableHeader"/>
            </w:pPr>
            <w:r>
              <w:rPr>
                <w:b/>
                <w:color w:val="FFFFFF"/>
                <w:sz w:val="17"/>
              </w:rPr>
              <w:t>Clarifications</w:t>
            </w:r>
          </w:p>
        </w:tc>
      </w:tr>
      <w:tr>
        <w:trPr>
          <w:cantSplit w:val="true"/>
        </w:trPr>
        <w:tc>
          <w:tcPr>
            <w:tcW w:type="dxa" w:w="3899"/>
            <w:tcMar>
              <w:top w:w="50" w:type="dxa"/>
              <w:bottom w:w="50" w:type="dxa"/>
              <w:left w:w="90" w:type="dxa"/>
              <w:right w:w="90" w:type="dxa"/>
            </w:tcMar>
          </w:tcPr>
          <w:p>
            <w:pPr>
              <w:pStyle w:val="BDOITable"/>
            </w:pPr>
            <w:r>
              <w:rPr>
                <w:sz w:val="17"/>
              </w:rPr>
              <w:t>Volume 1</w:t>
            </w:r>
          </w:p>
        </w:tc>
        <w:tc>
          <w:tcPr>
            <w:tcW w:type="dxa" w:w="1425"/>
            <w:tcMar>
              <w:top w:w="50" w:type="dxa"/>
              <w:bottom w:w="50" w:type="dxa"/>
              <w:left w:w="90" w:type="dxa"/>
              <w:right w:w="90" w:type="dxa"/>
            </w:tcMar>
          </w:tcPr>
          <w:p>
            <w:pPr>
              <w:pStyle w:val="BDOITable"/>
            </w:pPr>
            <w:r>
              <w:rPr>
                <w:sz w:val="17"/>
              </w:rPr>
              <w:t>85</w:t>
            </w:r>
          </w:p>
        </w:tc>
        <w:tc>
          <w:tcPr>
            <w:tcW w:type="dxa" w:w="1425"/>
            <w:tcMar>
              <w:top w:w="50" w:type="dxa"/>
              <w:bottom w:w="50" w:type="dxa"/>
              <w:left w:w="90" w:type="dxa"/>
              <w:right w:w="90" w:type="dxa"/>
            </w:tcMar>
          </w:tcPr>
          <w:p>
            <w:pPr>
              <w:pStyle w:val="BDOITable"/>
            </w:pPr>
            <w:r>
              <w:rPr>
                <w:sz w:val="17"/>
              </w:rPr>
              <w:t>85</w:t>
            </w:r>
          </w:p>
        </w:tc>
        <w:tc>
          <w:tcPr>
            <w:tcW w:type="dxa" w:w="1425"/>
            <w:tcMar>
              <w:top w:w="50" w:type="dxa"/>
              <w:bottom w:w="50" w:type="dxa"/>
              <w:left w:w="90" w:type="dxa"/>
              <w:right w:w="90" w:type="dxa"/>
            </w:tcMar>
          </w:tcPr>
          <w:p>
            <w:pPr>
              <w:pStyle w:val="BDOITable"/>
            </w:pPr>
            <w:r>
              <w:rPr>
                <w:sz w:val="17"/>
              </w:rPr>
              <w:t>0</w:t>
            </w:r>
          </w:p>
        </w:tc>
        <w:tc>
          <w:tcPr>
            <w:tcW w:type="dxa" w:w="1799"/>
            <w:tcMar>
              <w:top w:w="50" w:type="dxa"/>
              <w:bottom w:w="50" w:type="dxa"/>
              <w:left w:w="90" w:type="dxa"/>
              <w:right w:w="90" w:type="dxa"/>
            </w:tcMar>
          </w:tcPr>
          <w:p>
            <w:pPr>
              <w:pStyle w:val="BDOITable"/>
            </w:pPr>
            <w:r>
              <w:rPr>
                <w:sz w:val="17"/>
              </w:rPr>
              <w:t>14</w:t>
            </w:r>
          </w:p>
        </w:tc>
      </w:tr>
      <w:tr>
        <w:trPr>
          <w:cantSplit w:val="true"/>
        </w:trPr>
        <w:tc>
          <w:tcPr>
            <w:tcW w:type="dxa" w:w="3899"/>
            <w:tcMar>
              <w:top w:w="50" w:type="dxa"/>
              <w:bottom w:w="50" w:type="dxa"/>
              <w:left w:w="90" w:type="dxa"/>
              <w:right w:w="90" w:type="dxa"/>
            </w:tcMar>
            <w:shd w:val="clear" w:color="auto" w:fill="E5F5FF"/>
          </w:tcPr>
          <w:p>
            <w:pPr>
              <w:pStyle w:val="BDOITable"/>
            </w:pPr>
            <w:r>
              <w:rPr>
                <w:sz w:val="17"/>
              </w:rPr>
              <w:t>Volume 2</w:t>
            </w:r>
          </w:p>
        </w:tc>
        <w:tc>
          <w:tcPr>
            <w:tcW w:type="dxa" w:w="1425"/>
            <w:tcMar>
              <w:top w:w="50" w:type="dxa"/>
              <w:bottom w:w="50" w:type="dxa"/>
              <w:left w:w="90" w:type="dxa"/>
              <w:right w:w="90" w:type="dxa"/>
            </w:tcMar>
            <w:shd w:val="clear" w:color="auto" w:fill="E5F5FF"/>
          </w:tcPr>
          <w:p>
            <w:pPr>
              <w:pStyle w:val="BDOITable"/>
            </w:pPr>
            <w:r>
              <w:rPr>
                <w:sz w:val="17"/>
              </w:rPr>
              <w:t>192</w:t>
            </w:r>
          </w:p>
        </w:tc>
        <w:tc>
          <w:tcPr>
            <w:tcW w:type="dxa" w:w="1425"/>
            <w:tcMar>
              <w:top w:w="50" w:type="dxa"/>
              <w:bottom w:w="50" w:type="dxa"/>
              <w:left w:w="90" w:type="dxa"/>
              <w:right w:w="90" w:type="dxa"/>
            </w:tcMar>
            <w:shd w:val="clear" w:color="auto" w:fill="E5F5FF"/>
          </w:tcPr>
          <w:p>
            <w:pPr>
              <w:pStyle w:val="BDOITable"/>
            </w:pPr>
            <w:r>
              <w:rPr>
                <w:sz w:val="17"/>
              </w:rPr>
              <w:t>192</w:t>
            </w:r>
          </w:p>
        </w:tc>
        <w:tc>
          <w:tcPr>
            <w:tcW w:type="dxa" w:w="1425"/>
            <w:tcMar>
              <w:top w:w="50" w:type="dxa"/>
              <w:bottom w:w="50" w:type="dxa"/>
              <w:left w:w="90" w:type="dxa"/>
              <w:right w:w="90" w:type="dxa"/>
            </w:tcMar>
            <w:shd w:val="clear" w:color="auto" w:fill="E5F5FF"/>
          </w:tcPr>
          <w:p>
            <w:pPr>
              <w:pStyle w:val="BDOITable"/>
            </w:pPr>
            <w:r>
              <w:rPr>
                <w:sz w:val="17"/>
              </w:rPr>
              <w:t>1</w:t>
            </w:r>
          </w:p>
        </w:tc>
        <w:tc>
          <w:tcPr>
            <w:tcW w:type="dxa" w:w="1799"/>
            <w:tcMar>
              <w:top w:w="50" w:type="dxa"/>
              <w:bottom w:w="50" w:type="dxa"/>
              <w:left w:w="90" w:type="dxa"/>
              <w:right w:w="90" w:type="dxa"/>
            </w:tcMar>
            <w:shd w:val="clear" w:color="auto" w:fill="E5F5FF"/>
          </w:tcPr>
          <w:p>
            <w:pPr>
              <w:pStyle w:val="BDOITable"/>
            </w:pPr>
            <w:r>
              <w:rPr>
                <w:sz w:val="17"/>
              </w:rPr>
              <w:t>25</w:t>
            </w:r>
          </w:p>
        </w:tc>
      </w:tr>
      <w:tr>
        <w:trPr>
          <w:cantSplit w:val="true"/>
        </w:trPr>
        <w:tc>
          <w:tcPr>
            <w:tcW w:type="dxa" w:w="3899"/>
            <w:tcMar>
              <w:top w:w="50" w:type="dxa"/>
              <w:bottom w:w="50" w:type="dxa"/>
              <w:left w:w="90" w:type="dxa"/>
              <w:right w:w="90" w:type="dxa"/>
            </w:tcMar>
          </w:tcPr>
          <w:p>
            <w:pPr>
              <w:pStyle w:val="BDOITable"/>
            </w:pPr>
            <w:r>
              <w:rPr>
                <w:b/>
                <w:sz w:val="17"/>
              </w:rPr>
              <w:t>Total</w:t>
            </w:r>
          </w:p>
        </w:tc>
        <w:tc>
          <w:tcPr>
            <w:tcW w:type="dxa" w:w="1425"/>
            <w:tcMar>
              <w:top w:w="50" w:type="dxa"/>
              <w:bottom w:w="50" w:type="dxa"/>
              <w:left w:w="90" w:type="dxa"/>
              <w:right w:w="90" w:type="dxa"/>
            </w:tcMar>
          </w:tcPr>
          <w:p>
            <w:pPr>
              <w:pStyle w:val="BDOITable"/>
            </w:pPr>
            <w:r>
              <w:rPr>
                <w:b/>
                <w:sz w:val="17"/>
              </w:rPr>
              <w:t>277</w:t>
            </w:r>
          </w:p>
        </w:tc>
        <w:tc>
          <w:tcPr>
            <w:tcW w:type="dxa" w:w="1425"/>
            <w:tcMar>
              <w:top w:w="50" w:type="dxa"/>
              <w:bottom w:w="50" w:type="dxa"/>
              <w:left w:w="90" w:type="dxa"/>
              <w:right w:w="90" w:type="dxa"/>
            </w:tcMar>
          </w:tcPr>
          <w:p>
            <w:pPr>
              <w:pStyle w:val="BDOITable"/>
            </w:pPr>
            <w:r>
              <w:rPr>
                <w:b/>
                <w:sz w:val="17"/>
              </w:rPr>
              <w:t>277</w:t>
            </w:r>
          </w:p>
        </w:tc>
        <w:tc>
          <w:tcPr>
            <w:tcW w:type="dxa" w:w="1425"/>
            <w:tcMar>
              <w:top w:w="50" w:type="dxa"/>
              <w:bottom w:w="50" w:type="dxa"/>
              <w:left w:w="90" w:type="dxa"/>
              <w:right w:w="90" w:type="dxa"/>
            </w:tcMar>
          </w:tcPr>
          <w:p>
            <w:pPr>
              <w:pStyle w:val="BDOITable"/>
            </w:pPr>
            <w:r>
              <w:rPr>
                <w:b/>
                <w:sz w:val="17"/>
              </w:rPr>
              <w:t>1</w:t>
            </w:r>
          </w:p>
        </w:tc>
        <w:tc>
          <w:tcPr>
            <w:tcW w:type="dxa" w:w="1799"/>
            <w:tcMar>
              <w:top w:w="50" w:type="dxa"/>
              <w:bottom w:w="50" w:type="dxa"/>
              <w:left w:w="90" w:type="dxa"/>
              <w:right w:w="90" w:type="dxa"/>
            </w:tcMar>
          </w:tcPr>
          <w:p>
            <w:pPr>
              <w:pStyle w:val="BDOITable"/>
            </w:pPr>
            <w:r>
              <w:rPr>
                <w:b/>
                <w:sz w:val="17"/>
              </w:rPr>
              <w:t>39</w:t>
            </w:r>
          </w:p>
        </w:tc>
      </w:tr>
    </w:tbl>
    <w:p>
      <w:pPr>
        <w:pStyle w:val="BDOISpacer"/>
      </w:pPr>
    </w:p>
    <w:p>
      <w:r>
        <w:rPr/>
        <w:t>The login to BDO Business Online Banking (DIS 2.17.1) is outside BIBS and marked OUT in the BRD baseline.</w:t>
      </w:r>
    </w:p>
    <w:p>
      <w:pPr>
        <w:pStyle w:val="Heading2"/>
      </w:pPr>
      <w:bookmarkStart w:id="108" w:name="_Toc000108"/>
      <w:r>
        <w:rPr/>
        <w:t>2.2 Shared references</w:t>
      </w:r>
      <w:bookmarkEnd w:id="108"/>
    </w:p>
    <w:p>
      <w:pPr>
        <w:pStyle w:val="Caption"/>
        <w:keepNext/>
        <w:spacing w:after="60"/>
      </w:pPr>
      <w:r>
        <w:rPr>
          <w:b/>
          <w:i w:val="0"/>
        </w:rPr>
        <w:t xml:space="preserve">Table 4: </w:t>
      </w:r>
      <w:r>
        <w:rPr/>
        <w:t>References common to both volumes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6849"/>
        <w:gridCol w:w="2403"/>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848"/>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8"/>
              </w:rPr>
              <w:t>Version / date</w:t>
            </w:r>
          </w:p>
        </w:tc>
      </w:tr>
      <w:tr>
        <w:trPr>
          <w:cantSplit w:val="true"/>
        </w:trPr>
        <w:tc>
          <w:tcPr>
            <w:tcW w:type="dxa" w:w="721"/>
            <w:tcMar>
              <w:top w:w="50" w:type="dxa"/>
              <w:bottom w:w="50" w:type="dxa"/>
              <w:left w:w="90" w:type="dxa"/>
              <w:right w:w="90" w:type="dxa"/>
            </w:tcMar>
          </w:tcPr>
          <w:p>
            <w:pPr>
              <w:pStyle w:val="BDOITable"/>
            </w:pPr>
            <w:r>
              <w:rPr>
                <w:sz w:val="18"/>
              </w:rPr>
              <w:t>R1</w:t>
            </w:r>
          </w:p>
        </w:tc>
        <w:tc>
          <w:tcPr>
            <w:tcW w:type="dxa" w:w="6848"/>
            <w:tcMar>
              <w:top w:w="50" w:type="dxa"/>
              <w:bottom w:w="50" w:type="dxa"/>
              <w:left w:w="90" w:type="dxa"/>
              <w:right w:w="90" w:type="dxa"/>
            </w:tcMar>
          </w:tcPr>
          <w:p>
            <w:pPr>
              <w:pStyle w:val="BDOITable"/>
            </w:pPr>
            <w:r>
              <w:rPr>
                <w:sz w:val="18"/>
              </w:rPr>
              <w:t>Accounting, Disbursement and ACSL BRD (main BRD), pages 40-153; signed scan pp.154-267</w:t>
            </w:r>
          </w:p>
        </w:tc>
        <w:tc>
          <w:tcPr>
            <w:tcW w:type="dxa" w:w="2403"/>
            <w:tcMar>
              <w:top w:w="50" w:type="dxa"/>
              <w:bottom w:w="50" w:type="dxa"/>
              <w:left w:w="90" w:type="dxa"/>
              <w:right w:w="90" w:type="dxa"/>
            </w:tcMar>
          </w:tcPr>
          <w:p>
            <w:pPr>
              <w:pStyle w:val="BDOITable"/>
            </w:pPr>
            <w:r>
              <w:rPr>
                <w:sz w:val="18"/>
              </w:rPr>
              <w:t>v1.0, 23-Jul-2025</w:t>
            </w:r>
          </w:p>
        </w:tc>
      </w:tr>
      <w:tr>
        <w:trPr>
          <w:cantSplit w:val="true"/>
        </w:trPr>
        <w:tc>
          <w:tcPr>
            <w:tcW w:type="dxa" w:w="721"/>
            <w:tcMar>
              <w:top w:w="50" w:type="dxa"/>
              <w:bottom w:w="50" w:type="dxa"/>
              <w:left w:w="90" w:type="dxa"/>
              <w:right w:w="90" w:type="dxa"/>
            </w:tcMar>
            <w:shd w:val="clear" w:color="auto" w:fill="E5F5FF"/>
          </w:tcPr>
          <w:p>
            <w:pPr>
              <w:pStyle w:val="BDOITable"/>
            </w:pPr>
            <w:r>
              <w:rPr>
                <w:sz w:val="18"/>
              </w:rPr>
              <w:t>R2</w:t>
            </w:r>
          </w:p>
        </w:tc>
        <w:tc>
          <w:tcPr>
            <w:tcW w:type="dxa" w:w="6848"/>
            <w:tcMar>
              <w:top w:w="50" w:type="dxa"/>
              <w:bottom w:w="50" w:type="dxa"/>
              <w:left w:w="90" w:type="dxa"/>
              <w:right w:w="90" w:type="dxa"/>
            </w:tcMar>
            <w:shd w:val="clear" w:color="auto" w:fill="E5F5FF"/>
          </w:tcPr>
          <w:p>
            <w:pPr>
              <w:pStyle w:val="BDOITable"/>
            </w:pPr>
            <w:r>
              <w:rPr>
                <w:sz w:val="18"/>
              </w:rPr>
              <w:t>Addendum 1, pages 28-39</w:t>
            </w:r>
          </w:p>
        </w:tc>
        <w:tc>
          <w:tcPr>
            <w:tcW w:type="dxa" w:w="2403"/>
            <w:tcMar>
              <w:top w:w="50" w:type="dxa"/>
              <w:bottom w:w="50" w:type="dxa"/>
              <w:left w:w="90" w:type="dxa"/>
              <w:right w:w="90" w:type="dxa"/>
            </w:tcMar>
            <w:shd w:val="clear" w:color="auto" w:fill="E5F5FF"/>
          </w:tcPr>
          <w:p>
            <w:pPr>
              <w:pStyle w:val="BDOITable"/>
            </w:pPr>
            <w:r>
              <w:rPr>
                <w:sz w:val="18"/>
              </w:rPr>
              <w:t>v1.0, 18-Dec-2025; signed 13-Jan-2026</w:t>
            </w:r>
          </w:p>
        </w:tc>
      </w:tr>
      <w:tr>
        <w:trPr>
          <w:cantSplit w:val="true"/>
        </w:trPr>
        <w:tc>
          <w:tcPr>
            <w:tcW w:type="dxa" w:w="721"/>
            <w:tcMar>
              <w:top w:w="50" w:type="dxa"/>
              <w:bottom w:w="50" w:type="dxa"/>
              <w:left w:w="90" w:type="dxa"/>
              <w:right w:w="90" w:type="dxa"/>
            </w:tcMar>
          </w:tcPr>
          <w:p>
            <w:pPr>
              <w:pStyle w:val="BDOITable"/>
            </w:pPr>
            <w:r>
              <w:rPr>
                <w:sz w:val="18"/>
              </w:rPr>
              <w:t>R3</w:t>
            </w:r>
          </w:p>
        </w:tc>
        <w:tc>
          <w:tcPr>
            <w:tcW w:type="dxa" w:w="6848"/>
            <w:tcMar>
              <w:top w:w="50" w:type="dxa"/>
              <w:bottom w:w="50" w:type="dxa"/>
              <w:left w:w="90" w:type="dxa"/>
              <w:right w:w="90" w:type="dxa"/>
            </w:tcMar>
          </w:tcPr>
          <w:p>
            <w:pPr>
              <w:pStyle w:val="BDOITable"/>
            </w:pPr>
            <w:r>
              <w:rPr>
                <w:sz w:val="18"/>
              </w:rPr>
              <w:t>Addendum 2 (Workshop), pages 1-15</w:t>
            </w:r>
          </w:p>
        </w:tc>
        <w:tc>
          <w:tcPr>
            <w:tcW w:type="dxa" w:w="2403"/>
            <w:tcMar>
              <w:top w:w="50" w:type="dxa"/>
              <w:bottom w:w="50" w:type="dxa"/>
              <w:left w:w="90" w:type="dxa"/>
              <w:right w:w="90" w:type="dxa"/>
            </w:tcMar>
          </w:tcPr>
          <w:p>
            <w:pPr>
              <w:pStyle w:val="BDOITable"/>
            </w:pPr>
            <w:r>
              <w:rPr>
                <w:sz w:val="18"/>
              </w:rPr>
              <w:t>v1.0, 10-Apr-2026; signed 8 to 15-Apr-2026</w:t>
            </w:r>
          </w:p>
        </w:tc>
      </w:tr>
      <w:tr>
        <w:trPr>
          <w:cantSplit w:val="true"/>
        </w:trPr>
        <w:tc>
          <w:tcPr>
            <w:tcW w:type="dxa" w:w="721"/>
            <w:tcMar>
              <w:top w:w="50" w:type="dxa"/>
              <w:bottom w:w="50" w:type="dxa"/>
              <w:left w:w="90" w:type="dxa"/>
              <w:right w:w="90" w:type="dxa"/>
            </w:tcMar>
            <w:shd w:val="clear" w:color="auto" w:fill="E5F5FF"/>
          </w:tcPr>
          <w:p>
            <w:pPr>
              <w:pStyle w:val="BDOITable"/>
            </w:pPr>
            <w:r>
              <w:rPr>
                <w:sz w:val="18"/>
              </w:rPr>
              <w:t>R4</w:t>
            </w:r>
          </w:p>
        </w:tc>
        <w:tc>
          <w:tcPr>
            <w:tcW w:type="dxa" w:w="6848"/>
            <w:tcMar>
              <w:top w:w="50" w:type="dxa"/>
              <w:bottom w:w="50" w:type="dxa"/>
              <w:left w:w="90" w:type="dxa"/>
              <w:right w:w="90" w:type="dxa"/>
            </w:tcMar>
            <w:shd w:val="clear" w:color="auto" w:fill="E5F5FF"/>
          </w:tcPr>
          <w:p>
            <w:pPr>
              <w:pStyle w:val="BDOITable"/>
            </w:pPr>
            <w:r>
              <w:rPr>
                <w:sz w:val="18"/>
              </w:rPr>
              <w:t>BRD-5 requirements baseline</w:t>
            </w:r>
          </w:p>
        </w:tc>
        <w:tc>
          <w:tcPr>
            <w:tcW w:type="dxa" w:w="2403"/>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721"/>
            <w:tcMar>
              <w:top w:w="50" w:type="dxa"/>
              <w:bottom w:w="50" w:type="dxa"/>
              <w:left w:w="90" w:type="dxa"/>
              <w:right w:w="90" w:type="dxa"/>
            </w:tcMar>
          </w:tcPr>
          <w:p>
            <w:pPr>
              <w:pStyle w:val="BDOITable"/>
            </w:pPr>
            <w:r>
              <w:rPr>
                <w:sz w:val="18"/>
              </w:rPr>
              <w:t>R6</w:t>
            </w:r>
          </w:p>
        </w:tc>
        <w:tc>
          <w:tcPr>
            <w:tcW w:type="dxa" w:w="6848"/>
            <w:tcMar>
              <w:top w:w="50" w:type="dxa"/>
              <w:bottom w:w="50" w:type="dxa"/>
              <w:left w:w="90" w:type="dxa"/>
              <w:right w:w="90" w:type="dxa"/>
            </w:tcMar>
          </w:tcPr>
          <w:p>
            <w:pPr>
              <w:pStyle w:val="BDOITable"/>
            </w:pPr>
            <w:r>
              <w:rPr>
                <w:sz w:val="18"/>
              </w:rPr>
              <w:t>Cross-BRD decisions and answered questions</w:t>
            </w:r>
          </w:p>
        </w:tc>
        <w:tc>
          <w:tcPr>
            <w:tcW w:type="dxa" w:w="2403"/>
            <w:tcMar>
              <w:top w:w="50" w:type="dxa"/>
              <w:bottom w:w="50" w:type="dxa"/>
              <w:left w:w="90" w:type="dxa"/>
              <w:right w:w="90" w:type="dxa"/>
            </w:tcMar>
          </w:tcPr>
          <w:p>
            <w:pPr>
              <w:pStyle w:val="BDOITable"/>
            </w:pPr>
            <w:r>
              <w:rPr>
                <w:sz w:val="18"/>
              </w:rPr>
              <w:t>current</w:t>
            </w:r>
          </w:p>
        </w:tc>
      </w:tr>
    </w:tbl>
    <w:p>
      <w:pPr>
        <w:pStyle w:val="BDOISpacer"/>
      </w:pPr>
    </w:p>
    <w:p>
      <w:pPr>
        <w:pStyle w:val="Heading1"/>
        <w:pageBreakBefore/>
        <w:pBdr>
          <w:bottom w:val="single" w:sz="4" w:space="4" w:color="99C1E7"/>
        </w:pBdr>
      </w:pPr>
      <w:bookmarkStart w:id="109" w:name="_Toc000109"/>
      <w:r>
        <w:rPr/>
        <w:t>3 Sign-off route</w:t>
      </w:r>
      <w:bookmarkEnd w:id="109"/>
    </w:p>
    <w:p>
      <w:r>
        <w:rPr/>
        <w:t>Each volume is reviewed and signed by the owners of its requirements. BDOI signs this note to confirm that the two volumes together cover BRD-5.</w:t>
      </w:r>
    </w:p>
    <w:p>
      <w:pPr>
        <w:pStyle w:val="Caption"/>
        <w:keepNext/>
        <w:spacing w:after="60"/>
      </w:pPr>
      <w:r>
        <w:rPr>
          <w:b/>
          <w:i w:val="0"/>
        </w:rPr>
        <w:t xml:space="preserve">Table 5: </w:t>
      </w:r>
      <w:r>
        <w:rPr/>
        <w:t>Review and sign-off</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4926"/>
        <w:gridCol w:w="2403"/>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4926"/>
            <w:shd w:val="clear" w:color="auto" w:fill="004EA8"/>
            <w:tcMar>
              <w:top w:w="50" w:type="dxa"/>
              <w:bottom w:w="50" w:type="dxa"/>
              <w:left w:w="90" w:type="dxa"/>
              <w:right w:w="90" w:type="dxa"/>
            </w:tcMar>
            <w:vAlign w:val="center"/>
          </w:tcPr>
          <w:p>
            <w:pPr>
              <w:pStyle w:val="BDOITableHeader"/>
            </w:pPr>
            <w:r>
              <w:rPr>
                <w:b/>
                <w:color w:val="FFFFFF"/>
                <w:sz w:val="18"/>
              </w:rPr>
              <w:t>Reviewed by</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8"/>
              </w:rPr>
              <w:t>Signed by</w:t>
            </w:r>
          </w:p>
        </w:tc>
      </w:tr>
      <w:tr>
        <w:trPr>
          <w:cantSplit w:val="true"/>
        </w:trPr>
        <w:tc>
          <w:tcPr>
            <w:tcW w:type="dxa" w:w="2643"/>
            <w:tcMar>
              <w:top w:w="50" w:type="dxa"/>
              <w:bottom w:w="50" w:type="dxa"/>
              <w:left w:w="90" w:type="dxa"/>
              <w:right w:w="90" w:type="dxa"/>
            </w:tcMar>
          </w:tcPr>
          <w:p>
            <w:pPr>
              <w:pStyle w:val="BDOITable"/>
            </w:pPr>
            <w:r>
              <w:rPr>
                <w:sz w:val="18"/>
              </w:rPr>
              <w:t>Volume 1</w:t>
            </w:r>
          </w:p>
        </w:tc>
        <w:tc>
          <w:tcPr>
            <w:tcW w:type="dxa" w:w="4926"/>
            <w:tcMar>
              <w:top w:w="50" w:type="dxa"/>
              <w:bottom w:w="50" w:type="dxa"/>
              <w:left w:w="90" w:type="dxa"/>
              <w:right w:w="90" w:type="dxa"/>
            </w:tcMar>
          </w:tcPr>
          <w:p>
            <w:pPr>
              <w:pStyle w:val="BDOITable"/>
            </w:pPr>
            <w:r>
              <w:rPr>
                <w:sz w:val="18"/>
              </w:rPr>
              <w:t>FRBS / GL team; Business and System Administrators; ACSL and Marketing for their parts</w:t>
            </w:r>
          </w:p>
        </w:tc>
        <w:tc>
          <w:tcPr>
            <w:tcW w:type="dxa" w:w="2403"/>
            <w:tcMar>
              <w:top w:w="50" w:type="dxa"/>
              <w:bottom w:w="50" w:type="dxa"/>
              <w:left w:w="90" w:type="dxa"/>
              <w:right w:w="90" w:type="dxa"/>
            </w:tcMar>
          </w:tcPr>
          <w:p>
            <w:pPr>
              <w:pStyle w:val="BDOITable"/>
            </w:pPr>
            <w:r>
              <w:rPr>
                <w:sz w:val="18"/>
              </w:rPr>
              <w:t>Head, Comptrollership; Head, FRBS; Business Administrator; BPS Program Manager; iorta TechNXT Project Manager</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Volume 2</w:t>
            </w:r>
          </w:p>
        </w:tc>
        <w:tc>
          <w:tcPr>
            <w:tcW w:type="dxa" w:w="4926"/>
            <w:tcMar>
              <w:top w:w="50" w:type="dxa"/>
              <w:bottom w:w="50" w:type="dxa"/>
              <w:left w:w="90" w:type="dxa"/>
              <w:right w:w="90" w:type="dxa"/>
            </w:tcMar>
            <w:shd w:val="clear" w:color="auto" w:fill="E5F5FF"/>
          </w:tcPr>
          <w:p>
            <w:pPr>
              <w:pStyle w:val="BDOITable"/>
            </w:pPr>
            <w:r>
              <w:rPr>
                <w:sz w:val="18"/>
              </w:rPr>
              <w:t>Disbursement Section; Marketing; Human Resources; ACSL; Operations (Cashiering, Remittance)</w:t>
            </w:r>
          </w:p>
        </w:tc>
        <w:tc>
          <w:tcPr>
            <w:tcW w:type="dxa" w:w="2403"/>
            <w:tcMar>
              <w:top w:w="50" w:type="dxa"/>
              <w:bottom w:w="50" w:type="dxa"/>
              <w:left w:w="90" w:type="dxa"/>
              <w:right w:w="90" w:type="dxa"/>
            </w:tcMar>
            <w:shd w:val="clear" w:color="auto" w:fill="E5F5FF"/>
          </w:tcPr>
          <w:p>
            <w:pPr>
              <w:pStyle w:val="BDOITable"/>
            </w:pPr>
            <w:r>
              <w:rPr>
                <w:sz w:val="18"/>
              </w:rPr>
              <w:t>Head, Comptrollership; Head, Disbursement Section; Head, ACSL; Head, Marketing; BPS Program Manager; iorta TechNXT Project Manager</w:t>
            </w:r>
          </w:p>
        </w:tc>
      </w:tr>
      <w:tr>
        <w:trPr>
          <w:cantSplit w:val="true"/>
        </w:trPr>
        <w:tc>
          <w:tcPr>
            <w:tcW w:type="dxa" w:w="2643"/>
            <w:tcMar>
              <w:top w:w="50" w:type="dxa"/>
              <w:bottom w:w="50" w:type="dxa"/>
              <w:left w:w="90" w:type="dxa"/>
              <w:right w:w="90" w:type="dxa"/>
            </w:tcMar>
          </w:tcPr>
          <w:p>
            <w:pPr>
              <w:pStyle w:val="BDOITable"/>
            </w:pPr>
            <w:r>
              <w:rPr>
                <w:sz w:val="18"/>
              </w:rPr>
              <w:t>Cover note</w:t>
            </w:r>
          </w:p>
        </w:tc>
        <w:tc>
          <w:tcPr>
            <w:tcW w:type="dxa" w:w="4926"/>
            <w:tcMar>
              <w:top w:w="50" w:type="dxa"/>
              <w:bottom w:w="50" w:type="dxa"/>
              <w:left w:w="90" w:type="dxa"/>
              <w:right w:w="90" w:type="dxa"/>
            </w:tcMar>
          </w:tcPr>
          <w:p>
            <w:pPr>
              <w:pStyle w:val="BDOITable"/>
            </w:pPr>
            <w:r>
              <w:rPr>
                <w:sz w:val="18"/>
              </w:rPr>
              <w:t>Comptrollership</w:t>
            </w:r>
          </w:p>
        </w:tc>
        <w:tc>
          <w:tcPr>
            <w:tcW w:type="dxa" w:w="2403"/>
            <w:tcMar>
              <w:top w:w="50" w:type="dxa"/>
              <w:bottom w:w="50" w:type="dxa"/>
              <w:left w:w="90" w:type="dxa"/>
              <w:right w:w="90" w:type="dxa"/>
            </w:tcMar>
          </w:tcPr>
          <w:p>
            <w:pPr>
              <w:pStyle w:val="BDOITable"/>
            </w:pPr>
            <w:r>
              <w:rPr>
                <w:sz w:val="18"/>
              </w:rPr>
              <w:t>Head, Comptrollership; BPS Program Manager</w:t>
            </w:r>
          </w:p>
        </w:tc>
      </w:tr>
    </w:tbl>
    <w:p>
      <w:pPr>
        <w:pStyle w:val="BDOISpacer"/>
      </w:pPr>
    </w:p>
    <w:p>
      <w:r>
        <w:rPr/>
        <w:t>Open questions stay open after sign-off;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 Cover note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Accounting, Disbursement and ACSL - Cover Note</dc:title>
  <dc:subject>BIBS – BDOI Broker System</dc:subject>
  <dc:creator>iorta TechNXT</dc:creator>
  <cp:keywords>FRS, BRD-05,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