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BRD-01 New Business Sign-off Pack, release set v2.1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BIBS-SH-BRD-01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1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BRD-1 New Business business sign-off pack (replaces the release note of the set)</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08-Oct-2026</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p>
        </w:tc>
        <w:tc>
          <w:tcPr>
            <w:tcW w:type="dxa" w:w="2606"/>
            <w:tcMar>
              <w:top w:w="50" w:type="dxa"/>
              <w:bottom w:w="50" w:type="dxa"/>
              <w:left w:w="90" w:type="dxa"/>
              <w:right w:w="90" w:type="dxa"/>
            </w:tcMar>
            <w:shd w:val="clear" w:color="auto" w:fill="E5F5FF"/>
          </w:tcPr>
          <w:p>
            <w:pPr>
              <w:pStyle w:val="BDOITable"/>
            </w:pPr>
            <w:r>
              <w:rPr>
                <w:sz w:val="18"/>
              </w:rPr>
              <w:t>Re-based on New Business (NB) BRD 05132026 (Addendum after IT Walkthrough, approved 13-May-2026); user-story view and storyboard index added to the FRS; every file of the set re-issued at v2.1</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BDOI</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Marketing, TSU, Processing, Comptrollership</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their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Compliance and BDOI IT</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KYC and screening; interfaces and access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pack is for</w:t>
        </w:r>
        <w:r>
          <w:t xml:space="preserve">	</w:t>
        </w:r>
        <w:r>
          <w:t xml:space="preserve">4</w:t>
        </w:r>
      </w:hyperlink>
    </w:p>
    <w:p>
      <w:pPr>
        <w:pStyle w:val="toc1"/>
      </w:pPr>
      <w:hyperlink w:anchor="_Toc000102" w:history="1">
        <w:r>
          <w:t xml:space="preserve">2 What changed in v2.1</w:t>
        </w:r>
        <w:r>
          <w:t xml:space="preserve">	</w:t>
        </w:r>
        <w:r>
          <w:t xml:space="preserve">4</w:t>
        </w:r>
      </w:hyperlink>
    </w:p>
    <w:p>
      <w:pPr>
        <w:pStyle w:val="toc1"/>
      </w:pPr>
      <w:hyperlink w:anchor="_Toc000103" w:history="1">
        <w:r>
          <w:t xml:space="preserve">3 The pack at a glance</w:t>
        </w:r>
        <w:r>
          <w:t xml:space="preserve">	</w:t>
        </w:r>
        <w:r>
          <w:t xml:space="preserve">4</w:t>
        </w:r>
      </w:hyperlink>
    </w:p>
    <w:p>
      <w:pPr>
        <w:pStyle w:val="toc1"/>
      </w:pPr>
      <w:hyperlink w:anchor="_Toc000104" w:history="1">
        <w:r>
          <w:t xml:space="preserve">4 Where to start</w:t>
        </w:r>
        <w:r>
          <w:t xml:space="preserve">	</w:t>
        </w:r>
        <w:r>
          <w:t xml:space="preserve">5</w:t>
        </w:r>
      </w:hyperlink>
    </w:p>
    <w:p>
      <w:pPr>
        <w:pStyle w:val="toc1"/>
      </w:pPr>
      <w:hyperlink w:anchor="_Toc000105" w:history="1">
        <w:r>
          <w:t xml:space="preserve">5 Steps up to closure</w:t>
        </w:r>
        <w:r>
          <w:t xml:space="preserve">	</w:t>
        </w:r>
        <w:r>
          <w:t xml:space="preserve">6</w:t>
        </w:r>
      </w:hyperlink>
    </w:p>
    <w:p>
      <w:pPr>
        <w:pStyle w:val="toc1"/>
      </w:pPr>
      <w:hyperlink w:anchor="_Toc000106" w:history="1">
        <w:r>
          <w:t xml:space="preserve">6 Who signs what</w:t>
        </w:r>
        <w:r>
          <w:t xml:space="preserve">	</w:t>
        </w:r>
        <w:r>
          <w:t xml:space="preserve">7</w:t>
        </w:r>
      </w:hyperlink>
    </w:p>
    <w:p>
      <w:pPr>
        <w:pStyle w:val="toc1"/>
      </w:pPr>
      <w:hyperlink w:anchor="_Toc000107" w:history="1">
        <w:r>
          <w:t xml:space="preserve">7 Change control after sign-off</w:t>
        </w:r>
        <w:r>
          <w:t xml:space="preserve">	</w:t>
        </w:r>
        <w:r>
          <w:t xml:space="preserve">8</w:t>
        </w:r>
      </w:hyperlink>
      <w:r>
        <w:fldChar w:fldCharType="end"/>
      </w:r>
    </w:p>
    <w:p>
      <w:pPr>
        <w:pStyle w:val="Heading1"/>
        <w:pageBreakBefore/>
        <w:pBdr>
          <w:bottom w:val="single" w:sz="4" w:space="4" w:color="99C1E7"/>
        </w:pBdr>
      </w:pPr>
      <w:bookmarkStart w:id="101" w:name="_Toc000101"/>
      <w:r>
        <w:rPr/>
        <w:t>1 What this pack is for</w:t>
      </w:r>
      <w:bookmarkEnd w:id="101"/>
    </w:p>
    <w:p>
      <w:r>
        <w:rPr/>
        <w:t>This pack shows the proposed BRD-1 New Business of BIBS, screen by screen, so that each BDOI business unit can confirm what it will get and sign it off. Signing freezes the content, the screens and the navigation of New Business; a later change goes through the Change Management Register with its mandays. The screenshots use fictitious seed data only.</w:t>
      </w:r>
    </w:p>
    <w:p>
      <w:pPr>
        <w:pStyle w:val="Heading1"/>
        <w:pBdr>
          <w:bottom w:val="single" w:sz="4" w:space="4" w:color="99C1E7"/>
        </w:pBdr>
      </w:pPr>
      <w:bookmarkStart w:id="102" w:name="_Toc000102"/>
      <w:r>
        <w:rPr/>
        <w:t>2 What changed in v2.1</w:t>
      </w:r>
      <w:bookmarkEnd w:id="102"/>
    </w:p>
    <w:p>
      <w:r>
        <w:rPr/>
        <w:t>BDOI re-issued the New Business BRD on 13 May 2026 (New Business (NB) BRD 05132026). It adds, in front of the earlier pack, the Addendum after the IT walkthrough of 28 to 30 April 2026, which restates five requirements; every other page is unchanged and now comes 10 pages later. Release set v2.1 is re-based on it:</w:t>
      </w:r>
    </w:p>
    <w:p>
      <w:pPr>
        <w:tabs>
          <w:tab w:pos="312" w:val="left"/>
        </w:tabs>
        <w:spacing w:after="40"/>
        <w:ind w:left="312" w:hanging="283"/>
      </w:pPr>
      <w:r>
        <w:rPr>
          <w:color w:val="004EA8"/>
        </w:rPr>
        <w:t>•</w:t>
        <w:tab/>
      </w:r>
      <w:r>
        <w:rPr>
          <w:b/>
        </w:rPr>
        <w:t>EOPT details on the placement (BRNB.100).</w:t>
      </w:r>
      <w:r>
        <w:rPr/>
        <w:t xml:space="preserve"> The placement slip sent to the insurer carries the client's taxpayer name, TIN and registered address, as in force at the final sending (new FR-NB-087).</w:t>
      </w:r>
    </w:p>
    <w:p>
      <w:pPr>
        <w:tabs>
          <w:tab w:pos="312" w:val="left"/>
        </w:tabs>
        <w:spacing w:after="40"/>
        <w:ind w:left="312" w:hanging="283"/>
      </w:pPr>
      <w:r>
        <w:rPr>
          <w:color w:val="004EA8"/>
        </w:rPr>
        <w:t>•</w:t>
        <w:tab/>
      </w:r>
      <w:r>
        <w:rPr>
          <w:b/>
        </w:rPr>
        <w:t>Service invoices (BRNB.100.1).</w:t>
      </w:r>
      <w:r>
        <w:rPr/>
        <w:t xml:space="preserve"> The owner is notified of every sending, successful or failed (FR-NB-117).</w:t>
      </w:r>
    </w:p>
    <w:p>
      <w:pPr>
        <w:tabs>
          <w:tab w:pos="312" w:val="left"/>
        </w:tabs>
        <w:spacing w:after="40"/>
        <w:ind w:left="312" w:hanging="283"/>
      </w:pPr>
      <w:r>
        <w:rPr>
          <w:color w:val="004EA8"/>
        </w:rPr>
        <w:t>•</w:t>
        <w:tab/>
      </w:r>
      <w:r>
        <w:rPr>
          <w:b/>
        </w:rPr>
        <w:t>Incentive indicator (BRNB.107).</w:t>
      </w:r>
      <w:r>
        <w:rPr/>
        <w:t xml:space="preserve"> Set only when the booked invoice is fully paid, after the applicable endorsements are considered, and evaluated again on endorsement and cancellation; the same rule applies to Renewal (FR-NB-118).</w:t>
      </w:r>
    </w:p>
    <w:p>
      <w:pPr>
        <w:tabs>
          <w:tab w:pos="312" w:val="left"/>
        </w:tabs>
        <w:spacing w:after="40"/>
        <w:ind w:left="312" w:hanging="283"/>
      </w:pPr>
      <w:r>
        <w:rPr>
          <w:color w:val="004EA8"/>
        </w:rPr>
        <w:t>•</w:t>
        <w:tab/>
      </w:r>
      <w:r>
        <w:rPr>
          <w:b/>
        </w:rPr>
        <w:t>Bulk quotations (BRNB.042).</w:t>
      </w:r>
      <w:r>
        <w:rPr/>
        <w:t xml:space="preserve"> One or more quotations to one or more recipients with their supporting documents; a batch sends the valid quotations and lists the others (FR-NB-044, FR-NB-046).</w:t>
      </w:r>
    </w:p>
    <w:p>
      <w:pPr>
        <w:tabs>
          <w:tab w:pos="312" w:val="left"/>
        </w:tabs>
        <w:spacing w:after="40"/>
        <w:ind w:left="312" w:hanging="283"/>
      </w:pPr>
      <w:r>
        <w:rPr>
          <w:color w:val="004EA8"/>
        </w:rPr>
        <w:t>•</w:t>
        <w:tab/>
      </w:r>
      <w:r>
        <w:rPr>
          <w:b/>
        </w:rPr>
        <w:t>Insurance Advice (BRNB.060).</w:t>
      </w:r>
      <w:r>
        <w:rPr/>
        <w:t xml:space="preserve"> Sent automatically to the recipient enrolled in the MIS set-up (new FR-NB-107).</w:t>
      </w:r>
    </w:p>
    <w:p>
      <w:pPr>
        <w:tabs>
          <w:tab w:pos="312" w:val="left"/>
        </w:tabs>
        <w:spacing w:after="40"/>
        <w:ind w:left="312" w:hanging="283"/>
      </w:pPr>
      <w:r>
        <w:rPr>
          <w:color w:val="004EA8"/>
        </w:rPr>
        <w:t>•</w:t>
        <w:tab/>
      </w:r>
      <w:r>
        <w:rPr>
          <w:b/>
        </w:rPr>
        <w:t>For confirmation.</w:t>
      </w:r>
      <w:r>
        <w:rPr/>
        <w:t xml:space="preserve"> Seven new items in FRS chapter 21 (CLR-NB-44 to CLR-NB-50).</w:t>
      </w:r>
    </w:p>
    <w:p>
      <w:pPr>
        <w:tabs>
          <w:tab w:pos="312" w:val="left"/>
        </w:tabs>
        <w:spacing w:after="120"/>
        <w:ind w:left="312" w:hanging="283"/>
      </w:pPr>
      <w:r>
        <w:rPr>
          <w:color w:val="004EA8"/>
        </w:rPr>
        <w:t>•</w:t>
        <w:tab/>
      </w:r>
      <w:r>
        <w:rPr>
          <w:b/>
        </w:rPr>
        <w:t>New appendices.</w:t>
      </w:r>
      <w:r>
        <w:rPr/>
        <w:t xml:space="preserve"> The FRS adds a user-story view (one row per BRD requirement with its FRs, acceptance criteria and test conditions) and a storyboard index of the walkthrough steps.</w:t>
      </w:r>
    </w:p>
    <w:p>
      <w:r>
        <w:rPr/>
        <w:t>The changed screens are flagged Changed in this issue in the UX screen register; the changes are taken through at the Q&amp;A session.</w:t>
      </w:r>
    </w:p>
    <w:p>
      <w:pPr>
        <w:pStyle w:val="Heading1"/>
        <w:pBdr>
          <w:bottom w:val="single" w:sz="4" w:space="4" w:color="99C1E7"/>
        </w:pBdr>
      </w:pPr>
      <w:bookmarkStart w:id="103" w:name="_Toc000103"/>
      <w:r>
        <w:rPr/>
        <w:t>3 The pack at a glance</w:t>
      </w:r>
      <w:bookmarkEnd w:id="103"/>
    </w:p>
    <w:p>
      <w:r>
        <w:rPr/>
        <w:t>The files are numbered so that they sort in reading order in the folder BRD-01_New_Business of Drop 1.</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00_BIBS_StartHere_BRD-01_New_Business_v2.1.docx</w:t>
            </w:r>
          </w:p>
        </w:tc>
        <w:tc>
          <w:tcPr>
            <w:tcW w:type="dxa" w:w="3626"/>
            <w:tcMar>
              <w:top w:w="50" w:type="dxa"/>
              <w:bottom w:w="50" w:type="dxa"/>
              <w:left w:w="90" w:type="dxa"/>
              <w:right w:w="90" w:type="dxa"/>
            </w:tcMar>
          </w:tcPr>
          <w:p>
            <w:pPr>
              <w:pStyle w:val="BDOITable"/>
            </w:pPr>
            <w:r>
              <w:rPr>
                <w:sz w:val="15"/>
              </w:rPr>
              <w:t>Start Here: the map of the pack, who reads what, the steps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01_BIBS_GuideDeck_BRD-01_New_Business_v2.1.pptx</w:t>
            </w:r>
          </w:p>
        </w:tc>
        <w:tc>
          <w:tcPr>
            <w:tcW w:type="dxa" w:w="3626"/>
            <w:tcMar>
              <w:top w:w="50" w:type="dxa"/>
              <w:bottom w:w="50" w:type="dxa"/>
              <w:left w:w="90" w:type="dxa"/>
              <w:right w:w="90" w:type="dxa"/>
            </w:tcMar>
            <w:shd w:val="clear" w:color="auto" w:fill="E5F5FF"/>
          </w:tcPr>
          <w:p>
            <w:pPr>
              <w:pStyle w:val="BDOITable"/>
            </w:pPr>
            <w:r>
              <w:rPr>
                <w:sz w:val="15"/>
              </w:rPr>
              <w:t>Sign-off Pack Guide: purpose, approach, the module at a glance, caveats, entry and exit criteria, change control</w:t>
            </w:r>
          </w:p>
        </w:tc>
        <w:tc>
          <w:tcPr>
            <w:tcW w:type="dxa" w:w="1926"/>
            <w:tcMar>
              <w:top w:w="50" w:type="dxa"/>
              <w:bottom w:w="50" w:type="dxa"/>
              <w:left w:w="90" w:type="dxa"/>
              <w:right w:w="90" w:type="dxa"/>
            </w:tcMar>
            <w:shd w:val="clear" w:color="auto" w:fill="E5F5FF"/>
          </w:tcPr>
          <w:p>
            <w:pPr>
              <w:pStyle w:val="BDOITable"/>
            </w:pPr>
            <w:r>
              <w:rPr>
                <w:sz w:val="15"/>
              </w:rPr>
              <w:t>Business owner, unit heads;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02_BIBS_FRS_BRD-01_New_Business_v2.1.docx</w:t>
            </w:r>
          </w:p>
        </w:tc>
        <w:tc>
          <w:tcPr>
            <w:tcW w:type="dxa" w:w="3626"/>
            <w:tcMar>
              <w:top w:w="50" w:type="dxa"/>
              <w:bottom w:w="50" w:type="dxa"/>
              <w:left w:w="90" w:type="dxa"/>
              <w:right w:w="90" w:type="dxa"/>
            </w:tcMar>
          </w:tcPr>
          <w:p>
            <w:pPr>
              <w:pStyle w:val="BDOITable"/>
            </w:pPr>
            <w:r>
              <w:rPr>
                <w:sz w:val="15"/>
              </w:rPr>
              <w:t>Functional Requirements Specification v2.1 (re-based on the New Business BRD of 13 May 2026): requirements, navigation, 46 screen specifications with screenshots, walkthroughs, messages, notifications, documents, uploads, cross-BRD contract, user-story view and storyboard index</w:t>
            </w:r>
          </w:p>
        </w:tc>
        <w:tc>
          <w:tcPr>
            <w:tcW w:type="dxa" w:w="1926"/>
            <w:tcMar>
              <w:top w:w="50" w:type="dxa"/>
              <w:bottom w:w="50" w:type="dxa"/>
              <w:left w:w="90" w:type="dxa"/>
              <w:right w:w="90" w:type="dxa"/>
            </w:tcMar>
          </w:tcPr>
          <w:p>
            <w:pPr>
              <w:pStyle w:val="BDOITable"/>
            </w:pPr>
            <w:r>
              <w:rPr>
                <w:sz w:val="15"/>
              </w:rPr>
              <w:t>Business users of each area; Finance, Compliance and BDOI IT for their chapters</w:t>
            </w:r>
          </w:p>
        </w:tc>
        <w:tc>
          <w:tcPr>
            <w:tcW w:type="dxa" w:w="1473"/>
            <w:tcMar>
              <w:top w:w="50" w:type="dxa"/>
              <w:bottom w:w="50" w:type="dxa"/>
              <w:left w:w="90" w:type="dxa"/>
              <w:right w:w="90" w:type="dxa"/>
            </w:tcMar>
          </w:tcPr>
          <w:p>
            <w:pPr>
              <w:pStyle w:val="BDOITable"/>
            </w:pPr>
            <w:r>
              <w:rPr>
                <w:sz w:val="15"/>
              </w:rPr>
              <w:t>During the review, with the SIT walkthroughs</w:t>
            </w:r>
          </w:p>
        </w:tc>
      </w:tr>
      <w:tr>
        <w:tc>
          <w:tcPr>
            <w:tcW w:type="dxa" w:w="2946"/>
            <w:tcMar>
              <w:top w:w="50" w:type="dxa"/>
              <w:bottom w:w="50" w:type="dxa"/>
              <w:left w:w="90" w:type="dxa"/>
              <w:right w:w="90" w:type="dxa"/>
            </w:tcMar>
            <w:shd w:val="clear" w:color="auto" w:fill="E5F5FF"/>
          </w:tcPr>
          <w:p>
            <w:pPr>
              <w:pStyle w:val="BDOITable"/>
            </w:pPr>
            <w:r>
              <w:rPr>
                <w:sz w:val="15"/>
              </w:rPr>
              <w:t>03_BIBS_Signoff_BRD-01_New_Business_v2.1.xlsx</w:t>
            </w:r>
          </w:p>
        </w:tc>
        <w:tc>
          <w:tcPr>
            <w:tcW w:type="dxa" w:w="3626"/>
            <w:tcMar>
              <w:top w:w="50" w:type="dxa"/>
              <w:bottom w:w="50" w:type="dxa"/>
              <w:left w:w="90" w:type="dxa"/>
              <w:right w:w="90" w:type="dxa"/>
            </w:tcMar>
            <w:shd w:val="clear" w:color="auto" w:fill="E5F5FF"/>
          </w:tcPr>
          <w:p>
            <w:pPr>
              <w:pStyle w:val="BDOITable"/>
            </w:pPr>
            <w:r>
              <w:rPr>
                <w:sz w:val="15"/>
              </w:rPr>
              <w:t>Sign-off workbook: one row per screen, field, rule and message with the BU review columns;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business owner signs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04_BIBS_TestPlan_BRD-01_New_Business_v2.1.xlsx</w:t>
            </w:r>
          </w:p>
        </w:tc>
        <w:tc>
          <w:tcPr>
            <w:tcW w:type="dxa" w:w="3626"/>
            <w:tcMar>
              <w:top w:w="50" w:type="dxa"/>
              <w:bottom w:w="50" w:type="dxa"/>
              <w:left w:w="90" w:type="dxa"/>
              <w:right w:w="90" w:type="dxa"/>
            </w:tcMar>
          </w:tcPr>
          <w:p>
            <w:pPr>
              <w:pStyle w:val="BDOITable"/>
            </w:pPr>
            <w:r>
              <w:rPr>
                <w:sz w:val="15"/>
              </w:rPr>
              <w:t>Test plan workbook: the test cases traced to the FRs and to the screens, including one screen case and one message case per screen</w:t>
            </w:r>
          </w:p>
        </w:tc>
        <w:tc>
          <w:tcPr>
            <w:tcW w:type="dxa" w:w="1926"/>
            <w:tcMar>
              <w:top w:w="50" w:type="dxa"/>
              <w:bottom w:w="50" w:type="dxa"/>
              <w:left w:w="90" w:type="dxa"/>
              <w:right w:w="90" w:type="dxa"/>
            </w:tcMar>
          </w:tcPr>
          <w:p>
            <w:pPr>
              <w:pStyle w:val="BDOITable"/>
            </w:pPr>
            <w:r>
              <w:rPr>
                <w:sz w:val="15"/>
              </w:rPr>
              <w:t>Business users who will run UAT; BDOI IT</w:t>
            </w:r>
          </w:p>
        </w:tc>
        <w:tc>
          <w:tcPr>
            <w:tcW w:type="dxa" w:w="1473"/>
            <w:tcMar>
              <w:top w:w="50" w:type="dxa"/>
              <w:bottom w:w="50" w:type="dxa"/>
              <w:left w:w="90" w:type="dxa"/>
              <w:right w:w="90" w:type="dxa"/>
            </w:tcMar>
          </w:tcPr>
          <w:p>
            <w:pPr>
              <w:pStyle w:val="BDOITable"/>
            </w:pPr>
            <w:r>
              <w:rPr>
                <w:sz w:val="15"/>
              </w:rPr>
              <w:t>After the screens; used again in SIT and UAT</w:t>
            </w:r>
          </w:p>
        </w:tc>
      </w:tr>
      <w:tr>
        <w:tc>
          <w:tcPr>
            <w:tcW w:type="dxa" w:w="2946"/>
            <w:tcMar>
              <w:top w:w="50" w:type="dxa"/>
              <w:bottom w:w="50" w:type="dxa"/>
              <w:left w:w="90" w:type="dxa"/>
              <w:right w:w="90" w:type="dxa"/>
            </w:tcMar>
            <w:shd w:val="clear" w:color="auto" w:fill="E5F5FF"/>
          </w:tcPr>
          <w:p>
            <w:pPr>
              <w:pStyle w:val="BDOITable"/>
            </w:pPr>
            <w:r>
              <w:rPr>
                <w:sz w:val="15"/>
              </w:rPr>
              <w:t>05_BIBS_TestPlan_BRD-01_New_Business_Summary_v2.1.docx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07_BIBS_UXDeck_BRD-01_New_Business_v2.1.pptx</w:t>
            </w:r>
          </w:p>
        </w:tc>
        <w:tc>
          <w:tcPr>
            <w:tcW w:type="dxa" w:w="3626"/>
            <w:tcMar>
              <w:top w:w="50" w:type="dxa"/>
              <w:bottom w:w="50" w:type="dxa"/>
              <w:left w:w="90" w:type="dxa"/>
              <w:right w:w="90" w:type="dxa"/>
            </w:tcMar>
          </w:tcPr>
          <w:p>
            <w:pPr>
              <w:pStyle w:val="BDOITable"/>
            </w:pPr>
            <w:r>
              <w:rPr>
                <w:sz w:val="15"/>
              </w:rPr>
              <w:t>UX Screen Deck for the BDOI UX Design team: design foundation, navigation and personas, every walkthrough step by step and every screen with all its states</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From the issue, in parallel with the review; re-issued with each version of the set</w:t>
            </w:r>
          </w:p>
        </w:tc>
      </w:tr>
      <w:tr>
        <w:tc>
          <w:tcPr>
            <w:tcW w:type="dxa" w:w="2946"/>
            <w:tcMar>
              <w:top w:w="50" w:type="dxa"/>
              <w:bottom w:w="50" w:type="dxa"/>
              <w:left w:w="90" w:type="dxa"/>
              <w:right w:w="90" w:type="dxa"/>
            </w:tcMar>
            <w:shd w:val="clear" w:color="auto" w:fill="E5F5FF"/>
          </w:tcPr>
          <w:p>
            <w:pPr>
              <w:pStyle w:val="BDOITable"/>
            </w:pPr>
            <w:r>
              <w:rPr>
                <w:sz w:val="15"/>
              </w:rPr>
              <w:t>08_BIBS_UXScreens_BRD-01_New_Business_v2.1.xlsx</w:t>
            </w:r>
          </w:p>
        </w:tc>
        <w:tc>
          <w:tcPr>
            <w:tcW w:type="dxa" w:w="3626"/>
            <w:tcMar>
              <w:top w:w="50" w:type="dxa"/>
              <w:bottom w:w="50" w:type="dxa"/>
              <w:left w:w="90" w:type="dxa"/>
              <w:right w:w="90" w:type="dxa"/>
            </w:tcMar>
            <w:shd w:val="clear" w:color="auto" w:fill="E5F5FF"/>
          </w:tcPr>
          <w:p>
            <w:pPr>
              <w:pStyle w:val="BDOITable"/>
            </w:pPr>
            <w:r>
              <w:rPr>
                <w:sz w:val="15"/>
              </w:rPr>
              <w:t>UX screen register: one row per screen image with the screen, personas, walkthrough and step, state, FRS section and requirements, UXD status and comments, and the Changed in this issue flag</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Kept by the UX Design team; the changed rows are flagged at each issue</w:t>
            </w:r>
          </w:p>
        </w:tc>
      </w:tr>
      <w:tr>
        <w:tc>
          <w:tcPr>
            <w:tcW w:type="dxa" w:w="2946"/>
            <w:tcMar>
              <w:top w:w="50" w:type="dxa"/>
              <w:bottom w:w="50" w:type="dxa"/>
              <w:left w:w="90" w:type="dxa"/>
              <w:right w:w="90" w:type="dxa"/>
            </w:tcMar>
          </w:tcPr>
          <w:p>
            <w:pPr>
              <w:pStyle w:val="BDOITable"/>
            </w:pPr>
            <w:r>
              <w:rPr>
                <w:sz w:val="15"/>
              </w:rPr>
              <w:t>09_BIBS_UXScreens_BRD-01_New_Business_v2.1.zip</w:t>
            </w:r>
          </w:p>
        </w:tc>
        <w:tc>
          <w:tcPr>
            <w:tcW w:type="dxa" w:w="3626"/>
            <w:tcMar>
              <w:top w:w="50" w:type="dxa"/>
              <w:bottom w:w="50" w:type="dxa"/>
              <w:left w:w="90" w:type="dxa"/>
              <w:right w:w="90" w:type="dxa"/>
            </w:tcMar>
          </w:tcPr>
          <w:p>
            <w:pPr>
              <w:pStyle w:val="BDOITable"/>
            </w:pPr>
            <w:r>
              <w:rPr>
                <w:sz w:val="15"/>
              </w:rPr>
              <w:t>Image package: every screen image at twice the screen resolution (PNG) and the register as CSV</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Imported into the design tool at each issue</w:t>
            </w:r>
          </w:p>
        </w:tc>
      </w:tr>
    </w:tbl>
    <w:p>
      <w:pPr>
        <w:pStyle w:val="BDOISpacer"/>
      </w:pPr>
    </w:p>
    <w:p>
      <w:pPr>
        <w:pStyle w:val="Heading1"/>
        <w:pBdr>
          <w:bottom w:val="single" w:sz="4" w:space="4" w:color="99C1E7"/>
        </w:pBdr>
      </w:pPr>
      <w:bookmarkStart w:id="104" w:name="_Toc000104"/>
      <w:r>
        <w:rPr/>
        <w:t>4 Where to start</w:t>
      </w:r>
      <w:bookmarkEnd w:id="104"/>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Business owner (Product Owner, Head of MBS)</w:t>
            </w:r>
          </w:p>
        </w:tc>
        <w:tc>
          <w:tcPr>
            <w:tcW w:type="dxa" w:w="7592"/>
            <w:tcMar>
              <w:top w:w="50" w:type="dxa"/>
              <w:bottom w:w="50" w:type="dxa"/>
              <w:left w:w="90" w:type="dxa"/>
              <w:right w:w="90" w:type="dxa"/>
            </w:tcMar>
          </w:tcPr>
          <w:p>
            <w:pPr>
              <w:pStyle w:val="BDOITable"/>
            </w:pPr>
            <w:r>
              <w:rPr>
                <w:sz w:val="16"/>
              </w:rPr>
              <w:t>00 Start Here; 01 Guide deck; FRS chapters 1-3 (context and personas), 14 (walkthroughs), 20 (sign-off) and 21 (proposed rules for confirmation, CLR-NB-44 to 50 new in v2.1); appendices User-story view and Storyboard index; workbook Sign-off certificate</w:t>
            </w:r>
          </w:p>
        </w:tc>
      </w:tr>
      <w:tr>
        <w:tc>
          <w:tcPr>
            <w:tcW w:type="dxa" w:w="2380"/>
            <w:tcMar>
              <w:top w:w="50" w:type="dxa"/>
              <w:bottom w:w="50" w:type="dxa"/>
              <w:left w:w="90" w:type="dxa"/>
              <w:right w:w="90" w:type="dxa"/>
            </w:tcMar>
            <w:shd w:val="clear" w:color="auto" w:fill="E5F5FF"/>
          </w:tcPr>
          <w:p>
            <w:pPr>
              <w:pStyle w:val="BDOITable"/>
            </w:pPr>
            <w:r>
              <w:rPr>
                <w:b/>
                <w:sz w:val="16"/>
              </w:rPr>
              <w:t>Business users (Marketing, TSU, Processing)</w:t>
            </w:r>
          </w:p>
        </w:tc>
        <w:tc>
          <w:tcPr>
            <w:tcW w:type="dxa" w:w="7592"/>
            <w:tcMar>
              <w:top w:w="50" w:type="dxa"/>
              <w:bottom w:w="50" w:type="dxa"/>
              <w:left w:w="90" w:type="dxa"/>
              <w:right w:w="90" w:type="dxa"/>
            </w:tcMar>
            <w:shd w:val="clear" w:color="auto" w:fill="E5F5FF"/>
          </w:tcPr>
          <w:p>
            <w:pPr>
              <w:pStyle w:val="BDOITable"/>
            </w:pPr>
            <w:r>
              <w:rPr>
                <w:sz w:val="16"/>
              </w:rPr>
              <w:t>FRS chapter 12 (navigation) and the screens of your area in chapter 13; walkthroughs in chapter 14; messages in chapter 15; workbook Screen standards, Screen catalogue, Field register, Business rules and Messages</w:t>
            </w:r>
          </w:p>
        </w:tc>
      </w:tr>
      <w:tr>
        <w:tc>
          <w:tcPr>
            <w:tcW w:type="dxa" w:w="2380"/>
            <w:tcMar>
              <w:top w:w="50" w:type="dxa"/>
              <w:bottom w:w="50" w:type="dxa"/>
              <w:left w:w="90" w:type="dxa"/>
              <w:right w:w="90" w:type="dxa"/>
            </w:tcMar>
          </w:tcPr>
          <w:p>
            <w:pPr>
              <w:pStyle w:val="BDOITable"/>
            </w:pPr>
            <w:r>
              <w:rPr>
                <w:b/>
                <w:sz w:val="16"/>
              </w:rPr>
              <w:t>Finance (Comptrollership)</w:t>
            </w:r>
          </w:p>
        </w:tc>
        <w:tc>
          <w:tcPr>
            <w:tcW w:type="dxa" w:w="7592"/>
            <w:tcMar>
              <w:top w:w="50" w:type="dxa"/>
              <w:bottom w:w="50" w:type="dxa"/>
              <w:left w:w="90" w:type="dxa"/>
              <w:right w:w="90" w:type="dxa"/>
            </w:tcMar>
          </w:tcPr>
          <w:p>
            <w:pPr>
              <w:pStyle w:val="BDOITable"/>
            </w:pPr>
            <w:r>
              <w:rPr>
                <w:sz w:val="16"/>
              </w:rPr>
              <w:t>FRS Booking requirements (chapter 4) and generated documents (chapter 17: service invoice); walkthrough A steps 16-17; cross-BRD contract with Operations, Collections and Accounting (chapter 19); workbook Business rules of the booking screens</w:t>
            </w:r>
          </w:p>
        </w:tc>
      </w:tr>
      <w:tr>
        <w:tc>
          <w:tcPr>
            <w:tcW w:type="dxa" w:w="2380"/>
            <w:tcMar>
              <w:top w:w="50" w:type="dxa"/>
              <w:bottom w:w="50" w:type="dxa"/>
              <w:left w:w="90" w:type="dxa"/>
              <w:right w:w="90" w:type="dxa"/>
            </w:tcMar>
            <w:shd w:val="clear" w:color="auto" w:fill="E5F5FF"/>
          </w:tcPr>
          <w:p>
            <w:pPr>
              <w:pStyle w:val="BDOITable"/>
            </w:pPr>
            <w:r>
              <w:rPr>
                <w:b/>
                <w:sz w:val="16"/>
              </w:rPr>
              <w:t>Compliance</w:t>
            </w:r>
          </w:p>
        </w:tc>
        <w:tc>
          <w:tcPr>
            <w:tcW w:type="dxa" w:w="7592"/>
            <w:tcMar>
              <w:top w:w="50" w:type="dxa"/>
              <w:bottom w:w="50" w:type="dxa"/>
              <w:left w:w="90" w:type="dxa"/>
              <w:right w:w="90" w:type="dxa"/>
            </w:tcMar>
            <w:shd w:val="clear" w:color="auto" w:fill="E5F5FF"/>
          </w:tcPr>
          <w:p>
            <w:pPr>
              <w:pStyle w:val="BDOITable"/>
            </w:pPr>
            <w:r>
              <w:rPr>
                <w:sz w:val="16"/>
              </w:rPr>
              <w:t>Client onboarding and KYC screens (SCR-NB-01 to 04); sanction screening lines of the contract (chapter 19); retention rules; messages of the client screens</w:t>
            </w:r>
          </w:p>
        </w:tc>
      </w:tr>
      <w:tr>
        <w:tc>
          <w:tcPr>
            <w:tcW w:type="dxa" w:w="2380"/>
            <w:tcMar>
              <w:top w:w="50" w:type="dxa"/>
              <w:bottom w:w="50" w:type="dxa"/>
              <w:left w:w="90" w:type="dxa"/>
              <w:right w:w="90" w:type="dxa"/>
            </w:tcMar>
          </w:tcPr>
          <w:p>
            <w:pPr>
              <w:pStyle w:val="BDOITable"/>
            </w:pPr>
            <w:r>
              <w:rPr>
                <w:b/>
                <w:sz w:val="16"/>
              </w:rPr>
              <w:t>BDOI IT</w:t>
            </w:r>
          </w:p>
        </w:tc>
        <w:tc>
          <w:tcPr>
            <w:tcW w:type="dxa" w:w="7592"/>
            <w:tcMar>
              <w:top w:w="50" w:type="dxa"/>
              <w:bottom w:w="50" w:type="dxa"/>
              <w:left w:w="90" w:type="dxa"/>
              <w:right w:w="90" w:type="dxa"/>
            </w:tcMar>
          </w:tcPr>
          <w:p>
            <w:pPr>
              <w:pStyle w:val="BDOITable"/>
            </w:pPr>
            <w:r>
              <w:rPr>
                <w:sz w:val="16"/>
              </w:rPr>
              <w:t>Interfaces and integration (chapter 7), non-functional requirements (chapter 8), menu by persona (chapter 12), cross-BRD contract (chapter 19); integrations pending specifications (Guide deck, caveats)</w:t>
            </w:r>
          </w:p>
        </w:tc>
      </w:tr>
      <w:tr>
        <w:tc>
          <w:tcPr>
            <w:tcW w:type="dxa" w:w="2380"/>
            <w:tcMar>
              <w:top w:w="50" w:type="dxa"/>
              <w:bottom w:w="50" w:type="dxa"/>
              <w:left w:w="90" w:type="dxa"/>
              <w:right w:w="90" w:type="dxa"/>
            </w:tcMar>
            <w:shd w:val="clear" w:color="auto" w:fill="E5F5FF"/>
          </w:tcPr>
          <w:p>
            <w:pPr>
              <w:pStyle w:val="BDOITable"/>
            </w:pPr>
            <w:r>
              <w:rPr>
                <w:b/>
                <w:sz w:val="16"/>
              </w:rPr>
              <w:t>BDOI UX Design team</w:t>
            </w:r>
          </w:p>
        </w:tc>
        <w:tc>
          <w:tcPr>
            <w:tcW w:type="dxa" w:w="7592"/>
            <w:tcMar>
              <w:top w:w="50" w:type="dxa"/>
              <w:bottom w:w="50" w:type="dxa"/>
              <w:left w:w="90" w:type="dxa"/>
              <w:right w:w="90" w:type="dxa"/>
            </w:tcMar>
            <w:shd w:val="clear" w:color="auto" w:fill="E5F5FF"/>
          </w:tcPr>
          <w:p>
            <w:pPr>
              <w:pStyle w:val="BDOITable"/>
            </w:pPr>
            <w:r>
              <w:rPr>
                <w:sz w:val="16"/>
              </w:rPr>
              <w:t>07 UX Screen Deck: design foundation and navigation first, then the personas, walkthroughs and screens of the design work; 08 UX screen register (filter Changed in this issue at each new issue); 09 image package in the design tool</w:t>
            </w:r>
          </w:p>
        </w:tc>
      </w:tr>
      <w:tr>
        <w:tc>
          <w:tcPr>
            <w:tcW w:type="dxa" w:w="2380"/>
            <w:tcMar>
              <w:top w:w="50" w:type="dxa"/>
              <w:bottom w:w="50" w:type="dxa"/>
              <w:left w:w="90" w:type="dxa"/>
              <w:right w:w="90" w:type="dxa"/>
            </w:tcMar>
          </w:tcPr>
          <w:p>
            <w:pPr>
              <w:pStyle w:val="BDOITable"/>
            </w:pPr>
            <w:r>
              <w:rPr>
                <w:b/>
                <w:sz w:val="16"/>
              </w:rPr>
              <w:t>iorta TechNXT project team</w:t>
            </w:r>
          </w:p>
        </w:tc>
        <w:tc>
          <w:tcPr>
            <w:tcW w:type="dxa" w:w="7592"/>
            <w:tcMar>
              <w:top w:w="50" w:type="dxa"/>
              <w:bottom w:w="50" w:type="dxa"/>
              <w:left w:w="90" w:type="dxa"/>
              <w:right w:w="90" w:type="dxa"/>
            </w:tcMar>
          </w:tcPr>
          <w:p>
            <w:pPr>
              <w:pStyle w:val="BDOITable"/>
            </w:pPr>
            <w:r>
              <w:rPr>
                <w:sz w:val="16"/>
              </w:rPr>
              <w:t>All documents; keeps the comments log, the meeting minutes and the version history of the workbook, answers every comment and keeps the traceability to SIT and UAT</w:t>
            </w:r>
          </w:p>
        </w:tc>
      </w:tr>
    </w:tbl>
    <w:p>
      <w:pPr>
        <w:pStyle w:val="BDOISpacer"/>
      </w:pPr>
    </w:p>
    <w:p>
      <w:r>
        <w:rPr/>
        <w:t>SIT users of the seed data for the review: ao and mkttl (Marketing), tsu and tsulead (TSU), proc, proctl and epol (Processing), approver (New Business Approver), adjust (Adjustment), badmin (Business Administration), admin (System Administrator) and auditor. The passwords are sent separately to the named reviewers.</w:t>
      </w:r>
    </w:p>
    <w:p>
      <w:pPr>
        <w:pStyle w:val="Heading1"/>
        <w:pBdr>
          <w:bottom w:val="single" w:sz="4" w:space="4" w:color="99C1E7"/>
        </w:pBdr>
      </w:pPr>
      <w:bookmarkStart w:id="105" w:name="_Toc000105"/>
      <w:r>
        <w:rPr/>
        <w:t>5 Steps up to closure</w:t>
      </w:r>
      <w:bookmarkEnd w:id="105"/>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Pack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v2.1 in the BRD-01 folder (the changed screens flagged in the UX register); invitations to the sessions</w:t>
            </w:r>
          </w:p>
        </w:tc>
        <w:tc>
          <w:tcPr>
            <w:tcW w:type="dxa" w:w="1926"/>
            <w:tcMar>
              <w:top w:w="50" w:type="dxa"/>
              <w:bottom w:w="50" w:type="dxa"/>
              <w:left w:w="90" w:type="dxa"/>
              <w:right w:w="90" w:type="dxa"/>
            </w:tcMar>
          </w:tcPr>
          <w:p>
            <w:pPr>
              <w:pStyle w:val="BDOITable"/>
            </w:pPr>
            <w:r>
              <w:rPr>
                <w:sz w:val="15"/>
              </w:rPr>
              <w:t>Day 0 (Mon 28-Sep-2026)</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screen walkthrough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BDOI Product Owner; C: unit heads; I: BDOI IT</w:t>
            </w:r>
          </w:p>
        </w:tc>
        <w:tc>
          <w:tcPr>
            <w:tcW w:type="dxa" w:w="2946"/>
            <w:tcMar>
              <w:top w:w="50" w:type="dxa"/>
              <w:bottom w:w="50" w:type="dxa"/>
              <w:left w:w="90" w:type="dxa"/>
              <w:right w:w="90" w:type="dxa"/>
            </w:tcMar>
            <w:shd w:val="clear" w:color="auto" w:fill="E5F5FF"/>
          </w:tcPr>
          <w:p>
            <w:pPr>
              <w:pStyle w:val="BDOITable"/>
            </w:pPr>
            <w:r>
              <w:rPr>
                <w:sz w:val="15"/>
              </w:rPr>
              <w:t>Screens shown live;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4 sessions, 1 to 6-Oct-2026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w:t>
            </w:r>
          </w:p>
        </w:tc>
        <w:tc>
          <w:tcPr>
            <w:tcW w:type="dxa" w:w="2946"/>
            <w:tcMar>
              <w:top w:w="50" w:type="dxa"/>
              <w:bottom w:w="50" w:type="dxa"/>
              <w:left w:w="90" w:type="dxa"/>
              <w:right w:w="90" w:type="dxa"/>
            </w:tcMar>
          </w:tcPr>
          <w:p>
            <w:pPr>
              <w:pStyle w:val="BDOITable"/>
            </w:pPr>
            <w:r>
              <w:rPr>
                <w:sz w:val="15"/>
              </w:rPr>
              <w:t>R: business users of each unit; A: unit heads;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comments log entries</w:t>
            </w:r>
          </w:p>
        </w:tc>
        <w:tc>
          <w:tcPr>
            <w:tcW w:type="dxa" w:w="1926"/>
            <w:tcMar>
              <w:top w:w="50" w:type="dxa"/>
              <w:bottom w:w="50" w:type="dxa"/>
              <w:left w:w="90" w:type="dxa"/>
              <w:right w:w="90" w:type="dxa"/>
            </w:tcMar>
          </w:tcPr>
          <w:p>
            <w:pPr>
              <w:pStyle w:val="BDOITable"/>
            </w:pPr>
            <w:r>
              <w:rPr>
                <w:sz w:val="15"/>
              </w:rPr>
              <w:t>10 working days after the walkthroughs, until Fri 16-Oct-2026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BDOI Product Owner;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3 working days, Q&amp;A on Wed 21-Oct-2026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(v2.2)</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v2.2 with the changed rows marked; change requests raised for the rest</w:t>
            </w:r>
          </w:p>
        </w:tc>
        <w:tc>
          <w:tcPr>
            <w:tcW w:type="dxa" w:w="1926"/>
            <w:tcMar>
              <w:top w:w="50" w:type="dxa"/>
              <w:bottom w:w="50" w:type="dxa"/>
              <w:left w:w="90" w:type="dxa"/>
              <w:right w:w="90" w:type="dxa"/>
            </w:tcMar>
          </w:tcPr>
          <w:p>
            <w:pPr>
              <w:pStyle w:val="BDOITable"/>
            </w:pPr>
            <w:r>
              <w:rPr>
                <w:sz w:val="15"/>
              </w:rPr>
              <w:t>2 working days, v2.2 on Fri 23-Oct-2026; check by the reviewers until Wed 28-Oct-2026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BDOI Product Owner; C: unit heads, Finance, Compliance, BDOI IT</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open items accepted as assumptions or change requests</w:t>
            </w:r>
          </w:p>
        </w:tc>
        <w:tc>
          <w:tcPr>
            <w:tcW w:type="dxa" w:w="1926"/>
            <w:tcMar>
              <w:top w:w="50" w:type="dxa"/>
              <w:bottom w:w="50" w:type="dxa"/>
              <w:left w:w="90" w:type="dxa"/>
              <w:right w:w="90" w:type="dxa"/>
            </w:tcMar>
            <w:shd w:val="clear" w:color="auto" w:fill="E5F5FF"/>
          </w:tcPr>
          <w:p>
            <w:pPr>
              <w:pStyle w:val="BDOITable"/>
            </w:pPr>
            <w:r>
              <w:rPr>
                <w:sz w:val="15"/>
              </w:rPr>
              <w:t>Fri 30-Oct-2026</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Content freeze</w:t>
            </w:r>
          </w:p>
        </w:tc>
        <w:tc>
          <w:tcPr>
            <w:tcW w:type="dxa" w:w="2946"/>
            <w:tcMar>
              <w:top w:w="50" w:type="dxa"/>
              <w:bottom w:w="50" w:type="dxa"/>
              <w:left w:w="90" w:type="dxa"/>
              <w:right w:w="90" w:type="dxa"/>
            </w:tcMar>
          </w:tcPr>
          <w:p>
            <w:pPr>
              <w:pStyle w:val="BDOITable"/>
            </w:pPr>
            <w:r>
              <w:rPr>
                <w:sz w:val="15"/>
              </w:rPr>
              <w:t>R: iorta TechNXT delivery lead; A: BDOI Product Owner; I: BDOI IT, other BRD owners</w:t>
            </w:r>
          </w:p>
        </w:tc>
        <w:tc>
          <w:tcPr>
            <w:tcW w:type="dxa" w:w="2946"/>
            <w:tcMar>
              <w:top w:w="50" w:type="dxa"/>
              <w:bottom w:w="50" w:type="dxa"/>
              <w:left w:w="90" w:type="dxa"/>
              <w:right w:w="90" w:type="dxa"/>
            </w:tcMar>
          </w:tcPr>
          <w:p>
            <w:pPr>
              <w:pStyle w:val="BDOITable"/>
            </w:pPr>
            <w:r>
              <w:rPr>
                <w:sz w:val="15"/>
              </w:rPr>
              <w:t>Content frozen as signed; approved deltas scheduled in the Change Management Register</w:t>
            </w:r>
          </w:p>
        </w:tc>
        <w:tc>
          <w:tcPr>
            <w:tcW w:type="dxa" w:w="1926"/>
            <w:tcMar>
              <w:top w:w="50" w:type="dxa"/>
              <w:bottom w:w="50" w:type="dxa"/>
              <w:left w:w="90" w:type="dxa"/>
              <w:right w:w="90" w:type="dxa"/>
            </w:tcMar>
          </w:tcPr>
          <w:p>
            <w:pPr>
              <w:pStyle w:val="BDOITable"/>
            </w:pPr>
            <w:r>
              <w:rPr>
                <w:sz w:val="15"/>
              </w:rPr>
              <w:t>From Mon 2-Nov-2026</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BDOI Product Owner; C: business users</w:t>
            </w:r>
          </w:p>
        </w:tc>
        <w:tc>
          <w:tcPr>
            <w:tcW w:type="dxa" w:w="2946"/>
            <w:tcMar>
              <w:top w:w="50" w:type="dxa"/>
              <w:bottom w:w="50" w:type="dxa"/>
              <w:left w:w="90" w:type="dxa"/>
              <w:right w:w="90" w:type="dxa"/>
            </w:tcMar>
            <w:shd w:val="clear" w:color="auto" w:fill="E5F5FF"/>
          </w:tcPr>
          <w:p>
            <w:pPr>
              <w:pStyle w:val="BDOITable"/>
            </w:pPr>
            <w:r>
              <w:rPr>
                <w:sz w:val="15"/>
              </w:rPr>
              <w:t>SIT and UAT runs traced to the signed screens, rules and messages; results against each row</w:t>
            </w:r>
          </w:p>
        </w:tc>
        <w:tc>
          <w:tcPr>
            <w:tcW w:type="dxa" w:w="1926"/>
            <w:tcMar>
              <w:top w:w="50" w:type="dxa"/>
              <w:bottom w:w="50" w:type="dxa"/>
              <w:left w:w="90" w:type="dxa"/>
              <w:right w:w="90" w:type="dxa"/>
            </w:tcMar>
            <w:shd w:val="clear" w:color="auto" w:fill="E5F5FF"/>
          </w:tcPr>
          <w:p>
            <w:pPr>
              <w:pStyle w:val="BDOITable"/>
            </w:pPr>
            <w:r>
              <w:rPr>
                <w:sz w:val="15"/>
              </w:rPr>
              <w:t>SIT Jan - Jul 2027; UAT Aug - Dec 2027</w:t>
            </w:r>
          </w:p>
        </w:tc>
      </w:tr>
    </w:tbl>
    <w:p>
      <w:pPr>
        <w:pStyle w:val="BDOISpacer"/>
      </w:pPr>
    </w:p>
    <w:p>
      <w:r>
        <w:rPr>
          <w:b/>
        </w:rPr>
        <w:t>How to review.</w:t>
      </w:r>
      <w:r>
        <w:rPr/>
        <w:t xml:space="preserve"> Open the FRS chapters of your area or the same screens on SIT. In the sign-off workbook, set BU review to Accept, Change requested or Comment on each row you review (sheets Screen standards, Screen catalogue, Field register, Business rules, Messages), write the change in BU comment, and add your name and the date. Questions go to the Comments log sheet. One workbook per unit is enough.</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Units</w:t>
            </w:r>
          </w:p>
        </w:tc>
      </w:tr>
      <w:tr>
        <w:trPr>
          <w:cantSplit w:val="true"/>
        </w:trPr>
        <w:tc>
          <w:tcPr>
            <w:tcW w:type="dxa" w:w="2040"/>
            <w:tcMar>
              <w:top w:w="50" w:type="dxa"/>
              <w:bottom w:w="50" w:type="dxa"/>
              <w:left w:w="90" w:type="dxa"/>
              <w:right w:w="90" w:type="dxa"/>
            </w:tcMar>
          </w:tcPr>
          <w:p>
            <w:pPr>
              <w:pStyle w:val="BDOITable"/>
            </w:pPr>
            <w:r>
              <w:rPr>
                <w:sz w:val="18"/>
              </w:rPr>
              <w:t>Thu 1-Oct-2026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client onboarding, KYC and package quotation (walkthrough A steps 1-9)</w:t>
            </w:r>
          </w:p>
        </w:tc>
        <w:tc>
          <w:tcPr>
            <w:tcW w:type="dxa" w:w="2493"/>
            <w:tcMar>
              <w:top w:w="50" w:type="dxa"/>
              <w:bottom w:w="50" w:type="dxa"/>
              <w:left w:w="90" w:type="dxa"/>
              <w:right w:w="90" w:type="dxa"/>
            </w:tcMar>
          </w:tcPr>
          <w:p>
            <w:pPr>
              <w:pStyle w:val="BDOITable"/>
            </w:pPr>
            <w:r>
              <w:rPr>
                <w:sz w:val="18"/>
              </w:rPr>
              <w:t>Marketing, MBS</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Fri 2-Oct-2026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Non-package placement: PRF, quotation slip, insurer responses, proposal slip (walkthrough B)</w:t>
            </w:r>
          </w:p>
        </w:tc>
        <w:tc>
          <w:tcPr>
            <w:tcW w:type="dxa" w:w="2493"/>
            <w:tcMar>
              <w:top w:w="50" w:type="dxa"/>
              <w:bottom w:w="50" w:type="dxa"/>
              <w:left w:w="90" w:type="dxa"/>
              <w:right w:w="90" w:type="dxa"/>
            </w:tcMar>
            <w:shd w:val="clear" w:color="auto" w:fill="E5F5FF"/>
          </w:tcPr>
          <w:p>
            <w:pPr>
              <w:pStyle w:val="BDOITable"/>
            </w:pPr>
            <w:r>
              <w:rPr>
                <w:sz w:val="18"/>
              </w:rPr>
              <w:t>TSU, Marketing</w:t>
            </w:r>
          </w:p>
        </w:tc>
      </w:tr>
      <w:tr>
        <w:trPr>
          <w:cantSplit w:val="true"/>
        </w:trPr>
        <w:tc>
          <w:tcPr>
            <w:tcW w:type="dxa" w:w="2040"/>
            <w:tcMar>
              <w:top w:w="50" w:type="dxa"/>
              <w:bottom w:w="50" w:type="dxa"/>
              <w:left w:w="90" w:type="dxa"/>
              <w:right w:w="90" w:type="dxa"/>
            </w:tcMar>
          </w:tcPr>
          <w:p>
            <w:pPr>
              <w:pStyle w:val="BDOITable"/>
            </w:pPr>
            <w:r>
              <w:rPr>
                <w:sz w:val="18"/>
              </w:rPr>
              <w:t>Mon 5-Oct-2026</w:t>
            </w:r>
          </w:p>
        </w:tc>
        <w:tc>
          <w:tcPr>
            <w:tcW w:type="dxa" w:w="1360"/>
            <w:tcMar>
              <w:top w:w="50" w:type="dxa"/>
              <w:bottom w:w="50" w:type="dxa"/>
              <w:left w:w="90" w:type="dxa"/>
              <w:right w:w="90" w:type="dxa"/>
            </w:tcMar>
          </w:tcPr>
          <w:p>
            <w:pPr>
              <w:pStyle w:val="BDOITable"/>
            </w:pPr>
            <w:r>
              <w:rPr>
                <w:sz w:val="18"/>
              </w:rPr>
              <w:t>09:30-12:30</w:t>
            </w:r>
          </w:p>
        </w:tc>
        <w:tc>
          <w:tcPr>
            <w:tcW w:type="dxa" w:w="4079"/>
            <w:tcMar>
              <w:top w:w="50" w:type="dxa"/>
              <w:bottom w:w="50" w:type="dxa"/>
              <w:left w:w="90" w:type="dxa"/>
              <w:right w:w="90" w:type="dxa"/>
            </w:tcMar>
          </w:tcPr>
          <w:p>
            <w:pPr>
              <w:pStyle w:val="BDOITable"/>
            </w:pPr>
            <w:r>
              <w:rPr>
                <w:sz w:val="18"/>
              </w:rPr>
              <w:t>Validation, payment, placement, issuance and booking; returns and messages (walkthrough A steps 10-17, walkthrough C)</w:t>
            </w:r>
          </w:p>
        </w:tc>
        <w:tc>
          <w:tcPr>
            <w:tcW w:type="dxa" w:w="2493"/>
            <w:tcMar>
              <w:top w:w="50" w:type="dxa"/>
              <w:bottom w:w="50" w:type="dxa"/>
              <w:left w:w="90" w:type="dxa"/>
              <w:right w:w="90" w:type="dxa"/>
            </w:tcMar>
          </w:tcPr>
          <w:p>
            <w:pPr>
              <w:pStyle w:val="BDOITable"/>
            </w:pPr>
            <w:r>
              <w:rPr>
                <w:sz w:val="18"/>
              </w:rPr>
              <w:t>Processing, Comptrollership</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Tue 6-Oct-2026</w:t>
            </w:r>
          </w:p>
        </w:tc>
        <w:tc>
          <w:tcPr>
            <w:tcW w:type="dxa" w:w="1360"/>
            <w:tcMar>
              <w:top w:w="50" w:type="dxa"/>
              <w:bottom w:w="50" w:type="dxa"/>
              <w:left w:w="90" w:type="dxa"/>
              <w:right w:w="90" w:type="dxa"/>
            </w:tcMar>
            <w:shd w:val="clear" w:color="auto" w:fill="E5F5FF"/>
          </w:tcPr>
          <w:p>
            <w:pPr>
              <w:pStyle w:val="BDOITable"/>
            </w:pPr>
            <w:r>
              <w:rPr>
                <w:sz w:val="18"/>
              </w:rPr>
              <w:t>09:30-11:30</w:t>
            </w:r>
          </w:p>
        </w:tc>
        <w:tc>
          <w:tcPr>
            <w:tcW w:type="dxa" w:w="4079"/>
            <w:tcMar>
              <w:top w:w="50" w:type="dxa"/>
              <w:bottom w:w="50" w:type="dxa"/>
              <w:left w:w="90" w:type="dxa"/>
              <w:right w:w="90" w:type="dxa"/>
            </w:tcMar>
            <w:shd w:val="clear" w:color="auto" w:fill="E5F5FF"/>
          </w:tcPr>
          <w:p>
            <w:pPr>
              <w:pStyle w:val="BDOITable"/>
            </w:pPr>
            <w:r>
              <w:rPr>
                <w:sz w:val="18"/>
              </w:rPr>
              <w:t>Bulk uploads with the error file, reports and dashboard, administration screens</w:t>
            </w:r>
          </w:p>
        </w:tc>
        <w:tc>
          <w:tcPr>
            <w:tcW w:type="dxa" w:w="2493"/>
            <w:tcMar>
              <w:top w:w="50" w:type="dxa"/>
              <w:bottom w:w="50" w:type="dxa"/>
              <w:left w:w="90" w:type="dxa"/>
              <w:right w:w="90" w:type="dxa"/>
            </w:tcMar>
            <w:shd w:val="clear" w:color="auto" w:fill="E5F5FF"/>
          </w:tcPr>
          <w:p>
            <w:pPr>
              <w:pStyle w:val="BDOITable"/>
            </w:pPr>
            <w:r>
              <w:rPr>
                <w:sz w:val="18"/>
              </w:rPr>
              <w:t>MBS, Business Administration, Compliance, BDOI IT</w:t>
            </w:r>
          </w:p>
        </w:tc>
      </w:tr>
    </w:tbl>
    <w:p>
      <w:pPr>
        <w:pStyle w:val="BDOISpacer"/>
      </w:pPr>
    </w:p>
    <w:p>
      <w:pPr>
        <w:pStyle w:val="Heading1"/>
        <w:pBdr>
          <w:bottom w:val="single" w:sz="4" w:space="4" w:color="99C1E7"/>
        </w:pBdr>
      </w:pPr>
      <w:bookmarkStart w:id="106" w:name="_Toc000106"/>
      <w:r>
        <w:rPr/>
        <w:t>6 Who signs what</w:t>
      </w:r>
      <w:bookmarkEnd w:id="106"/>
    </w:p>
    <w:p>
      <w:r>
        <w:rPr/>
        <w:t>The set holds business content only: the screens and fields, the columns of the lists, reports and templates that the user sees or fills in, the validations, business rules, messages, notifications, documents, walkthroughs and reports. The business users sign that content. Technical content (the interfaces between systems, data storage, security set-up) is not part of the set: it is in the Technical Specification, a separate document reviewed by BDOI IT. The roles are those of the approval sheet of the BRD: iorta TechNXT prepares the set, the business units provide the input and review their parts, BDOI IT reviews the interfaces, the user access and the Technical Specification, the Program Manager of Business Project Services reviews the traceability and the completeness, and the Product Owner approves the whole set.</w:t>
      </w:r>
    </w:p>
    <w:p>
      <w:pPr>
        <w:pStyle w:val="Caption"/>
        <w:keepNext/>
        <w:spacing w:after="60"/>
      </w:pPr>
      <w:r>
        <w:rPr>
          <w:b/>
          <w:i w:val="0"/>
        </w:rPr>
        <w:t xml:space="preserve">Table 5: </w:t>
      </w:r>
      <w:r>
        <w:rPr/>
        <w:t>Who signs what: responsibility per part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359"/>
        <w:gridCol w:w="1813"/>
        <w:gridCol w:w="1699"/>
        <w:gridCol w:w="215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Part of the set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5"/>
              </w:rPr>
              <w:t>Provides input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Reviews</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Approves</w:t>
            </w:r>
          </w:p>
        </w:tc>
      </w:tr>
      <w:tr>
        <w:tc>
          <w:tcPr>
            <w:tcW w:type="dxa" w:w="2946"/>
            <w:tcMar>
              <w:top w:w="50" w:type="dxa"/>
              <w:bottom w:w="50" w:type="dxa"/>
              <w:left w:w="90" w:type="dxa"/>
              <w:right w:w="90" w:type="dxa"/>
            </w:tcMar>
          </w:tcPr>
          <w:p>
            <w:pPr>
              <w:pStyle w:val="BDOITable"/>
            </w:pPr>
            <w:r>
              <w:rPr>
                <w:b/>
                <w:sz w:val="15"/>
              </w:rPr>
              <w:t>Screens and fields (FRS screen specifications; workbook Screen catalogue, Field register)</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MBS, TSU</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 UH Processing, UH Combank and Corbank, Head Retail Marketing, Head Institutional Banking</w:t>
            </w:r>
          </w:p>
        </w:tc>
      </w:tr>
      <w:tr>
        <w:tc>
          <w:tcPr>
            <w:tcW w:type="dxa" w:w="2946"/>
            <w:tcMar>
              <w:top w:w="50" w:type="dxa"/>
              <w:bottom w:w="50" w:type="dxa"/>
              <w:left w:w="90" w:type="dxa"/>
              <w:right w:w="90" w:type="dxa"/>
            </w:tcMar>
            <w:shd w:val="clear" w:color="auto" w:fill="E5F5FF"/>
          </w:tcPr>
          <w:p>
            <w:pPr>
              <w:pStyle w:val="BDOITable"/>
            </w:pPr>
            <w:r>
              <w:rPr>
                <w:b/>
                <w:sz w:val="15"/>
              </w:rPr>
              <w:t>Business rules and validations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MBS, TSU, BA (BPS)</w:t>
            </w:r>
          </w:p>
        </w:tc>
        <w:tc>
          <w:tcPr>
            <w:tcW w:type="dxa" w:w="1700"/>
            <w:tcMar>
              <w:top w:w="50" w:type="dxa"/>
              <w:bottom w:w="50" w:type="dxa"/>
              <w:left w:w="90" w:type="dxa"/>
              <w:right w:w="90" w:type="dxa"/>
            </w:tcMar>
            <w:shd w:val="clear" w:color="auto" w:fill="E5F5FF"/>
          </w:tcPr>
          <w:p>
            <w:pPr>
              <w:pStyle w:val="BDOITable"/>
            </w:pPr>
            <w:r>
              <w:rPr>
                <w:sz w:val="15"/>
              </w:rPr>
              <w:t>Program Manager (BPS), BA Unit Head (BPS), Compliance</w:t>
            </w:r>
          </w:p>
        </w:tc>
        <w:tc>
          <w:tcPr>
            <w:tcW w:type="dxa" w:w="2153"/>
            <w:tcMar>
              <w:top w:w="50" w:type="dxa"/>
              <w:bottom w:w="50" w:type="dxa"/>
              <w:left w:w="90" w:type="dxa"/>
              <w:right w:w="90" w:type="dxa"/>
            </w:tcMar>
            <w:shd w:val="clear" w:color="auto" w:fill="E5F5FF"/>
          </w:tcPr>
          <w:p>
            <w:pPr>
              <w:pStyle w:val="BDOITable"/>
            </w:pPr>
            <w:r>
              <w:rPr>
                <w:sz w:val="15"/>
              </w:rPr>
              <w:t>Product Owner, UH Processing, UH Combank and Corbank, Head Retail Marketing, Head Institutional Banking, Head Comptrollership</w:t>
            </w:r>
          </w:p>
        </w:tc>
      </w:tr>
      <w:tr>
        <w:tc>
          <w:tcPr>
            <w:tcW w:type="dxa" w:w="2946"/>
            <w:tcMar>
              <w:top w:w="50" w:type="dxa"/>
              <w:bottom w:w="50" w:type="dxa"/>
              <w:left w:w="90" w:type="dxa"/>
              <w:right w:w="90" w:type="dxa"/>
            </w:tcMar>
          </w:tcPr>
          <w:p>
            <w:pPr>
              <w:pStyle w:val="BDOITable"/>
            </w:pPr>
            <w:r>
              <w:rPr>
                <w:b/>
                <w:sz w:val="15"/>
              </w:rPr>
              <w:t>Messages and notifications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MBS</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Documents and reports (slips, advices, service invoices, reports)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MBS, TSU</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 UH Processing, Head Comptrollership</w:t>
            </w:r>
          </w:p>
        </w:tc>
      </w:tr>
      <w:tr>
        <w:tc>
          <w:tcPr>
            <w:tcW w:type="dxa" w:w="2946"/>
            <w:tcMar>
              <w:top w:w="50" w:type="dxa"/>
              <w:bottom w:w="50" w:type="dxa"/>
              <w:left w:w="90" w:type="dxa"/>
              <w:right w:w="90" w:type="dxa"/>
            </w:tcMar>
          </w:tcPr>
          <w:p>
            <w:pPr>
              <w:pStyle w:val="BDOITable"/>
            </w:pPr>
            <w:r>
              <w:rPr>
                <w:b/>
                <w:sz w:val="15"/>
              </w:rPr>
              <w:t>Walkthroughs (end-to-end, screen by screen)</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MBS, TSU</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Proposed business rules and clarifications for confirmation</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BA (BPS), MBS</w:t>
            </w:r>
          </w:p>
        </w:tc>
        <w:tc>
          <w:tcPr>
            <w:tcW w:type="dxa" w:w="1700"/>
            <w:tcMar>
              <w:top w:w="50" w:type="dxa"/>
              <w:bottom w:w="50" w:type="dxa"/>
              <w:left w:w="90" w:type="dxa"/>
              <w:right w:w="90" w:type="dxa"/>
            </w:tcMar>
            <w:shd w:val="clear" w:color="auto" w:fill="E5F5FF"/>
          </w:tcPr>
          <w:p>
            <w:pPr>
              <w:pStyle w:val="BDOITable"/>
            </w:pPr>
            <w:r>
              <w:rPr>
                <w:sz w:val="15"/>
              </w:rPr>
              <w:t>Program Manager (BPS), BA Unit Head (BPS)</w:t>
            </w:r>
          </w:p>
        </w:tc>
        <w:tc>
          <w:tcPr>
            <w:tcW w:type="dxa" w:w="2153"/>
            <w:tcMar>
              <w:top w:w="50" w:type="dxa"/>
              <w:bottom w:w="50" w:type="dxa"/>
              <w:left w:w="90" w:type="dxa"/>
              <w:right w:w="90" w:type="dxa"/>
            </w:tcMar>
            <w:shd w:val="clear" w:color="auto" w:fill="E5F5FF"/>
          </w:tcPr>
          <w:p>
            <w:pPr>
              <w:pStyle w:val="BDOITable"/>
            </w:pPr>
            <w:r>
              <w:rPr>
                <w:sz w:val="15"/>
              </w:rPr>
              <w:t>Product Owner, OIC</w:t>
            </w:r>
          </w:p>
        </w:tc>
      </w:tr>
      <w:tr>
        <w:tc>
          <w:tcPr>
            <w:tcW w:type="dxa" w:w="2946"/>
            <w:tcMar>
              <w:top w:w="50" w:type="dxa"/>
              <w:bottom w:w="50" w:type="dxa"/>
              <w:left w:w="90" w:type="dxa"/>
              <w:right w:w="90" w:type="dxa"/>
            </w:tcMar>
          </w:tcPr>
          <w:p>
            <w:pPr>
              <w:pStyle w:val="BDOITable"/>
            </w:pPr>
            <w:r>
              <w:rPr>
                <w:b/>
                <w:sz w:val="15"/>
              </w:rPr>
              <w:t>Interfaces, user access and menus by persona</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MBS</w:t>
            </w:r>
          </w:p>
        </w:tc>
        <w:tc>
          <w:tcPr>
            <w:tcW w:type="dxa" w:w="1700"/>
            <w:tcMar>
              <w:top w:w="50" w:type="dxa"/>
              <w:bottom w:w="50" w:type="dxa"/>
              <w:left w:w="90" w:type="dxa"/>
              <w:right w:w="90" w:type="dxa"/>
            </w:tcMar>
          </w:tcPr>
          <w:p>
            <w:pPr>
              <w:pStyle w:val="BDOITable"/>
            </w:pPr>
            <w:r>
              <w:rPr>
                <w:sz w:val="15"/>
              </w:rPr>
              <w:t>BDOI IT</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Test plan (04 workbook, 05 summary)</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MBS, TSU</w:t>
            </w:r>
          </w:p>
        </w:tc>
        <w:tc>
          <w:tcPr>
            <w:tcW w:type="dxa" w:w="1700"/>
            <w:tcMar>
              <w:top w:w="50" w:type="dxa"/>
              <w:bottom w:w="50" w:type="dxa"/>
              <w:left w:w="90" w:type="dxa"/>
              <w:right w:w="90" w:type="dxa"/>
            </w:tcMar>
            <w:shd w:val="clear" w:color="auto" w:fill="E5F5FF"/>
          </w:tcPr>
          <w:p>
            <w:pPr>
              <w:pStyle w:val="BDOITable"/>
            </w:pPr>
            <w:r>
              <w:rPr>
                <w:sz w:val="15"/>
              </w:rPr>
              <w:t>Program Manager (BPS), BDOI IT</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Technical Specification (separate document, not part of the business sign-off)</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BDOI IT</w:t>
            </w:r>
          </w:p>
        </w:tc>
        <w:tc>
          <w:tcPr>
            <w:tcW w:type="dxa" w:w="1700"/>
            <w:tcMar>
              <w:top w:w="50" w:type="dxa"/>
              <w:bottom w:w="50" w:type="dxa"/>
              <w:left w:w="90" w:type="dxa"/>
              <w:right w:w="90" w:type="dxa"/>
            </w:tcMar>
          </w:tcPr>
          <w:p>
            <w:pPr>
              <w:pStyle w:val="BDOITable"/>
            </w:pPr>
            <w:r>
              <w:rPr>
                <w:sz w:val="15"/>
              </w:rPr>
              <w:t>BDOI IT</w:t>
            </w:r>
          </w:p>
        </w:tc>
        <w:tc>
          <w:tcPr>
            <w:tcW w:type="dxa" w:w="2153"/>
            <w:tcMar>
              <w:top w:w="50" w:type="dxa"/>
              <w:bottom w:w="50" w:type="dxa"/>
              <w:left w:w="90" w:type="dxa"/>
              <w:right w:w="90" w:type="dxa"/>
            </w:tcMar>
          </w:tcPr>
          <w:p>
            <w:pPr>
              <w:pStyle w:val="BDOITable"/>
            </w:pPr>
            <w:r>
              <w:rPr>
                <w:sz w:val="15"/>
              </w:rPr>
              <w:t>BDOI IT</w:t>
            </w:r>
          </w:p>
        </w:tc>
      </w:tr>
    </w:tbl>
    <w:p>
      <w:pPr>
        <w:pStyle w:val="BDOISpacer"/>
      </w:pPr>
    </w:p>
    <w:p>
      <w:pPr>
        <w:pStyle w:val="Caption"/>
        <w:keepNext/>
        <w:spacing w:after="60"/>
      </w:pPr>
      <w:r>
        <w:rPr>
          <w:b/>
          <w:i w:val="0"/>
        </w:rPr>
        <w:t xml:space="preserve">Table 6: </w:t>
      </w:r>
      <w:r>
        <w:rPr/>
        <w:t>Signatories and what each confirms (BRD-1 approval sheets (New Business BRD 05132026): IT Walkthrough Addendum pp.8-10; Fire and Motor BRD ID consolidation p.138-139; Workshop Addendum p.32 (copy p.54))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833"/>
        <w:gridCol w:w="3853"/>
        <w:gridCol w:w="203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Capacity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5"/>
              </w:rPr>
              <w:t>Confirms by signing</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On the BRD approval sheet</w:t>
            </w:r>
          </w:p>
        </w:tc>
      </w:tr>
      <w:tr>
        <w:tc>
          <w:tcPr>
            <w:tcW w:type="dxa" w:w="1246"/>
            <w:tcMar>
              <w:top w:w="50" w:type="dxa"/>
              <w:bottom w:w="50" w:type="dxa"/>
              <w:left w:w="90" w:type="dxa"/>
              <w:right w:w="90" w:type="dxa"/>
            </w:tcMar>
          </w:tcPr>
          <w:p>
            <w:pPr>
              <w:pStyle w:val="BDOITable"/>
            </w:pPr>
            <w:r>
              <w:rPr>
                <w:sz w:val="15"/>
              </w:rPr>
              <w:t>Prepared by</w:t>
            </w:r>
          </w:p>
        </w:tc>
        <w:tc>
          <w:tcPr>
            <w:tcW w:type="dxa" w:w="2833"/>
            <w:tcMar>
              <w:top w:w="50" w:type="dxa"/>
              <w:bottom w:w="50" w:type="dxa"/>
              <w:left w:w="90" w:type="dxa"/>
              <w:right w:w="90" w:type="dxa"/>
            </w:tcMar>
          </w:tcPr>
          <w:p>
            <w:pPr>
              <w:pStyle w:val="BDOITable"/>
            </w:pPr>
            <w:r>
              <w:rPr>
                <w:sz w:val="15"/>
              </w:rPr>
              <w:t>iorta TechNXT project team: Project Manager, Business Analysis, test lead (iorta TechNXT)</w:t>
            </w:r>
          </w:p>
        </w:tc>
        <w:tc>
          <w:tcPr>
            <w:tcW w:type="dxa" w:w="3853"/>
            <w:tcMar>
              <w:top w:w="50" w:type="dxa"/>
              <w:bottom w:w="50" w:type="dxa"/>
              <w:left w:w="90" w:type="dxa"/>
              <w:right w:w="90" w:type="dxa"/>
            </w:tcMar>
          </w:tcPr>
          <w:p>
            <w:pPr>
              <w:pStyle w:val="BDOITable"/>
            </w:pPr>
            <w:r>
              <w:rPr>
                <w:sz w:val="15"/>
              </w:rPr>
              <w:t>The set is complete and consistent as issued, traced to the BRD and to the screens; every comment is answered in the comments log</w:t>
            </w:r>
          </w:p>
        </w:tc>
        <w:tc>
          <w:tcPr>
            <w:tcW w:type="dxa" w:w="2040"/>
            <w:tcMar>
              <w:top w:w="50" w:type="dxa"/>
              <w:bottom w:w="50" w:type="dxa"/>
              <w:left w:w="90" w:type="dxa"/>
              <w:right w:w="90" w:type="dxa"/>
            </w:tcMar>
          </w:tcPr>
          <w:p>
            <w:pPr>
              <w:pStyle w:val="BDOITable"/>
            </w:pPr>
            <w:r>
              <w:rPr>
                <w:sz w:val="15"/>
              </w:rPr>
              <w:t>Added for this set (author of the FRS set)</w:t>
            </w:r>
          </w:p>
        </w:tc>
      </w:tr>
      <w:tr>
        <w:tc>
          <w:tcPr>
            <w:tcW w:type="dxa" w:w="1246"/>
            <w:tcMar>
              <w:top w:w="50" w:type="dxa"/>
              <w:bottom w:w="50" w:type="dxa"/>
              <w:left w:w="90" w:type="dxa"/>
              <w:right w:w="90" w:type="dxa"/>
            </w:tcMar>
            <w:shd w:val="clear" w:color="auto" w:fill="E5F5FF"/>
          </w:tcPr>
          <w:p>
            <w:pPr>
              <w:pStyle w:val="BDOITable"/>
            </w:pPr>
            <w:r>
              <w:rPr>
                <w:sz w:val="15"/>
              </w:rPr>
              <w:t>Prepared by</w:t>
            </w:r>
          </w:p>
        </w:tc>
        <w:tc>
          <w:tcPr>
            <w:tcW w:type="dxa" w:w="2833"/>
            <w:tcMar>
              <w:top w:w="50" w:type="dxa"/>
              <w:bottom w:w="50" w:type="dxa"/>
              <w:left w:w="90" w:type="dxa"/>
              <w:right w:w="90" w:type="dxa"/>
            </w:tcMar>
            <w:shd w:val="clear" w:color="auto" w:fill="E5F5FF"/>
          </w:tcPr>
          <w:p>
            <w:pPr>
              <w:pStyle w:val="BDOITable"/>
            </w:pPr>
            <w:r>
              <w:rPr>
                <w:sz w:val="15"/>
              </w:rPr>
              <w:t>Business Analyst, Enterprise Services Group - Business Project Services (BPS) (BDO Unibank ESG)</w:t>
            </w:r>
          </w:p>
        </w:tc>
        <w:tc>
          <w:tcPr>
            <w:tcW w:type="dxa" w:w="3853"/>
            <w:tcMar>
              <w:top w:w="50" w:type="dxa"/>
              <w:bottom w:w="50" w:type="dxa"/>
              <w:left w:w="90" w:type="dxa"/>
              <w:right w:w="90" w:type="dxa"/>
            </w:tcMar>
            <w:shd w:val="clear" w:color="auto" w:fill="E5F5FF"/>
          </w:tcPr>
          <w:p>
            <w:pPr>
              <w:pStyle w:val="BDOITable"/>
            </w:pPr>
            <w:r>
              <w:rPr>
                <w:sz w:val="15"/>
              </w:rPr>
              <w:t>The set states the BRD requirements as written; every departure is listed in the proposed rules and clarifications</w:t>
            </w:r>
          </w:p>
        </w:tc>
        <w:tc>
          <w:tcPr>
            <w:tcW w:type="dxa" w:w="2040"/>
            <w:tcMar>
              <w:top w:w="50" w:type="dxa"/>
              <w:bottom w:w="50" w:type="dxa"/>
              <w:left w:w="90" w:type="dxa"/>
              <w:right w:w="90" w:type="dxa"/>
            </w:tcMar>
            <w:shd w:val="clear" w:color="auto" w:fill="E5F5FF"/>
          </w:tcPr>
          <w:p>
            <w:pPr>
              <w:pStyle w:val="BDOITable"/>
            </w:pPr>
            <w:r>
              <w:rPr>
                <w:sz w:val="15"/>
              </w:rPr>
              <w:t>Prepared by (p.138; IT Walkthrough Addendum p.8)</w:t>
            </w:r>
          </w:p>
        </w:tc>
      </w:tr>
      <w:tr>
        <w:tc>
          <w:tcPr>
            <w:tcW w:type="dxa" w:w="1246"/>
            <w:tcMar>
              <w:top w:w="50" w:type="dxa"/>
              <w:bottom w:w="50" w:type="dxa"/>
              <w:left w:w="90" w:type="dxa"/>
              <w:right w:w="90" w:type="dxa"/>
            </w:tcMar>
          </w:tcPr>
          <w:p>
            <w:pPr>
              <w:pStyle w:val="BDOITable"/>
            </w:pPr>
            <w:r>
              <w:rPr>
                <w:sz w:val="15"/>
              </w:rPr>
              <w:t>Input provided by</w:t>
            </w:r>
          </w:p>
        </w:tc>
        <w:tc>
          <w:tcPr>
            <w:tcW w:type="dxa" w:w="2833"/>
            <w:tcMar>
              <w:top w:w="50" w:type="dxa"/>
              <w:bottom w:w="50" w:type="dxa"/>
              <w:left w:w="90" w:type="dxa"/>
              <w:right w:w="90" w:type="dxa"/>
            </w:tcMar>
          </w:tcPr>
          <w:p>
            <w:pPr>
              <w:pStyle w:val="BDOITable"/>
            </w:pPr>
            <w:r>
              <w:rPr>
                <w:sz w:val="15"/>
              </w:rPr>
              <w:t>Marketing Business Services and System Support (MBS), BU representatives (BDOI)</w:t>
            </w:r>
          </w:p>
        </w:tc>
        <w:tc>
          <w:tcPr>
            <w:tcW w:type="dxa" w:w="3853"/>
            <w:tcMar>
              <w:top w:w="50" w:type="dxa"/>
              <w:bottom w:w="50" w:type="dxa"/>
              <w:left w:w="90" w:type="dxa"/>
              <w:right w:w="90" w:type="dxa"/>
            </w:tcMar>
          </w:tcPr>
          <w:p>
            <w:pPr>
              <w:pStyle w:val="BDOITable"/>
            </w:pPr>
            <w:r>
              <w:rPr>
                <w:sz w:val="15"/>
              </w:rPr>
              <w:t>The screens, fields, rules and messages of New Business match the business input</w:t>
            </w:r>
          </w:p>
        </w:tc>
        <w:tc>
          <w:tcPr>
            <w:tcW w:type="dxa" w:w="2040"/>
            <w:tcMar>
              <w:top w:w="50" w:type="dxa"/>
              <w:bottom w:w="50" w:type="dxa"/>
              <w:left w:w="90" w:type="dxa"/>
              <w:right w:w="90" w:type="dxa"/>
            </w:tcMar>
          </w:tcPr>
          <w:p>
            <w:pPr>
              <w:pStyle w:val="BDOITable"/>
            </w:pPr>
            <w:r>
              <w:rPr>
                <w:sz w:val="15"/>
              </w:rPr>
              <w:t>p.138; Input provided by on the IT Walkthrough Addendum (pp.8-9); reviewer of the Workshop Addendum (p.32)</w:t>
            </w:r>
          </w:p>
        </w:tc>
      </w:tr>
      <w:tr>
        <w:tc>
          <w:tcPr>
            <w:tcW w:type="dxa" w:w="1246"/>
            <w:tcMar>
              <w:top w:w="50" w:type="dxa"/>
              <w:bottom w:w="50" w:type="dxa"/>
              <w:left w:w="90" w:type="dxa"/>
              <w:right w:w="90" w:type="dxa"/>
            </w:tcMar>
            <w:shd w:val="clear" w:color="auto" w:fill="E5F5FF"/>
          </w:tcPr>
          <w:p>
            <w:pPr>
              <w:pStyle w:val="BDOITable"/>
            </w:pPr>
            <w:r>
              <w:rPr>
                <w:sz w:val="15"/>
              </w:rPr>
              <w:t>Input provided by</w:t>
            </w:r>
          </w:p>
        </w:tc>
        <w:tc>
          <w:tcPr>
            <w:tcW w:type="dxa" w:w="2833"/>
            <w:tcMar>
              <w:top w:w="50" w:type="dxa"/>
              <w:bottom w:w="50" w:type="dxa"/>
              <w:left w:w="90" w:type="dxa"/>
              <w:right w:w="90" w:type="dxa"/>
            </w:tcMar>
            <w:shd w:val="clear" w:color="auto" w:fill="E5F5FF"/>
          </w:tcPr>
          <w:p>
            <w:pPr>
              <w:pStyle w:val="BDOITable"/>
            </w:pPr>
            <w:r>
              <w:rPr>
                <w:sz w:val="15"/>
              </w:rPr>
              <w:t>Technical Support Unit (TSU), BU representatives (BDOI)</w:t>
            </w:r>
          </w:p>
        </w:tc>
        <w:tc>
          <w:tcPr>
            <w:tcW w:type="dxa" w:w="3853"/>
            <w:tcMar>
              <w:top w:w="50" w:type="dxa"/>
              <w:bottom w:w="50" w:type="dxa"/>
              <w:left w:w="90" w:type="dxa"/>
              <w:right w:w="90" w:type="dxa"/>
            </w:tcMar>
            <w:shd w:val="clear" w:color="auto" w:fill="E5F5FF"/>
          </w:tcPr>
          <w:p>
            <w:pPr>
              <w:pStyle w:val="BDOITable"/>
            </w:pPr>
            <w:r>
              <w:rPr>
                <w:sz w:val="15"/>
              </w:rPr>
              <w:t>The PRF, quotation slip, insurer terms and proposal slip screens match the business input</w:t>
            </w:r>
          </w:p>
        </w:tc>
        <w:tc>
          <w:tcPr>
            <w:tcW w:type="dxa" w:w="2040"/>
            <w:tcMar>
              <w:top w:w="50" w:type="dxa"/>
              <w:bottom w:w="50" w:type="dxa"/>
              <w:left w:w="90" w:type="dxa"/>
              <w:right w:w="90" w:type="dxa"/>
            </w:tcMar>
            <w:shd w:val="clear" w:color="auto" w:fill="E5F5FF"/>
          </w:tcPr>
          <w:p>
            <w:pPr>
              <w:pStyle w:val="BDOITable"/>
            </w:pPr>
            <w:r>
              <w:rPr>
                <w:sz w:val="15"/>
              </w:rPr>
              <w:t>Added for this set (BU input named in the BRD revision log)</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Program Manager, Enterprise Services Group - Business Project Services (BPS) (BDO Unibank ESG)</w:t>
            </w:r>
          </w:p>
        </w:tc>
        <w:tc>
          <w:tcPr>
            <w:tcW w:type="dxa" w:w="3853"/>
            <w:tcMar>
              <w:top w:w="50" w:type="dxa"/>
              <w:bottom w:w="50" w:type="dxa"/>
              <w:left w:w="90" w:type="dxa"/>
              <w:right w:w="90" w:type="dxa"/>
            </w:tcMar>
          </w:tcPr>
          <w:p>
            <w:pPr>
              <w:pStyle w:val="BDOITable"/>
            </w:pPr>
            <w:r>
              <w:rPr>
                <w:sz w:val="15"/>
              </w:rPr>
              <w:t>Traceability of every BRD requirement to the set and completeness of the set</w:t>
            </w:r>
          </w:p>
        </w:tc>
        <w:tc>
          <w:tcPr>
            <w:tcW w:type="dxa" w:w="2040"/>
            <w:tcMar>
              <w:top w:w="50" w:type="dxa"/>
              <w:bottom w:w="50" w:type="dxa"/>
              <w:left w:w="90" w:type="dxa"/>
              <w:right w:w="90" w:type="dxa"/>
            </w:tcMar>
          </w:tcPr>
          <w:p>
            <w:pPr>
              <w:pStyle w:val="BDOITable"/>
            </w:pPr>
            <w:r>
              <w:rPr>
                <w:sz w:val="15"/>
              </w:rPr>
              <w:t>Reviewed by (p.32; IT Walkthrough Addendum p.10); Approved by (p.139)</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BA Unit Head, Enterprise Services Group - Business Project Services (BPS) (BDO Unibank ESG)</w:t>
            </w:r>
          </w:p>
        </w:tc>
        <w:tc>
          <w:tcPr>
            <w:tcW w:type="dxa" w:w="3853"/>
            <w:tcMar>
              <w:top w:w="50" w:type="dxa"/>
              <w:bottom w:w="50" w:type="dxa"/>
              <w:left w:w="90" w:type="dxa"/>
              <w:right w:w="90" w:type="dxa"/>
            </w:tcMar>
            <w:shd w:val="clear" w:color="auto" w:fill="E5F5FF"/>
          </w:tcPr>
          <w:p>
            <w:pPr>
              <w:pStyle w:val="BDOITable"/>
            </w:pPr>
            <w:r>
              <w:rPr>
                <w:sz w:val="15"/>
              </w:rPr>
              <w:t>The requirements of the IT Walkthrough Addendum are stated in the set as approved, and every departure is listed for confirmation</w:t>
            </w:r>
          </w:p>
        </w:tc>
        <w:tc>
          <w:tcPr>
            <w:tcW w:type="dxa" w:w="2040"/>
            <w:tcMar>
              <w:top w:w="50" w:type="dxa"/>
              <w:bottom w:w="50" w:type="dxa"/>
              <w:left w:w="90" w:type="dxa"/>
              <w:right w:w="90" w:type="dxa"/>
            </w:tcMar>
            <w:shd w:val="clear" w:color="auto" w:fill="E5F5FF"/>
          </w:tcPr>
          <w:p>
            <w:pPr>
              <w:pStyle w:val="BDOITable"/>
            </w:pPr>
            <w:r>
              <w:rPr>
                <w:sz w:val="15"/>
              </w:rPr>
              <w:t>Reviewed by (IT Walkthrough Addendum p.10)</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BDOI Information Technology Group (BDOI IT) (BDOI)</w:t>
            </w:r>
          </w:p>
        </w:tc>
        <w:tc>
          <w:tcPr>
            <w:tcW w:type="dxa" w:w="3853"/>
            <w:tcMar>
              <w:top w:w="50" w:type="dxa"/>
              <w:bottom w:w="50" w:type="dxa"/>
              <w:left w:w="90" w:type="dxa"/>
              <w:right w:w="90" w:type="dxa"/>
            </w:tcMar>
          </w:tcPr>
          <w:p>
            <w:pPr>
              <w:pStyle w:val="BDOITable"/>
            </w:pPr>
            <w:r>
              <w:rPr>
                <w:sz w:val="15"/>
              </w:rPr>
              <w:t>Interfaces, user access and menus, and the Technical Specification (a separate document); not the business screens</w:t>
            </w:r>
          </w:p>
        </w:tc>
        <w:tc>
          <w:tcPr>
            <w:tcW w:type="dxa" w:w="2040"/>
            <w:tcMar>
              <w:top w:w="50" w:type="dxa"/>
              <w:bottom w:w="50" w:type="dxa"/>
              <w:left w:w="90" w:type="dxa"/>
              <w:right w:w="90" w:type="dxa"/>
            </w:tcMar>
          </w:tcPr>
          <w:p>
            <w:pPr>
              <w:pStyle w:val="BDOITable"/>
            </w:pPr>
            <w:r>
              <w:rPr>
                <w:sz w:val="15"/>
              </w:rPr>
              <w:t>Reviewed by (p.138)</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Compliance Officer (BDOI)</w:t>
            </w:r>
          </w:p>
        </w:tc>
        <w:tc>
          <w:tcPr>
            <w:tcW w:type="dxa" w:w="3853"/>
            <w:tcMar>
              <w:top w:w="50" w:type="dxa"/>
              <w:bottom w:w="50" w:type="dxa"/>
              <w:left w:w="90" w:type="dxa"/>
              <w:right w:w="90" w:type="dxa"/>
            </w:tcMar>
            <w:shd w:val="clear" w:color="auto" w:fill="E5F5FF"/>
          </w:tcPr>
          <w:p>
            <w:pPr>
              <w:pStyle w:val="BDOITable"/>
            </w:pPr>
            <w:r>
              <w:rPr>
                <w:sz w:val="15"/>
              </w:rPr>
              <w:t>KYC, the screening hand-off and record retention</w:t>
            </w:r>
          </w:p>
        </w:tc>
        <w:tc>
          <w:tcPr>
            <w:tcW w:type="dxa" w:w="2040"/>
            <w:tcMar>
              <w:top w:w="50" w:type="dxa"/>
              <w:bottom w:w="50" w:type="dxa"/>
              <w:left w:w="90" w:type="dxa"/>
              <w:right w:w="90" w:type="dxa"/>
            </w:tcMar>
            <w:shd w:val="clear" w:color="auto" w:fill="E5F5FF"/>
          </w:tcPr>
          <w:p>
            <w:pPr>
              <w:pStyle w:val="BDOITable"/>
            </w:pPr>
            <w:r>
              <w:rPr>
                <w:sz w:val="15"/>
              </w:rPr>
              <w:t>Added for this set</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Product Owner, Marketing Business System (BDOI)</w:t>
            </w:r>
          </w:p>
        </w:tc>
        <w:tc>
          <w:tcPr>
            <w:tcW w:type="dxa" w:w="3853"/>
            <w:tcMar>
              <w:top w:w="50" w:type="dxa"/>
              <w:bottom w:w="50" w:type="dxa"/>
              <w:left w:w="90" w:type="dxa"/>
              <w:right w:w="90" w:type="dxa"/>
            </w:tcMar>
          </w:tcPr>
          <w:p>
            <w:pPr>
              <w:pStyle w:val="BDOITable"/>
            </w:pPr>
            <w:r>
              <w:rPr>
                <w:sz w:val="15"/>
              </w:rPr>
              <w:t>Owns the set and approves all of its contents</w:t>
            </w:r>
          </w:p>
        </w:tc>
        <w:tc>
          <w:tcPr>
            <w:tcW w:type="dxa" w:w="2040"/>
            <w:tcMar>
              <w:top w:w="50" w:type="dxa"/>
              <w:bottom w:w="50" w:type="dxa"/>
              <w:left w:w="90" w:type="dxa"/>
              <w:right w:w="90" w:type="dxa"/>
            </w:tcMar>
          </w:tcPr>
          <w:p>
            <w:pPr>
              <w:pStyle w:val="BDOITable"/>
            </w:pPr>
            <w:r>
              <w:rPr>
                <w:sz w:val="15"/>
              </w:rPr>
              <w:t>Approved by (p.139, p.32; IT Walkthrough Addendum p.10)</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Unit Head - Processing (BDOI)</w:t>
            </w:r>
          </w:p>
        </w:tc>
        <w:tc>
          <w:tcPr>
            <w:tcW w:type="dxa" w:w="3853"/>
            <w:tcMar>
              <w:top w:w="50" w:type="dxa"/>
              <w:bottom w:w="50" w:type="dxa"/>
              <w:left w:w="90" w:type="dxa"/>
              <w:right w:w="90" w:type="dxa"/>
            </w:tcMar>
            <w:shd w:val="clear" w:color="auto" w:fill="E5F5FF"/>
          </w:tcPr>
          <w:p>
            <w:pPr>
              <w:pStyle w:val="BDOITable"/>
            </w:pPr>
            <w:r>
              <w:rPr>
                <w:sz w:val="15"/>
              </w:rPr>
              <w:t>Payment, placement, issuance and booking</w:t>
            </w:r>
          </w:p>
        </w:tc>
        <w:tc>
          <w:tcPr>
            <w:tcW w:type="dxa" w:w="2040"/>
            <w:tcMar>
              <w:top w:w="50" w:type="dxa"/>
              <w:bottom w:w="50" w:type="dxa"/>
              <w:left w:w="90" w:type="dxa"/>
              <w:right w:w="90" w:type="dxa"/>
            </w:tcMar>
            <w:shd w:val="clear" w:color="auto" w:fill="E5F5FF"/>
          </w:tcPr>
          <w:p>
            <w:pPr>
              <w:pStyle w:val="BDOITable"/>
            </w:pPr>
            <w:r>
              <w:rPr>
                <w:sz w:val="15"/>
              </w:rPr>
              <w:t>Approved by (p.32)</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Unit Head - Combank and Corbank (BDOI)</w:t>
            </w:r>
          </w:p>
        </w:tc>
        <w:tc>
          <w:tcPr>
            <w:tcW w:type="dxa" w:w="3853"/>
            <w:tcMar>
              <w:top w:w="50" w:type="dxa"/>
              <w:bottom w:w="50" w:type="dxa"/>
              <w:left w:w="90" w:type="dxa"/>
              <w:right w:w="90" w:type="dxa"/>
            </w:tcMar>
          </w:tcPr>
          <w:p>
            <w:pPr>
              <w:pStyle w:val="BDOITable"/>
            </w:pPr>
            <w:r>
              <w:rPr>
                <w:sz w:val="15"/>
              </w:rPr>
              <w:t>Clients, quotations, PRFs and accounts of Combank and Corbank</w:t>
            </w:r>
          </w:p>
        </w:tc>
        <w:tc>
          <w:tcPr>
            <w:tcW w:type="dxa" w:w="2040"/>
            <w:tcMar>
              <w:top w:w="50" w:type="dxa"/>
              <w:bottom w:w="50" w:type="dxa"/>
              <w:left w:w="90" w:type="dxa"/>
              <w:right w:w="90" w:type="dxa"/>
            </w:tcMar>
          </w:tcPr>
          <w:p>
            <w:pPr>
              <w:pStyle w:val="BDOITable"/>
            </w:pPr>
            <w:r>
              <w:rPr>
                <w:sz w:val="15"/>
              </w:rPr>
              <w:t>Approved by (p.139, p.32; IT Walkthrough Addendum p.10)</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Head - Retail Marketing (BDOI)</w:t>
            </w:r>
          </w:p>
        </w:tc>
        <w:tc>
          <w:tcPr>
            <w:tcW w:type="dxa" w:w="3853"/>
            <w:tcMar>
              <w:top w:w="50" w:type="dxa"/>
              <w:bottom w:w="50" w:type="dxa"/>
              <w:left w:w="90" w:type="dxa"/>
              <w:right w:w="90" w:type="dxa"/>
            </w:tcMar>
            <w:shd w:val="clear" w:color="auto" w:fill="E5F5FF"/>
          </w:tcPr>
          <w:p>
            <w:pPr>
              <w:pStyle w:val="BDOITable"/>
            </w:pPr>
            <w:r>
              <w:rPr>
                <w:sz w:val="15"/>
              </w:rPr>
              <w:t>Clients, quotations and accounts of Retail Marketing</w:t>
            </w:r>
          </w:p>
        </w:tc>
        <w:tc>
          <w:tcPr>
            <w:tcW w:type="dxa" w:w="2040"/>
            <w:tcMar>
              <w:top w:w="50" w:type="dxa"/>
              <w:bottom w:w="50" w:type="dxa"/>
              <w:left w:w="90" w:type="dxa"/>
              <w:right w:w="90" w:type="dxa"/>
            </w:tcMar>
            <w:shd w:val="clear" w:color="auto" w:fill="E5F5FF"/>
          </w:tcPr>
          <w:p>
            <w:pPr>
              <w:pStyle w:val="BDOITable"/>
            </w:pPr>
            <w:r>
              <w:rPr>
                <w:sz w:val="15"/>
              </w:rPr>
              <w:t>Approved by (p.139, p.32; IT Walkthrough Addendum p.10)</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of Institutional Banking, SM and BDO Accounts (BDOI)</w:t>
            </w:r>
          </w:p>
        </w:tc>
        <w:tc>
          <w:tcPr>
            <w:tcW w:type="dxa" w:w="3853"/>
            <w:tcMar>
              <w:top w:w="50" w:type="dxa"/>
              <w:bottom w:w="50" w:type="dxa"/>
              <w:left w:w="90" w:type="dxa"/>
              <w:right w:w="90" w:type="dxa"/>
            </w:tcMar>
          </w:tcPr>
          <w:p>
            <w:pPr>
              <w:pStyle w:val="BDOITable"/>
            </w:pPr>
            <w:r>
              <w:rPr>
                <w:sz w:val="15"/>
              </w:rPr>
              <w:t>Clients, quotations and accounts of the institutional accounts</w:t>
            </w:r>
          </w:p>
        </w:tc>
        <w:tc>
          <w:tcPr>
            <w:tcW w:type="dxa" w:w="2040"/>
            <w:tcMar>
              <w:top w:w="50" w:type="dxa"/>
              <w:bottom w:w="50" w:type="dxa"/>
              <w:left w:w="90" w:type="dxa"/>
              <w:right w:w="90" w:type="dxa"/>
            </w:tcMar>
          </w:tcPr>
          <w:p>
            <w:pPr>
              <w:pStyle w:val="BDOITable"/>
            </w:pPr>
            <w:r>
              <w:rPr>
                <w:sz w:val="15"/>
              </w:rPr>
              <w:t>Approved by (p.139)</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Head - Comptrollership (BDOI)</w:t>
            </w:r>
          </w:p>
        </w:tc>
        <w:tc>
          <w:tcPr>
            <w:tcW w:type="dxa" w:w="3853"/>
            <w:tcMar>
              <w:top w:w="50" w:type="dxa"/>
              <w:bottom w:w="50" w:type="dxa"/>
              <w:left w:w="90" w:type="dxa"/>
              <w:right w:w="90" w:type="dxa"/>
            </w:tcMar>
            <w:shd w:val="clear" w:color="auto" w:fill="E5F5FF"/>
          </w:tcPr>
          <w:p>
            <w:pPr>
              <w:pStyle w:val="BDOITable"/>
            </w:pPr>
            <w:r>
              <w:rPr>
                <w:sz w:val="15"/>
              </w:rPr>
              <w:t>Booking entries, service invoices and the hand-off to Accounting</w:t>
            </w:r>
          </w:p>
        </w:tc>
        <w:tc>
          <w:tcPr>
            <w:tcW w:type="dxa" w:w="2040"/>
            <w:tcMar>
              <w:top w:w="50" w:type="dxa"/>
              <w:bottom w:w="50" w:type="dxa"/>
              <w:left w:w="90" w:type="dxa"/>
              <w:right w:w="90" w:type="dxa"/>
            </w:tcMar>
            <w:shd w:val="clear" w:color="auto" w:fill="E5F5FF"/>
          </w:tcPr>
          <w:p>
            <w:pPr>
              <w:pStyle w:val="BDOITable"/>
            </w:pPr>
            <w:r>
              <w:rPr>
                <w:sz w:val="15"/>
              </w:rPr>
              <w:t>Approved by (p.139); marked not required on the IT Walkthrough Addendum (p.10)</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Officer-in-Charge (OIC), BDO Insurance and Reinsurance Brokers (BDOI)</w:t>
            </w:r>
          </w:p>
        </w:tc>
        <w:tc>
          <w:tcPr>
            <w:tcW w:type="dxa" w:w="3853"/>
            <w:tcMar>
              <w:top w:w="50" w:type="dxa"/>
              <w:bottom w:w="50" w:type="dxa"/>
              <w:left w:w="90" w:type="dxa"/>
              <w:right w:w="90" w:type="dxa"/>
            </w:tcMar>
          </w:tcPr>
          <w:p>
            <w:pPr>
              <w:pStyle w:val="BDOITable"/>
            </w:pPr>
            <w:r>
              <w:rPr>
                <w:sz w:val="15"/>
              </w:rPr>
              <w:t>The requirements of the IT Walkthrough Addendum and the proposed rules that follow from them</w:t>
            </w:r>
          </w:p>
        </w:tc>
        <w:tc>
          <w:tcPr>
            <w:tcW w:type="dxa" w:w="2040"/>
            <w:tcMar>
              <w:top w:w="50" w:type="dxa"/>
              <w:bottom w:w="50" w:type="dxa"/>
              <w:left w:w="90" w:type="dxa"/>
              <w:right w:w="90" w:type="dxa"/>
            </w:tcMar>
          </w:tcPr>
          <w:p>
            <w:pPr>
              <w:pStyle w:val="BDOITable"/>
            </w:pPr>
            <w:r>
              <w:rPr>
                <w:sz w:val="15"/>
              </w:rPr>
              <w:t>Approved by (IT Walkthrough Addendum p.10)</w:t>
            </w:r>
          </w:p>
        </w:tc>
      </w:tr>
    </w:tbl>
    <w:p>
      <w:pPr>
        <w:pStyle w:val="BDOISpacer"/>
      </w:pPr>
    </w:p>
    <w:p>
      <w:r>
        <w:rPr/>
        <w:t>The signatories sign the Sign-off certificate sheet of the sign-off workbook in the same order: prepared by, input provided by, reviewed by, approved by.</w:t>
      </w:r>
    </w:p>
    <w:p>
      <w:pPr>
        <w:pStyle w:val="Heading1"/>
        <w:pBdr>
          <w:bottom w:val="single" w:sz="4" w:space="4" w:color="99C1E7"/>
        </w:pBdr>
      </w:pPr>
      <w:bookmarkStart w:id="107" w:name="_Toc000107"/>
      <w:r>
        <w:rPr/>
        <w:t>7 Change control after sign-off</w:t>
      </w:r>
      <w:bookmarkEnd w:id="107"/>
    </w:p>
    <w:p>
      <w:r>
        <w:rPr/>
        <w:t>Signing freezes the New Business screens, fields, navigation, actions, business rules, messages, notifications, documents, upload templates and the cross-BRD contract as specified. Configuration values marked "default" (SLA hours, thresholds, list entries, templates) are not frozen. A change to anything frozen is raised in the Change Management Register with the screen, field, rule or message concerned, assessed with its mandays and its effect on the other BRDs, approved by the owners of every BRD it touches, and delivered as a new version of the set; only the affected pages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BRD-1 New Business</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BIBS StartHere BRD-01 New Business v2.1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