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Customer Servicing Facility Test Plan</w:t>
      </w:r>
    </w:p>
    <w:p>
      <w:pPr>
        <w:spacing w:after="40"/>
      </w:pPr>
      <w:r>
        <w:rPr>
          <w:color w:val="2E2E2E"/>
          <w:sz w:val="28"/>
        </w:rPr>
        <w:t>BRD-9 Customer Servicing Facility (CSF)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BIBS-TP-BRD-09</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BRD-9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FRS BRD-9 v1.1 (Customer Servicing Facility_Case Management): cases of the Case Management FRs FR-CSF-050 to FR-CSF-061, scenarios SC-CSF-09 to SC-CSF-12, data sets TD-CSF-11 to TD-CSF-14 and the Fulfilment Unit persona added; BRD page references moved by 17 pages.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17 Oct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Aligned with FRS BRD-9 v1.2 (case management delivered; Case Routing on Broking Setup),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Customer Servicing Facility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Alternative Distribution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BDO Insure Contact Center Management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Search, servicing view, contact changes, resends, reports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Fulfilment units named in the case lists of values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Case routing</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Status mapping and contact rules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13</w:t>
        </w:r>
      </w:hyperlink>
    </w:p>
    <w:p>
      <w:pPr>
        <w:pStyle w:val="toc1"/>
      </w:pPr>
      <w:hyperlink w:anchor="_Toc000126" w:history="1">
        <w:r>
          <w:t xml:space="preserve">8 Risks</w:t>
        </w:r>
        <w:r>
          <w:t xml:space="preserve">	</w:t>
        </w:r>
        <w:r>
          <w:t xml:space="preserve">14</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BRD-9 Customer Servicing Facility (CSF) in BIBS (BDOI Broker System, on iNXT BrokerVerse). It tells the BDO Insure Contact Center and the other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BIBS_TestPlan_BRD-09_Customer_Servicing_Facility_v1.1.xlsx</w:t>
      </w:r>
      <w:r>
        <w:rPr/>
        <w:t>, which the testers use during execution.</w:t>
      </w:r>
    </w:p>
    <w:p>
      <w:r>
        <w:rPr/>
        <w:t>Every case traces to a functional requirement (FR) of FRS BRD-9 v1.1 and to the BRD requirement IDs (BRCSF-nnn, the process steps nnn.nnn, the e-mail items CSF-EM07 and CSF-EM09, and the Case Management requirements BRCSFCM.001 to 012 with the case lists of values) that the FR meets.</w:t>
      </w:r>
    </w:p>
    <w:p>
      <w:r>
        <w:rPr/>
        <w:t>The cases are written from the FRS: the expected results quote the message texts of the FRS, and the screen paths and button labels are those of the FRS. They are checked against the screens before the system test starts.</w:t>
      </w:r>
    </w:p>
    <w:p>
      <w:pPr>
        <w:pStyle w:val="Heading2"/>
      </w:pPr>
      <w:bookmarkStart w:id="103" w:name="_Toc000103"/>
      <w:r>
        <w:rPr/>
        <w:t>1.2 Scope</w:t>
      </w:r>
      <w:bookmarkEnd w:id="103"/>
    </w:p>
    <w:p>
      <w:r>
        <w:rPr/>
        <w:t>In scope are all 29 FRs of FRS BRD-9 v1.1 and the BRD IDs they trace to:</w:t>
      </w:r>
    </w:p>
    <w:p>
      <w:pPr>
        <w:tabs>
          <w:tab w:pos="312" w:val="left"/>
        </w:tabs>
        <w:spacing w:after="40"/>
        <w:ind w:left="312" w:hanging="283"/>
      </w:pPr>
      <w:r>
        <w:rPr>
          <w:color w:val="004EA8"/>
        </w:rPr>
        <w:t>•</w:t>
        <w:tab/>
      </w:r>
      <w:r>
        <w:rPr/>
        <w:t>log-in and role-based access for agents, supervisors and management (FR-CSF-001, 002);</w:t>
      </w:r>
    </w:p>
    <w:p>
      <w:pPr>
        <w:tabs>
          <w:tab w:pos="312" w:val="left"/>
        </w:tabs>
        <w:spacing w:after="40"/>
        <w:ind w:left="312" w:hanging="283"/>
      </w:pPr>
      <w:r>
        <w:rPr>
          <w:color w:val="004EA8"/>
        </w:rPr>
        <w:t>•</w:t>
        <w:tab/>
      </w:r>
      <w:r>
        <w:rPr/>
        <w:t>the Customer Search by name, client ID, account number, PN number and application number (FR-CSF-010);</w:t>
      </w:r>
    </w:p>
    <w:p>
      <w:pPr>
        <w:tabs>
          <w:tab w:pos="312" w:val="left"/>
        </w:tabs>
        <w:spacing w:after="40"/>
        <w:ind w:left="312" w:hanging="283"/>
      </w:pPr>
      <w:r>
        <w:rPr>
          <w:color w:val="004EA8"/>
        </w:rPr>
        <w:t>•</w:t>
        <w:tab/>
      </w:r>
      <w:r>
        <w:rPr/>
        <w:t>the Servicing View with client information, accounts, CSF status and payment history (FR-CSF-011 to 013);</w:t>
      </w:r>
    </w:p>
    <w:p>
      <w:pPr>
        <w:tabs>
          <w:tab w:pos="312" w:val="left"/>
        </w:tabs>
        <w:spacing w:after="40"/>
        <w:ind w:left="312" w:hanging="283"/>
      </w:pPr>
      <w:r>
        <w:rPr>
          <w:color w:val="004EA8"/>
        </w:rPr>
        <w:t>•</w:t>
        <w:tab/>
      </w:r>
      <w:r>
        <w:rPr/>
        <w:t>verification of the caller, contact-only update and the legacy sync outbox for QPS and EBIX (FR-CSF-020 to 022);</w:t>
      </w:r>
    </w:p>
    <w:p>
      <w:pPr>
        <w:tabs>
          <w:tab w:pos="312" w:val="left"/>
        </w:tabs>
        <w:spacing w:after="40"/>
        <w:ind w:left="312" w:hanging="283"/>
      </w:pPr>
      <w:r>
        <w:rPr>
          <w:color w:val="004EA8"/>
        </w:rPr>
        <w:t>•</w:t>
        <w:tab/>
      </w:r>
      <w:r>
        <w:rPr/>
        <w:t>renewal advice and e-policy resend, document upload and retrieval (FR-CSF-030 to 033);</w:t>
      </w:r>
    </w:p>
    <w:p>
      <w:pPr>
        <w:tabs>
          <w:tab w:pos="312" w:val="left"/>
        </w:tabs>
        <w:spacing w:after="40"/>
        <w:ind w:left="312" w:hanging="283"/>
      </w:pPr>
      <w:r>
        <w:rPr>
          <w:color w:val="004EA8"/>
        </w:rPr>
        <w:t>•</w:t>
        <w:tab/>
      </w:r>
      <w:r>
        <w:rPr/>
        <w:t>the audit trail, the CSF reports, the agent activity log and the 15-minute backup (FR-CSF-040 to 043);</w:t>
      </w:r>
    </w:p>
    <w:p>
      <w:pPr>
        <w:tabs>
          <w:tab w:pos="312" w:val="left"/>
        </w:tabs>
        <w:spacing w:after="120"/>
        <w:ind w:left="312" w:hanging="283"/>
      </w:pPr>
      <w:r>
        <w:rPr>
          <w:color w:val="004EA8"/>
        </w:rPr>
        <w:t>•</w:t>
        <w:tab/>
      </w:r>
      <w:r>
        <w:rPr/>
        <w:t>case management from the Case Management Addendum: case logging with Case ID and duplicate check, case type and turnaround time, lifecycle statuses, notes, attachments, case audit trail, reassignment and escalation, SLA ageing and notifications, closure and linked follow-up cases, the dashboard and case reports, fulfilment unit routing, resolution and return, and the case lists (FR-CSF-050 to 061).</w:t>
      </w:r>
    </w:p>
    <w:p>
      <w:r>
        <w:rPr/>
        <w:t>The roles-and-access sheet checks each CSF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migration of the cases tracked in SharePoint (CSQ23). The case management cases run in the drop that BDOI and the Change Control Board decide for the module (FRS CLR-CSF-07).</w:t>
      </w:r>
    </w:p>
    <w:p>
      <w:pPr>
        <w:tabs>
          <w:tab w:pos="312" w:val="left"/>
        </w:tabs>
        <w:spacing w:after="40"/>
        <w:ind w:left="312" w:hanging="283"/>
      </w:pPr>
      <w:r>
        <w:rPr>
          <w:color w:val="004EA8"/>
        </w:rPr>
        <w:t>•</w:t>
        <w:tab/>
      </w:r>
      <w:r>
        <w:rPr/>
        <w:t>Changes other than contact details (name, civil status, ID); the cases check only that BIBS refuses them and names the fulfilment unit.</w:t>
      </w:r>
    </w:p>
    <w:p>
      <w:pPr>
        <w:tabs>
          <w:tab w:pos="312" w:val="left"/>
        </w:tabs>
        <w:spacing w:after="40"/>
        <w:ind w:left="312" w:hanging="283"/>
      </w:pPr>
      <w:r>
        <w:rPr>
          <w:color w:val="004EA8"/>
        </w:rPr>
        <w:t>•</w:t>
        <w:tab/>
      </w:r>
      <w:r>
        <w:rPr/>
        <w:t>The transport of contact changes to QPS and EBIX and the lookup of accounts that exist only there (CSQ01, CSQ02). The cases check the outbox with sync disabled; the sending cases run only when a test interface exists.</w:t>
      </w:r>
    </w:p>
    <w:p>
      <w:pPr>
        <w:tabs>
          <w:tab w:pos="312" w:val="left"/>
        </w:tabs>
        <w:spacing w:after="40"/>
        <w:ind w:left="312" w:hanging="283"/>
      </w:pPr>
      <w:r>
        <w:rPr>
          <w:color w:val="004EA8"/>
        </w:rPr>
        <w:t>•</w:t>
        <w:tab/>
      </w:r>
      <w:r>
        <w:rPr/>
        <w:t>The production of renewal advices, e-policies and claims reports; they belong to BRD-6, BRD-8, BRD-1 and BRD-7. The CSF cases read and resend them.</w:t>
      </w:r>
    </w:p>
    <w:p>
      <w:pPr>
        <w:tabs>
          <w:tab w:pos="312" w:val="left"/>
        </w:tabs>
        <w:spacing w:after="120"/>
        <w:ind w:left="312" w:hanging="283"/>
      </w:pPr>
      <w:r>
        <w:rPr>
          <w:color w:val="004EA8"/>
        </w:rPr>
        <w:t>•</w:t>
        <w:tab/>
      </w:r>
      <w:r>
        <w:rPr/>
        <w:t>Performance and volume testing beyond the response times named in the FRs. The NFRs of FRS section 8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BRD-9 Customer Servicing Facility (</w:t>
            </w:r>
            <w:r>
              <w:rPr>
                <w:rFonts w:ascii="Courier New" w:hAnsi="Courier New" w:cs="Courier New" w:eastAsia="Courier New"/>
                <w:color w:val="2E2E2E"/>
                <w:sz w:val="16"/>
              </w:rPr>
              <w:t>BIBS_FRS_BRD-09_Customer_Servicing_Facility_v1.1.docx</w:t>
            </w:r>
            <w:r>
              <w:rPr>
                <w:sz w:val="18"/>
              </w:rPr>
              <w:t>)</w:t>
            </w:r>
          </w:p>
        </w:tc>
        <w:tc>
          <w:tcPr>
            <w:tcW w:type="dxa" w:w="2992"/>
            <w:tcMar>
              <w:top w:w="50" w:type="dxa"/>
              <w:bottom w:w="50" w:type="dxa"/>
              <w:left w:w="90" w:type="dxa"/>
              <w:right w:w="90" w:type="dxa"/>
            </w:tcMar>
          </w:tcPr>
          <w:p>
            <w:pPr>
              <w:pStyle w:val="BDOITable"/>
            </w:pPr>
            <w:r>
              <w:rPr>
                <w:sz w:val="18"/>
              </w:rPr>
              <w:t>1.1, 08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Customer Servicing Facility_Case Management: CSF Addendum - Case Management (p.1-17), CSF BRD (p.18-33) and e-mail thread (p.34-35)</w:t>
            </w:r>
          </w:p>
        </w:tc>
        <w:tc>
          <w:tcPr>
            <w:tcW w:type="dxa" w:w="2992"/>
            <w:tcMar>
              <w:top w:w="50" w:type="dxa"/>
              <w:bottom w:w="50" w:type="dxa"/>
              <w:left w:w="90" w:type="dxa"/>
              <w:right w:w="90" w:type="dxa"/>
            </w:tcMar>
            <w:shd w:val="clear" w:color="auto" w:fill="E5F5FF"/>
          </w:tcPr>
          <w:p>
            <w:pPr>
              <w:pStyle w:val="BDOITable"/>
            </w:pPr>
            <w:r>
              <w:rPr>
                <w:sz w:val="18"/>
              </w:rPr>
              <w:t>Addendum v1.0 signed 31-Mar to 22-Apr-2026; BRD v1.0 09-Jun-2025; e-mail 13-Feb-2026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BRD-9 (</w:t>
            </w:r>
            <w:r>
              <w:rPr>
                <w:rFonts w:ascii="Courier New" w:hAnsi="Courier New" w:cs="Courier New" w:eastAsia="Courier New"/>
                <w:color w:val="2E2E2E"/>
                <w:sz w:val="16"/>
              </w:rPr>
              <w:t>BIBS_TestPlan_BRD-09_Customer_Servicing_Facility_v1.1.xlsx</w:t>
            </w:r>
            <w:r>
              <w:rPr>
                <w:sz w:val="18"/>
              </w:rPr>
              <w:t>)</w:t>
            </w:r>
          </w:p>
        </w:tc>
        <w:tc>
          <w:tcPr>
            <w:tcW w:type="dxa" w:w="2992"/>
            <w:tcMar>
              <w:top w:w="50" w:type="dxa"/>
              <w:bottom w:w="50" w:type="dxa"/>
              <w:left w:w="90" w:type="dxa"/>
              <w:right w:w="90" w:type="dxa"/>
            </w:tcMar>
          </w:tcPr>
          <w:p>
            <w:pPr>
              <w:pStyle w:val="BDOITable"/>
            </w:pPr>
            <w:r>
              <w:rPr>
                <w:sz w:val="18"/>
              </w:rPr>
              <w:t>1.1</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BIBS_Register_BRD-00_Discrepancies_and_Clarifications_v1.2.xlsx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1.2</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SIT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After the CSF is deployed on SIT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twelve scenarios from start to finish by the persona that owns each step, with e-mails checked in the test mailboxes</w:t>
            </w:r>
          </w:p>
        </w:tc>
        <w:tc>
          <w:tcPr>
            <w:tcW w:type="dxa" w:w="2163"/>
            <w:tcMar>
              <w:top w:w="50" w:type="dxa"/>
              <w:bottom w:w="50" w:type="dxa"/>
              <w:left w:w="90" w:type="dxa"/>
              <w:right w:w="90" w:type="dxa"/>
            </w:tcMar>
            <w:shd w:val="clear" w:color="auto" w:fill="E5F5FF"/>
          </w:tcPr>
          <w:p>
            <w:pPr>
              <w:pStyle w:val="BDOITable"/>
            </w:pPr>
            <w:r>
              <w:rPr>
                <w:sz w:val="18"/>
              </w:rPr>
              <w:t>iorta TechNXT QA with the Contact Center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Contact Center testers on masked production-like data</w:t>
            </w:r>
          </w:p>
        </w:tc>
        <w:tc>
          <w:tcPr>
            <w:tcW w:type="dxa" w:w="2163"/>
            <w:tcMar>
              <w:top w:w="50" w:type="dxa"/>
              <w:bottom w:w="50" w:type="dxa"/>
              <w:left w:w="90" w:type="dxa"/>
              <w:right w:w="90" w:type="dxa"/>
            </w:tcMar>
          </w:tcPr>
          <w:p>
            <w:pPr>
              <w:pStyle w:val="BDOITable"/>
            </w:pPr>
            <w:r>
              <w:rPr>
                <w:sz w:val="18"/>
              </w:rPr>
              <w:t>BDO Insure Contact Center agents, supervisors and management</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"A verification with at least 2 of the 4 checks matched passes".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2 and 3 search characters, 1 and 2 verification matches, 29 and 31 minutes after a verification, 12 months and 1 day of payment history, 2 and 3 failed log-ins.</w:t>
      </w:r>
    </w:p>
    <w:p>
      <w:pPr>
        <w:tabs>
          <w:tab w:pos="312" w:val="left"/>
        </w:tabs>
        <w:spacing w:after="40"/>
        <w:ind w:left="312" w:hanging="283"/>
      </w:pPr>
      <w:r>
        <w:rPr>
          <w:color w:val="004EA8"/>
        </w:rPr>
        <w:t>•</w:t>
        <w:tab/>
      </w:r>
      <w:r>
        <w:rPr>
          <w:b/>
        </w:rPr>
        <w:t>Scenarios</w:t>
      </w:r>
      <w:r>
        <w:rPr/>
        <w:t xml:space="preserve"> (sheet Scenarios) group the cases into the threads of a servicing contact, so a tester can follow a call from the search to the resend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contact change, a resend, an unlock or a case action (submit, return, reassign, escalate, close) that moves a record to its next state</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Documents uploaded to the client or an account and files downloaded or previewed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Case IDs carry their condition: TC-CSF-020.2-01 is the first case of condition 2 of FR-CSF-020.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CSF is deployed on SIT with its roles, parameters and lists; screen labels and messages have been compared with this plan and differences recorded; the data sets of section 4.2 are loaded;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renewal advices of at least one source module (or loaded RENEWAL_ADVICE documents) are available.</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BRD-9 v1.1 is signed off or its open comments are agreed; the answers to CSQ03, CSQ04, CSQ10 and, for case management, CSQ17 to CSQ21 are applied as configuration; the case lists and the routing table are loaded; the system test exit criteria are met; the UAT environment holds masked data (section 4.1); Contact Center testers have user IDs with the roles of section 5 and attended the walkthrough of the CSF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legacy sync cases may be Blocked until CSQ01 is answered);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e-mails, notifications and activity log rows.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data and the data sets of section 4.2;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Contact Center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test clients; no real client names, TINs, addresses, e-mail addresses or phone numbers</w:t>
            </w:r>
          </w:p>
        </w:tc>
      </w:tr>
    </w:tbl>
    <w:p>
      <w:pPr>
        <w:pStyle w:val="BDOISpacer"/>
      </w:pPr>
    </w:p>
    <w:p>
      <w:r>
        <w:rPr/>
        <w:t>Non-production data is always masked. Client names, government IDs, addresses, e-mail addresses and phone numbers are replaced before data is loaded into SIT or UAT. The registered e-mail of every test client points to a test mailbox, so no renewal advice or e-policy resent during testing can reach a real client.</w:t>
      </w:r>
    </w:p>
    <w:p>
      <w:pPr>
        <w:pStyle w:val="Heading2"/>
      </w:pPr>
      <w:bookmarkStart w:id="115" w:name="_Toc000115"/>
      <w:r>
        <w:rPr/>
        <w:t>4.2 Named data sets</w:t>
      </w:r>
      <w:bookmarkEnd w:id="115"/>
    </w:p>
    <w:p>
      <w:r>
        <w:rPr/>
        <w:t>The cases refer to named data sets. The test lead prepares each set on SIT as its source column says; the SIT/UAT users and the status map come with the seed data.</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TD-CSF-01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Created by the test lead through User Access requests on SIT, or the seed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TD-CSF-02</w:t>
            </w:r>
          </w:p>
        </w:tc>
        <w:tc>
          <w:tcPr>
            <w:tcW w:type="dxa" w:w="3520"/>
            <w:tcMar>
              <w:top w:w="50" w:type="dxa"/>
              <w:bottom w:w="50" w:type="dxa"/>
              <w:left w:w="90" w:type="dxa"/>
              <w:right w:w="90" w:type="dxa"/>
            </w:tcMar>
            <w:shd w:val="clear" w:color="auto" w:fill="E5F5FF"/>
          </w:tcPr>
          <w:p>
            <w:pPr>
              <w:pStyle w:val="BDOITable"/>
            </w:pPr>
            <w:r>
              <w:rPr>
                <w:sz w:val="17"/>
              </w:rPr>
              <w:t>Client with CBG and non-CBG accounts</w:t>
            </w:r>
          </w:p>
        </w:tc>
        <w:tc>
          <w:tcPr>
            <w:tcW w:type="dxa" w:w="5279"/>
            <w:tcMar>
              <w:top w:w="50" w:type="dxa"/>
              <w:bottom w:w="50" w:type="dxa"/>
              <w:left w:w="90" w:type="dxa"/>
              <w:right w:w="90" w:type="dxa"/>
            </w:tcMar>
            <w:shd w:val="clear" w:color="auto" w:fill="E5F5FF"/>
          </w:tcPr>
          <w:p>
            <w:pPr>
              <w:pStyle w:val="BDOITable"/>
            </w:pPr>
            <w:r>
              <w:rPr>
                <w:sz w:val="17"/>
              </w:rPr>
              <w:t>Prepared by the test lead on SIT from masked seed clients and accounts keyed in the BRD-1 screens</w:t>
            </w:r>
          </w:p>
        </w:tc>
      </w:tr>
      <w:tr>
        <w:trPr>
          <w:cantSplit w:val="true"/>
        </w:trPr>
        <w:tc>
          <w:tcPr>
            <w:tcW w:type="dxa" w:w="1173"/>
            <w:tcMar>
              <w:top w:w="50" w:type="dxa"/>
              <w:bottom w:w="50" w:type="dxa"/>
              <w:left w:w="90" w:type="dxa"/>
              <w:right w:w="90" w:type="dxa"/>
            </w:tcMar>
          </w:tcPr>
          <w:p>
            <w:pPr>
              <w:pStyle w:val="BDOITable"/>
            </w:pPr>
            <w:r>
              <w:rPr>
                <w:sz w:val="17"/>
              </w:rPr>
              <w:t>TD-CSF-03</w:t>
            </w:r>
          </w:p>
        </w:tc>
        <w:tc>
          <w:tcPr>
            <w:tcW w:type="dxa" w:w="3520"/>
            <w:tcMar>
              <w:top w:w="50" w:type="dxa"/>
              <w:bottom w:w="50" w:type="dxa"/>
              <w:left w:w="90" w:type="dxa"/>
              <w:right w:w="90" w:type="dxa"/>
            </w:tcMar>
          </w:tcPr>
          <w:p>
            <w:pPr>
              <w:pStyle w:val="BDOITable"/>
            </w:pPr>
            <w:r>
              <w:rPr>
                <w:sz w:val="17"/>
              </w:rPr>
              <w:t>Accounts in each CSF status</w:t>
            </w:r>
          </w:p>
        </w:tc>
        <w:tc>
          <w:tcPr>
            <w:tcW w:type="dxa" w:w="5279"/>
            <w:tcMar>
              <w:top w:w="50" w:type="dxa"/>
              <w:bottom w:w="50" w:type="dxa"/>
              <w:left w:w="90" w:type="dxa"/>
              <w:right w:w="90" w:type="dxa"/>
            </w:tcMar>
          </w:tcPr>
          <w:p>
            <w:pPr>
              <w:pStyle w:val="BDOITable"/>
            </w:pPr>
            <w:r>
              <w:rPr>
                <w:sz w:val="17"/>
              </w:rPr>
              <w:t>Prepared by the test lead on SIT through the BRD-1 and BRD-2 screens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TD-CSF-04</w:t>
            </w:r>
          </w:p>
        </w:tc>
        <w:tc>
          <w:tcPr>
            <w:tcW w:type="dxa" w:w="3520"/>
            <w:tcMar>
              <w:top w:w="50" w:type="dxa"/>
              <w:bottom w:w="50" w:type="dxa"/>
              <w:left w:w="90" w:type="dxa"/>
              <w:right w:w="90" w:type="dxa"/>
            </w:tcMar>
            <w:shd w:val="clear" w:color="auto" w:fill="E5F5FF"/>
          </w:tcPr>
          <w:p>
            <w:pPr>
              <w:pStyle w:val="BDOITable"/>
            </w:pPr>
            <w:r>
              <w:rPr>
                <w:sz w:val="17"/>
              </w:rPr>
              <w:t>Search keys</w:t>
            </w:r>
          </w:p>
        </w:tc>
        <w:tc>
          <w:tcPr>
            <w:tcW w:type="dxa" w:w="5279"/>
            <w:tcMar>
              <w:top w:w="50" w:type="dxa"/>
              <w:bottom w:w="50" w:type="dxa"/>
              <w:left w:w="90" w:type="dxa"/>
              <w:right w:w="90" w:type="dxa"/>
            </w:tcMar>
            <w:shd w:val="clear" w:color="auto" w:fill="E5F5FF"/>
          </w:tcPr>
          <w:p>
            <w:pPr>
              <w:pStyle w:val="BDOITable"/>
            </w:pPr>
            <w:r>
              <w:rPr>
                <w:sz w:val="17"/>
              </w:rPr>
              <w:t>Prepared by the test lead; the 50-client surname is loaded with the client bulk upload</w:t>
            </w:r>
          </w:p>
        </w:tc>
      </w:tr>
      <w:tr>
        <w:trPr>
          <w:cantSplit w:val="true"/>
        </w:trPr>
        <w:tc>
          <w:tcPr>
            <w:tcW w:type="dxa" w:w="1173"/>
            <w:tcMar>
              <w:top w:w="50" w:type="dxa"/>
              <w:bottom w:w="50" w:type="dxa"/>
              <w:left w:w="90" w:type="dxa"/>
              <w:right w:w="90" w:type="dxa"/>
            </w:tcMar>
          </w:tcPr>
          <w:p>
            <w:pPr>
              <w:pStyle w:val="BDOITable"/>
            </w:pPr>
            <w:r>
              <w:rPr>
                <w:sz w:val="17"/>
              </w:rPr>
              <w:t>TD-CSF-05</w:t>
            </w:r>
          </w:p>
        </w:tc>
        <w:tc>
          <w:tcPr>
            <w:tcW w:type="dxa" w:w="3520"/>
            <w:tcMar>
              <w:top w:w="50" w:type="dxa"/>
              <w:bottom w:w="50" w:type="dxa"/>
              <w:left w:w="90" w:type="dxa"/>
              <w:right w:w="90" w:type="dxa"/>
            </w:tcMar>
          </w:tcPr>
          <w:p>
            <w:pPr>
              <w:pStyle w:val="BDOITable"/>
            </w:pPr>
            <w:r>
              <w:rPr>
                <w:sz w:val="17"/>
              </w:rPr>
              <w:t>Payment history over 14 months</w:t>
            </w:r>
          </w:p>
        </w:tc>
        <w:tc>
          <w:tcPr>
            <w:tcW w:type="dxa" w:w="5279"/>
            <w:tcMar>
              <w:top w:w="50" w:type="dxa"/>
              <w:bottom w:w="50" w:type="dxa"/>
              <w:left w:w="90" w:type="dxa"/>
              <w:right w:w="90" w:type="dxa"/>
            </w:tcMar>
          </w:tcPr>
          <w:p>
            <w:pPr>
              <w:pStyle w:val="BDOITable"/>
            </w:pPr>
            <w:r>
              <w:rPr>
                <w:sz w:val="17"/>
              </w:rPr>
              <w:t>Keyed in Cashiering (BRD-2) on SIT by the test lead; receipt dates set in the test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TD-CSF-06</w:t>
            </w:r>
          </w:p>
        </w:tc>
        <w:tc>
          <w:tcPr>
            <w:tcW w:type="dxa" w:w="3520"/>
            <w:tcMar>
              <w:top w:w="50" w:type="dxa"/>
              <w:bottom w:w="50" w:type="dxa"/>
              <w:left w:w="90" w:type="dxa"/>
              <w:right w:w="90" w:type="dxa"/>
            </w:tcMar>
            <w:shd w:val="clear" w:color="auto" w:fill="E5F5FF"/>
          </w:tcPr>
          <w:p>
            <w:pPr>
              <w:pStyle w:val="BDOITable"/>
            </w:pPr>
            <w:r>
              <w:rPr>
                <w:sz w:val="17"/>
              </w:rPr>
              <w:t>Renewal advices and e-policies</w:t>
            </w:r>
          </w:p>
        </w:tc>
        <w:tc>
          <w:tcPr>
            <w:tcW w:type="dxa" w:w="5279"/>
            <w:tcMar>
              <w:top w:w="50" w:type="dxa"/>
              <w:bottom w:w="50" w:type="dxa"/>
              <w:left w:w="90" w:type="dxa"/>
              <w:right w:w="90" w:type="dxa"/>
            </w:tcMar>
            <w:shd w:val="clear" w:color="auto" w:fill="E5F5FF"/>
          </w:tcPr>
          <w:p>
            <w:pPr>
              <w:pStyle w:val="BDOITable"/>
            </w:pPr>
            <w:r>
              <w:rPr>
                <w:sz w:val="17"/>
              </w:rPr>
              <w:t>RAs loaded as RENEWAL_ADVICE attachments by the test lead until the Renewal and EB modules produce them (dependency D-CSF-01); e-policy from Issuance (BRD-1)</w:t>
            </w:r>
          </w:p>
        </w:tc>
      </w:tr>
      <w:tr>
        <w:trPr>
          <w:cantSplit w:val="true"/>
        </w:trPr>
        <w:tc>
          <w:tcPr>
            <w:tcW w:type="dxa" w:w="1173"/>
            <w:tcMar>
              <w:top w:w="50" w:type="dxa"/>
              <w:bottom w:w="50" w:type="dxa"/>
              <w:left w:w="90" w:type="dxa"/>
              <w:right w:w="90" w:type="dxa"/>
            </w:tcMar>
          </w:tcPr>
          <w:p>
            <w:pPr>
              <w:pStyle w:val="BDOITable"/>
            </w:pPr>
            <w:r>
              <w:rPr>
                <w:sz w:val="17"/>
              </w:rPr>
              <w:t>TD-CSF-07</w:t>
            </w:r>
          </w:p>
        </w:tc>
        <w:tc>
          <w:tcPr>
            <w:tcW w:type="dxa" w:w="3520"/>
            <w:tcMar>
              <w:top w:w="50" w:type="dxa"/>
              <w:bottom w:w="50" w:type="dxa"/>
              <w:left w:w="90" w:type="dxa"/>
              <w:right w:w="90" w:type="dxa"/>
            </w:tcMar>
          </w:tcPr>
          <w:p>
            <w:pPr>
              <w:pStyle w:val="BDOITable"/>
            </w:pPr>
            <w:r>
              <w:rPr>
                <w:sz w:val="17"/>
              </w:rPr>
              <w:t>Files to upload</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TD-CSF-08</w:t>
            </w:r>
          </w:p>
        </w:tc>
        <w:tc>
          <w:tcPr>
            <w:tcW w:type="dxa" w:w="3520"/>
            <w:tcMar>
              <w:top w:w="50" w:type="dxa"/>
              <w:bottom w:w="50" w:type="dxa"/>
              <w:left w:w="90" w:type="dxa"/>
              <w:right w:w="90" w:type="dxa"/>
            </w:tcMar>
            <w:shd w:val="clear" w:color="auto" w:fill="E5F5FF"/>
          </w:tcPr>
          <w:p>
            <w:pPr>
              <w:pStyle w:val="BDOITable"/>
            </w:pPr>
            <w:r>
              <w:rPr>
                <w:sz w:val="17"/>
              </w:rPr>
              <w:t>Documents of the client</w:t>
            </w:r>
          </w:p>
        </w:tc>
        <w:tc>
          <w:tcPr>
            <w:tcW w:type="dxa" w:w="5279"/>
            <w:tcMar>
              <w:top w:w="50" w:type="dxa"/>
              <w:bottom w:w="50" w:type="dxa"/>
              <w:left w:w="90" w:type="dxa"/>
              <w:right w:w="90" w:type="dxa"/>
            </w:tcMar>
            <w:shd w:val="clear" w:color="auto" w:fill="E5F5FF"/>
          </w:tcPr>
          <w:p>
            <w:pPr>
              <w:pStyle w:val="BDOITable"/>
            </w:pPr>
            <w:r>
              <w:rPr>
                <w:sz w:val="17"/>
              </w:rPr>
              <w:t>Attached on SIT by the test lead through the owning modules</w:t>
            </w:r>
          </w:p>
        </w:tc>
      </w:tr>
      <w:tr>
        <w:trPr>
          <w:cantSplit w:val="true"/>
        </w:trPr>
        <w:tc>
          <w:tcPr>
            <w:tcW w:type="dxa" w:w="1173"/>
            <w:tcMar>
              <w:top w:w="50" w:type="dxa"/>
              <w:bottom w:w="50" w:type="dxa"/>
              <w:left w:w="90" w:type="dxa"/>
              <w:right w:w="90" w:type="dxa"/>
            </w:tcMar>
          </w:tcPr>
          <w:p>
            <w:pPr>
              <w:pStyle w:val="BDOITable"/>
            </w:pPr>
            <w:r>
              <w:rPr>
                <w:sz w:val="17"/>
              </w:rPr>
              <w:t>TD-CSF-09</w:t>
            </w:r>
          </w:p>
        </w:tc>
        <w:tc>
          <w:tcPr>
            <w:tcW w:type="dxa" w:w="3520"/>
            <w:tcMar>
              <w:top w:w="50" w:type="dxa"/>
              <w:bottom w:w="50" w:type="dxa"/>
              <w:left w:w="90" w:type="dxa"/>
              <w:right w:w="90" w:type="dxa"/>
            </w:tcMar>
          </w:tcPr>
          <w:p>
            <w:pPr>
              <w:pStyle w:val="BDOITable"/>
            </w:pPr>
            <w:r>
              <w:rPr>
                <w:sz w:val="17"/>
              </w:rPr>
              <w:t>Parameters as configured</w:t>
            </w:r>
          </w:p>
        </w:tc>
        <w:tc>
          <w:tcPr>
            <w:tcW w:type="dxa" w:w="5279"/>
            <w:tcMar>
              <w:top w:w="50" w:type="dxa"/>
              <w:bottom w:w="50" w:type="dxa"/>
              <w:left w:w="90" w:type="dxa"/>
              <w:right w:w="90" w:type="dxa"/>
            </w:tcMar>
          </w:tcPr>
          <w:p>
            <w:pPr>
              <w:pStyle w:val="BDOITable"/>
            </w:pPr>
            <w:r>
              <w:rPr>
                <w:sz w:val="17"/>
              </w:rPr>
              <w:t>Configuration of the SIT environment (FRS section 9.1)</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TD-CSF-10</w:t>
            </w:r>
          </w:p>
        </w:tc>
        <w:tc>
          <w:tcPr>
            <w:tcW w:type="dxa" w:w="3520"/>
            <w:tcMar>
              <w:top w:w="50" w:type="dxa"/>
              <w:bottom w:w="50" w:type="dxa"/>
              <w:left w:w="90" w:type="dxa"/>
              <w:right w:w="90" w:type="dxa"/>
            </w:tcMar>
            <w:shd w:val="clear" w:color="auto" w:fill="E5F5FF"/>
          </w:tcPr>
          <w:p>
            <w:pPr>
              <w:pStyle w:val="BDOITable"/>
            </w:pPr>
            <w:r>
              <w:rPr>
                <w:sz w:val="17"/>
              </w:rPr>
              <w:t>Test mailboxes</w:t>
            </w:r>
          </w:p>
        </w:tc>
        <w:tc>
          <w:tcPr>
            <w:tcW w:type="dxa" w:w="5279"/>
            <w:tcMar>
              <w:top w:w="50" w:type="dxa"/>
              <w:bottom w:w="50" w:type="dxa"/>
              <w:left w:w="90" w:type="dxa"/>
              <w:right w:w="90" w:type="dxa"/>
            </w:tcMar>
            <w:shd w:val="clear" w:color="auto" w:fill="E5F5FF"/>
          </w:tcPr>
          <w:p>
            <w:pPr>
              <w:pStyle w:val="BDOITable"/>
            </w:pPr>
            <w:r>
              <w:rPr>
                <w:sz w:val="17"/>
              </w:rPr>
              <w:t>Test mail relay of SIT and UAT</w:t>
            </w:r>
          </w:p>
        </w:tc>
      </w:tr>
      <w:tr>
        <w:trPr>
          <w:cantSplit w:val="true"/>
        </w:trPr>
        <w:tc>
          <w:tcPr>
            <w:tcW w:type="dxa" w:w="1173"/>
            <w:tcMar>
              <w:top w:w="50" w:type="dxa"/>
              <w:bottom w:w="50" w:type="dxa"/>
              <w:left w:w="90" w:type="dxa"/>
              <w:right w:w="90" w:type="dxa"/>
            </w:tcMar>
          </w:tcPr>
          <w:p>
            <w:pPr>
              <w:pStyle w:val="BDOITable"/>
            </w:pPr>
            <w:r>
              <w:rPr>
                <w:sz w:val="17"/>
              </w:rPr>
              <w:t>TD-CSF-11</w:t>
            </w:r>
          </w:p>
        </w:tc>
        <w:tc>
          <w:tcPr>
            <w:tcW w:type="dxa" w:w="3520"/>
            <w:tcMar>
              <w:top w:w="50" w:type="dxa"/>
              <w:bottom w:w="50" w:type="dxa"/>
              <w:left w:w="90" w:type="dxa"/>
              <w:right w:w="90" w:type="dxa"/>
            </w:tcMar>
          </w:tcPr>
          <w:p>
            <w:pPr>
              <w:pStyle w:val="BDOITable"/>
            </w:pPr>
            <w:r>
              <w:rPr>
                <w:sz w:val="17"/>
              </w:rPr>
              <w:t>Case lists and routing table</w:t>
            </w:r>
          </w:p>
        </w:tc>
        <w:tc>
          <w:tcPr>
            <w:tcW w:type="dxa" w:w="5279"/>
            <w:tcMar>
              <w:top w:w="50" w:type="dxa"/>
              <w:bottom w:w="50" w:type="dxa"/>
              <w:left w:w="90" w:type="dxa"/>
              <w:right w:w="90" w:type="dxa"/>
            </w:tcMar>
          </w:tcPr>
          <w:p>
            <w:pPr>
              <w:pStyle w:val="BDOITable"/>
            </w:pPr>
            <w:r>
              <w:rPr>
                <w:sz w:val="17"/>
              </w:rPr>
              <w:t>Loaded with the case lists at installation; the routing rows keyed by the test lead on Case Routing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TD-CSF-12</w:t>
            </w:r>
          </w:p>
        </w:tc>
        <w:tc>
          <w:tcPr>
            <w:tcW w:type="dxa" w:w="3520"/>
            <w:tcMar>
              <w:top w:w="50" w:type="dxa"/>
              <w:bottom w:w="50" w:type="dxa"/>
              <w:left w:w="90" w:type="dxa"/>
              <w:right w:w="90" w:type="dxa"/>
            </w:tcMar>
            <w:shd w:val="clear" w:color="auto" w:fill="E5F5FF"/>
          </w:tcPr>
          <w:p>
            <w:pPr>
              <w:pStyle w:val="BDOITable"/>
            </w:pPr>
            <w:r>
              <w:rPr>
                <w:sz w:val="17"/>
              </w:rPr>
              <w:t>Fulfilment unit users</w:t>
            </w:r>
          </w:p>
        </w:tc>
        <w:tc>
          <w:tcPr>
            <w:tcW w:type="dxa" w:w="5279"/>
            <w:tcMar>
              <w:top w:w="50" w:type="dxa"/>
              <w:bottom w:w="50" w:type="dxa"/>
              <w:left w:w="90" w:type="dxa"/>
              <w:right w:w="90" w:type="dxa"/>
            </w:tcMar>
            <w:shd w:val="clear" w:color="auto" w:fill="E5F5FF"/>
          </w:tcPr>
          <w:p>
            <w:pPr>
              <w:pStyle w:val="BDOITable"/>
            </w:pPr>
            <w:r>
              <w:rPr>
                <w:sz w:val="17"/>
              </w:rPr>
              <w:t>Created by the test lead through User Access requests on SIT</w:t>
            </w:r>
          </w:p>
        </w:tc>
      </w:tr>
      <w:tr>
        <w:trPr>
          <w:cantSplit w:val="true"/>
        </w:trPr>
        <w:tc>
          <w:tcPr>
            <w:tcW w:type="dxa" w:w="1173"/>
            <w:tcMar>
              <w:top w:w="50" w:type="dxa"/>
              <w:bottom w:w="50" w:type="dxa"/>
              <w:left w:w="90" w:type="dxa"/>
              <w:right w:w="90" w:type="dxa"/>
            </w:tcMar>
          </w:tcPr>
          <w:p>
            <w:pPr>
              <w:pStyle w:val="BDOITable"/>
            </w:pPr>
            <w:r>
              <w:rPr>
                <w:sz w:val="17"/>
              </w:rPr>
              <w:t>TD-CSF-13</w:t>
            </w:r>
          </w:p>
        </w:tc>
        <w:tc>
          <w:tcPr>
            <w:tcW w:type="dxa" w:w="3520"/>
            <w:tcMar>
              <w:top w:w="50" w:type="dxa"/>
              <w:bottom w:w="50" w:type="dxa"/>
              <w:left w:w="90" w:type="dxa"/>
              <w:right w:w="90" w:type="dxa"/>
            </w:tcMar>
          </w:tcPr>
          <w:p>
            <w:pPr>
              <w:pStyle w:val="BDOITable"/>
            </w:pPr>
            <w:r>
              <w:rPr>
                <w:sz w:val="17"/>
              </w:rPr>
              <w:t>Cases in each status and SLA state</w:t>
            </w:r>
          </w:p>
        </w:tc>
        <w:tc>
          <w:tcPr>
            <w:tcW w:type="dxa" w:w="5279"/>
            <w:tcMar>
              <w:top w:w="50" w:type="dxa"/>
              <w:bottom w:w="50" w:type="dxa"/>
              <w:left w:w="90" w:type="dxa"/>
              <w:right w:w="90" w:type="dxa"/>
            </w:tcMar>
          </w:tcPr>
          <w:p>
            <w:pPr>
              <w:pStyle w:val="BDOITable"/>
            </w:pPr>
            <w:r>
              <w:rPr>
                <w:sz w:val="17"/>
              </w:rPr>
              <w:t>Logged by the test lead through the case screens on SIT; creation dates set in the test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TD-CSF-14</w:t>
            </w:r>
          </w:p>
        </w:tc>
        <w:tc>
          <w:tcPr>
            <w:tcW w:type="dxa" w:w="3520"/>
            <w:tcMar>
              <w:top w:w="50" w:type="dxa"/>
              <w:bottom w:w="50" w:type="dxa"/>
              <w:left w:w="90" w:type="dxa"/>
              <w:right w:w="90" w:type="dxa"/>
            </w:tcMar>
            <w:shd w:val="clear" w:color="auto" w:fill="E5F5FF"/>
          </w:tcPr>
          <w:p>
            <w:pPr>
              <w:pStyle w:val="BDOITable"/>
            </w:pPr>
            <w:r>
              <w:rPr>
                <w:sz w:val="17"/>
              </w:rPr>
              <w:t>Working-day calendar</w:t>
            </w:r>
          </w:p>
        </w:tc>
        <w:tc>
          <w:tcPr>
            <w:tcW w:type="dxa" w:w="5279"/>
            <w:tcMar>
              <w:top w:w="50" w:type="dxa"/>
              <w:bottom w:w="50" w:type="dxa"/>
              <w:left w:w="90" w:type="dxa"/>
              <w:right w:w="90" w:type="dxa"/>
            </w:tcMar>
            <w:shd w:val="clear" w:color="auto" w:fill="E5F5FF"/>
          </w:tcPr>
          <w:p>
            <w:pPr>
              <w:pStyle w:val="BDOITable"/>
            </w:pPr>
            <w:r>
              <w:rPr>
                <w:sz w:val="17"/>
              </w:rPr>
              <w:t>Holiday calendar of SIT, maintained by the System Administrator</w:t>
            </w:r>
          </w:p>
        </w:tc>
      </w:tr>
    </w:tbl>
    <w:p>
      <w:pPr>
        <w:pStyle w:val="BDOISpacer"/>
      </w:pPr>
    </w:p>
    <w:p>
      <w:r>
        <w:rPr/>
        <w:t>Some cases change the state of a test client (for example the contact changes on UAT CSF Client One). The test lead restores the client's contact details between cycles, or testers run those cases on a second masked client.</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Infrastructure team</w:t>
            </w:r>
          </w:p>
        </w:tc>
        <w:tc>
          <w:tcPr>
            <w:tcW w:type="dxa" w:w="3739"/>
            <w:tcMar>
              <w:top w:w="50" w:type="dxa"/>
              <w:bottom w:w="50" w:type="dxa"/>
              <w:left w:w="90" w:type="dxa"/>
              <w:right w:w="90" w:type="dxa"/>
            </w:tcMar>
            <w:shd w:val="clear" w:color="auto" w:fill="E5F5FF"/>
          </w:tcPr>
          <w:p>
            <w:pPr>
              <w:pStyle w:val="BDOITable"/>
            </w:pPr>
            <w:r>
              <w:rPr>
                <w:sz w:val="18"/>
              </w:rPr>
              <w:t>BDO Unibank ITIO with iorta TechNXT</w:t>
            </w:r>
          </w:p>
        </w:tc>
        <w:tc>
          <w:tcPr>
            <w:tcW w:type="dxa" w:w="3462"/>
            <w:tcMar>
              <w:top w:w="50" w:type="dxa"/>
              <w:bottom w:w="50" w:type="dxa"/>
              <w:left w:w="90" w:type="dxa"/>
              <w:right w:w="90" w:type="dxa"/>
            </w:tcMar>
            <w:shd w:val="clear" w:color="auto" w:fill="E5F5FF"/>
          </w:tcPr>
          <w:p>
            <w:pPr>
              <w:pStyle w:val="BDOITable"/>
            </w:pPr>
            <w:r>
              <w:rPr>
                <w:sz w:val="18"/>
              </w:rPr>
              <w:t>Run the backup and restore cases of FR-CSF-043 and provide the restore log</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BDO Insure Contact Center (agents, supervisors, management) and members of the fulfilment units</w:t>
            </w:r>
          </w:p>
        </w:tc>
        <w:tc>
          <w:tcPr>
            <w:tcW w:type="dxa" w:w="3462"/>
            <w:tcMar>
              <w:top w:w="50" w:type="dxa"/>
              <w:bottom w:w="50" w:type="dxa"/>
              <w:left w:w="90" w:type="dxa"/>
              <w:right w:w="90" w:type="dxa"/>
            </w:tcMar>
          </w:tcPr>
          <w:p>
            <w:pPr>
              <w:pStyle w:val="BDOITable"/>
            </w:pPr>
            <w:r>
              <w:rPr>
                <w:sz w:val="18"/>
              </w:rPr>
              <w:t>Run the UAT scenarios; confirm the expected results match the way they serve clients; raise issues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Product Owner, Customer Servicing Facility</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Agents run the search, servicing, verification, resend and upload scenarios (SC-CSF-02 to 06); supervisors run the resends to another address and the activity report; management runs the audit and report scenario (SC-CSF-07). For case management, agents log and close cases (SC-CSF-09), fulfilment unit members resolve and return them (SC-CSF-10), supervisors reassign, escalate and follow the SLA (SC-CSF-11) and management follows the dashboard and reports (SC-CSF-12).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CSF_AGENT</w:t>
            </w:r>
          </w:p>
        </w:tc>
        <w:tc>
          <w:tcPr>
            <w:tcW w:type="dxa" w:w="6648"/>
            <w:tcMar>
              <w:top w:w="50" w:type="dxa"/>
              <w:bottom w:w="50" w:type="dxa"/>
              <w:left w:w="90" w:type="dxa"/>
              <w:right w:w="90" w:type="dxa"/>
            </w:tcMar>
          </w:tcPr>
          <w:p>
            <w:pPr>
              <w:pStyle w:val="BDOITable"/>
            </w:pPr>
            <w:r>
              <w:rPr>
                <w:sz w:val="17"/>
              </w:rPr>
              <w:t>BDO Insure Contact Center Agent</w:t>
            </w:r>
          </w:p>
        </w:tc>
        <w:tc>
          <w:tcPr>
            <w:tcW w:type="dxa" w:w="1023"/>
            <w:tcMar>
              <w:top w:w="50" w:type="dxa"/>
              <w:bottom w:w="50" w:type="dxa"/>
              <w:left w:w="90" w:type="dxa"/>
              <w:right w:w="90" w:type="dxa"/>
            </w:tcMar>
          </w:tcPr>
          <w:p>
            <w:pPr>
              <w:pStyle w:val="BDOITable"/>
            </w:pPr>
            <w:r>
              <w:rPr>
                <w:sz w:val="17"/>
              </w:rPr>
              <w:t>106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CSF_SUPERVISOR</w:t>
            </w:r>
          </w:p>
        </w:tc>
        <w:tc>
          <w:tcPr>
            <w:tcW w:type="dxa" w:w="6648"/>
            <w:tcMar>
              <w:top w:w="50" w:type="dxa"/>
              <w:bottom w:w="50" w:type="dxa"/>
              <w:left w:w="90" w:type="dxa"/>
              <w:right w:w="90" w:type="dxa"/>
            </w:tcMar>
            <w:shd w:val="clear" w:color="auto" w:fill="E5F5FF"/>
          </w:tcPr>
          <w:p>
            <w:pPr>
              <w:pStyle w:val="BDOITable"/>
            </w:pPr>
            <w:r>
              <w:rPr>
                <w:sz w:val="17"/>
              </w:rPr>
              <w:t>Contact Center Supervisor</w:t>
            </w:r>
          </w:p>
        </w:tc>
        <w:tc>
          <w:tcPr>
            <w:tcW w:type="dxa" w:w="1023"/>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2301"/>
            <w:tcMar>
              <w:top w:w="50" w:type="dxa"/>
              <w:bottom w:w="50" w:type="dxa"/>
              <w:left w:w="90" w:type="dxa"/>
              <w:right w:w="90" w:type="dxa"/>
            </w:tcMar>
          </w:tcPr>
          <w:p>
            <w:pPr>
              <w:pStyle w:val="BDOITable"/>
            </w:pPr>
            <w:r>
              <w:rPr>
                <w:sz w:val="17"/>
              </w:rPr>
              <w:t>CSF_MANAGEMENT</w:t>
            </w:r>
          </w:p>
        </w:tc>
        <w:tc>
          <w:tcPr>
            <w:tcW w:type="dxa" w:w="6648"/>
            <w:tcMar>
              <w:top w:w="50" w:type="dxa"/>
              <w:bottom w:w="50" w:type="dxa"/>
              <w:left w:w="90" w:type="dxa"/>
              <w:right w:w="90" w:type="dxa"/>
            </w:tcMar>
          </w:tcPr>
          <w:p>
            <w:pPr>
              <w:pStyle w:val="BDOITable"/>
            </w:pPr>
            <w:r>
              <w:rPr>
                <w:sz w:val="17"/>
              </w:rPr>
              <w:t>Contact Center Management (Leads / Heads)</w:t>
            </w:r>
          </w:p>
        </w:tc>
        <w:tc>
          <w:tcPr>
            <w:tcW w:type="dxa" w:w="1023"/>
            <w:tcMar>
              <w:top w:w="50" w:type="dxa"/>
              <w:bottom w:w="50" w:type="dxa"/>
              <w:left w:w="90" w:type="dxa"/>
              <w:right w:w="90" w:type="dxa"/>
            </w:tcMar>
          </w:tcPr>
          <w:p>
            <w:pPr>
              <w:pStyle w:val="BDOITable"/>
            </w:pPr>
            <w:r>
              <w:rPr>
                <w:sz w:val="17"/>
              </w:rPr>
              <w:t>15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SYSADMIN</w:t>
            </w:r>
          </w:p>
        </w:tc>
        <w:tc>
          <w:tcPr>
            <w:tcW w:type="dxa" w:w="6648"/>
            <w:tcMar>
              <w:top w:w="50" w:type="dxa"/>
              <w:bottom w:w="50" w:type="dxa"/>
              <w:left w:w="90" w:type="dxa"/>
              <w:right w:w="90" w:type="dxa"/>
            </w:tcMar>
            <w:shd w:val="clear" w:color="auto" w:fill="E5F5FF"/>
          </w:tcPr>
          <w:p>
            <w:pPr>
              <w:pStyle w:val="BDOITable"/>
            </w:pPr>
            <w:r>
              <w:rPr>
                <w:sz w:val="17"/>
              </w:rPr>
              <w:t>System Administrator</w:t>
            </w:r>
          </w:p>
        </w:tc>
        <w:tc>
          <w:tcPr>
            <w:tcW w:type="dxa" w:w="1023"/>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2301"/>
            <w:tcMar>
              <w:top w:w="50" w:type="dxa"/>
              <w:bottom w:w="50" w:type="dxa"/>
              <w:left w:w="90" w:type="dxa"/>
              <w:right w:w="90" w:type="dxa"/>
            </w:tcMar>
          </w:tcPr>
          <w:p>
            <w:pPr>
              <w:pStyle w:val="BDOITable"/>
            </w:pPr>
            <w:r>
              <w:rPr>
                <w:sz w:val="17"/>
              </w:rPr>
              <w:t>MKT_AO</w:t>
            </w:r>
          </w:p>
        </w:tc>
        <w:tc>
          <w:tcPr>
            <w:tcW w:type="dxa" w:w="6648"/>
            <w:tcMar>
              <w:top w:w="50" w:type="dxa"/>
              <w:bottom w:w="50" w:type="dxa"/>
              <w:left w:w="90" w:type="dxa"/>
              <w:right w:w="90" w:type="dxa"/>
            </w:tcMar>
          </w:tcPr>
          <w:p>
            <w:pPr>
              <w:pStyle w:val="BDOITable"/>
            </w:pPr>
            <w:r>
              <w:rPr>
                <w:sz w:val="17"/>
              </w:rPr>
              <w:t>Marketing AO without a CSF role</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INFRA</w:t>
            </w:r>
          </w:p>
        </w:tc>
        <w:tc>
          <w:tcPr>
            <w:tcW w:type="dxa" w:w="6648"/>
            <w:tcMar>
              <w:top w:w="50" w:type="dxa"/>
              <w:bottom w:w="50" w:type="dxa"/>
              <w:left w:w="90" w:type="dxa"/>
              <w:right w:w="90" w:type="dxa"/>
            </w:tcMar>
            <w:shd w:val="clear" w:color="auto" w:fill="E5F5FF"/>
          </w:tcPr>
          <w:p>
            <w:pPr>
              <w:pStyle w:val="BDOITable"/>
            </w:pPr>
            <w:r>
              <w:rPr>
                <w:sz w:val="17"/>
              </w:rPr>
              <w:t>Infrastructure team (infrastructure administrator)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CSF_FULFILMENT</w:t>
            </w:r>
          </w:p>
        </w:tc>
        <w:tc>
          <w:tcPr>
            <w:tcW w:type="dxa" w:w="6648"/>
            <w:tcMar>
              <w:top w:w="50" w:type="dxa"/>
              <w:bottom w:w="50" w:type="dxa"/>
              <w:left w:w="90" w:type="dxa"/>
              <w:right w:w="90" w:type="dxa"/>
            </w:tcMar>
          </w:tcPr>
          <w:p>
            <w:pPr>
              <w:pStyle w:val="BDOITable"/>
            </w:pPr>
            <w:r>
              <w:rPr>
                <w:sz w:val="17"/>
              </w:rPr>
              <w:t>Fulfilment Unit member</w:t>
            </w:r>
          </w:p>
        </w:tc>
        <w:tc>
          <w:tcPr>
            <w:tcW w:type="dxa" w:w="1023"/>
            <w:tcMar>
              <w:top w:w="50" w:type="dxa"/>
              <w:bottom w:w="50" w:type="dxa"/>
              <w:left w:w="90" w:type="dxa"/>
              <w:right w:w="90" w:type="dxa"/>
            </w:tcMar>
          </w:tcPr>
          <w:p>
            <w:pPr>
              <w:pStyle w:val="BDOITable"/>
            </w:pPr>
            <w:r>
              <w:rPr>
                <w:sz w:val="17"/>
              </w:rPr>
              <w:t>7</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the CSF</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a security rule is broken</w:t>
            </w:r>
          </w:p>
        </w:tc>
        <w:tc>
          <w:tcPr>
            <w:tcW w:type="dxa" w:w="3196"/>
            <w:tcMar>
              <w:top w:w="50" w:type="dxa"/>
              <w:bottom w:w="50" w:type="dxa"/>
              <w:left w:w="90" w:type="dxa"/>
              <w:right w:w="90" w:type="dxa"/>
            </w:tcMar>
          </w:tcPr>
          <w:p>
            <w:pPr>
              <w:pStyle w:val="BDOITable"/>
            </w:pPr>
            <w:r>
              <w:rPr>
                <w:sz w:val="18"/>
              </w:rPr>
              <w:t>A contact change is saved without a passed verification; an RA is sent unprotected or to the wrong address; an agent sees an action of another role</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PN search finds nothing for an account in BIBS; the payment history misses applied invoices</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The no-result message omits the criteria; a report column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client code or change number.</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29 of 29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49 of 49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128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174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101 / 73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49</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51</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14</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FR-CSF-001</w:t>
            </w:r>
          </w:p>
        </w:tc>
        <w:tc>
          <w:tcPr>
            <w:tcW w:type="dxa" w:w="3804"/>
            <w:tcMar>
              <w:top w:w="50" w:type="dxa"/>
              <w:bottom w:w="50" w:type="dxa"/>
              <w:left w:w="90" w:type="dxa"/>
              <w:right w:w="90" w:type="dxa"/>
            </w:tcMar>
          </w:tcPr>
          <w:p>
            <w:pPr>
              <w:pStyle w:val="BDOITable"/>
            </w:pPr>
            <w:r>
              <w:rPr>
                <w:sz w:val="16"/>
              </w:rPr>
              <w:t>Log in with user ID and password</w:t>
            </w:r>
          </w:p>
        </w:tc>
        <w:tc>
          <w:tcPr>
            <w:tcW w:type="dxa" w:w="1953"/>
            <w:tcMar>
              <w:top w:w="50" w:type="dxa"/>
              <w:bottom w:w="50" w:type="dxa"/>
              <w:left w:w="90" w:type="dxa"/>
              <w:right w:w="90" w:type="dxa"/>
            </w:tcMar>
          </w:tcPr>
          <w:p>
            <w:pPr>
              <w:pStyle w:val="BDOITable"/>
            </w:pPr>
            <w:r>
              <w:rPr>
                <w:sz w:val="16"/>
              </w:rPr>
              <w:t>BRCSF-001, BRCSF-001 / 1.001, BRCSF-001 / 1.002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FR-CSF-002</w:t>
            </w:r>
          </w:p>
        </w:tc>
        <w:tc>
          <w:tcPr>
            <w:tcW w:type="dxa" w:w="3804"/>
            <w:tcMar>
              <w:top w:w="50" w:type="dxa"/>
              <w:bottom w:w="50" w:type="dxa"/>
              <w:left w:w="90" w:type="dxa"/>
              <w:right w:w="90" w:type="dxa"/>
            </w:tcMar>
            <w:shd w:val="clear" w:color="auto" w:fill="E5F5FF"/>
          </w:tcPr>
          <w:p>
            <w:pPr>
              <w:pStyle w:val="BDOITable"/>
            </w:pPr>
            <w:r>
              <w:rPr>
                <w:sz w:val="16"/>
              </w:rPr>
              <w:t>Restrict CSF actions to authorised roles</w:t>
            </w:r>
          </w:p>
        </w:tc>
        <w:tc>
          <w:tcPr>
            <w:tcW w:type="dxa" w:w="1953"/>
            <w:tcMar>
              <w:top w:w="50" w:type="dxa"/>
              <w:bottom w:w="50" w:type="dxa"/>
              <w:left w:w="90" w:type="dxa"/>
              <w:right w:w="90" w:type="dxa"/>
            </w:tcMar>
            <w:shd w:val="clear" w:color="auto" w:fill="E5F5FF"/>
          </w:tcPr>
          <w:p>
            <w:pPr>
              <w:pStyle w:val="BDOITable"/>
            </w:pPr>
            <w:r>
              <w:rPr>
                <w:sz w:val="16"/>
              </w:rPr>
              <w:t>BRCSF-001, Current process limitations</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FR-CSF-010</w:t>
            </w:r>
          </w:p>
        </w:tc>
        <w:tc>
          <w:tcPr>
            <w:tcW w:type="dxa" w:w="3804"/>
            <w:tcMar>
              <w:top w:w="50" w:type="dxa"/>
              <w:bottom w:w="50" w:type="dxa"/>
              <w:left w:w="90" w:type="dxa"/>
              <w:right w:w="90" w:type="dxa"/>
            </w:tcMar>
          </w:tcPr>
          <w:p>
            <w:pPr>
              <w:pStyle w:val="BDOITable"/>
            </w:pPr>
            <w:r>
              <w:rPr>
                <w:sz w:val="16"/>
              </w:rPr>
              <w:t>Search a client by name, client ID, account, PN or application number</w:t>
            </w:r>
          </w:p>
        </w:tc>
        <w:tc>
          <w:tcPr>
            <w:tcW w:type="dxa" w:w="1953"/>
            <w:tcMar>
              <w:top w:w="50" w:type="dxa"/>
              <w:bottom w:w="50" w:type="dxa"/>
              <w:left w:w="90" w:type="dxa"/>
              <w:right w:w="90" w:type="dxa"/>
            </w:tcMar>
          </w:tcPr>
          <w:p>
            <w:pPr>
              <w:pStyle w:val="BDOITable"/>
            </w:pPr>
            <w:r>
              <w:rPr>
                <w:sz w:val="16"/>
              </w:rPr>
              <w:t>BRCSF-003, BRCSF-003 / 3.001, E-mail topic 4</w:t>
            </w:r>
          </w:p>
        </w:tc>
        <w:tc>
          <w:tcPr>
            <w:tcW w:type="dxa" w:w="771"/>
            <w:tcMar>
              <w:top w:w="50" w:type="dxa"/>
              <w:bottom w:w="50" w:type="dxa"/>
              <w:left w:w="90" w:type="dxa"/>
              <w:right w:w="90" w:type="dxa"/>
            </w:tcMar>
          </w:tcPr>
          <w:p>
            <w:pPr>
              <w:pStyle w:val="BDOITable"/>
            </w:pPr>
            <w:r>
              <w:rPr>
                <w:sz w:val="16"/>
              </w:rPr>
              <w:t>8</w:t>
            </w:r>
          </w:p>
        </w:tc>
        <w:tc>
          <w:tcPr>
            <w:tcW w:type="dxa" w:w="771"/>
            <w:tcMar>
              <w:top w:w="50" w:type="dxa"/>
              <w:bottom w:w="50" w:type="dxa"/>
              <w:left w:w="90" w:type="dxa"/>
              <w:right w:w="90" w:type="dxa"/>
            </w:tcMar>
          </w:tcPr>
          <w:p>
            <w:pPr>
              <w:pStyle w:val="BDOITable"/>
            </w:pPr>
            <w:r>
              <w:rPr>
                <w:sz w:val="16"/>
              </w:rPr>
              <w:t>8</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13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FR-CSF-011</w:t>
            </w:r>
          </w:p>
        </w:tc>
        <w:tc>
          <w:tcPr>
            <w:tcW w:type="dxa" w:w="3804"/>
            <w:tcMar>
              <w:top w:w="50" w:type="dxa"/>
              <w:bottom w:w="50" w:type="dxa"/>
              <w:left w:w="90" w:type="dxa"/>
              <w:right w:w="90" w:type="dxa"/>
            </w:tcMar>
            <w:shd w:val="clear" w:color="auto" w:fill="E5F5FF"/>
          </w:tcPr>
          <w:p>
            <w:pPr>
              <w:pStyle w:val="BDOITable"/>
            </w:pPr>
            <w:r>
              <w:rPr>
                <w:sz w:val="16"/>
              </w:rPr>
              <w:t>View current client information and accounts</w:t>
            </w:r>
          </w:p>
        </w:tc>
        <w:tc>
          <w:tcPr>
            <w:tcW w:type="dxa" w:w="1953"/>
            <w:tcMar>
              <w:top w:w="50" w:type="dxa"/>
              <w:bottom w:w="50" w:type="dxa"/>
              <w:left w:w="90" w:type="dxa"/>
              <w:right w:w="90" w:type="dxa"/>
            </w:tcMar>
            <w:shd w:val="clear" w:color="auto" w:fill="E5F5FF"/>
          </w:tcPr>
          <w:p>
            <w:pPr>
              <w:pStyle w:val="BDOITable"/>
            </w:pPr>
            <w:r>
              <w:rPr>
                <w:sz w:val="16"/>
              </w:rPr>
              <w:t>BRCSF-002, BRCSF-008</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FR-CSF-012</w:t>
            </w:r>
          </w:p>
        </w:tc>
        <w:tc>
          <w:tcPr>
            <w:tcW w:type="dxa" w:w="3804"/>
            <w:tcMar>
              <w:top w:w="50" w:type="dxa"/>
              <w:bottom w:w="50" w:type="dxa"/>
              <w:left w:w="90" w:type="dxa"/>
              <w:right w:w="90" w:type="dxa"/>
            </w:tcMar>
          </w:tcPr>
          <w:p>
            <w:pPr>
              <w:pStyle w:val="BDOITable"/>
            </w:pPr>
            <w:r>
              <w:rPr>
                <w:sz w:val="16"/>
              </w:rPr>
              <w:t>Show the status of each account</w:t>
            </w:r>
          </w:p>
        </w:tc>
        <w:tc>
          <w:tcPr>
            <w:tcW w:type="dxa" w:w="1953"/>
            <w:tcMar>
              <w:top w:w="50" w:type="dxa"/>
              <w:bottom w:w="50" w:type="dxa"/>
              <w:left w:w="90" w:type="dxa"/>
              <w:right w:w="90" w:type="dxa"/>
            </w:tcMar>
          </w:tcPr>
          <w:p>
            <w:pPr>
              <w:pStyle w:val="BDOITable"/>
            </w:pPr>
            <w:r>
              <w:rPr>
                <w:sz w:val="16"/>
              </w:rPr>
              <w:t>BRCSF-005 / 5.001, CSF-EM07</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FR-CSF-013</w:t>
            </w:r>
          </w:p>
        </w:tc>
        <w:tc>
          <w:tcPr>
            <w:tcW w:type="dxa" w:w="3804"/>
            <w:tcMar>
              <w:top w:w="50" w:type="dxa"/>
              <w:bottom w:w="50" w:type="dxa"/>
              <w:left w:w="90" w:type="dxa"/>
              <w:right w:w="90" w:type="dxa"/>
            </w:tcMar>
            <w:shd w:val="clear" w:color="auto" w:fill="E5F5FF"/>
          </w:tcPr>
          <w:p>
            <w:pPr>
              <w:pStyle w:val="BDOITable"/>
            </w:pPr>
            <w:r>
              <w:rPr>
                <w:sz w:val="16"/>
              </w:rPr>
              <w:t>View the payment history</w:t>
            </w:r>
          </w:p>
        </w:tc>
        <w:tc>
          <w:tcPr>
            <w:tcW w:type="dxa" w:w="1953"/>
            <w:tcMar>
              <w:top w:w="50" w:type="dxa"/>
              <w:bottom w:w="50" w:type="dxa"/>
              <w:left w:w="90" w:type="dxa"/>
              <w:right w:w="90" w:type="dxa"/>
            </w:tcMar>
            <w:shd w:val="clear" w:color="auto" w:fill="E5F5FF"/>
          </w:tcPr>
          <w:p>
            <w:pPr>
              <w:pStyle w:val="BDOITable"/>
            </w:pPr>
            <w:r>
              <w:rPr>
                <w:sz w:val="16"/>
              </w:rPr>
              <w:t>BRCSF-005, E-mail topic 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FR-CSF-020</w:t>
            </w:r>
          </w:p>
        </w:tc>
        <w:tc>
          <w:tcPr>
            <w:tcW w:type="dxa" w:w="3804"/>
            <w:tcMar>
              <w:top w:w="50" w:type="dxa"/>
              <w:bottom w:w="50" w:type="dxa"/>
              <w:left w:w="90" w:type="dxa"/>
              <w:right w:w="90" w:type="dxa"/>
            </w:tcMar>
          </w:tcPr>
          <w:p>
            <w:pPr>
              <w:pStyle w:val="BDOITable"/>
            </w:pPr>
            <w:r>
              <w:rPr>
                <w:sz w:val="16"/>
              </w:rPr>
              <w:t>Verify the caller before a change</w:t>
            </w:r>
          </w:p>
        </w:tc>
        <w:tc>
          <w:tcPr>
            <w:tcW w:type="dxa" w:w="1953"/>
            <w:tcMar>
              <w:top w:w="50" w:type="dxa"/>
              <w:bottom w:w="50" w:type="dxa"/>
              <w:left w:w="90" w:type="dxa"/>
              <w:right w:w="90" w:type="dxa"/>
            </w:tcMar>
          </w:tcPr>
          <w:p>
            <w:pPr>
              <w:pStyle w:val="BDOITable"/>
            </w:pPr>
            <w:r>
              <w:rPr>
                <w:sz w:val="16"/>
              </w:rPr>
              <w:t>BRCSF-004, E-mail topic 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FR-CSF-021</w:t>
            </w:r>
          </w:p>
        </w:tc>
        <w:tc>
          <w:tcPr>
            <w:tcW w:type="dxa" w:w="3804"/>
            <w:tcMar>
              <w:top w:w="50" w:type="dxa"/>
              <w:bottom w:w="50" w:type="dxa"/>
              <w:left w:w="90" w:type="dxa"/>
              <w:right w:w="90" w:type="dxa"/>
            </w:tcMar>
            <w:shd w:val="clear" w:color="auto" w:fill="E5F5FF"/>
          </w:tcPr>
          <w:p>
            <w:pPr>
              <w:pStyle w:val="BDOITable"/>
            </w:pPr>
            <w:r>
              <w:rPr>
                <w:sz w:val="16"/>
              </w:rPr>
              <w:t>View, add or update client contact details</w:t>
            </w:r>
          </w:p>
        </w:tc>
        <w:tc>
          <w:tcPr>
            <w:tcW w:type="dxa" w:w="1953"/>
            <w:tcMar>
              <w:top w:w="50" w:type="dxa"/>
              <w:bottom w:w="50" w:type="dxa"/>
              <w:left w:w="90" w:type="dxa"/>
              <w:right w:w="90" w:type="dxa"/>
            </w:tcMar>
            <w:shd w:val="clear" w:color="auto" w:fill="E5F5FF"/>
          </w:tcPr>
          <w:p>
            <w:pPr>
              <w:pStyle w:val="BDOITable"/>
            </w:pPr>
            <w:r>
              <w:rPr>
                <w:sz w:val="16"/>
              </w:rPr>
              <w:t>BRCSF-004, BRCSF-002, BRCSF-010</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FR-CSF-022</w:t>
            </w:r>
          </w:p>
        </w:tc>
        <w:tc>
          <w:tcPr>
            <w:tcW w:type="dxa" w:w="3804"/>
            <w:tcMar>
              <w:top w:w="50" w:type="dxa"/>
              <w:bottom w:w="50" w:type="dxa"/>
              <w:left w:w="90" w:type="dxa"/>
              <w:right w:w="90" w:type="dxa"/>
            </w:tcMar>
          </w:tcPr>
          <w:p>
            <w:pPr>
              <w:pStyle w:val="BDOITable"/>
            </w:pPr>
            <w:r>
              <w:rPr>
                <w:sz w:val="16"/>
              </w:rPr>
              <w:t>Queue contact changes for QPS and EBIX while they coexist</w:t>
            </w:r>
          </w:p>
        </w:tc>
        <w:tc>
          <w:tcPr>
            <w:tcW w:type="dxa" w:w="1953"/>
            <w:tcMar>
              <w:top w:w="50" w:type="dxa"/>
              <w:bottom w:w="50" w:type="dxa"/>
              <w:left w:w="90" w:type="dxa"/>
              <w:right w:w="90" w:type="dxa"/>
            </w:tcMar>
          </w:tcPr>
          <w:p>
            <w:pPr>
              <w:pStyle w:val="BDOITable"/>
            </w:pPr>
            <w:r>
              <w:rPr>
                <w:sz w:val="16"/>
              </w:rPr>
              <w:t>BRCSF-002, Executive summary and envisioned process</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FR-CSF-030</w:t>
            </w:r>
          </w:p>
        </w:tc>
        <w:tc>
          <w:tcPr>
            <w:tcW w:type="dxa" w:w="3804"/>
            <w:tcMar>
              <w:top w:w="50" w:type="dxa"/>
              <w:bottom w:w="50" w:type="dxa"/>
              <w:left w:w="90" w:type="dxa"/>
              <w:right w:w="90" w:type="dxa"/>
            </w:tcMar>
            <w:shd w:val="clear" w:color="auto" w:fill="E5F5FF"/>
          </w:tcPr>
          <w:p>
            <w:pPr>
              <w:pStyle w:val="BDOITable"/>
            </w:pPr>
            <w:r>
              <w:rPr>
                <w:sz w:val="16"/>
              </w:rPr>
              <w:t>View, download and resend the renewal advice</w:t>
            </w:r>
          </w:p>
        </w:tc>
        <w:tc>
          <w:tcPr>
            <w:tcW w:type="dxa" w:w="1953"/>
            <w:tcMar>
              <w:top w:w="50" w:type="dxa"/>
              <w:bottom w:w="50" w:type="dxa"/>
              <w:left w:w="90" w:type="dxa"/>
              <w:right w:w="90" w:type="dxa"/>
            </w:tcMar>
            <w:shd w:val="clear" w:color="auto" w:fill="E5F5FF"/>
          </w:tcPr>
          <w:p>
            <w:pPr>
              <w:pStyle w:val="BDOITable"/>
            </w:pPr>
            <w:r>
              <w:rPr>
                <w:sz w:val="16"/>
              </w:rPr>
              <w:t>BRCSF-006, BRCSF-006 / 6.001, E-mail topic 8</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FR-CSF-031</w:t>
            </w:r>
          </w:p>
        </w:tc>
        <w:tc>
          <w:tcPr>
            <w:tcW w:type="dxa" w:w="3804"/>
            <w:tcMar>
              <w:top w:w="50" w:type="dxa"/>
              <w:bottom w:w="50" w:type="dxa"/>
              <w:left w:w="90" w:type="dxa"/>
              <w:right w:w="90" w:type="dxa"/>
            </w:tcMar>
          </w:tcPr>
          <w:p>
            <w:pPr>
              <w:pStyle w:val="BDOITable"/>
            </w:pPr>
            <w:r>
              <w:rPr>
                <w:sz w:val="16"/>
              </w:rPr>
              <w:t>Resend the e-policy</w:t>
            </w:r>
          </w:p>
        </w:tc>
        <w:tc>
          <w:tcPr>
            <w:tcW w:type="dxa" w:w="1953"/>
            <w:tcMar>
              <w:top w:w="50" w:type="dxa"/>
              <w:bottom w:w="50" w:type="dxa"/>
              <w:left w:w="90" w:type="dxa"/>
              <w:right w:w="90" w:type="dxa"/>
            </w:tcMar>
          </w:tcPr>
          <w:p>
            <w:pPr>
              <w:pStyle w:val="BDOITable"/>
            </w:pPr>
            <w:r>
              <w:rPr>
                <w:sz w:val="16"/>
              </w:rPr>
              <w:t>CSF-EM09</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FR-CSF-032</w:t>
            </w:r>
          </w:p>
        </w:tc>
        <w:tc>
          <w:tcPr>
            <w:tcW w:type="dxa" w:w="3804"/>
            <w:tcMar>
              <w:top w:w="50" w:type="dxa"/>
              <w:bottom w:w="50" w:type="dxa"/>
              <w:left w:w="90" w:type="dxa"/>
              <w:right w:w="90" w:type="dxa"/>
            </w:tcMar>
            <w:shd w:val="clear" w:color="auto" w:fill="E5F5FF"/>
          </w:tcPr>
          <w:p>
            <w:pPr>
              <w:pStyle w:val="BDOITable"/>
            </w:pPr>
            <w:r>
              <w:rPr>
                <w:sz w:val="16"/>
              </w:rPr>
              <w:t>Attach or upload documents</w:t>
            </w:r>
          </w:p>
        </w:tc>
        <w:tc>
          <w:tcPr>
            <w:tcW w:type="dxa" w:w="1953"/>
            <w:tcMar>
              <w:top w:w="50" w:type="dxa"/>
              <w:bottom w:w="50" w:type="dxa"/>
              <w:left w:w="90" w:type="dxa"/>
              <w:right w:w="90" w:type="dxa"/>
            </w:tcMar>
            <w:shd w:val="clear" w:color="auto" w:fill="E5F5FF"/>
          </w:tcPr>
          <w:p>
            <w:pPr>
              <w:pStyle w:val="BDOITable"/>
            </w:pPr>
            <w:r>
              <w:rPr>
                <w:sz w:val="16"/>
              </w:rPr>
              <w:t>BRCSF-007, BRCSF-007 / 7.001</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20"/>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182"/>
            <w:tcMar>
              <w:top w:w="50" w:type="dxa"/>
              <w:bottom w:w="50" w:type="dxa"/>
              <w:left w:w="90" w:type="dxa"/>
              <w:right w:w="90" w:type="dxa"/>
            </w:tcMar>
          </w:tcPr>
          <w:p>
            <w:pPr>
              <w:pStyle w:val="BDOITable"/>
            </w:pPr>
            <w:r>
              <w:rPr>
                <w:sz w:val="16"/>
              </w:rPr>
              <w:t>FR-CSF-033</w:t>
            </w:r>
          </w:p>
        </w:tc>
        <w:tc>
          <w:tcPr>
            <w:tcW w:type="dxa" w:w="3804"/>
            <w:tcMar>
              <w:top w:w="50" w:type="dxa"/>
              <w:bottom w:w="50" w:type="dxa"/>
              <w:left w:w="90" w:type="dxa"/>
              <w:right w:w="90" w:type="dxa"/>
            </w:tcMar>
          </w:tcPr>
          <w:p>
            <w:pPr>
              <w:pStyle w:val="BDOITable"/>
            </w:pPr>
            <w:r>
              <w:rPr>
                <w:sz w:val="16"/>
              </w:rPr>
              <w:t>View, retrieve or download policy-related documents</w:t>
            </w:r>
          </w:p>
        </w:tc>
        <w:tc>
          <w:tcPr>
            <w:tcW w:type="dxa" w:w="1953"/>
            <w:tcMar>
              <w:top w:w="50" w:type="dxa"/>
              <w:bottom w:w="50" w:type="dxa"/>
              <w:left w:w="90" w:type="dxa"/>
              <w:right w:w="90" w:type="dxa"/>
            </w:tcMar>
          </w:tcPr>
          <w:p>
            <w:pPr>
              <w:pStyle w:val="BDOITable"/>
            </w:pPr>
            <w:r>
              <w:rPr>
                <w:sz w:val="16"/>
              </w:rPr>
              <w:t>BRCSF-009, BRCSF-009 / 9.001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FR-CSF-040</w:t>
            </w:r>
          </w:p>
        </w:tc>
        <w:tc>
          <w:tcPr>
            <w:tcW w:type="dxa" w:w="3804"/>
            <w:tcMar>
              <w:top w:w="50" w:type="dxa"/>
              <w:bottom w:w="50" w:type="dxa"/>
              <w:left w:w="90" w:type="dxa"/>
              <w:right w:w="90" w:type="dxa"/>
            </w:tcMar>
            <w:shd w:val="clear" w:color="auto" w:fill="E5F5FF"/>
          </w:tcPr>
          <w:p>
            <w:pPr>
              <w:pStyle w:val="BDOITable"/>
            </w:pPr>
            <w:r>
              <w:rPr>
                <w:sz w:val="16"/>
              </w:rPr>
              <w:t>Record changes to client information as an audit trail</w:t>
            </w:r>
          </w:p>
        </w:tc>
        <w:tc>
          <w:tcPr>
            <w:tcW w:type="dxa" w:w="1953"/>
            <w:tcMar>
              <w:top w:w="50" w:type="dxa"/>
              <w:bottom w:w="50" w:type="dxa"/>
              <w:left w:w="90" w:type="dxa"/>
              <w:right w:w="90" w:type="dxa"/>
            </w:tcMar>
            <w:shd w:val="clear" w:color="auto" w:fill="E5F5FF"/>
          </w:tcPr>
          <w:p>
            <w:pPr>
              <w:pStyle w:val="BDOITable"/>
            </w:pPr>
            <w:r>
              <w:rPr>
                <w:sz w:val="16"/>
              </w:rPr>
              <w:t>BRCSF-010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FR-CSF-041</w:t>
            </w:r>
          </w:p>
        </w:tc>
        <w:tc>
          <w:tcPr>
            <w:tcW w:type="dxa" w:w="3804"/>
            <w:tcMar>
              <w:top w:w="50" w:type="dxa"/>
              <w:bottom w:w="50" w:type="dxa"/>
              <w:left w:w="90" w:type="dxa"/>
              <w:right w:w="90" w:type="dxa"/>
            </w:tcMar>
          </w:tcPr>
          <w:p>
            <w:pPr>
              <w:pStyle w:val="BDOITable"/>
            </w:pPr>
            <w:r>
              <w:rPr>
                <w:sz w:val="16"/>
              </w:rPr>
              <w:t>Print or save the audit trail and the CSF reports</w:t>
            </w:r>
          </w:p>
        </w:tc>
        <w:tc>
          <w:tcPr>
            <w:tcW w:type="dxa" w:w="1953"/>
            <w:tcMar>
              <w:top w:w="50" w:type="dxa"/>
              <w:bottom w:w="50" w:type="dxa"/>
              <w:left w:w="90" w:type="dxa"/>
              <w:right w:w="90" w:type="dxa"/>
            </w:tcMar>
          </w:tcPr>
          <w:p>
            <w:pPr>
              <w:pStyle w:val="BDOITable"/>
            </w:pPr>
            <w:r>
              <w:rPr>
                <w:sz w:val="16"/>
              </w:rPr>
              <w:t>BRCSF-011, BRCSF-011 / 11.002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FR-CSF-042</w:t>
            </w:r>
          </w:p>
        </w:tc>
        <w:tc>
          <w:tcPr>
            <w:tcW w:type="dxa" w:w="3804"/>
            <w:tcMar>
              <w:top w:w="50" w:type="dxa"/>
              <w:bottom w:w="50" w:type="dxa"/>
              <w:left w:w="90" w:type="dxa"/>
              <w:right w:w="90" w:type="dxa"/>
            </w:tcMar>
            <w:shd w:val="clear" w:color="auto" w:fill="E5F5FF"/>
          </w:tcPr>
          <w:p>
            <w:pPr>
              <w:pStyle w:val="BDOITable"/>
            </w:pPr>
            <w:r>
              <w:rPr>
                <w:sz w:val="16"/>
              </w:rPr>
              <w:t>Log agent activity for leads and heads</w:t>
            </w:r>
          </w:p>
        </w:tc>
        <w:tc>
          <w:tcPr>
            <w:tcW w:type="dxa" w:w="1953"/>
            <w:tcMar>
              <w:top w:w="50" w:type="dxa"/>
              <w:bottom w:w="50" w:type="dxa"/>
              <w:left w:w="90" w:type="dxa"/>
              <w:right w:w="90" w:type="dxa"/>
            </w:tcMar>
            <w:shd w:val="clear" w:color="auto" w:fill="E5F5FF"/>
          </w:tcPr>
          <w:p>
            <w:pPr>
              <w:pStyle w:val="BDOITable"/>
            </w:pPr>
            <w:r>
              <w:rPr>
                <w:sz w:val="16"/>
              </w:rPr>
              <w:t>Usage requirements - report generation by Leads / Heads, BRCSF-010</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FR-CSF-043</w:t>
            </w:r>
          </w:p>
        </w:tc>
        <w:tc>
          <w:tcPr>
            <w:tcW w:type="dxa" w:w="3804"/>
            <w:tcMar>
              <w:top w:w="50" w:type="dxa"/>
              <w:bottom w:w="50" w:type="dxa"/>
              <w:left w:w="90" w:type="dxa"/>
              <w:right w:w="90" w:type="dxa"/>
            </w:tcMar>
          </w:tcPr>
          <w:p>
            <w:pPr>
              <w:pStyle w:val="BDOITable"/>
            </w:pPr>
            <w:r>
              <w:rPr>
                <w:sz w:val="16"/>
              </w:rPr>
              <w:t>Back up the data every 15 minutes</w:t>
            </w:r>
          </w:p>
        </w:tc>
        <w:tc>
          <w:tcPr>
            <w:tcW w:type="dxa" w:w="1953"/>
            <w:tcMar>
              <w:top w:w="50" w:type="dxa"/>
              <w:bottom w:w="50" w:type="dxa"/>
              <w:left w:w="90" w:type="dxa"/>
              <w:right w:w="90" w:type="dxa"/>
            </w:tcMar>
          </w:tcPr>
          <w:p>
            <w:pPr>
              <w:pStyle w:val="BDOITable"/>
            </w:pPr>
            <w:r>
              <w:rPr>
                <w:sz w:val="16"/>
              </w:rPr>
              <w:t>BRCSF-011 / 11.001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FR-CSF-050</w:t>
            </w:r>
          </w:p>
        </w:tc>
        <w:tc>
          <w:tcPr>
            <w:tcW w:type="dxa" w:w="3804"/>
            <w:tcMar>
              <w:top w:w="50" w:type="dxa"/>
              <w:bottom w:w="50" w:type="dxa"/>
              <w:left w:w="90" w:type="dxa"/>
              <w:right w:w="90" w:type="dxa"/>
            </w:tcMar>
            <w:shd w:val="clear" w:color="auto" w:fill="E5F5FF"/>
          </w:tcPr>
          <w:p>
            <w:pPr>
              <w:pStyle w:val="BDOITable"/>
            </w:pPr>
            <w:r>
              <w:rPr>
                <w:sz w:val="16"/>
              </w:rPr>
              <w:t>Log a customer transaction as a case</w:t>
            </w:r>
          </w:p>
        </w:tc>
        <w:tc>
          <w:tcPr>
            <w:tcW w:type="dxa" w:w="1953"/>
            <w:tcMar>
              <w:top w:w="50" w:type="dxa"/>
              <w:bottom w:w="50" w:type="dxa"/>
              <w:left w:w="90" w:type="dxa"/>
              <w:right w:w="90" w:type="dxa"/>
            </w:tcMar>
            <w:shd w:val="clear" w:color="auto" w:fill="E5F5FF"/>
          </w:tcPr>
          <w:p>
            <w:pPr>
              <w:pStyle w:val="BDOITable"/>
            </w:pPr>
            <w:r>
              <w:rPr>
                <w:sz w:val="16"/>
              </w:rPr>
              <w:t>BRCSFCM.001, Envisioned process IV.1-2</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FR-CSF-051</w:t>
            </w:r>
          </w:p>
        </w:tc>
        <w:tc>
          <w:tcPr>
            <w:tcW w:type="dxa" w:w="3804"/>
            <w:tcMar>
              <w:top w:w="50" w:type="dxa"/>
              <w:bottom w:w="50" w:type="dxa"/>
              <w:left w:w="90" w:type="dxa"/>
              <w:right w:w="90" w:type="dxa"/>
            </w:tcMar>
          </w:tcPr>
          <w:p>
            <w:pPr>
              <w:pStyle w:val="BDOITable"/>
            </w:pPr>
            <w:r>
              <w:rPr>
                <w:sz w:val="16"/>
              </w:rPr>
              <w:t>Categorise a case by case type and turnaround time</w:t>
            </w:r>
          </w:p>
        </w:tc>
        <w:tc>
          <w:tcPr>
            <w:tcW w:type="dxa" w:w="1953"/>
            <w:tcMar>
              <w:top w:w="50" w:type="dxa"/>
              <w:bottom w:w="50" w:type="dxa"/>
              <w:left w:w="90" w:type="dxa"/>
              <w:right w:w="90" w:type="dxa"/>
            </w:tcMar>
          </w:tcPr>
          <w:p>
            <w:pPr>
              <w:pStyle w:val="BDOITable"/>
            </w:pPr>
            <w:r>
              <w:rPr>
                <w:sz w:val="16"/>
              </w:rPr>
              <w:t>BRCSFCM.002, List of values II Case Type and TAT</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FR-CSF-052</w:t>
            </w:r>
          </w:p>
        </w:tc>
        <w:tc>
          <w:tcPr>
            <w:tcW w:type="dxa" w:w="3804"/>
            <w:tcMar>
              <w:top w:w="50" w:type="dxa"/>
              <w:bottom w:w="50" w:type="dxa"/>
              <w:left w:w="90" w:type="dxa"/>
              <w:right w:w="90" w:type="dxa"/>
            </w:tcMar>
            <w:shd w:val="clear" w:color="auto" w:fill="E5F5FF"/>
          </w:tcPr>
          <w:p>
            <w:pPr>
              <w:pStyle w:val="BDOITable"/>
            </w:pPr>
            <w:r>
              <w:rPr>
                <w:sz w:val="16"/>
              </w:rPr>
              <w:t>Manage the case lifecycle statuses</w:t>
            </w:r>
          </w:p>
        </w:tc>
        <w:tc>
          <w:tcPr>
            <w:tcW w:type="dxa" w:w="1953"/>
            <w:tcMar>
              <w:top w:w="50" w:type="dxa"/>
              <w:bottom w:w="50" w:type="dxa"/>
              <w:left w:w="90" w:type="dxa"/>
              <w:right w:w="90" w:type="dxa"/>
            </w:tcMar>
            <w:shd w:val="clear" w:color="auto" w:fill="E5F5FF"/>
          </w:tcPr>
          <w:p>
            <w:pPr>
              <w:pStyle w:val="BDOITable"/>
            </w:pPr>
            <w:r>
              <w:rPr>
                <w:sz w:val="16"/>
              </w:rPr>
              <w:t>BRCSFCM.003, Envisioned process IV.3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FR-CSF-053</w:t>
            </w:r>
          </w:p>
        </w:tc>
        <w:tc>
          <w:tcPr>
            <w:tcW w:type="dxa" w:w="3804"/>
            <w:tcMar>
              <w:top w:w="50" w:type="dxa"/>
              <w:bottom w:w="50" w:type="dxa"/>
              <w:left w:w="90" w:type="dxa"/>
              <w:right w:w="90" w:type="dxa"/>
            </w:tcMar>
          </w:tcPr>
          <w:p>
            <w:pPr>
              <w:pStyle w:val="BDOITable"/>
            </w:pPr>
            <w:r>
              <w:rPr>
                <w:sz w:val="16"/>
              </w:rPr>
              <w:t>Add notes and updates to a case</w:t>
            </w:r>
          </w:p>
        </w:tc>
        <w:tc>
          <w:tcPr>
            <w:tcW w:type="dxa" w:w="1953"/>
            <w:tcMar>
              <w:top w:w="50" w:type="dxa"/>
              <w:bottom w:w="50" w:type="dxa"/>
              <w:left w:w="90" w:type="dxa"/>
              <w:right w:w="90" w:type="dxa"/>
            </w:tcMar>
          </w:tcPr>
          <w:p>
            <w:pPr>
              <w:pStyle w:val="BDOITable"/>
            </w:pPr>
            <w:r>
              <w:rPr>
                <w:sz w:val="16"/>
              </w:rPr>
              <w:t>BRCSFCM.004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FR-CSF-054</w:t>
            </w:r>
          </w:p>
        </w:tc>
        <w:tc>
          <w:tcPr>
            <w:tcW w:type="dxa" w:w="3804"/>
            <w:tcMar>
              <w:top w:w="50" w:type="dxa"/>
              <w:bottom w:w="50" w:type="dxa"/>
              <w:left w:w="90" w:type="dxa"/>
              <w:right w:w="90" w:type="dxa"/>
            </w:tcMar>
            <w:shd w:val="clear" w:color="auto" w:fill="E5F5FF"/>
          </w:tcPr>
          <w:p>
            <w:pPr>
              <w:pStyle w:val="BDOITable"/>
            </w:pPr>
            <w:r>
              <w:rPr>
                <w:sz w:val="16"/>
              </w:rPr>
              <w:t>Attach supporting documents to a case</w:t>
            </w:r>
          </w:p>
        </w:tc>
        <w:tc>
          <w:tcPr>
            <w:tcW w:type="dxa" w:w="1953"/>
            <w:tcMar>
              <w:top w:w="50" w:type="dxa"/>
              <w:bottom w:w="50" w:type="dxa"/>
              <w:left w:w="90" w:type="dxa"/>
              <w:right w:w="90" w:type="dxa"/>
            </w:tcMar>
            <w:shd w:val="clear" w:color="auto" w:fill="E5F5FF"/>
          </w:tcPr>
          <w:p>
            <w:pPr>
              <w:pStyle w:val="BDOITable"/>
            </w:pPr>
            <w:r>
              <w:rPr>
                <w:sz w:val="16"/>
              </w:rPr>
              <w:t>BRCSFCM.005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FR-CSF-055</w:t>
            </w:r>
          </w:p>
        </w:tc>
        <w:tc>
          <w:tcPr>
            <w:tcW w:type="dxa" w:w="3804"/>
            <w:tcMar>
              <w:top w:w="50" w:type="dxa"/>
              <w:bottom w:w="50" w:type="dxa"/>
              <w:left w:w="90" w:type="dxa"/>
              <w:right w:w="90" w:type="dxa"/>
            </w:tcMar>
          </w:tcPr>
          <w:p>
            <w:pPr>
              <w:pStyle w:val="BDOITable"/>
            </w:pPr>
            <w:r>
              <w:rPr>
                <w:sz w:val="16"/>
              </w:rPr>
              <w:t>Keep a complete audit trail of case actions</w:t>
            </w:r>
          </w:p>
        </w:tc>
        <w:tc>
          <w:tcPr>
            <w:tcW w:type="dxa" w:w="1953"/>
            <w:tcMar>
              <w:top w:w="50" w:type="dxa"/>
              <w:bottom w:w="50" w:type="dxa"/>
              <w:left w:w="90" w:type="dxa"/>
              <w:right w:w="90" w:type="dxa"/>
            </w:tcMar>
          </w:tcPr>
          <w:p>
            <w:pPr>
              <w:pStyle w:val="BDOITable"/>
            </w:pPr>
            <w:r>
              <w:rPr>
                <w:sz w:val="16"/>
              </w:rPr>
              <w:t>BRCSFCM.006</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FR-CSF-056</w:t>
            </w:r>
          </w:p>
        </w:tc>
        <w:tc>
          <w:tcPr>
            <w:tcW w:type="dxa" w:w="3804"/>
            <w:tcMar>
              <w:top w:w="50" w:type="dxa"/>
              <w:bottom w:w="50" w:type="dxa"/>
              <w:left w:w="90" w:type="dxa"/>
              <w:right w:w="90" w:type="dxa"/>
            </w:tcMar>
            <w:shd w:val="clear" w:color="auto" w:fill="E5F5FF"/>
          </w:tcPr>
          <w:p>
            <w:pPr>
              <w:pStyle w:val="BDOITable"/>
            </w:pPr>
            <w:r>
              <w:rPr>
                <w:sz w:val="16"/>
              </w:rPr>
              <w:t>Reassign or escalate a case</w:t>
            </w:r>
          </w:p>
        </w:tc>
        <w:tc>
          <w:tcPr>
            <w:tcW w:type="dxa" w:w="1953"/>
            <w:tcMar>
              <w:top w:w="50" w:type="dxa"/>
              <w:bottom w:w="50" w:type="dxa"/>
              <w:left w:w="90" w:type="dxa"/>
              <w:right w:w="90" w:type="dxa"/>
            </w:tcMar>
            <w:shd w:val="clear" w:color="auto" w:fill="E5F5FF"/>
          </w:tcPr>
          <w:p>
            <w:pPr>
              <w:pStyle w:val="BDOITable"/>
            </w:pPr>
            <w:r>
              <w:rPr>
                <w:sz w:val="16"/>
              </w:rPr>
              <w:t>BRCSFCM.007</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FR-CSF-057</w:t>
            </w:r>
          </w:p>
        </w:tc>
        <w:tc>
          <w:tcPr>
            <w:tcW w:type="dxa" w:w="3804"/>
            <w:tcMar>
              <w:top w:w="50" w:type="dxa"/>
              <w:bottom w:w="50" w:type="dxa"/>
              <w:left w:w="90" w:type="dxa"/>
              <w:right w:w="90" w:type="dxa"/>
            </w:tcMar>
          </w:tcPr>
          <w:p>
            <w:pPr>
              <w:pStyle w:val="BDOITable"/>
            </w:pPr>
            <w:r>
              <w:rPr>
                <w:sz w:val="16"/>
              </w:rPr>
              <w:t>Track case ageing and SLA thresholds</w:t>
            </w:r>
          </w:p>
        </w:tc>
        <w:tc>
          <w:tcPr>
            <w:tcW w:type="dxa" w:w="1953"/>
            <w:tcMar>
              <w:top w:w="50" w:type="dxa"/>
              <w:bottom w:w="50" w:type="dxa"/>
              <w:left w:w="90" w:type="dxa"/>
              <w:right w:w="90" w:type="dxa"/>
            </w:tcMar>
          </w:tcPr>
          <w:p>
            <w:pPr>
              <w:pStyle w:val="BDOITable"/>
            </w:pPr>
            <w:r>
              <w:rPr>
                <w:sz w:val="16"/>
              </w:rPr>
              <w:t>BRCSFCM.008</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FR-CSF-058</w:t>
            </w:r>
          </w:p>
        </w:tc>
        <w:tc>
          <w:tcPr>
            <w:tcW w:type="dxa" w:w="3804"/>
            <w:tcMar>
              <w:top w:w="50" w:type="dxa"/>
              <w:bottom w:w="50" w:type="dxa"/>
              <w:left w:w="90" w:type="dxa"/>
              <w:right w:w="90" w:type="dxa"/>
            </w:tcMar>
            <w:shd w:val="clear" w:color="auto" w:fill="E5F5FF"/>
          </w:tcPr>
          <w:p>
            <w:pPr>
              <w:pStyle w:val="BDOITable"/>
            </w:pPr>
            <w:r>
              <w:rPr>
                <w:sz w:val="16"/>
              </w:rPr>
              <w:t>Close a case and create a linked follow-up case</w:t>
            </w:r>
          </w:p>
        </w:tc>
        <w:tc>
          <w:tcPr>
            <w:tcW w:type="dxa" w:w="1953"/>
            <w:tcMar>
              <w:top w:w="50" w:type="dxa"/>
              <w:bottom w:w="50" w:type="dxa"/>
              <w:left w:w="90" w:type="dxa"/>
              <w:right w:w="90" w:type="dxa"/>
            </w:tcMar>
            <w:shd w:val="clear" w:color="auto" w:fill="E5F5FF"/>
          </w:tcPr>
          <w:p>
            <w:pPr>
              <w:pStyle w:val="BDOITable"/>
            </w:pPr>
            <w:r>
              <w:rPr>
                <w:sz w:val="16"/>
              </w:rPr>
              <w:t>BRCSFCM.010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FR-CSF-059</w:t>
            </w:r>
          </w:p>
        </w:tc>
        <w:tc>
          <w:tcPr>
            <w:tcW w:type="dxa" w:w="3804"/>
            <w:tcMar>
              <w:top w:w="50" w:type="dxa"/>
              <w:bottom w:w="50" w:type="dxa"/>
              <w:left w:w="90" w:type="dxa"/>
              <w:right w:w="90" w:type="dxa"/>
            </w:tcMar>
          </w:tcPr>
          <w:p>
            <w:pPr>
              <w:pStyle w:val="BDOITable"/>
            </w:pPr>
            <w:r>
              <w:rPr>
                <w:sz w:val="16"/>
              </w:rPr>
              <w:t>Produce case management reports and dashboards</w:t>
            </w:r>
          </w:p>
        </w:tc>
        <w:tc>
          <w:tcPr>
            <w:tcW w:type="dxa" w:w="1953"/>
            <w:tcMar>
              <w:top w:w="50" w:type="dxa"/>
              <w:bottom w:w="50" w:type="dxa"/>
              <w:left w:w="90" w:type="dxa"/>
              <w:right w:w="90" w:type="dxa"/>
            </w:tcMar>
          </w:tcPr>
          <w:p>
            <w:pPr>
              <w:pStyle w:val="BDOITable"/>
            </w:pPr>
            <w:r>
              <w:rPr>
                <w:sz w:val="16"/>
              </w:rPr>
              <w:t>BRCSFCM.011, BRCSFCM.008, Envisioned process IV.4-5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FR-CSF-060</w:t>
            </w:r>
          </w:p>
        </w:tc>
        <w:tc>
          <w:tcPr>
            <w:tcW w:type="dxa" w:w="3804"/>
            <w:tcMar>
              <w:top w:w="50" w:type="dxa"/>
              <w:bottom w:w="50" w:type="dxa"/>
              <w:left w:w="90" w:type="dxa"/>
              <w:right w:w="90" w:type="dxa"/>
            </w:tcMar>
            <w:shd w:val="clear" w:color="auto" w:fill="E5F5FF"/>
          </w:tcPr>
          <w:p>
            <w:pPr>
              <w:pStyle w:val="BDOITable"/>
            </w:pPr>
            <w:r>
              <w:rPr>
                <w:sz w:val="16"/>
              </w:rPr>
              <w:t>Route, resolve and return a case by the Fulfilment Unit</w:t>
            </w:r>
          </w:p>
        </w:tc>
        <w:tc>
          <w:tcPr>
            <w:tcW w:type="dxa" w:w="1953"/>
            <w:tcMar>
              <w:top w:w="50" w:type="dxa"/>
              <w:bottom w:w="50" w:type="dxa"/>
              <w:left w:w="90" w:type="dxa"/>
              <w:right w:w="90" w:type="dxa"/>
            </w:tcMar>
            <w:shd w:val="clear" w:color="auto" w:fill="E5F5FF"/>
          </w:tcPr>
          <w:p>
            <w:pPr>
              <w:pStyle w:val="BDOITable"/>
            </w:pPr>
            <w:r>
              <w:rPr>
                <w:sz w:val="16"/>
              </w:rPr>
              <w:t>BRCSFCM.012, Envisioned process IV.6, Current process III.6</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FR-CSF-061</w:t>
            </w:r>
          </w:p>
        </w:tc>
        <w:tc>
          <w:tcPr>
            <w:tcW w:type="dxa" w:w="3804"/>
            <w:tcMar>
              <w:top w:w="50" w:type="dxa"/>
              <w:bottom w:w="50" w:type="dxa"/>
              <w:left w:w="90" w:type="dxa"/>
              <w:right w:w="90" w:type="dxa"/>
            </w:tcMar>
          </w:tcPr>
          <w:p>
            <w:pPr>
              <w:pStyle w:val="BDOITable"/>
            </w:pPr>
            <w:r>
              <w:rPr>
                <w:sz w:val="16"/>
              </w:rPr>
              <w:t>Maintain the case lists of values and the routing table</w:t>
            </w:r>
          </w:p>
        </w:tc>
        <w:tc>
          <w:tcPr>
            <w:tcW w:type="dxa" w:w="1953"/>
            <w:tcMar>
              <w:top w:w="50" w:type="dxa"/>
              <w:bottom w:w="50" w:type="dxa"/>
              <w:left w:w="90" w:type="dxa"/>
              <w:right w:w="90" w:type="dxa"/>
            </w:tcMar>
          </w:tcPr>
          <w:p>
            <w:pPr>
              <w:pStyle w:val="BDOITable"/>
            </w:pPr>
            <w:r>
              <w:rPr>
                <w:sz w:val="16"/>
              </w:rPr>
              <w:t>Lists of values I-VI, Envisioned process IV.2, IV.5, BRCSFCM.002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BRCSF-001</w:t>
            </w:r>
          </w:p>
        </w:tc>
        <w:tc>
          <w:tcPr>
            <w:tcW w:type="dxa" w:w="2216"/>
            <w:tcMar>
              <w:top w:w="50" w:type="dxa"/>
              <w:bottom w:w="50" w:type="dxa"/>
              <w:left w:w="90" w:type="dxa"/>
              <w:right w:w="90" w:type="dxa"/>
            </w:tcMar>
          </w:tcPr>
          <w:p>
            <w:pPr>
              <w:pStyle w:val="BDOITable"/>
            </w:pPr>
            <w:r>
              <w:rPr>
                <w:sz w:val="15"/>
              </w:rPr>
              <w:t>CSF-001, CSF-002</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BRCSF-003 / 3.001</w:t>
            </w:r>
          </w:p>
        </w:tc>
        <w:tc>
          <w:tcPr>
            <w:tcW w:type="dxa" w:w="2216"/>
            <w:tcMar>
              <w:top w:w="50" w:type="dxa"/>
              <w:bottom w:w="50" w:type="dxa"/>
              <w:left w:w="90" w:type="dxa"/>
              <w:right w:w="90" w:type="dxa"/>
            </w:tcMar>
          </w:tcPr>
          <w:p>
            <w:pPr>
              <w:pStyle w:val="BDOITable"/>
            </w:pPr>
            <w:r>
              <w:rPr>
                <w:sz w:val="15"/>
              </w:rPr>
              <w:t>CSF-010</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BRCSF-002</w:t>
            </w:r>
          </w:p>
        </w:tc>
        <w:tc>
          <w:tcPr>
            <w:tcW w:type="dxa" w:w="2216"/>
            <w:tcMar>
              <w:top w:w="50" w:type="dxa"/>
              <w:bottom w:w="50" w:type="dxa"/>
              <w:left w:w="90" w:type="dxa"/>
              <w:right w:w="90" w:type="dxa"/>
            </w:tcMar>
            <w:shd w:val="clear" w:color="auto" w:fill="E5F5FF"/>
          </w:tcPr>
          <w:p>
            <w:pPr>
              <w:pStyle w:val="BDOITable"/>
            </w:pPr>
            <w:r>
              <w:rPr>
                <w:sz w:val="15"/>
              </w:rPr>
              <w:t>CSF-011, CSF-021, CSF-022</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1416"/>
            <w:tcMar>
              <w:top w:w="50" w:type="dxa"/>
              <w:bottom w:w="50" w:type="dxa"/>
              <w:left w:w="90" w:type="dxa"/>
              <w:right w:w="90" w:type="dxa"/>
            </w:tcMar>
            <w:shd w:val="clear" w:color="auto" w:fill="E5F5FF"/>
          </w:tcPr>
          <w:p>
            <w:pPr>
              <w:pStyle w:val="BDOITable"/>
            </w:pPr>
            <w:r>
              <w:rPr>
                <w:sz w:val="15"/>
              </w:rPr>
              <w:t>BRCSF-005 / 5.001</w:t>
            </w:r>
          </w:p>
        </w:tc>
        <w:tc>
          <w:tcPr>
            <w:tcW w:type="dxa" w:w="2216"/>
            <w:tcMar>
              <w:top w:w="50" w:type="dxa"/>
              <w:bottom w:w="50" w:type="dxa"/>
              <w:left w:w="90" w:type="dxa"/>
              <w:right w:w="90" w:type="dxa"/>
            </w:tcMar>
            <w:shd w:val="clear" w:color="auto" w:fill="E5F5FF"/>
          </w:tcPr>
          <w:p>
            <w:pPr>
              <w:pStyle w:val="BDOITable"/>
            </w:pPr>
            <w:r>
              <w:rPr>
                <w:sz w:val="15"/>
              </w:rPr>
              <w:t>CSF-012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BRCSF-003</w:t>
            </w:r>
          </w:p>
        </w:tc>
        <w:tc>
          <w:tcPr>
            <w:tcW w:type="dxa" w:w="2216"/>
            <w:tcMar>
              <w:top w:w="50" w:type="dxa"/>
              <w:bottom w:w="50" w:type="dxa"/>
              <w:left w:w="90" w:type="dxa"/>
              <w:right w:w="90" w:type="dxa"/>
            </w:tcMar>
          </w:tcPr>
          <w:p>
            <w:pPr>
              <w:pStyle w:val="BDOITable"/>
            </w:pPr>
            <w:r>
              <w:rPr>
                <w:sz w:val="15"/>
              </w:rPr>
              <w:t>CSF-010</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BRCSF-006 / 6.001</w:t>
            </w:r>
          </w:p>
        </w:tc>
        <w:tc>
          <w:tcPr>
            <w:tcW w:type="dxa" w:w="2216"/>
            <w:tcMar>
              <w:top w:w="50" w:type="dxa"/>
              <w:bottom w:w="50" w:type="dxa"/>
              <w:left w:w="90" w:type="dxa"/>
              <w:right w:w="90" w:type="dxa"/>
            </w:tcMar>
          </w:tcPr>
          <w:p>
            <w:pPr>
              <w:pStyle w:val="BDOITable"/>
            </w:pPr>
            <w:r>
              <w:rPr>
                <w:sz w:val="15"/>
              </w:rPr>
              <w:t>CSF-030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BRCSF-004</w:t>
            </w:r>
          </w:p>
        </w:tc>
        <w:tc>
          <w:tcPr>
            <w:tcW w:type="dxa" w:w="2216"/>
            <w:tcMar>
              <w:top w:w="50" w:type="dxa"/>
              <w:bottom w:w="50" w:type="dxa"/>
              <w:left w:w="90" w:type="dxa"/>
              <w:right w:w="90" w:type="dxa"/>
            </w:tcMar>
            <w:shd w:val="clear" w:color="auto" w:fill="E5F5FF"/>
          </w:tcPr>
          <w:p>
            <w:pPr>
              <w:pStyle w:val="BDOITable"/>
            </w:pPr>
            <w:r>
              <w:rPr>
                <w:sz w:val="15"/>
              </w:rPr>
              <w:t>CSF-020, CSF-021</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1416"/>
            <w:tcMar>
              <w:top w:w="50" w:type="dxa"/>
              <w:bottom w:w="50" w:type="dxa"/>
              <w:left w:w="90" w:type="dxa"/>
              <w:right w:w="90" w:type="dxa"/>
            </w:tcMar>
            <w:shd w:val="clear" w:color="auto" w:fill="E5F5FF"/>
          </w:tcPr>
          <w:p>
            <w:pPr>
              <w:pStyle w:val="BDOITable"/>
            </w:pPr>
            <w:r>
              <w:rPr>
                <w:sz w:val="15"/>
              </w:rPr>
              <w:t>BRCSF-007 / 7.001</w:t>
            </w:r>
          </w:p>
        </w:tc>
        <w:tc>
          <w:tcPr>
            <w:tcW w:type="dxa" w:w="2216"/>
            <w:tcMar>
              <w:top w:w="50" w:type="dxa"/>
              <w:bottom w:w="50" w:type="dxa"/>
              <w:left w:w="90" w:type="dxa"/>
              <w:right w:w="90" w:type="dxa"/>
            </w:tcMar>
            <w:shd w:val="clear" w:color="auto" w:fill="E5F5FF"/>
          </w:tcPr>
          <w:p>
            <w:pPr>
              <w:pStyle w:val="BDOITable"/>
            </w:pPr>
            <w:r>
              <w:rPr>
                <w:sz w:val="15"/>
              </w:rPr>
              <w:t>CSF-032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BRCSF-005</w:t>
            </w:r>
          </w:p>
        </w:tc>
        <w:tc>
          <w:tcPr>
            <w:tcW w:type="dxa" w:w="2216"/>
            <w:tcMar>
              <w:top w:w="50" w:type="dxa"/>
              <w:bottom w:w="50" w:type="dxa"/>
              <w:left w:w="90" w:type="dxa"/>
              <w:right w:w="90" w:type="dxa"/>
            </w:tcMar>
          </w:tcPr>
          <w:p>
            <w:pPr>
              <w:pStyle w:val="BDOITable"/>
            </w:pPr>
            <w:r>
              <w:rPr>
                <w:sz w:val="15"/>
              </w:rPr>
              <w:t>CSF-013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BRCSF-009 / 9.001</w:t>
            </w:r>
          </w:p>
        </w:tc>
        <w:tc>
          <w:tcPr>
            <w:tcW w:type="dxa" w:w="2216"/>
            <w:tcMar>
              <w:top w:w="50" w:type="dxa"/>
              <w:bottom w:w="50" w:type="dxa"/>
              <w:left w:w="90" w:type="dxa"/>
              <w:right w:w="90" w:type="dxa"/>
            </w:tcMar>
          </w:tcPr>
          <w:p>
            <w:pPr>
              <w:pStyle w:val="BDOITable"/>
            </w:pPr>
            <w:r>
              <w:rPr>
                <w:sz w:val="15"/>
              </w:rPr>
              <w:t>CSF-033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BRCSF-006</w:t>
            </w:r>
          </w:p>
        </w:tc>
        <w:tc>
          <w:tcPr>
            <w:tcW w:type="dxa" w:w="2216"/>
            <w:tcMar>
              <w:top w:w="50" w:type="dxa"/>
              <w:bottom w:w="50" w:type="dxa"/>
              <w:left w:w="90" w:type="dxa"/>
              <w:right w:w="90" w:type="dxa"/>
            </w:tcMar>
            <w:shd w:val="clear" w:color="auto" w:fill="E5F5FF"/>
          </w:tcPr>
          <w:p>
            <w:pPr>
              <w:pStyle w:val="BDOITable"/>
            </w:pPr>
            <w:r>
              <w:rPr>
                <w:sz w:val="15"/>
              </w:rPr>
              <w:t>CSF-030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BRCSF-011 / 11.001</w:t>
            </w:r>
          </w:p>
        </w:tc>
        <w:tc>
          <w:tcPr>
            <w:tcW w:type="dxa" w:w="2216"/>
            <w:tcMar>
              <w:top w:w="50" w:type="dxa"/>
              <w:bottom w:w="50" w:type="dxa"/>
              <w:left w:w="90" w:type="dxa"/>
              <w:right w:w="90" w:type="dxa"/>
            </w:tcMar>
            <w:shd w:val="clear" w:color="auto" w:fill="E5F5FF"/>
          </w:tcPr>
          <w:p>
            <w:pPr>
              <w:pStyle w:val="BDOITable"/>
            </w:pPr>
            <w:r>
              <w:rPr>
                <w:sz w:val="15"/>
              </w:rPr>
              <w:t>CSF-043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BRCSF-007</w:t>
            </w:r>
          </w:p>
        </w:tc>
        <w:tc>
          <w:tcPr>
            <w:tcW w:type="dxa" w:w="2216"/>
            <w:tcMar>
              <w:top w:w="50" w:type="dxa"/>
              <w:bottom w:w="50" w:type="dxa"/>
              <w:left w:w="90" w:type="dxa"/>
              <w:right w:w="90" w:type="dxa"/>
            </w:tcMar>
          </w:tcPr>
          <w:p>
            <w:pPr>
              <w:pStyle w:val="BDOITable"/>
            </w:pPr>
            <w:r>
              <w:rPr>
                <w:sz w:val="15"/>
              </w:rPr>
              <w:t>CSF-032</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BRCSF-011 / 11.002</w:t>
            </w:r>
          </w:p>
        </w:tc>
        <w:tc>
          <w:tcPr>
            <w:tcW w:type="dxa" w:w="2216"/>
            <w:tcMar>
              <w:top w:w="50" w:type="dxa"/>
              <w:bottom w:w="50" w:type="dxa"/>
              <w:left w:w="90" w:type="dxa"/>
              <w:right w:w="90" w:type="dxa"/>
            </w:tcMar>
          </w:tcPr>
          <w:p>
            <w:pPr>
              <w:pStyle w:val="BDOITable"/>
            </w:pPr>
            <w:r>
              <w:rPr>
                <w:sz w:val="15"/>
              </w:rPr>
              <w:t>CSF-041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BRCSF-008</w:t>
            </w:r>
          </w:p>
        </w:tc>
        <w:tc>
          <w:tcPr>
            <w:tcW w:type="dxa" w:w="2216"/>
            <w:tcMar>
              <w:top w:w="50" w:type="dxa"/>
              <w:bottom w:w="50" w:type="dxa"/>
              <w:left w:w="90" w:type="dxa"/>
              <w:right w:w="90" w:type="dxa"/>
            </w:tcMar>
            <w:shd w:val="clear" w:color="auto" w:fill="E5F5FF"/>
          </w:tcPr>
          <w:p>
            <w:pPr>
              <w:pStyle w:val="BDOITable"/>
            </w:pPr>
            <w:r>
              <w:rPr>
                <w:sz w:val="15"/>
              </w:rPr>
              <w:t>CSF-011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CSF-EM07</w:t>
            </w:r>
          </w:p>
        </w:tc>
        <w:tc>
          <w:tcPr>
            <w:tcW w:type="dxa" w:w="2216"/>
            <w:tcMar>
              <w:top w:w="50" w:type="dxa"/>
              <w:bottom w:w="50" w:type="dxa"/>
              <w:left w:w="90" w:type="dxa"/>
              <w:right w:w="90" w:type="dxa"/>
            </w:tcMar>
            <w:shd w:val="clear" w:color="auto" w:fill="E5F5FF"/>
          </w:tcPr>
          <w:p>
            <w:pPr>
              <w:pStyle w:val="BDOITable"/>
            </w:pPr>
            <w:r>
              <w:rPr>
                <w:sz w:val="15"/>
              </w:rPr>
              <w:t>CSF-012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BRCSF-009</w:t>
            </w:r>
          </w:p>
        </w:tc>
        <w:tc>
          <w:tcPr>
            <w:tcW w:type="dxa" w:w="2216"/>
            <w:tcMar>
              <w:top w:w="50" w:type="dxa"/>
              <w:bottom w:w="50" w:type="dxa"/>
              <w:left w:w="90" w:type="dxa"/>
              <w:right w:w="90" w:type="dxa"/>
            </w:tcMar>
          </w:tcPr>
          <w:p>
            <w:pPr>
              <w:pStyle w:val="BDOITable"/>
            </w:pPr>
            <w:r>
              <w:rPr>
                <w:sz w:val="15"/>
              </w:rPr>
              <w:t>CSF-033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CSF-EM09</w:t>
            </w:r>
          </w:p>
        </w:tc>
        <w:tc>
          <w:tcPr>
            <w:tcW w:type="dxa" w:w="2216"/>
            <w:tcMar>
              <w:top w:w="50" w:type="dxa"/>
              <w:bottom w:w="50" w:type="dxa"/>
              <w:left w:w="90" w:type="dxa"/>
              <w:right w:w="90" w:type="dxa"/>
            </w:tcMar>
          </w:tcPr>
          <w:p>
            <w:pPr>
              <w:pStyle w:val="BDOITable"/>
            </w:pPr>
            <w:r>
              <w:rPr>
                <w:sz w:val="15"/>
              </w:rPr>
              <w:t>CSF-031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BRCSF-010</w:t>
            </w:r>
          </w:p>
        </w:tc>
        <w:tc>
          <w:tcPr>
            <w:tcW w:type="dxa" w:w="2216"/>
            <w:tcMar>
              <w:top w:w="50" w:type="dxa"/>
              <w:bottom w:w="50" w:type="dxa"/>
              <w:left w:w="90" w:type="dxa"/>
              <w:right w:w="90" w:type="dxa"/>
            </w:tcMar>
            <w:shd w:val="clear" w:color="auto" w:fill="E5F5FF"/>
          </w:tcPr>
          <w:p>
            <w:pPr>
              <w:pStyle w:val="BDOITable"/>
            </w:pPr>
            <w:r>
              <w:rPr>
                <w:sz w:val="15"/>
              </w:rPr>
              <w:t>CSF-021, CSF-040, CSF-042</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1416"/>
            <w:tcMar>
              <w:top w:w="50" w:type="dxa"/>
              <w:bottom w:w="50" w:type="dxa"/>
              <w:left w:w="90" w:type="dxa"/>
              <w:right w:w="90" w:type="dxa"/>
            </w:tcMar>
            <w:shd w:val="clear" w:color="auto" w:fill="E5F5FF"/>
          </w:tcPr>
          <w:p>
            <w:pPr>
              <w:pStyle w:val="BDOITable"/>
            </w:pPr>
            <w:r>
              <w:rPr>
                <w:sz w:val="15"/>
              </w:rPr>
              <w:t>Current process III.6</w:t>
            </w:r>
          </w:p>
        </w:tc>
        <w:tc>
          <w:tcPr>
            <w:tcW w:type="dxa" w:w="2216"/>
            <w:tcMar>
              <w:top w:w="50" w:type="dxa"/>
              <w:bottom w:w="50" w:type="dxa"/>
              <w:left w:w="90" w:type="dxa"/>
              <w:right w:w="90" w:type="dxa"/>
            </w:tcMar>
            <w:shd w:val="clear" w:color="auto" w:fill="E5F5FF"/>
          </w:tcPr>
          <w:p>
            <w:pPr>
              <w:pStyle w:val="BDOITable"/>
            </w:pPr>
            <w:r>
              <w:rPr>
                <w:sz w:val="15"/>
              </w:rPr>
              <w:t>CSF-060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BRCSF-011</w:t>
            </w:r>
          </w:p>
        </w:tc>
        <w:tc>
          <w:tcPr>
            <w:tcW w:type="dxa" w:w="2216"/>
            <w:tcMar>
              <w:top w:w="50" w:type="dxa"/>
              <w:bottom w:w="50" w:type="dxa"/>
              <w:left w:w="90" w:type="dxa"/>
              <w:right w:w="90" w:type="dxa"/>
            </w:tcMar>
          </w:tcPr>
          <w:p>
            <w:pPr>
              <w:pStyle w:val="BDOITable"/>
            </w:pPr>
            <w:r>
              <w:rPr>
                <w:sz w:val="15"/>
              </w:rPr>
              <w:t>CSF-041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Current process limitations</w:t>
            </w:r>
          </w:p>
        </w:tc>
        <w:tc>
          <w:tcPr>
            <w:tcW w:type="dxa" w:w="2216"/>
            <w:tcMar>
              <w:top w:w="50" w:type="dxa"/>
              <w:bottom w:w="50" w:type="dxa"/>
              <w:left w:w="90" w:type="dxa"/>
              <w:right w:w="90" w:type="dxa"/>
            </w:tcMar>
          </w:tcPr>
          <w:p>
            <w:pPr>
              <w:pStyle w:val="BDOITable"/>
            </w:pPr>
            <w:r>
              <w:rPr>
                <w:sz w:val="15"/>
              </w:rPr>
              <w:t>CSF-002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BRCSFCM.001</w:t>
            </w:r>
          </w:p>
        </w:tc>
        <w:tc>
          <w:tcPr>
            <w:tcW w:type="dxa" w:w="2216"/>
            <w:tcMar>
              <w:top w:w="50" w:type="dxa"/>
              <w:bottom w:w="50" w:type="dxa"/>
              <w:left w:w="90" w:type="dxa"/>
              <w:right w:w="90" w:type="dxa"/>
            </w:tcMar>
            <w:shd w:val="clear" w:color="auto" w:fill="E5F5FF"/>
          </w:tcPr>
          <w:p>
            <w:pPr>
              <w:pStyle w:val="BDOITable"/>
            </w:pPr>
            <w:r>
              <w:rPr>
                <w:sz w:val="15"/>
              </w:rPr>
              <w:t>CSF-050</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E-mail topic 4</w:t>
            </w:r>
          </w:p>
        </w:tc>
        <w:tc>
          <w:tcPr>
            <w:tcW w:type="dxa" w:w="2216"/>
            <w:tcMar>
              <w:top w:w="50" w:type="dxa"/>
              <w:bottom w:w="50" w:type="dxa"/>
              <w:left w:w="90" w:type="dxa"/>
              <w:right w:w="90" w:type="dxa"/>
            </w:tcMar>
            <w:shd w:val="clear" w:color="auto" w:fill="E5F5FF"/>
          </w:tcPr>
          <w:p>
            <w:pPr>
              <w:pStyle w:val="BDOITable"/>
            </w:pPr>
            <w:r>
              <w:rPr>
                <w:sz w:val="15"/>
              </w:rPr>
              <w:t>CSF-010</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BRCSFCM.002</w:t>
            </w:r>
          </w:p>
        </w:tc>
        <w:tc>
          <w:tcPr>
            <w:tcW w:type="dxa" w:w="2216"/>
            <w:tcMar>
              <w:top w:w="50" w:type="dxa"/>
              <w:bottom w:w="50" w:type="dxa"/>
              <w:left w:w="90" w:type="dxa"/>
              <w:right w:w="90" w:type="dxa"/>
            </w:tcMar>
          </w:tcPr>
          <w:p>
            <w:pPr>
              <w:pStyle w:val="BDOITable"/>
            </w:pPr>
            <w:r>
              <w:rPr>
                <w:sz w:val="15"/>
              </w:rPr>
              <w:t>CSF-051, CSF-061</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E-mail topic 5</w:t>
            </w:r>
          </w:p>
        </w:tc>
        <w:tc>
          <w:tcPr>
            <w:tcW w:type="dxa" w:w="2216"/>
            <w:tcMar>
              <w:top w:w="50" w:type="dxa"/>
              <w:bottom w:w="50" w:type="dxa"/>
              <w:left w:w="90" w:type="dxa"/>
              <w:right w:w="90" w:type="dxa"/>
            </w:tcMar>
          </w:tcPr>
          <w:p>
            <w:pPr>
              <w:pStyle w:val="BDOITable"/>
            </w:pPr>
            <w:r>
              <w:rPr>
                <w:sz w:val="15"/>
              </w:rPr>
              <w:t>CSF-020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BRCSFCM.003</w:t>
            </w:r>
          </w:p>
        </w:tc>
        <w:tc>
          <w:tcPr>
            <w:tcW w:type="dxa" w:w="2216"/>
            <w:tcMar>
              <w:top w:w="50" w:type="dxa"/>
              <w:bottom w:w="50" w:type="dxa"/>
              <w:left w:w="90" w:type="dxa"/>
              <w:right w:w="90" w:type="dxa"/>
            </w:tcMar>
            <w:shd w:val="clear" w:color="auto" w:fill="E5F5FF"/>
          </w:tcPr>
          <w:p>
            <w:pPr>
              <w:pStyle w:val="BDOITable"/>
            </w:pPr>
            <w:r>
              <w:rPr>
                <w:sz w:val="15"/>
              </w:rPr>
              <w:t>CSF-052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E-mail topic 6</w:t>
            </w:r>
          </w:p>
        </w:tc>
        <w:tc>
          <w:tcPr>
            <w:tcW w:type="dxa" w:w="2216"/>
            <w:tcMar>
              <w:top w:w="50" w:type="dxa"/>
              <w:bottom w:w="50" w:type="dxa"/>
              <w:left w:w="90" w:type="dxa"/>
              <w:right w:w="90" w:type="dxa"/>
            </w:tcMar>
            <w:shd w:val="clear" w:color="auto" w:fill="E5F5FF"/>
          </w:tcPr>
          <w:p>
            <w:pPr>
              <w:pStyle w:val="BDOITable"/>
            </w:pPr>
            <w:r>
              <w:rPr>
                <w:sz w:val="15"/>
              </w:rPr>
              <w:t>CSF-013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BRCSFCM.004</w:t>
            </w:r>
          </w:p>
        </w:tc>
        <w:tc>
          <w:tcPr>
            <w:tcW w:type="dxa" w:w="2216"/>
            <w:tcMar>
              <w:top w:w="50" w:type="dxa"/>
              <w:bottom w:w="50" w:type="dxa"/>
              <w:left w:w="90" w:type="dxa"/>
              <w:right w:w="90" w:type="dxa"/>
            </w:tcMar>
          </w:tcPr>
          <w:p>
            <w:pPr>
              <w:pStyle w:val="BDOITable"/>
            </w:pPr>
            <w:r>
              <w:rPr>
                <w:sz w:val="15"/>
              </w:rPr>
              <w:t>CSF-053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E-mail topic 8</w:t>
            </w:r>
          </w:p>
        </w:tc>
        <w:tc>
          <w:tcPr>
            <w:tcW w:type="dxa" w:w="2216"/>
            <w:tcMar>
              <w:top w:w="50" w:type="dxa"/>
              <w:bottom w:w="50" w:type="dxa"/>
              <w:left w:w="90" w:type="dxa"/>
              <w:right w:w="90" w:type="dxa"/>
            </w:tcMar>
          </w:tcPr>
          <w:p>
            <w:pPr>
              <w:pStyle w:val="BDOITable"/>
            </w:pPr>
            <w:r>
              <w:rPr>
                <w:sz w:val="15"/>
              </w:rPr>
              <w:t>CSF-030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BRCSFCM.005</w:t>
            </w:r>
          </w:p>
        </w:tc>
        <w:tc>
          <w:tcPr>
            <w:tcW w:type="dxa" w:w="2216"/>
            <w:tcMar>
              <w:top w:w="50" w:type="dxa"/>
              <w:bottom w:w="50" w:type="dxa"/>
              <w:left w:w="90" w:type="dxa"/>
              <w:right w:w="90" w:type="dxa"/>
            </w:tcMar>
            <w:shd w:val="clear" w:color="auto" w:fill="E5F5FF"/>
          </w:tcPr>
          <w:p>
            <w:pPr>
              <w:pStyle w:val="BDOITable"/>
            </w:pPr>
            <w:r>
              <w:rPr>
                <w:sz w:val="15"/>
              </w:rPr>
              <w:t>CSF-054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Envisioned process IV.1-2</w:t>
            </w:r>
          </w:p>
        </w:tc>
        <w:tc>
          <w:tcPr>
            <w:tcW w:type="dxa" w:w="2216"/>
            <w:tcMar>
              <w:top w:w="50" w:type="dxa"/>
              <w:bottom w:w="50" w:type="dxa"/>
              <w:left w:w="90" w:type="dxa"/>
              <w:right w:w="90" w:type="dxa"/>
            </w:tcMar>
            <w:shd w:val="clear" w:color="auto" w:fill="E5F5FF"/>
          </w:tcPr>
          <w:p>
            <w:pPr>
              <w:pStyle w:val="BDOITable"/>
            </w:pPr>
            <w:r>
              <w:rPr>
                <w:sz w:val="15"/>
              </w:rPr>
              <w:t>CSF-050</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BRCSFCM.006</w:t>
            </w:r>
          </w:p>
        </w:tc>
        <w:tc>
          <w:tcPr>
            <w:tcW w:type="dxa" w:w="2216"/>
            <w:tcMar>
              <w:top w:w="50" w:type="dxa"/>
              <w:bottom w:w="50" w:type="dxa"/>
              <w:left w:w="90" w:type="dxa"/>
              <w:right w:w="90" w:type="dxa"/>
            </w:tcMar>
          </w:tcPr>
          <w:p>
            <w:pPr>
              <w:pStyle w:val="BDOITable"/>
            </w:pPr>
            <w:r>
              <w:rPr>
                <w:sz w:val="15"/>
              </w:rPr>
              <w:t>CSF-055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Envisioned process IV.2</w:t>
            </w:r>
          </w:p>
        </w:tc>
        <w:tc>
          <w:tcPr>
            <w:tcW w:type="dxa" w:w="2216"/>
            <w:tcMar>
              <w:top w:w="50" w:type="dxa"/>
              <w:bottom w:w="50" w:type="dxa"/>
              <w:left w:w="90" w:type="dxa"/>
              <w:right w:w="90" w:type="dxa"/>
            </w:tcMar>
          </w:tcPr>
          <w:p>
            <w:pPr>
              <w:pStyle w:val="BDOITable"/>
            </w:pPr>
            <w:r>
              <w:rPr>
                <w:sz w:val="15"/>
              </w:rPr>
              <w:t>CSF-061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BRCSFCM.007</w:t>
            </w:r>
          </w:p>
        </w:tc>
        <w:tc>
          <w:tcPr>
            <w:tcW w:type="dxa" w:w="2216"/>
            <w:tcMar>
              <w:top w:w="50" w:type="dxa"/>
              <w:bottom w:w="50" w:type="dxa"/>
              <w:left w:w="90" w:type="dxa"/>
              <w:right w:w="90" w:type="dxa"/>
            </w:tcMar>
            <w:shd w:val="clear" w:color="auto" w:fill="E5F5FF"/>
          </w:tcPr>
          <w:p>
            <w:pPr>
              <w:pStyle w:val="BDOITable"/>
            </w:pPr>
            <w:r>
              <w:rPr>
                <w:sz w:val="15"/>
              </w:rPr>
              <w:t>CSF-056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Envisioned process IV.3</w:t>
            </w:r>
          </w:p>
        </w:tc>
        <w:tc>
          <w:tcPr>
            <w:tcW w:type="dxa" w:w="2216"/>
            <w:tcMar>
              <w:top w:w="50" w:type="dxa"/>
              <w:bottom w:w="50" w:type="dxa"/>
              <w:left w:w="90" w:type="dxa"/>
              <w:right w:w="90" w:type="dxa"/>
            </w:tcMar>
            <w:shd w:val="clear" w:color="auto" w:fill="E5F5FF"/>
          </w:tcPr>
          <w:p>
            <w:pPr>
              <w:pStyle w:val="BDOITable"/>
            </w:pPr>
            <w:r>
              <w:rPr>
                <w:sz w:val="15"/>
              </w:rPr>
              <w:t>CSF-052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BRCSFCM.008</w:t>
            </w:r>
          </w:p>
        </w:tc>
        <w:tc>
          <w:tcPr>
            <w:tcW w:type="dxa" w:w="2216"/>
            <w:tcMar>
              <w:top w:w="50" w:type="dxa"/>
              <w:bottom w:w="50" w:type="dxa"/>
              <w:left w:w="90" w:type="dxa"/>
              <w:right w:w="90" w:type="dxa"/>
            </w:tcMar>
          </w:tcPr>
          <w:p>
            <w:pPr>
              <w:pStyle w:val="BDOITable"/>
            </w:pPr>
            <w:r>
              <w:rPr>
                <w:sz w:val="15"/>
              </w:rPr>
              <w:t>CSF-057, CSF-059</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Envisioned process IV.4-5</w:t>
            </w:r>
          </w:p>
        </w:tc>
        <w:tc>
          <w:tcPr>
            <w:tcW w:type="dxa" w:w="2216"/>
            <w:tcMar>
              <w:top w:w="50" w:type="dxa"/>
              <w:bottom w:w="50" w:type="dxa"/>
              <w:left w:w="90" w:type="dxa"/>
              <w:right w:w="90" w:type="dxa"/>
            </w:tcMar>
          </w:tcPr>
          <w:p>
            <w:pPr>
              <w:pStyle w:val="BDOITable"/>
            </w:pPr>
            <w:r>
              <w:rPr>
                <w:sz w:val="15"/>
              </w:rPr>
              <w:t>CSF-059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BRCSFCM.010</w:t>
            </w:r>
          </w:p>
        </w:tc>
        <w:tc>
          <w:tcPr>
            <w:tcW w:type="dxa" w:w="2216"/>
            <w:tcMar>
              <w:top w:w="50" w:type="dxa"/>
              <w:bottom w:w="50" w:type="dxa"/>
              <w:left w:w="90" w:type="dxa"/>
              <w:right w:w="90" w:type="dxa"/>
            </w:tcMar>
            <w:shd w:val="clear" w:color="auto" w:fill="E5F5FF"/>
          </w:tcPr>
          <w:p>
            <w:pPr>
              <w:pStyle w:val="BDOITable"/>
            </w:pPr>
            <w:r>
              <w:rPr>
                <w:sz w:val="15"/>
              </w:rPr>
              <w:t>CSF-058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Envisioned process IV.6</w:t>
            </w:r>
          </w:p>
        </w:tc>
        <w:tc>
          <w:tcPr>
            <w:tcW w:type="dxa" w:w="2216"/>
            <w:tcMar>
              <w:top w:w="50" w:type="dxa"/>
              <w:bottom w:w="50" w:type="dxa"/>
              <w:left w:w="90" w:type="dxa"/>
              <w:right w:w="90" w:type="dxa"/>
            </w:tcMar>
            <w:shd w:val="clear" w:color="auto" w:fill="E5F5FF"/>
          </w:tcPr>
          <w:p>
            <w:pPr>
              <w:pStyle w:val="BDOITable"/>
            </w:pPr>
            <w:r>
              <w:rPr>
                <w:sz w:val="15"/>
              </w:rPr>
              <w:t>CSF-060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BRCSFCM.011</w:t>
            </w:r>
          </w:p>
        </w:tc>
        <w:tc>
          <w:tcPr>
            <w:tcW w:type="dxa" w:w="2216"/>
            <w:tcMar>
              <w:top w:w="50" w:type="dxa"/>
              <w:bottom w:w="50" w:type="dxa"/>
              <w:left w:w="90" w:type="dxa"/>
              <w:right w:w="90" w:type="dxa"/>
            </w:tcMar>
          </w:tcPr>
          <w:p>
            <w:pPr>
              <w:pStyle w:val="BDOITable"/>
            </w:pPr>
            <w:r>
              <w:rPr>
                <w:sz w:val="15"/>
              </w:rPr>
              <w:t>CSF-059</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Executive summary and envisioned process</w:t>
            </w:r>
          </w:p>
        </w:tc>
        <w:tc>
          <w:tcPr>
            <w:tcW w:type="dxa" w:w="2216"/>
            <w:tcMar>
              <w:top w:w="50" w:type="dxa"/>
              <w:bottom w:w="50" w:type="dxa"/>
              <w:left w:w="90" w:type="dxa"/>
              <w:right w:w="90" w:type="dxa"/>
            </w:tcMar>
          </w:tcPr>
          <w:p>
            <w:pPr>
              <w:pStyle w:val="BDOITable"/>
            </w:pPr>
            <w:r>
              <w:rPr>
                <w:sz w:val="15"/>
              </w:rPr>
              <w:t>CSF-022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BRCSFCM.012</w:t>
            </w:r>
          </w:p>
        </w:tc>
        <w:tc>
          <w:tcPr>
            <w:tcW w:type="dxa" w:w="2216"/>
            <w:tcMar>
              <w:top w:w="50" w:type="dxa"/>
              <w:bottom w:w="50" w:type="dxa"/>
              <w:left w:w="90" w:type="dxa"/>
              <w:right w:w="90" w:type="dxa"/>
            </w:tcMar>
            <w:shd w:val="clear" w:color="auto" w:fill="E5F5FF"/>
          </w:tcPr>
          <w:p>
            <w:pPr>
              <w:pStyle w:val="BDOITable"/>
            </w:pPr>
            <w:r>
              <w:rPr>
                <w:sz w:val="15"/>
              </w:rPr>
              <w:t>CSF-060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List of values II Case Type and TAT</w:t>
            </w:r>
          </w:p>
        </w:tc>
        <w:tc>
          <w:tcPr>
            <w:tcW w:type="dxa" w:w="2216"/>
            <w:tcMar>
              <w:top w:w="50" w:type="dxa"/>
              <w:bottom w:w="50" w:type="dxa"/>
              <w:left w:w="90" w:type="dxa"/>
              <w:right w:w="90" w:type="dxa"/>
            </w:tcMar>
            <w:shd w:val="clear" w:color="auto" w:fill="E5F5FF"/>
          </w:tcPr>
          <w:p>
            <w:pPr>
              <w:pStyle w:val="BDOITable"/>
            </w:pPr>
            <w:r>
              <w:rPr>
                <w:sz w:val="15"/>
              </w:rPr>
              <w:t>CSF-051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IV.5</w:t>
            </w:r>
          </w:p>
        </w:tc>
        <w:tc>
          <w:tcPr>
            <w:tcW w:type="dxa" w:w="2216"/>
            <w:tcMar>
              <w:top w:w="50" w:type="dxa"/>
              <w:bottom w:w="50" w:type="dxa"/>
              <w:left w:w="90" w:type="dxa"/>
              <w:right w:w="90" w:type="dxa"/>
            </w:tcMar>
          </w:tcPr>
          <w:p>
            <w:pPr>
              <w:pStyle w:val="BDOITable"/>
            </w:pPr>
            <w:r>
              <w:rPr>
                <w:sz w:val="15"/>
              </w:rPr>
              <w:t>CSF-061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Lists of values I-VI</w:t>
            </w:r>
          </w:p>
        </w:tc>
        <w:tc>
          <w:tcPr>
            <w:tcW w:type="dxa" w:w="2216"/>
            <w:tcMar>
              <w:top w:w="50" w:type="dxa"/>
              <w:bottom w:w="50" w:type="dxa"/>
              <w:left w:w="90" w:type="dxa"/>
              <w:right w:w="90" w:type="dxa"/>
            </w:tcMar>
          </w:tcPr>
          <w:p>
            <w:pPr>
              <w:pStyle w:val="BDOITable"/>
            </w:pPr>
            <w:r>
              <w:rPr>
                <w:sz w:val="15"/>
              </w:rPr>
              <w:t>CSF-061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BRCSF-001 / 1.001</w:t>
            </w:r>
          </w:p>
        </w:tc>
        <w:tc>
          <w:tcPr>
            <w:tcW w:type="dxa" w:w="2216"/>
            <w:tcMar>
              <w:top w:w="50" w:type="dxa"/>
              <w:bottom w:w="50" w:type="dxa"/>
              <w:left w:w="90" w:type="dxa"/>
              <w:right w:w="90" w:type="dxa"/>
            </w:tcMar>
            <w:shd w:val="clear" w:color="auto" w:fill="E5F5FF"/>
          </w:tcPr>
          <w:p>
            <w:pPr>
              <w:pStyle w:val="BDOITable"/>
            </w:pPr>
            <w:r>
              <w:rPr>
                <w:sz w:val="15"/>
              </w:rPr>
              <w:t>CSF-001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Usage requirements - report generation by Leads / Heads</w:t>
            </w:r>
          </w:p>
        </w:tc>
        <w:tc>
          <w:tcPr>
            <w:tcW w:type="dxa" w:w="2216"/>
            <w:tcMar>
              <w:top w:w="50" w:type="dxa"/>
              <w:bottom w:w="50" w:type="dxa"/>
              <w:left w:w="90" w:type="dxa"/>
              <w:right w:w="90" w:type="dxa"/>
            </w:tcMar>
            <w:shd w:val="clear" w:color="auto" w:fill="E5F5FF"/>
          </w:tcPr>
          <w:p>
            <w:pPr>
              <w:pStyle w:val="BDOITable"/>
            </w:pPr>
            <w:r>
              <w:rPr>
                <w:sz w:val="15"/>
              </w:rPr>
              <w:t>CSF-042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BRCSF-001 / 1.002</w:t>
            </w:r>
          </w:p>
        </w:tc>
        <w:tc>
          <w:tcPr>
            <w:tcW w:type="dxa" w:w="2216"/>
            <w:tcMar>
              <w:top w:w="50" w:type="dxa"/>
              <w:bottom w:w="50" w:type="dxa"/>
              <w:left w:w="90" w:type="dxa"/>
              <w:right w:w="90" w:type="dxa"/>
            </w:tcMar>
          </w:tcPr>
          <w:p>
            <w:pPr>
              <w:pStyle w:val="BDOITable"/>
            </w:pPr>
            <w:r>
              <w:rPr>
                <w:sz w:val="15"/>
              </w:rPr>
              <w:t>CSF-001</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p>
        </w:tc>
        <w:tc>
          <w:tcPr>
            <w:tcW w:type="dxa" w:w="2216"/>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SC-CSF-01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roles. Agents, supervisors and management log in, land on the Customer Search and see only the CSF actions of their role; role grants go through User Access requests.</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SC-CSF-02</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Find the caller. The agent searches by name, client ID, account number, PN number and application number and opens the client.</w:t>
            </w:r>
          </w:p>
        </w:tc>
        <w:tc>
          <w:tcPr>
            <w:tcW w:type="dxa" w:w="821"/>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1056"/>
            <w:tcMar>
              <w:top w:w="50" w:type="dxa"/>
              <w:bottom w:w="50" w:type="dxa"/>
              <w:left w:w="90" w:type="dxa"/>
              <w:right w:w="90" w:type="dxa"/>
            </w:tcMar>
          </w:tcPr>
          <w:p>
            <w:pPr>
              <w:pStyle w:val="BDOITable"/>
            </w:pPr>
            <w:r>
              <w:rPr>
                <w:sz w:val="17"/>
              </w:rPr>
              <w:t>SC-CSF-03</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Servicing view. The agent reads the client information, every account with its CSF status and the payment history.</w:t>
            </w:r>
          </w:p>
        </w:tc>
        <w:tc>
          <w:tcPr>
            <w:tcW w:type="dxa" w:w="821"/>
            <w:tcMar>
              <w:top w:w="50" w:type="dxa"/>
              <w:bottom w:w="50" w:type="dxa"/>
              <w:left w:w="90" w:type="dxa"/>
              <w:right w:w="90" w:type="dxa"/>
            </w:tcMar>
          </w:tcPr>
          <w:p>
            <w:pPr>
              <w:pStyle w:val="BDOITable"/>
            </w:pPr>
            <w:r>
              <w:rPr>
                <w:sz w:val="17"/>
              </w:rPr>
              <w:t>17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SC-CSF-04</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Verify and update the contact. The agent verifies the caller, changes the mobile or e-mail with a reason, and the change is queued for QPS and EBIX while they coexist.</w:t>
            </w:r>
          </w:p>
        </w:tc>
        <w:tc>
          <w:tcPr>
            <w:tcW w:type="dxa" w:w="821"/>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1056"/>
            <w:tcMar>
              <w:top w:w="50" w:type="dxa"/>
              <w:bottom w:w="50" w:type="dxa"/>
              <w:left w:w="90" w:type="dxa"/>
              <w:right w:w="90" w:type="dxa"/>
            </w:tcMar>
          </w:tcPr>
          <w:p>
            <w:pPr>
              <w:pStyle w:val="BDOITable"/>
            </w:pPr>
            <w:r>
              <w:rPr>
                <w:sz w:val="17"/>
              </w:rPr>
              <w:t>SC-CSF-05</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Resend documents. The agent resends a renewal advice and an e-policy to the registered e-mail; the supervisor sends to another address with a reason.</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SC-CSF-06</w:t>
            </w:r>
          </w:p>
        </w:tc>
        <w:tc>
          <w:tcPr>
            <w:tcW w:type="dxa" w:w="2464"/>
            <w:tcMar>
              <w:top w:w="50" w:type="dxa"/>
              <w:bottom w:w="50" w:type="dxa"/>
              <w:left w:w="90" w:type="dxa"/>
              <w:right w:w="90" w:type="dxa"/>
            </w:tcMar>
            <w:shd w:val="clear" w:color="auto" w:fill="E5F5FF"/>
          </w:tcPr>
          <w:p>
            <w:pPr>
              <w:pStyle w:val="BDOITable"/>
            </w:pPr>
            <w:r>
              <w:rPr>
                <w:sz w:val="17"/>
              </w:rPr>
              <w:t>CSF_AGENT – BDO Insure Contact Center Agent</w:t>
            </w:r>
          </w:p>
        </w:tc>
        <w:tc>
          <w:tcPr>
            <w:tcW w:type="dxa" w:w="5631"/>
            <w:tcMar>
              <w:top w:w="50" w:type="dxa"/>
              <w:bottom w:w="50" w:type="dxa"/>
              <w:left w:w="90" w:type="dxa"/>
              <w:right w:w="90" w:type="dxa"/>
            </w:tcMar>
            <w:shd w:val="clear" w:color="auto" w:fill="E5F5FF"/>
          </w:tcPr>
          <w:p>
            <w:pPr>
              <w:pStyle w:val="BDOITable"/>
            </w:pPr>
            <w:r>
              <w:rPr>
                <w:sz w:val="17"/>
              </w:rPr>
              <w:t>Documents. The agent uploads documents to the client or an account and retrieves quotations, renewal advices and claims reports.</w:t>
            </w:r>
          </w:p>
        </w:tc>
        <w:tc>
          <w:tcPr>
            <w:tcW w:type="dxa" w:w="821"/>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1056"/>
            <w:tcMar>
              <w:top w:w="50" w:type="dxa"/>
              <w:bottom w:w="50" w:type="dxa"/>
              <w:left w:w="90" w:type="dxa"/>
              <w:right w:w="90" w:type="dxa"/>
            </w:tcMar>
          </w:tcPr>
          <w:p>
            <w:pPr>
              <w:pStyle w:val="BDOITable"/>
            </w:pPr>
            <w:r>
              <w:rPr>
                <w:sz w:val="17"/>
              </w:rPr>
              <w:t>SC-CSF-07</w:t>
            </w:r>
          </w:p>
        </w:tc>
        <w:tc>
          <w:tcPr>
            <w:tcW w:type="dxa" w:w="2464"/>
            <w:tcMar>
              <w:top w:w="50" w:type="dxa"/>
              <w:bottom w:w="50" w:type="dxa"/>
              <w:left w:w="90" w:type="dxa"/>
              <w:right w:w="90" w:type="dxa"/>
            </w:tcMar>
          </w:tcPr>
          <w:p>
            <w:pPr>
              <w:pStyle w:val="BDOITable"/>
            </w:pPr>
            <w:r>
              <w:rPr>
                <w:sz w:val="17"/>
              </w:rPr>
              <w:t>CSF_MANAGEMENT – Contact Center Management</w:t>
            </w:r>
          </w:p>
        </w:tc>
        <w:tc>
          <w:tcPr>
            <w:tcW w:type="dxa" w:w="5631"/>
            <w:tcMar>
              <w:top w:w="50" w:type="dxa"/>
              <w:bottom w:w="50" w:type="dxa"/>
              <w:left w:w="90" w:type="dxa"/>
              <w:right w:w="90" w:type="dxa"/>
            </w:tcMar>
          </w:tcPr>
          <w:p>
            <w:pPr>
              <w:pStyle w:val="BDOITable"/>
            </w:pPr>
            <w:r>
              <w:rPr>
                <w:sz w:val="17"/>
              </w:rPr>
              <w:t>Audit and reports. Management prints or saves the audit trail, the Contact Changes report and the Agent Activity report.</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SC-CSF-08</w:t>
            </w:r>
          </w:p>
        </w:tc>
        <w:tc>
          <w:tcPr>
            <w:tcW w:type="dxa" w:w="2464"/>
            <w:tcMar>
              <w:top w:w="50" w:type="dxa"/>
              <w:bottom w:w="50" w:type="dxa"/>
              <w:left w:w="90" w:type="dxa"/>
              <w:right w:w="90" w:type="dxa"/>
            </w:tcMar>
            <w:shd w:val="clear" w:color="auto" w:fill="E5F5FF"/>
          </w:tcPr>
          <w:p>
            <w:pPr>
              <w:pStyle w:val="BDOITable"/>
            </w:pPr>
            <w:r>
              <w:rPr>
                <w:sz w:val="17"/>
              </w:rPr>
              <w:t>INFRA – Infrastructure team</w:t>
            </w:r>
          </w:p>
        </w:tc>
        <w:tc>
          <w:tcPr>
            <w:tcW w:type="dxa" w:w="5631"/>
            <w:tcMar>
              <w:top w:w="50" w:type="dxa"/>
              <w:bottom w:w="50" w:type="dxa"/>
              <w:left w:w="90" w:type="dxa"/>
              <w:right w:w="90" w:type="dxa"/>
            </w:tcMar>
            <w:shd w:val="clear" w:color="auto" w:fill="E5F5FF"/>
          </w:tcPr>
          <w:p>
            <w:pPr>
              <w:pStyle w:val="BDOITable"/>
            </w:pPr>
            <w:r>
              <w:rPr>
                <w:sz w:val="17"/>
              </w:rPr>
              <w:t>Backup and restore. The infrastructure team proves the 15-minute log archiving and a restore.</w:t>
            </w:r>
          </w:p>
        </w:tc>
        <w:tc>
          <w:tcPr>
            <w:tcW w:type="dxa" w:w="821"/>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1056"/>
            <w:tcMar>
              <w:top w:w="50" w:type="dxa"/>
              <w:bottom w:w="50" w:type="dxa"/>
              <w:left w:w="90" w:type="dxa"/>
              <w:right w:w="90" w:type="dxa"/>
            </w:tcMar>
          </w:tcPr>
          <w:p>
            <w:pPr>
              <w:pStyle w:val="BDOITable"/>
            </w:pPr>
            <w:r>
              <w:rPr>
                <w:sz w:val="17"/>
              </w:rPr>
              <w:t>SC-CSF-09</w:t>
            </w:r>
          </w:p>
        </w:tc>
        <w:tc>
          <w:tcPr>
            <w:tcW w:type="dxa" w:w="2464"/>
            <w:tcMar>
              <w:top w:w="50" w:type="dxa"/>
              <w:bottom w:w="50" w:type="dxa"/>
              <w:left w:w="90" w:type="dxa"/>
              <w:right w:w="90" w:type="dxa"/>
            </w:tcMar>
          </w:tcPr>
          <w:p>
            <w:pPr>
              <w:pStyle w:val="BDOITable"/>
            </w:pPr>
            <w:r>
              <w:rPr>
                <w:sz w:val="17"/>
              </w:rPr>
              <w:t>CSF_AGENT – BDO Insure Contact Center Agent</w:t>
            </w:r>
          </w:p>
        </w:tc>
        <w:tc>
          <w:tcPr>
            <w:tcW w:type="dxa" w:w="5631"/>
            <w:tcMar>
              <w:top w:w="50" w:type="dxa"/>
              <w:bottom w:w="50" w:type="dxa"/>
              <w:left w:w="90" w:type="dxa"/>
              <w:right w:w="90" w:type="dxa"/>
            </w:tcMar>
          </w:tcPr>
          <w:p>
            <w:pPr>
              <w:pStyle w:val="BDOITable"/>
            </w:pPr>
            <w:r>
              <w:rPr>
                <w:sz w:val="17"/>
              </w:rPr>
              <w:t>Log and close cases. The agent logs a case from the Servicing View, resolves an inquiry on the call, adds notes and documents, and closes a case with a linked follow-up case.</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SC-CSF-10</w:t>
            </w:r>
          </w:p>
        </w:tc>
        <w:tc>
          <w:tcPr>
            <w:tcW w:type="dxa" w:w="2464"/>
            <w:tcMar>
              <w:top w:w="50" w:type="dxa"/>
              <w:bottom w:w="50" w:type="dxa"/>
              <w:left w:w="90" w:type="dxa"/>
              <w:right w:w="90" w:type="dxa"/>
            </w:tcMar>
            <w:shd w:val="clear" w:color="auto" w:fill="E5F5FF"/>
          </w:tcPr>
          <w:p>
            <w:pPr>
              <w:pStyle w:val="BDOITable"/>
            </w:pPr>
            <w:r>
              <w:rPr>
                <w:sz w:val="17"/>
              </w:rPr>
              <w:t>CSF_FULFILMENT – Fulfilment Unit member</w:t>
            </w:r>
          </w:p>
        </w:tc>
        <w:tc>
          <w:tcPr>
            <w:tcW w:type="dxa" w:w="5631"/>
            <w:tcMar>
              <w:top w:w="50" w:type="dxa"/>
              <w:bottom w:w="50" w:type="dxa"/>
              <w:left w:w="90" w:type="dxa"/>
              <w:right w:w="90" w:type="dxa"/>
            </w:tcMar>
            <w:shd w:val="clear" w:color="auto" w:fill="E5F5FF"/>
          </w:tcPr>
          <w:p>
            <w:pPr>
              <w:pStyle w:val="BDOITable"/>
            </w:pPr>
            <w:r>
              <w:rPr>
                <w:sz w:val="17"/>
              </w:rPr>
              <w:t>Fulfilment unit. The case is routed to the fulfilment unit, which resolves and closes it, returns it to the agent or asks for CSR action.</w:t>
            </w:r>
          </w:p>
        </w:tc>
        <w:tc>
          <w:tcPr>
            <w:tcW w:type="dxa" w:w="821"/>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1056"/>
            <w:tcMar>
              <w:top w:w="50" w:type="dxa"/>
              <w:bottom w:w="50" w:type="dxa"/>
              <w:left w:w="90" w:type="dxa"/>
              <w:right w:w="90" w:type="dxa"/>
            </w:tcMar>
          </w:tcPr>
          <w:p>
            <w:pPr>
              <w:pStyle w:val="BDOITable"/>
            </w:pPr>
            <w:r>
              <w:rPr>
                <w:sz w:val="17"/>
              </w:rPr>
              <w:t>SC-CSF-11</w:t>
            </w:r>
          </w:p>
        </w:tc>
        <w:tc>
          <w:tcPr>
            <w:tcW w:type="dxa" w:w="2464"/>
            <w:tcMar>
              <w:top w:w="50" w:type="dxa"/>
              <w:bottom w:w="50" w:type="dxa"/>
              <w:left w:w="90" w:type="dxa"/>
              <w:right w:w="90" w:type="dxa"/>
            </w:tcMar>
          </w:tcPr>
          <w:p>
            <w:pPr>
              <w:pStyle w:val="BDOITable"/>
            </w:pPr>
            <w:r>
              <w:rPr>
                <w:sz w:val="17"/>
              </w:rPr>
              <w:t>CSF_SUPERVISOR – Contact Center Supervisor</w:t>
            </w:r>
          </w:p>
        </w:tc>
        <w:tc>
          <w:tcPr>
            <w:tcW w:type="dxa" w:w="5631"/>
            <w:tcMar>
              <w:top w:w="50" w:type="dxa"/>
              <w:bottom w:w="50" w:type="dxa"/>
              <w:left w:w="90" w:type="dxa"/>
              <w:right w:w="90" w:type="dxa"/>
            </w:tcMar>
          </w:tcPr>
          <w:p>
            <w:pPr>
              <w:pStyle w:val="BDOITable"/>
            </w:pPr>
            <w:r>
              <w:rPr>
                <w:sz w:val="17"/>
              </w:rPr>
              <w:t>Supervision and SLA. The supervisor reassigns, escalates and recategorises cases; the SLA check flags and escalates cases approaching and past their due date.</w:t>
            </w:r>
          </w:p>
        </w:tc>
        <w:tc>
          <w:tcPr>
            <w:tcW w:type="dxa" w:w="821"/>
            <w:tcMar>
              <w:top w:w="50" w:type="dxa"/>
              <w:bottom w:w="50" w:type="dxa"/>
              <w:left w:w="90" w:type="dxa"/>
              <w:right w:w="90" w:type="dxa"/>
            </w:tcMar>
          </w:tcPr>
          <w:p>
            <w:pPr>
              <w:pStyle w:val="BDOITable"/>
            </w:pPr>
            <w:r>
              <w:rPr>
                <w:sz w:val="17"/>
              </w:rPr>
              <w:t>13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SC-CSF-12</w:t>
            </w:r>
          </w:p>
        </w:tc>
        <w:tc>
          <w:tcPr>
            <w:tcW w:type="dxa" w:w="2464"/>
            <w:tcMar>
              <w:top w:w="50" w:type="dxa"/>
              <w:bottom w:w="50" w:type="dxa"/>
              <w:left w:w="90" w:type="dxa"/>
              <w:right w:w="90" w:type="dxa"/>
            </w:tcMar>
            <w:shd w:val="clear" w:color="auto" w:fill="E5F5FF"/>
          </w:tcPr>
          <w:p>
            <w:pPr>
              <w:pStyle w:val="BDOITable"/>
            </w:pPr>
            <w:r>
              <w:rPr>
                <w:sz w:val="17"/>
              </w:rPr>
              <w:t>CSF_MANAGEMENT – Contact Center Management</w:t>
            </w:r>
          </w:p>
        </w:tc>
        <w:tc>
          <w:tcPr>
            <w:tcW w:type="dxa" w:w="5631"/>
            <w:tcMar>
              <w:top w:w="50" w:type="dxa"/>
              <w:bottom w:w="50" w:type="dxa"/>
              <w:left w:w="90" w:type="dxa"/>
              <w:right w:w="90" w:type="dxa"/>
            </w:tcMar>
            <w:shd w:val="clear" w:color="auto" w:fill="E5F5FF"/>
          </w:tcPr>
          <w:p>
            <w:pPr>
              <w:pStyle w:val="BDOITable"/>
            </w:pPr>
            <w:r>
              <w:rPr>
                <w:sz w:val="17"/>
              </w:rPr>
              <w:t>Case reports and lists. Management follows the case dashboard and exports the case reports; the case lists and routing table are maintained.</w:t>
            </w:r>
          </w:p>
        </w:tc>
        <w:tc>
          <w:tcPr>
            <w:tcW w:type="dxa" w:w="821"/>
            <w:tcMar>
              <w:top w:w="50" w:type="dxa"/>
              <w:bottom w:w="50" w:type="dxa"/>
              <w:left w:w="90" w:type="dxa"/>
              <w:right w:w="90" w:type="dxa"/>
            </w:tcMar>
            <w:shd w:val="clear" w:color="auto" w:fill="E5F5FF"/>
          </w:tcPr>
          <w:p>
            <w:pPr>
              <w:pStyle w:val="BDOITable"/>
            </w:pPr>
            <w:r>
              <w:rPr>
                <w:sz w:val="17"/>
              </w:rPr>
              <w:t>9</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49"/>
        <w:gridCol w:w="1103"/>
        <w:gridCol w:w="1103"/>
        <w:gridCol w:w="1103"/>
        <w:gridCol w:w="1103"/>
        <w:gridCol w:w="1103"/>
        <w:gridCol w:w="1103"/>
      </w:tblGrid>
      <w:tr>
        <w:trPr>
          <w:tblHeader w:val="true"/>
          <w:cantSplit w:val="true"/>
        </w:trPr>
        <w:tc>
          <w:tcPr>
            <w:tcW w:type="dxa" w:w="3349"/>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Agent</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Supervisor</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Mgmt</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1104"/>
            <w:shd w:val="clear" w:color="auto" w:fill="004EA8"/>
            <w:tcMar>
              <w:top w:w="50" w:type="dxa"/>
              <w:bottom w:w="50" w:type="dxa"/>
              <w:left w:w="90" w:type="dxa"/>
              <w:right w:w="90" w:type="dxa"/>
            </w:tcMar>
            <w:vAlign w:val="center"/>
          </w:tcPr>
          <w:p>
            <w:pPr>
              <w:pStyle w:val="BDOITableHeader"/>
            </w:pPr>
            <w:r>
              <w:rPr>
                <w:b/>
                <w:color w:val="FFFFFF"/>
                <w:sz w:val="15"/>
              </w:rPr>
              <w:t>FU</w:t>
            </w:r>
          </w:p>
        </w:tc>
      </w:tr>
      <w:tr>
        <w:trPr>
          <w:cantSplit w:val="true"/>
        </w:trPr>
        <w:tc>
          <w:tcPr>
            <w:tcW w:type="dxa" w:w="3349"/>
            <w:tcMar>
              <w:top w:w="50" w:type="dxa"/>
              <w:bottom w:w="50" w:type="dxa"/>
              <w:left w:w="90" w:type="dxa"/>
              <w:right w:w="90" w:type="dxa"/>
            </w:tcMar>
          </w:tcPr>
          <w:p>
            <w:pPr>
              <w:pStyle w:val="BDOITable"/>
            </w:pPr>
            <w:r>
              <w:rPr>
                <w:sz w:val="15"/>
              </w:rPr>
              <w:t>Open the Customer Search and the Servicing View</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Verify the caller and change contact details</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r>
        <w:trPr>
          <w:cantSplit w:val="true"/>
        </w:trPr>
        <w:tc>
          <w:tcPr>
            <w:tcW w:type="dxa" w:w="3349"/>
            <w:tcMar>
              <w:top w:w="50" w:type="dxa"/>
              <w:bottom w:w="50" w:type="dxa"/>
              <w:left w:w="90" w:type="dxa"/>
              <w:right w:w="90" w:type="dxa"/>
            </w:tcMar>
          </w:tcPr>
          <w:p>
            <w:pPr>
              <w:pStyle w:val="BDOITable"/>
            </w:pPr>
            <w:r>
              <w:rPr>
                <w:sz w:val="15"/>
              </w:rPr>
              <w:t>Resend the RA or e-policy to the registered e-mail</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Resend to another address with a reason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r>
        <w:trPr>
          <w:cantSplit w:val="true"/>
        </w:trPr>
        <w:tc>
          <w:tcPr>
            <w:tcW w:type="dxa" w:w="3349"/>
            <w:tcMar>
              <w:top w:w="50" w:type="dxa"/>
              <w:bottom w:w="50" w:type="dxa"/>
              <w:left w:w="90" w:type="dxa"/>
              <w:right w:w="90" w:type="dxa"/>
            </w:tcMar>
          </w:tcPr>
          <w:p>
            <w:pPr>
              <w:pStyle w:val="BDOITable"/>
            </w:pPr>
            <w:r>
              <w:rPr>
                <w:sz w:val="15"/>
              </w:rPr>
              <w:t>Upload documents from the Servicing View</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Open and download documents</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r>
        <w:trPr>
          <w:cantSplit w:val="true"/>
        </w:trPr>
        <w:tc>
          <w:tcPr>
            <w:tcW w:type="dxa" w:w="3349"/>
            <w:tcMar>
              <w:top w:w="50" w:type="dxa"/>
              <w:bottom w:w="50" w:type="dxa"/>
              <w:left w:w="90" w:type="dxa"/>
              <w:right w:w="90" w:type="dxa"/>
            </w:tcMar>
          </w:tcPr>
          <w:p>
            <w:pPr>
              <w:pStyle w:val="BDOITable"/>
            </w:pPr>
            <w:r>
              <w:rPr>
                <w:sz w:val="15"/>
              </w:rPr>
              <w:t>Run the Contact Changes and Agent Activity reports</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Run the Audit Trail report (CTL-AUDIT)</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r>
        <w:trPr>
          <w:cantSplit w:val="true"/>
        </w:trPr>
        <w:tc>
          <w:tcPr>
            <w:tcW w:type="dxa" w:w="3349"/>
            <w:tcMar>
              <w:top w:w="50" w:type="dxa"/>
              <w:bottom w:w="50" w:type="dxa"/>
              <w:left w:w="90" w:type="dxa"/>
              <w:right w:w="90" w:type="dxa"/>
            </w:tcMar>
          </w:tcPr>
          <w:p>
            <w:pPr>
              <w:pStyle w:val="BDOITable"/>
            </w:pPr>
            <w:r>
              <w:rPr>
                <w:sz w:val="15"/>
              </w:rPr>
              <w:t>Maintain users and roles</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Log a case, add notes and documents, close own cases</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3349"/>
            <w:tcMar>
              <w:top w:w="50" w:type="dxa"/>
              <w:bottom w:w="50" w:type="dxa"/>
              <w:left w:w="90" w:type="dxa"/>
              <w:right w:w="90" w:type="dxa"/>
            </w:tcMar>
          </w:tcPr>
          <w:p>
            <w:pPr>
              <w:pStyle w:val="BDOITable"/>
            </w:pPr>
            <w:r>
              <w:rPr>
                <w:sz w:val="15"/>
              </w:rPr>
              <w:t>Reassign, escalate, change the category and close any case</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r>
              <w:rPr>
                <w:sz w:val="15"/>
              </w:rPr>
              <w:t>N</w:t>
            </w: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Resolve, return or request CSR action on cases of the user's units</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3349"/>
            <w:tcMar>
              <w:top w:w="50" w:type="dxa"/>
              <w:bottom w:w="50" w:type="dxa"/>
              <w:left w:w="90" w:type="dxa"/>
              <w:right w:w="90" w:type="dxa"/>
            </w:tcMar>
          </w:tcPr>
          <w:p>
            <w:pPr>
              <w:pStyle w:val="BDOITable"/>
            </w:pPr>
            <w:r>
              <w:rPr>
                <w:sz w:val="15"/>
              </w:rPr>
              <w:t>Open the case dashboard and run the case reports</w:t>
            </w:r>
          </w:p>
        </w:tc>
        <w:tc>
          <w:tcPr>
            <w:tcW w:type="dxa" w:w="1104"/>
            <w:tcMar>
              <w:top w:w="50" w:type="dxa"/>
              <w:bottom w:w="50" w:type="dxa"/>
              <w:left w:w="90" w:type="dxa"/>
              <w:right w:w="90" w:type="dxa"/>
            </w:tcMar>
          </w:tcPr>
          <w:p>
            <w:pPr>
              <w:pStyle w:val="BDOITable"/>
            </w:pPr>
            <w:r>
              <w:rPr>
                <w:sz w:val="15"/>
              </w:rPr>
              <w:t>N</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r>
              <w:rPr>
                <w:sz w:val="15"/>
              </w:rPr>
              <w:t>Y</w:t>
            </w: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p>
        </w:tc>
        <w:tc>
          <w:tcPr>
            <w:tcW w:type="dxa" w:w="1104"/>
            <w:tcMar>
              <w:top w:w="50" w:type="dxa"/>
              <w:bottom w:w="50" w:type="dxa"/>
              <w:left w:w="90" w:type="dxa"/>
              <w:right w:w="90" w:type="dxa"/>
            </w:tcMar>
          </w:tcPr>
          <w:p>
            <w:pPr>
              <w:pStyle w:val="BDOITable"/>
            </w:pPr>
            <w:r>
              <w:rPr>
                <w:sz w:val="15"/>
              </w:rPr>
              <w:t>N</w:t>
            </w:r>
          </w:p>
        </w:tc>
      </w:tr>
      <w:tr>
        <w:trPr>
          <w:cantSplit w:val="true"/>
        </w:trPr>
        <w:tc>
          <w:tcPr>
            <w:tcW w:type="dxa" w:w="3349"/>
            <w:tcMar>
              <w:top w:w="50" w:type="dxa"/>
              <w:bottom w:w="50" w:type="dxa"/>
              <w:left w:w="90" w:type="dxa"/>
              <w:right w:w="90" w:type="dxa"/>
            </w:tcMar>
            <w:shd w:val="clear" w:color="auto" w:fill="E5F5FF"/>
          </w:tcPr>
          <w:p>
            <w:pPr>
              <w:pStyle w:val="BDOITable"/>
            </w:pPr>
            <w:r>
              <w:rPr>
                <w:sz w:val="15"/>
              </w:rPr>
              <w:t>Maintain the case routing table</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N</w:t>
            </w:r>
          </w:p>
        </w:tc>
        <w:tc>
          <w:tcPr>
            <w:tcW w:type="dxa" w:w="1104"/>
            <w:tcMar>
              <w:top w:w="50" w:type="dxa"/>
              <w:bottom w:w="50" w:type="dxa"/>
              <w:left w:w="90" w:type="dxa"/>
              <w:right w:w="90" w:type="dxa"/>
            </w:tcMar>
            <w:shd w:val="clear" w:color="auto" w:fill="E5F5FF"/>
          </w:tcPr>
          <w:p>
            <w:pPr>
              <w:pStyle w:val="BDOITable"/>
            </w:pPr>
            <w:r>
              <w:rPr>
                <w:sz w:val="15"/>
              </w:rPr>
              <w:t>Y</w:t>
            </w:r>
          </w:p>
        </w:tc>
        <w:tc>
          <w:tcPr>
            <w:tcW w:type="dxa" w:w="1104"/>
            <w:tcMar>
              <w:top w:w="50" w:type="dxa"/>
              <w:bottom w:w="50" w:type="dxa"/>
              <w:left w:w="90" w:type="dxa"/>
              <w:right w:w="90" w:type="dxa"/>
            </w:tcMar>
            <w:shd w:val="clear" w:color="auto" w:fill="E5F5FF"/>
          </w:tcPr>
          <w:p>
            <w:pPr>
              <w:pStyle w:val="BDOITable"/>
            </w:pPr>
          </w:p>
        </w:tc>
        <w:tc>
          <w:tcPr>
            <w:tcW w:type="dxa" w:w="1104"/>
            <w:tcMar>
              <w:top w:w="50" w:type="dxa"/>
              <w:bottom w:w="50" w:type="dxa"/>
              <w:left w:w="90" w:type="dxa"/>
              <w:right w:w="90" w:type="dxa"/>
            </w:tcMar>
            <w:shd w:val="clear" w:color="auto" w:fill="E5F5FF"/>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(CSQ03 verification checks, CSQ04 status definitions, CSQ10 role matrix, CSQ14 and CSQ15 contacts)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parameters and lists; the affected cases name them and are re-run after the change without a change to the system</w:t>
            </w:r>
          </w:p>
        </w:tc>
      </w:tr>
      <w:tr>
        <w:trPr>
          <w:cantSplit w:val="true"/>
        </w:trPr>
        <w:tc>
          <w:tcPr>
            <w:tcW w:type="dxa" w:w="3688"/>
            <w:tcMar>
              <w:top w:w="50" w:type="dxa"/>
              <w:bottom w:w="50" w:type="dxa"/>
              <w:left w:w="90" w:type="dxa"/>
              <w:right w:w="90" w:type="dxa"/>
            </w:tcMar>
          </w:tcPr>
          <w:p>
            <w:pPr>
              <w:pStyle w:val="BDOITable"/>
            </w:pPr>
            <w:r>
              <w:rPr>
                <w:sz w:val="18"/>
              </w:rPr>
              <w:t>No renewal advices exist until the Renewal and EB modules store them (D-CSF-01)</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test lead loads RENEWAL_ADVICE documents on the test clients; the cases are re-run when the modules produce RAs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QPS / EBIX interface is not specified (CSQ01)</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sync-enabled cases stay Blocked; the disabled sync and the outbox are tested now</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resend cases read the outbox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(verification validity, payment window, failed verifications per day)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verification and receipt times in the test environment, as the preconditions describe</w:t>
            </w:r>
          </w:p>
        </w:tc>
      </w:tr>
      <w:tr>
        <w:trPr>
          <w:cantSplit w:val="true"/>
        </w:trPr>
        <w:tc>
          <w:tcPr>
            <w:tcW w:type="dxa" w:w="3688"/>
            <w:tcMar>
              <w:top w:w="50" w:type="dxa"/>
              <w:bottom w:w="50" w:type="dxa"/>
              <w:left w:w="90" w:type="dxa"/>
              <w:right w:w="90" w:type="dxa"/>
            </w:tcMar>
          </w:tcPr>
          <w:p>
            <w:pPr>
              <w:pStyle w:val="BDOITable"/>
            </w:pPr>
            <w:r>
              <w:rPr>
                <w:sz w:val="18"/>
              </w:rPr>
              <w:t>The restore test needs an infrastructure environment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infrastructure team runs FR-CSF-043 on its restore environment and hands the log to QA</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Turnaround times, ageing and the SLA check need working days to pass (FR-CSF-051, 057)</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logs the cases of TD-CSF-13 with creation dates set in the test environment and runs the SLA check on request</w:t>
            </w:r>
          </w:p>
        </w:tc>
      </w:tr>
      <w:tr>
        <w:trPr>
          <w:cantSplit w:val="true"/>
        </w:trPr>
        <w:tc>
          <w:tcPr>
            <w:tcW w:type="dxa" w:w="3688"/>
            <w:tcMar>
              <w:top w:w="50" w:type="dxa"/>
              <w:bottom w:w="50" w:type="dxa"/>
              <w:left w:w="90" w:type="dxa"/>
              <w:right w:w="90" w:type="dxa"/>
            </w:tcMar>
          </w:tcPr>
          <w:p>
            <w:pPr>
              <w:pStyle w:val="BDOITable"/>
            </w:pPr>
            <w:r>
              <w:rPr>
                <w:sz w:val="18"/>
              </w:rPr>
              <w:t>BDOI answers on case statuses, turnaround times and routing (CSQ17 to CSQ20) change expected results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Status labels, turnaround times, thresholds and the routing table are lists and parameters; the affected cases are re-run after the change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Contact Center testers are not available in the UAT window (24 agents share the hotline)</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and dates outside the peak hours 10:00-12:00 and 14:00-16:00 in the UAT plan (deliverable 30)</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Customer Servicing Facility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Customer Servicing Facility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Alternative Distribution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Contact Center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BRD-9 Customer Servicing Facility</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TestPlan BRD-09 Customer Servicing Facility Summary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