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Submitted Policies Test Plan</w:t>
      </w:r>
    </w:p>
    <w:p>
      <w:pPr>
        <w:spacing w:after="40"/>
      </w:pPr>
      <w:r>
        <w:rPr>
          <w:color w:val="2E2E2E"/>
          <w:sz w:val="28"/>
        </w:rPr>
        <w:t>BRD-12 Submitted Policies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BRD-12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FRS BRD-12 v1.1 (BRD issue of 8-Oct-2026, BRIDSP-01 to 36; Report List of 13-May-2026): cases of FR-SP-035, 066, 067 and 083 added; cases of FR-SP-001, 003, 010, 022, 030, 032, 040, 061, 080 and 082 changed; FR-SP-002 cases moved to Release 2; data sets TD-SP-11 to 13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Submitted Policies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CBG Admin / Marketing (Submitted Handlers, Sanitation Handlers,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Intake, processing, renewal hand-off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Non-CBG Corporate Policy Review Officers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Policy review, IAAF and TOR</w:t>
            </w:r>
          </w:p>
        </w:tc>
      </w:tr>
      <w:tr>
        <w:trPr>
          <w:cantSplit w:val="true"/>
        </w:trPr>
        <w:tc>
          <w:tcPr>
            <w:tcW w:type="dxa" w:w="2606"/>
            <w:tcMar>
              <w:top w:w="50" w:type="dxa"/>
              <w:bottom w:w="50" w:type="dxa"/>
              <w:left w:w="90" w:type="dxa"/>
              <w:right w:w="90" w:type="dxa"/>
            </w:tcMar>
          </w:tcPr>
          <w:p>
            <w:pPr>
              <w:pStyle w:val="BDOITable"/>
            </w:pPr>
            <w:r>
              <w:rPr>
                <w:sz w:val="18"/>
              </w:rPr>
              <w:t>Admin Team (UPP handlers), NB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Handling fees, IAAF and rule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11</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13</w:t>
        </w:r>
      </w:hyperlink>
    </w:p>
    <w:p>
      <w:pPr>
        <w:pStyle w:val="toc1"/>
      </w:pPr>
      <w:hyperlink w:anchor="_Toc000126" w:history="1">
        <w:r>
          <w:t xml:space="preserve">8 Risks</w:t>
        </w:r>
        <w:r>
          <w:t xml:space="preserve">	</w:t>
        </w:r>
        <w:r>
          <w:t xml:space="preserve">14</w:t>
        </w:r>
      </w:hyperlink>
    </w:p>
    <w:p>
      <w:pPr>
        <w:pStyle w:val="toc1"/>
      </w:pPr>
      <w:hyperlink w:anchor="_Toc000127"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BRD-12 Submitted Policies in BIBS (BDOI Broker System, on iNXT BrokerVerse). It tells the CBG Admin and Marketing teams, the Non-CBG policy reviewers and the Admin Team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BIBS_TestPlan_BRD-12_Submitted_Policies_v1.1.xlsx</w:t>
      </w:r>
      <w:r>
        <w:rPr/>
        <w:t>, which the testers use during execution.</w:t>
      </w:r>
    </w:p>
    <w:p>
      <w:r>
        <w:rPr/>
        <w:t>Every case traces to a functional requirement (FR) of FRS BRD-12 v1.1 and to the BRD requirement IDs (BRIDSP-01 to 36 of the BRD issue received on 08-Oct-2026) that the FR meets.</w:t>
      </w:r>
    </w:p>
    <w:p>
      <w:r>
        <w:rPr/>
        <w:t>The cases are written from the FRS: the expected results quote the message texts of the FRS, and the screen paths and button labels are those of the FRS. They are checked against the screens before the system test starts.</w:t>
      </w:r>
    </w:p>
    <w:p>
      <w:pPr>
        <w:pStyle w:val="Heading2"/>
      </w:pPr>
      <w:bookmarkStart w:id="103" w:name="_Toc000103"/>
      <w:r>
        <w:rPr/>
        <w:t>1.2 Scope</w:t>
      </w:r>
      <w:bookmarkEnd w:id="103"/>
    </w:p>
    <w:p>
      <w:r>
        <w:rPr/>
        <w:t>In scope are all 35 FRs of FRS BRD-12 v1.1 and the BRD IDs they trace to:</w:t>
      </w:r>
    </w:p>
    <w:p>
      <w:pPr>
        <w:tabs>
          <w:tab w:pos="312" w:val="left"/>
        </w:tabs>
        <w:spacing w:after="40"/>
        <w:ind w:left="312" w:hanging="283"/>
      </w:pPr>
      <w:r>
        <w:rPr>
          <w:color w:val="004EA8"/>
        </w:rPr>
        <w:t>•</w:t>
        <w:tab/>
      </w:r>
      <w:r>
        <w:rPr/>
        <w:t>intake by upload (Excel, CSV, ODS, PDF), manual entry and the migration of the Excel masterlists (FR-SP-001, 003, 004); extraction with confirmation in Release 2 (FR-SP-002, cases titled Release 2);</w:t>
      </w:r>
    </w:p>
    <w:p>
      <w:pPr>
        <w:tabs>
          <w:tab w:pos="312" w:val="left"/>
        </w:tabs>
        <w:spacing w:after="40"/>
        <w:ind w:left="312" w:hanging="283"/>
      </w:pPr>
      <w:r>
        <w:rPr>
          <w:color w:val="004EA8"/>
        </w:rPr>
        <w:t>•</w:t>
        <w:tab/>
      </w:r>
      <w:r>
        <w:rPr/>
        <w:t>the Submitted Masterlist, its role-based view and extract, handler, conversion status and remarks (FR-SP-010 to 012);</w:t>
      </w:r>
    </w:p>
    <w:p>
      <w:pPr>
        <w:tabs>
          <w:tab w:pos="312" w:val="left"/>
        </w:tabs>
        <w:spacing w:after="40"/>
        <w:ind w:left="312" w:hanging="283"/>
      </w:pPr>
      <w:r>
        <w:rPr>
          <w:color w:val="004EA8"/>
        </w:rPr>
        <w:t>•</w:t>
        <w:tab/>
      </w:r>
      <w:r>
        <w:rPr/>
        <w:t>rule sets under maker-checker, the processing run and the fallout (FR-SP-020 to 022);</w:t>
      </w:r>
    </w:p>
    <w:p>
      <w:pPr>
        <w:tabs>
          <w:tab w:pos="312" w:val="left"/>
        </w:tabs>
        <w:spacing w:after="40"/>
        <w:ind w:left="312" w:hanging="283"/>
      </w:pPr>
      <w:r>
        <w:rPr>
          <w:color w:val="004EA8"/>
        </w:rPr>
        <w:t>•</w:t>
        <w:tab/>
      </w:r>
      <w:r>
        <w:rPr/>
        <w:t>classification, qualification and non-renewal buckets, the RA template and inforced buckets (FR-SP-030 to 034); loan files LAMD, LMS and LAD matched automatically (FR-SP-035);</w:t>
      </w:r>
    </w:p>
    <w:p>
      <w:pPr>
        <w:tabs>
          <w:tab w:pos="312" w:val="left"/>
        </w:tabs>
        <w:spacing w:after="40"/>
        <w:ind w:left="312" w:hanging="283"/>
      </w:pPr>
      <w:r>
        <w:rPr>
          <w:color w:val="004EA8"/>
        </w:rPr>
        <w:t>•</w:t>
        <w:tab/>
      </w:r>
      <w:r>
        <w:rPr/>
        <w:t>policy reviews and the IAAF with its approval matrix (FR-SP-040, 041);</w:t>
      </w:r>
    </w:p>
    <w:p>
      <w:pPr>
        <w:tabs>
          <w:tab w:pos="312" w:val="left"/>
        </w:tabs>
        <w:spacing w:after="40"/>
        <w:ind w:left="312" w:hanging="283"/>
      </w:pPr>
      <w:r>
        <w:rPr>
          <w:color w:val="004EA8"/>
        </w:rPr>
        <w:t>•</w:t>
        <w:tab/>
      </w:r>
      <w:r>
        <w:rPr/>
        <w:t>limit breaches and the TOR with its TSU approval and hand-over (FR-SP-050 to 053);</w:t>
      </w:r>
    </w:p>
    <w:p>
      <w:pPr>
        <w:tabs>
          <w:tab w:pos="312" w:val="left"/>
        </w:tabs>
        <w:spacing w:after="40"/>
        <w:ind w:left="312" w:hanging="283"/>
      </w:pPr>
      <w:r>
        <w:rPr>
          <w:color w:val="004EA8"/>
        </w:rPr>
        <w:t>•</w:t>
        <w:tab/>
      </w:r>
      <w:r>
        <w:rPr/>
        <w:t>the expiry scan and hand-off to Renewal, the renewal work list, letters, insurer re-assignment, placement and booking status (FR-SP-060 to 065); individual and batch proposals with nominated rates and a preferred insurer (FR-SP-066, 067);</w:t>
      </w:r>
    </w:p>
    <w:p>
      <w:pPr>
        <w:tabs>
          <w:tab w:pos="312" w:val="left"/>
        </w:tabs>
        <w:spacing w:after="40"/>
        <w:ind w:left="312" w:hanging="283"/>
      </w:pPr>
      <w:r>
        <w:rPr>
          <w:color w:val="004EA8"/>
        </w:rPr>
        <w:t>•</w:t>
        <w:tab/>
      </w:r>
      <w:r>
        <w:rPr/>
        <w:t>handling-fee tagging in the Unapplied Payment List (FR-SP-070);</w:t>
      </w:r>
    </w:p>
    <w:p>
      <w:pPr>
        <w:tabs>
          <w:tab w:pos="312" w:val="left"/>
        </w:tabs>
        <w:spacing w:after="120"/>
        <w:ind w:left="312" w:hanging="283"/>
      </w:pPr>
      <w:r>
        <w:rPr>
          <w:color w:val="004EA8"/>
        </w:rPr>
        <w:t>•</w:t>
        <w:tab/>
      </w:r>
      <w:r>
        <w:rPr/>
        <w:t>reports, export formats, notifications and alerts with definable recipients, and the monthly expiring and uninsured-loan report (FR-SP-080 to 083).</w:t>
      </w:r>
    </w:p>
    <w:p>
      <w:r>
        <w:rPr/>
        <w:t>The roles-and-access sheet checks each Submitted Policies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renewal itself after the hand-off - renewal account, hold cover request, RA, NRNS, NAL and SFU letters - which belongs to the Renewal module (decision D2) and its BRD-6 test plan. The cases here check the hand-off, the insurer re-assignment and the status that comes back.</w:t>
      </w:r>
    </w:p>
    <w:p>
      <w:pPr>
        <w:tabs>
          <w:tab w:pos="312" w:val="left"/>
        </w:tabs>
        <w:spacing w:after="40"/>
        <w:ind w:left="312" w:hanging="283"/>
      </w:pPr>
      <w:r>
        <w:rPr>
          <w:color w:val="004EA8"/>
        </w:rPr>
        <w:t>•</w:t>
        <w:tab/>
      </w:r>
      <w:r>
        <w:rPr/>
        <w:t>Placement and booking screens (BRD-1); the cases check only that the masterlist follows the account and invoice events.</w:t>
      </w:r>
    </w:p>
    <w:p>
      <w:pPr>
        <w:tabs>
          <w:tab w:pos="312" w:val="left"/>
        </w:tabs>
        <w:spacing w:after="40"/>
        <w:ind w:left="312" w:hanging="283"/>
      </w:pPr>
      <w:r>
        <w:rPr>
          <w:color w:val="004EA8"/>
        </w:rPr>
        <w:t>•</w:t>
        <w:tab/>
      </w:r>
      <w:r>
        <w:rPr/>
        <w:t>System-to-system feeds from the bank systems and the mail house (COG), and OCR of scanned documents; they are outside this phase. The cases use uploads.</w:t>
      </w:r>
    </w:p>
    <w:p>
      <w:pPr>
        <w:tabs>
          <w:tab w:pos="312" w:val="left"/>
        </w:tabs>
        <w:spacing w:after="40"/>
        <w:ind w:left="312" w:hanging="283"/>
      </w:pPr>
      <w:r>
        <w:rPr>
          <w:color w:val="004EA8"/>
        </w:rPr>
        <w:t>•</w:t>
        <w:tab/>
      </w:r>
      <w:r>
        <w:rPr/>
        <w:t>Document extraction (BRIDSP-04), marked Release 2 in the BRD; its cases (titled Release 2) run when Release 2 is tested.</w:t>
      </w:r>
    </w:p>
    <w:p>
      <w:pPr>
        <w:tabs>
          <w:tab w:pos="312" w:val="left"/>
        </w:tabs>
        <w:spacing w:after="40"/>
        <w:ind w:left="312" w:hanging="283"/>
      </w:pPr>
      <w:r>
        <w:rPr>
          <w:color w:val="004EA8"/>
        </w:rPr>
        <w:t>•</w:t>
        <w:tab/>
      </w:r>
      <w:r>
        <w:rPr/>
        <w:t>Qualified e-signature of the IAAF and TOR (on hold); the cases check the stamped signature.</w:t>
      </w:r>
    </w:p>
    <w:p>
      <w:pPr>
        <w:tabs>
          <w:tab w:pos="312" w:val="left"/>
        </w:tabs>
        <w:spacing w:after="40"/>
        <w:ind w:left="312" w:hanging="283"/>
      </w:pPr>
      <w:r>
        <w:rPr>
          <w:color w:val="004EA8"/>
        </w:rPr>
        <w:t>•</w:t>
        <w:tab/>
      </w:r>
      <w:r>
        <w:rPr/>
        <w:t>The accounting entries of the handling fee (SP SQ13); the cases stop at the tag and the OR.</w:t>
      </w:r>
    </w:p>
    <w:p>
      <w:pPr>
        <w:tabs>
          <w:tab w:pos="312" w:val="left"/>
        </w:tabs>
        <w:spacing w:after="120"/>
        <w:ind w:left="312" w:hanging="283"/>
      </w:pPr>
      <w:r>
        <w:rPr>
          <w:color w:val="004EA8"/>
        </w:rPr>
        <w:t>•</w:t>
        <w:tab/>
      </w:r>
      <w:r>
        <w:rPr/>
        <w:t>Performance and volume testing, including the 2-second target of the NFRs. They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BRD-12 Submitted Policies (</w:t>
            </w:r>
            <w:r>
              <w:rPr>
                <w:rFonts w:ascii="Courier New" w:hAnsi="Courier New" w:cs="Courier New" w:eastAsia="Courier New"/>
                <w:color w:val="2E2E2E"/>
                <w:sz w:val="16"/>
              </w:rPr>
              <w:t>BIBS_FRS_BRD-12_Submitted_Policies_v1.1.docx</w:t>
            </w:r>
            <w:r>
              <w:rPr>
                <w:sz w:val="18"/>
              </w:rPr>
              <w:t>)</w:t>
            </w:r>
          </w:p>
        </w:tc>
        <w:tc>
          <w:tcPr>
            <w:tcW w:type="dxa" w:w="2992"/>
            <w:tcMar>
              <w:top w:w="50" w:type="dxa"/>
              <w:bottom w:w="50" w:type="dxa"/>
              <w:left w:w="90" w:type="dxa"/>
              <w:right w:w="90" w:type="dxa"/>
            </w:tcMar>
          </w:tcPr>
          <w:p>
            <w:pPr>
              <w:pStyle w:val="BDOITable"/>
            </w:pPr>
            <w:r>
              <w:rPr>
                <w:sz w:val="18"/>
              </w:rPr>
              <w:t>1.1, 08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Business Requirements Document (BRD) Template - Submitted Policies, received on 08-Oct-2026</w:t>
            </w:r>
          </w:p>
        </w:tc>
        <w:tc>
          <w:tcPr>
            <w:tcW w:type="dxa" w:w="2992"/>
            <w:tcMar>
              <w:top w:w="50" w:type="dxa"/>
              <w:bottom w:w="50" w:type="dxa"/>
              <w:left w:w="90" w:type="dxa"/>
              <w:right w:w="90" w:type="dxa"/>
            </w:tcMar>
            <w:shd w:val="clear" w:color="auto" w:fill="E5F5FF"/>
          </w:tcPr>
          <w:p>
            <w:pPr>
              <w:pStyle w:val="BDOITable"/>
            </w:pPr>
            <w:r>
              <w:rPr>
                <w:sz w:val="18"/>
              </w:rPr>
              <w:t>Revision log v1.3; signed 22-Apr to 12-May-2026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BDOI - CoreModernization Report List 05132026, Submitted Policies reports p.21-26</w:t>
            </w:r>
          </w:p>
        </w:tc>
        <w:tc>
          <w:tcPr>
            <w:tcW w:type="dxa" w:w="2992"/>
            <w:tcMar>
              <w:top w:w="50" w:type="dxa"/>
              <w:bottom w:w="50" w:type="dxa"/>
              <w:left w:w="90" w:type="dxa"/>
              <w:right w:w="90" w:type="dxa"/>
            </w:tcMar>
          </w:tcPr>
          <w:p>
            <w:pPr>
              <w:pStyle w:val="BDOITable"/>
            </w:pPr>
            <w:r>
              <w:rPr>
                <w:sz w:val="18"/>
              </w:rPr>
              <w:t>13-May-2026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Test plan workbook BRD-12 (</w:t>
            </w:r>
            <w:r>
              <w:rPr>
                <w:rFonts w:ascii="Courier New" w:hAnsi="Courier New" w:cs="Courier New" w:eastAsia="Courier New"/>
                <w:color w:val="2E2E2E"/>
                <w:sz w:val="16"/>
              </w:rPr>
              <w:t>BIBS_TestPlan_BRD-12_Submitted_Policies_v1.1.xlsx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1.1</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SIT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After Submitted Policies is deployed on SIT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nine scenarios from start to finish by the persona that owns each step, with notifications, e-mails and letters checked</w:t>
            </w:r>
          </w:p>
        </w:tc>
        <w:tc>
          <w:tcPr>
            <w:tcW w:type="dxa" w:w="2163"/>
            <w:tcMar>
              <w:top w:w="50" w:type="dxa"/>
              <w:bottom w:w="50" w:type="dxa"/>
              <w:left w:w="90" w:type="dxa"/>
              <w:right w:w="90" w:type="dxa"/>
            </w:tcMar>
            <w:shd w:val="clear" w:color="auto" w:fill="E5F5FF"/>
          </w:tcPr>
          <w:p>
            <w:pPr>
              <w:pStyle w:val="BDOITable"/>
            </w:pPr>
            <w:r>
              <w:rPr>
                <w:sz w:val="18"/>
              </w:rPr>
              <w:t>iorta TechNXT QA with the BDOI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masterlists</w:t>
            </w:r>
          </w:p>
        </w:tc>
        <w:tc>
          <w:tcPr>
            <w:tcW w:type="dxa" w:w="2163"/>
            <w:tcMar>
              <w:top w:w="50" w:type="dxa"/>
              <w:bottom w:w="50" w:type="dxa"/>
              <w:left w:w="90" w:type="dxa"/>
              <w:right w:w="90" w:type="dxa"/>
            </w:tcMar>
          </w:tcPr>
          <w:p>
            <w:pPr>
              <w:pStyle w:val="BDOITable"/>
            </w:pPr>
            <w:r>
              <w:rPr>
                <w:sz w:val="18"/>
              </w:rPr>
              <w:t>BDOI CBG Admin / Marketing, Non-CBG policy reviewers, Admin Team</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"Loading the same file a second time is refused and names the earlier run".</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the renewal lead of 150 and 151 days, the insurer acceptance window of 4 and 6 days, the unbooked hold cover at 5 days.</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policy from the upload to the booked renewal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 and scope.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and to the user's scope; preparer and maker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 masterlist record (SBM_POLICY), an IAAF, a TOR, a rule set or a handling-fee record</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extracts, print batches;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Source files, policy documents, legacy masterlists, IAAF and TOR PDFs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TC-SP-060.1-02 is the second case of condition 1 of FR-SP-060.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Submitted Policies is deployed on SIT with its roles, user scopes, parameters, lists, jobs and seed rule sets; the seed data is loaded;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Renewal module is available, or the hand-offs are recorded as pending; Collections and Cashiering run on SIT for the handling-fee cases.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BRD-12 v1.1 is signed off or its open comments are agreed; the answers to SP SQ04 to SQ08 are applied as rule sets, matrices and templates; the system test exit criteria are met; the UAT environment holds masked masterlists (section 4.1); BDOI testers have user IDs with the roles and scopes of section 5 and attended the walkthrough.</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with the expected notifications, letters and status changes.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masterlist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(users and rules, masterlist and loan files, reviews, TOR, letters and handling fees) and the data sets of section 4.2;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copies of the segment masterlists and of the loan files; no real borrower names, PNs, CIFs, addresses or e-mail addresses</w:t>
            </w:r>
          </w:p>
        </w:tc>
      </w:tr>
    </w:tbl>
    <w:p>
      <w:pPr>
        <w:pStyle w:val="BDOISpacer"/>
      </w:pPr>
    </w:p>
    <w:p>
      <w:r>
        <w:rPr/>
        <w:t>Non-production data is always masked. Borrower and assured names, PN and loan numbers, CIFs, addresses, e-mail addresses and phone numbers are replaced before data is loaded into SIT or UAT. Bank counterpart, client and insurer e-mail addresses point to test mailboxes, so no letter, IAAF or hold cover request can reach a real party.</w:t>
      </w:r>
    </w:p>
    <w:p>
      <w:pPr>
        <w:pStyle w:val="Heading2"/>
      </w:pPr>
      <w:bookmarkStart w:id="115" w:name="_Toc000115"/>
      <w:r>
        <w:rPr/>
        <w:t>4.2 Named data sets</w:t>
      </w:r>
      <w:bookmarkEnd w:id="115"/>
    </w:p>
    <w:p>
      <w:r>
        <w:rPr/>
        <w:t>The cases refer to named data sets. The seed data holds the users and rules, the masterlist and loan files, and reviews, TOR, letters and handling fees; the test lead prepares the other sets on SIT as their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TD-SP-01</w:t>
            </w:r>
          </w:p>
        </w:tc>
        <w:tc>
          <w:tcPr>
            <w:tcW w:type="dxa" w:w="3520"/>
            <w:tcMar>
              <w:top w:w="50" w:type="dxa"/>
              <w:bottom w:w="50" w:type="dxa"/>
              <w:left w:w="90" w:type="dxa"/>
              <w:right w:w="90" w:type="dxa"/>
            </w:tcMar>
          </w:tcPr>
          <w:p>
            <w:pPr>
              <w:pStyle w:val="BDOITable"/>
            </w:pPr>
            <w:r>
              <w:rPr>
                <w:sz w:val="17"/>
              </w:rPr>
              <w:t>Test users per role and scope</w:t>
            </w:r>
          </w:p>
        </w:tc>
        <w:tc>
          <w:tcPr>
            <w:tcW w:type="dxa" w:w="5279"/>
            <w:tcMar>
              <w:top w:w="50" w:type="dxa"/>
              <w:bottom w:w="50" w:type="dxa"/>
              <w:left w:w="90" w:type="dxa"/>
              <w:right w:w="90" w:type="dxa"/>
            </w:tcMar>
          </w:tcPr>
          <w:p>
            <w:pPr>
              <w:pStyle w:val="BDOITable"/>
            </w:pPr>
            <w:r>
              <w:rPr>
                <w:sz w:val="17"/>
              </w:rPr>
              <w:t>Seed data; firehandler and ao2 created by the test lead with their user scope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TD-SP-02</w:t>
            </w:r>
          </w:p>
        </w:tc>
        <w:tc>
          <w:tcPr>
            <w:tcW w:type="dxa" w:w="3520"/>
            <w:tcMar>
              <w:top w:w="50" w:type="dxa"/>
              <w:bottom w:w="50" w:type="dxa"/>
              <w:left w:w="90" w:type="dxa"/>
              <w:right w:w="90" w:type="dxa"/>
            </w:tcMar>
            <w:shd w:val="clear" w:color="auto" w:fill="E5F5FF"/>
          </w:tcPr>
          <w:p>
            <w:pPr>
              <w:pStyle w:val="BDOITable"/>
            </w:pPr>
            <w:r>
              <w:rPr>
                <w:sz w:val="17"/>
              </w:rPr>
              <w:t>Source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upload template of the LFS source; masked data</w:t>
            </w:r>
          </w:p>
        </w:tc>
      </w:tr>
      <w:tr>
        <w:trPr>
          <w:cantSplit w:val="true"/>
        </w:trPr>
        <w:tc>
          <w:tcPr>
            <w:tcW w:type="dxa" w:w="1173"/>
            <w:tcMar>
              <w:top w:w="50" w:type="dxa"/>
              <w:bottom w:w="50" w:type="dxa"/>
              <w:left w:w="90" w:type="dxa"/>
              <w:right w:w="90" w:type="dxa"/>
            </w:tcMar>
          </w:tcPr>
          <w:p>
            <w:pPr>
              <w:pStyle w:val="BDOITable"/>
            </w:pPr>
            <w:r>
              <w:rPr>
                <w:sz w:val="17"/>
              </w:rPr>
              <w:t>TD-SP-03</w:t>
            </w:r>
          </w:p>
        </w:tc>
        <w:tc>
          <w:tcPr>
            <w:tcW w:type="dxa" w:w="3520"/>
            <w:tcMar>
              <w:top w:w="50" w:type="dxa"/>
              <w:bottom w:w="50" w:type="dxa"/>
              <w:left w:w="90" w:type="dxa"/>
              <w:right w:w="90" w:type="dxa"/>
            </w:tcMar>
          </w:tcPr>
          <w:p>
            <w:pPr>
              <w:pStyle w:val="BDOITable"/>
            </w:pPr>
            <w:r>
              <w:rPr>
                <w:sz w:val="17"/>
              </w:rPr>
              <w:t>Policy documents</w:t>
            </w:r>
          </w:p>
        </w:tc>
        <w:tc>
          <w:tcPr>
            <w:tcW w:type="dxa" w:w="5279"/>
            <w:tcMar>
              <w:top w:w="50" w:type="dxa"/>
              <w:bottom w:w="50" w:type="dxa"/>
              <w:left w:w="90" w:type="dxa"/>
              <w:right w:w="90" w:type="dxa"/>
            </w:tcMar>
          </w:tcPr>
          <w:p>
            <w:pPr>
              <w:pStyle w:val="BDOITable"/>
            </w:pPr>
            <w:r>
              <w:rPr>
                <w:sz w:val="17"/>
              </w:rPr>
              <w:t>Test document folder of the test lead; masked policy copies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TD-SP-04</w:t>
            </w:r>
          </w:p>
        </w:tc>
        <w:tc>
          <w:tcPr>
            <w:tcW w:type="dxa" w:w="3520"/>
            <w:tcMar>
              <w:top w:w="50" w:type="dxa"/>
              <w:bottom w:w="50" w:type="dxa"/>
              <w:left w:w="90" w:type="dxa"/>
              <w:right w:w="90" w:type="dxa"/>
            </w:tcMar>
            <w:shd w:val="clear" w:color="auto" w:fill="E5F5FF"/>
          </w:tcPr>
          <w:p>
            <w:pPr>
              <w:pStyle w:val="BDOITable"/>
            </w:pPr>
            <w:r>
              <w:rPr>
                <w:sz w:val="17"/>
              </w:rPr>
              <w:t>Legacy masterlist</w:t>
            </w:r>
          </w:p>
        </w:tc>
        <w:tc>
          <w:tcPr>
            <w:tcW w:type="dxa" w:w="5279"/>
            <w:tcMar>
              <w:top w:w="50" w:type="dxa"/>
              <w:bottom w:w="50" w:type="dxa"/>
              <w:left w:w="90" w:type="dxa"/>
              <w:right w:w="90" w:type="dxa"/>
            </w:tcMar>
            <w:shd w:val="clear" w:color="auto" w:fill="E5F5FF"/>
          </w:tcPr>
          <w:p>
            <w:pPr>
              <w:pStyle w:val="BDOITable"/>
            </w:pPr>
            <w:r>
              <w:rPr>
                <w:sz w:val="17"/>
              </w:rPr>
              <w:t>Masked extract of a BDOI masterlist prepared by the test lead</w:t>
            </w:r>
          </w:p>
        </w:tc>
      </w:tr>
      <w:tr>
        <w:trPr>
          <w:cantSplit w:val="true"/>
        </w:trPr>
        <w:tc>
          <w:tcPr>
            <w:tcW w:type="dxa" w:w="1173"/>
            <w:tcMar>
              <w:top w:w="50" w:type="dxa"/>
              <w:bottom w:w="50" w:type="dxa"/>
              <w:left w:w="90" w:type="dxa"/>
              <w:right w:w="90" w:type="dxa"/>
            </w:tcMar>
          </w:tcPr>
          <w:p>
            <w:pPr>
              <w:pStyle w:val="BDOITable"/>
            </w:pPr>
            <w:r>
              <w:rPr>
                <w:sz w:val="17"/>
              </w:rPr>
              <w:t>TD-SP-05</w:t>
            </w:r>
          </w:p>
        </w:tc>
        <w:tc>
          <w:tcPr>
            <w:tcW w:type="dxa" w:w="3520"/>
            <w:tcMar>
              <w:top w:w="50" w:type="dxa"/>
              <w:bottom w:w="50" w:type="dxa"/>
              <w:left w:w="90" w:type="dxa"/>
              <w:right w:w="90" w:type="dxa"/>
            </w:tcMar>
          </w:tcPr>
          <w:p>
            <w:pPr>
              <w:pStyle w:val="BDOITable"/>
            </w:pPr>
            <w:r>
              <w:rPr>
                <w:sz w:val="17"/>
              </w:rPr>
              <w:t>Loan files</w:t>
            </w:r>
          </w:p>
        </w:tc>
        <w:tc>
          <w:tcPr>
            <w:tcW w:type="dxa" w:w="5279"/>
            <w:tcMar>
              <w:top w:w="50" w:type="dxa"/>
              <w:bottom w:w="50" w:type="dxa"/>
              <w:left w:w="90" w:type="dxa"/>
              <w:right w:w="90" w:type="dxa"/>
            </w:tcMar>
          </w:tcPr>
          <w:p>
            <w:pPr>
              <w:pStyle w:val="BDOITable"/>
            </w:pPr>
            <w:r>
              <w:rPr>
                <w:sz w:val="17"/>
              </w:rPr>
              <w:t>Seed data; masked rows added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TD-SP-06</w:t>
            </w:r>
          </w:p>
        </w:tc>
        <w:tc>
          <w:tcPr>
            <w:tcW w:type="dxa" w:w="3520"/>
            <w:tcMar>
              <w:top w:w="50" w:type="dxa"/>
              <w:bottom w:w="50" w:type="dxa"/>
              <w:left w:w="90" w:type="dxa"/>
              <w:right w:w="90" w:type="dxa"/>
            </w:tcMar>
            <w:shd w:val="clear" w:color="auto" w:fill="E5F5FF"/>
          </w:tcPr>
          <w:p>
            <w:pPr>
              <w:pStyle w:val="BDOITable"/>
            </w:pPr>
            <w:r>
              <w:rPr>
                <w:sz w:val="17"/>
              </w:rPr>
              <w:t>Rules and masters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TD-SP-07</w:t>
            </w:r>
          </w:p>
        </w:tc>
        <w:tc>
          <w:tcPr>
            <w:tcW w:type="dxa" w:w="3520"/>
            <w:tcMar>
              <w:top w:w="50" w:type="dxa"/>
              <w:bottom w:w="50" w:type="dxa"/>
              <w:left w:w="90" w:type="dxa"/>
              <w:right w:w="90" w:type="dxa"/>
            </w:tcMar>
          </w:tcPr>
          <w:p>
            <w:pPr>
              <w:pStyle w:val="BDOITable"/>
            </w:pPr>
            <w:r>
              <w:rPr>
                <w:sz w:val="17"/>
              </w:rPr>
              <w:t>Masterlist records</w:t>
            </w:r>
          </w:p>
        </w:tc>
        <w:tc>
          <w:tcPr>
            <w:tcW w:type="dxa" w:w="5279"/>
            <w:tcMar>
              <w:top w:w="50" w:type="dxa"/>
              <w:bottom w:w="50" w:type="dxa"/>
              <w:left w:w="90" w:type="dxa"/>
              <w:right w:w="90" w:type="dxa"/>
            </w:tcMar>
          </w:tcPr>
          <w:p>
            <w:pPr>
              <w:pStyle w:val="BDOITable"/>
            </w:pPr>
            <w:r>
              <w:rPr>
                <w:sz w:val="17"/>
              </w:rPr>
              <w:t>Seed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TD-SP-08</w:t>
            </w:r>
          </w:p>
        </w:tc>
        <w:tc>
          <w:tcPr>
            <w:tcW w:type="dxa" w:w="3520"/>
            <w:tcMar>
              <w:top w:w="50" w:type="dxa"/>
              <w:bottom w:w="50" w:type="dxa"/>
              <w:left w:w="90" w:type="dxa"/>
              <w:right w:w="90" w:type="dxa"/>
            </w:tcMar>
            <w:shd w:val="clear" w:color="auto" w:fill="E5F5FF"/>
          </w:tcPr>
          <w:p>
            <w:pPr>
              <w:pStyle w:val="BDOITable"/>
            </w:pPr>
            <w:r>
              <w:rPr>
                <w:sz w:val="17"/>
              </w:rPr>
              <w:t>Review, TOR and handling-fee data</w:t>
            </w:r>
          </w:p>
        </w:tc>
        <w:tc>
          <w:tcPr>
            <w:tcW w:type="dxa" w:w="5279"/>
            <w:tcMar>
              <w:top w:w="50" w:type="dxa"/>
              <w:bottom w:w="50" w:type="dxa"/>
              <w:left w:w="90" w:type="dxa"/>
              <w:right w:w="90" w:type="dxa"/>
            </w:tcMar>
            <w:shd w:val="clear" w:color="auto" w:fill="E5F5FF"/>
          </w:tcPr>
          <w:p>
            <w:pPr>
              <w:pStyle w:val="BDOITable"/>
            </w:pPr>
            <w:r>
              <w:rPr>
                <w:sz w:val="17"/>
              </w:rPr>
              <w:t>Seed data; payments keyed in Collections by the test lead</w:t>
            </w:r>
          </w:p>
        </w:tc>
      </w:tr>
      <w:tr>
        <w:trPr>
          <w:cantSplit w:val="true"/>
        </w:trPr>
        <w:tc>
          <w:tcPr>
            <w:tcW w:type="dxa" w:w="1173"/>
            <w:tcMar>
              <w:top w:w="50" w:type="dxa"/>
              <w:bottom w:w="50" w:type="dxa"/>
              <w:left w:w="90" w:type="dxa"/>
              <w:right w:w="90" w:type="dxa"/>
            </w:tcMar>
          </w:tcPr>
          <w:p>
            <w:pPr>
              <w:pStyle w:val="BDOITable"/>
            </w:pPr>
            <w:r>
              <w:rPr>
                <w:sz w:val="17"/>
              </w:rPr>
              <w:t>TD-SP-09</w:t>
            </w:r>
          </w:p>
        </w:tc>
        <w:tc>
          <w:tcPr>
            <w:tcW w:type="dxa" w:w="3520"/>
            <w:tcMar>
              <w:top w:w="50" w:type="dxa"/>
              <w:bottom w:w="50" w:type="dxa"/>
              <w:left w:w="90" w:type="dxa"/>
              <w:right w:w="90" w:type="dxa"/>
            </w:tcMar>
          </w:tcPr>
          <w:p>
            <w:pPr>
              <w:pStyle w:val="BDOITable"/>
            </w:pPr>
            <w:r>
              <w:rPr>
                <w:sz w:val="17"/>
              </w:rPr>
              <w:t>Renewal candidates</w:t>
            </w:r>
          </w:p>
        </w:tc>
        <w:tc>
          <w:tcPr>
            <w:tcW w:type="dxa" w:w="5279"/>
            <w:tcMar>
              <w:top w:w="50" w:type="dxa"/>
              <w:bottom w:w="50" w:type="dxa"/>
              <w:left w:w="90" w:type="dxa"/>
              <w:right w:w="90" w:type="dxa"/>
            </w:tcMar>
          </w:tcPr>
          <w:p>
            <w:pPr>
              <w:pStyle w:val="BDOITable"/>
            </w:pPr>
            <w:r>
              <w:rPr>
                <w:sz w:val="17"/>
              </w:rPr>
              <w:t>Seed data; expiry dates set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TD-SP-10</w:t>
            </w:r>
          </w:p>
        </w:tc>
        <w:tc>
          <w:tcPr>
            <w:tcW w:type="dxa" w:w="3520"/>
            <w:tcMar>
              <w:top w:w="50" w:type="dxa"/>
              <w:bottom w:w="50" w:type="dxa"/>
              <w:left w:w="90" w:type="dxa"/>
              <w:right w:w="90" w:type="dxa"/>
            </w:tcMar>
            <w:shd w:val="clear" w:color="auto" w:fill="E5F5FF"/>
          </w:tcPr>
          <w:p>
            <w:pPr>
              <w:pStyle w:val="BDOITable"/>
            </w:pPr>
            <w:r>
              <w:rPr>
                <w:sz w:val="17"/>
              </w:rPr>
              <w:t>Parameters and jobs at their defaults</w:t>
            </w:r>
          </w:p>
        </w:tc>
        <w:tc>
          <w:tcPr>
            <w:tcW w:type="dxa" w:w="5279"/>
            <w:tcMar>
              <w:top w:w="50" w:type="dxa"/>
              <w:bottom w:w="50" w:type="dxa"/>
              <w:left w:w="90" w:type="dxa"/>
              <w:right w:w="90" w:type="dxa"/>
            </w:tcMar>
            <w:shd w:val="clear" w:color="auto" w:fill="E5F5FF"/>
          </w:tcPr>
          <w:p>
            <w:pPr>
              <w:pStyle w:val="BDOITable"/>
            </w:pPr>
            <w:r>
              <w:rPr>
                <w:sz w:val="17"/>
              </w:rPr>
              <w:t>Configuration of the SIT environment (FRS section 9.1)</w:t>
            </w:r>
          </w:p>
        </w:tc>
      </w:tr>
      <w:tr>
        <w:trPr>
          <w:cantSplit w:val="true"/>
        </w:trPr>
        <w:tc>
          <w:tcPr>
            <w:tcW w:type="dxa" w:w="1173"/>
            <w:tcMar>
              <w:top w:w="50" w:type="dxa"/>
              <w:bottom w:w="50" w:type="dxa"/>
              <w:left w:w="90" w:type="dxa"/>
              <w:right w:w="90" w:type="dxa"/>
            </w:tcMar>
          </w:tcPr>
          <w:p>
            <w:pPr>
              <w:pStyle w:val="BDOITable"/>
            </w:pPr>
            <w:r>
              <w:rPr>
                <w:sz w:val="17"/>
              </w:rPr>
              <w:t>TD-SP-11</w:t>
            </w:r>
          </w:p>
        </w:tc>
        <w:tc>
          <w:tcPr>
            <w:tcW w:type="dxa" w:w="3520"/>
            <w:tcMar>
              <w:top w:w="50" w:type="dxa"/>
              <w:bottom w:w="50" w:type="dxa"/>
              <w:left w:w="90" w:type="dxa"/>
              <w:right w:w="90" w:type="dxa"/>
            </w:tcMar>
          </w:tcPr>
          <w:p>
            <w:pPr>
              <w:pStyle w:val="BDOITable"/>
            </w:pPr>
            <w:r>
              <w:rPr>
                <w:sz w:val="17"/>
              </w:rPr>
              <w:t>Nominated rates and proposal candidates</w:t>
            </w:r>
          </w:p>
        </w:tc>
        <w:tc>
          <w:tcPr>
            <w:tcW w:type="dxa" w:w="5279"/>
            <w:tcMar>
              <w:top w:w="50" w:type="dxa"/>
              <w:bottom w:w="50" w:type="dxa"/>
              <w:left w:w="90" w:type="dxa"/>
              <w:right w:w="90" w:type="dxa"/>
            </w:tcMar>
          </w:tcPr>
          <w:p>
            <w:pPr>
              <w:pStyle w:val="BDOITable"/>
            </w:pPr>
            <w:r>
              <w:rPr>
                <w:sz w:val="17"/>
              </w:rPr>
              <w:t>Keyed in Submitted Policies Setup by the rule administrator and approved by mkttl; records from the seed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TD-SP-12</w:t>
            </w:r>
          </w:p>
        </w:tc>
        <w:tc>
          <w:tcPr>
            <w:tcW w:type="dxa" w:w="3520"/>
            <w:tcMar>
              <w:top w:w="50" w:type="dxa"/>
              <w:bottom w:w="50" w:type="dxa"/>
              <w:left w:w="90" w:type="dxa"/>
              <w:right w:w="90" w:type="dxa"/>
            </w:tcMar>
            <w:shd w:val="clear" w:color="auto" w:fill="E5F5FF"/>
          </w:tcPr>
          <w:p>
            <w:pPr>
              <w:pStyle w:val="BDOITable"/>
            </w:pPr>
            <w:r>
              <w:rPr>
                <w:sz w:val="17"/>
              </w:rPr>
              <w:t>Monthly report data</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masked seed data and the loan files of TD-SP-05</w:t>
            </w:r>
          </w:p>
        </w:tc>
      </w:tr>
      <w:tr>
        <w:trPr>
          <w:cantSplit w:val="true"/>
        </w:trPr>
        <w:tc>
          <w:tcPr>
            <w:tcW w:type="dxa" w:w="1173"/>
            <w:tcMar>
              <w:top w:w="50" w:type="dxa"/>
              <w:bottom w:w="50" w:type="dxa"/>
              <w:left w:w="90" w:type="dxa"/>
              <w:right w:w="90" w:type="dxa"/>
            </w:tcMar>
          </w:tcPr>
          <w:p>
            <w:pPr>
              <w:pStyle w:val="BDOITable"/>
            </w:pPr>
            <w:r>
              <w:rPr>
                <w:sz w:val="17"/>
              </w:rPr>
              <w:t>TD-SP-13</w:t>
            </w:r>
          </w:p>
        </w:tc>
        <w:tc>
          <w:tcPr>
            <w:tcW w:type="dxa" w:w="3520"/>
            <w:tcMar>
              <w:top w:w="50" w:type="dxa"/>
              <w:bottom w:w="50" w:type="dxa"/>
              <w:left w:w="90" w:type="dxa"/>
              <w:right w:w="90" w:type="dxa"/>
            </w:tcMar>
          </w:tcPr>
          <w:p>
            <w:pPr>
              <w:pStyle w:val="BDOITable"/>
            </w:pPr>
            <w:r>
              <w:rPr>
                <w:sz w:val="17"/>
              </w:rPr>
              <w:t>Notification recipients and IAAF regions</w:t>
            </w:r>
          </w:p>
        </w:tc>
        <w:tc>
          <w:tcPr>
            <w:tcW w:type="dxa" w:w="5279"/>
            <w:tcMar>
              <w:top w:w="50" w:type="dxa"/>
              <w:bottom w:w="50" w:type="dxa"/>
              <w:left w:w="90" w:type="dxa"/>
              <w:right w:w="90" w:type="dxa"/>
            </w:tcMar>
          </w:tcPr>
          <w:p>
            <w:pPr>
              <w:pStyle w:val="BDOITable"/>
            </w:pPr>
            <w:r>
              <w:rPr>
                <w:sz w:val="17"/>
              </w:rPr>
              <w:t>Keyed in Submitted Policies Setup by the rule administrator</w:t>
            </w:r>
          </w:p>
        </w:tc>
      </w:tr>
    </w:tbl>
    <w:p>
      <w:pPr>
        <w:pStyle w:val="BDOISpacer"/>
      </w:pPr>
    </w:p>
    <w:p>
      <w:r>
        <w:rPr/>
        <w:t>Processing runs and hand-offs change the status of many records. The test lead reloads the masterlist seed between cycles, or testers run a scenario on records uploaded fresh with the TD-SP-02 files.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masked files and user scopes;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CBG Admin / Marketing (handlers, sanitation handlers, Team Leads); Non-CBG Corporate policy reviewers; Admin Team UPP handlers; NB Team Leads; TSU</w:t>
            </w:r>
          </w:p>
        </w:tc>
        <w:tc>
          <w:tcPr>
            <w:tcW w:type="dxa" w:w="3462"/>
            <w:tcMar>
              <w:top w:w="50" w:type="dxa"/>
              <w:bottom w:w="50" w:type="dxa"/>
              <w:left w:w="90" w:type="dxa"/>
              <w:right w:w="90" w:type="dxa"/>
            </w:tcMar>
            <w:shd w:val="clear" w:color="auto" w:fill="E5F5FF"/>
          </w:tcPr>
          <w:p>
            <w:pPr>
              <w:pStyle w:val="BDOITable"/>
            </w:pPr>
            <w:r>
              <w:rPr>
                <w:sz w:val="18"/>
              </w:rPr>
              <w:t>Run the UAT scenarios of their role;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Product Owner, Submitted Policies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Handlers run the intake and masterlist scenarios (SC-SP-01, 02); sanitation handlers the processing and renewal scenarios (SC-SP-03, 07); policy reviewers and NB Team Leads the IAAF scenario (SC-SP-05); AOs and TSU the TOR scenario (SC-SP-06); the Admin Team the handling-fee scenario (SC-SP-08); Team Leads the monitoring scenario (SC-SP-09).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SBM_HANDLER</w:t>
            </w:r>
          </w:p>
        </w:tc>
        <w:tc>
          <w:tcPr>
            <w:tcW w:type="dxa" w:w="6648"/>
            <w:tcMar>
              <w:top w:w="50" w:type="dxa"/>
              <w:bottom w:w="50" w:type="dxa"/>
              <w:left w:w="90" w:type="dxa"/>
              <w:right w:w="90" w:type="dxa"/>
            </w:tcMar>
          </w:tcPr>
          <w:p>
            <w:pPr>
              <w:pStyle w:val="BDOITable"/>
            </w:pPr>
            <w:r>
              <w:rPr>
                <w:sz w:val="17"/>
              </w:rPr>
              <w:t>Submitted Handler (CBG)</w:t>
            </w:r>
          </w:p>
        </w:tc>
        <w:tc>
          <w:tcPr>
            <w:tcW w:type="dxa" w:w="1023"/>
            <w:tcMar>
              <w:top w:w="50" w:type="dxa"/>
              <w:bottom w:w="50" w:type="dxa"/>
              <w:left w:w="90" w:type="dxa"/>
              <w:right w:w="90" w:type="dxa"/>
            </w:tcMar>
          </w:tcPr>
          <w:p>
            <w:pPr>
              <w:pStyle w:val="BDOITable"/>
            </w:pPr>
            <w:r>
              <w:rPr>
                <w:sz w:val="17"/>
              </w:rPr>
              <w:t>28</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SBM_CHECKER</w:t>
            </w:r>
          </w:p>
        </w:tc>
        <w:tc>
          <w:tcPr>
            <w:tcW w:type="dxa" w:w="6648"/>
            <w:tcMar>
              <w:top w:w="50" w:type="dxa"/>
              <w:bottom w:w="50" w:type="dxa"/>
              <w:left w:w="90" w:type="dxa"/>
              <w:right w:w="90" w:type="dxa"/>
            </w:tcMar>
            <w:shd w:val="clear" w:color="auto" w:fill="E5F5FF"/>
          </w:tcPr>
          <w:p>
            <w:pPr>
              <w:pStyle w:val="BDOITable"/>
            </w:pPr>
            <w:r>
              <w:rPr>
                <w:sz w:val="17"/>
              </w:rPr>
              <w:t>Submitted Checker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SBM_SANITATION</w:t>
            </w:r>
          </w:p>
        </w:tc>
        <w:tc>
          <w:tcPr>
            <w:tcW w:type="dxa" w:w="6648"/>
            <w:tcMar>
              <w:top w:w="50" w:type="dxa"/>
              <w:bottom w:w="50" w:type="dxa"/>
              <w:left w:w="90" w:type="dxa"/>
              <w:right w:w="90" w:type="dxa"/>
            </w:tcMar>
          </w:tcPr>
          <w:p>
            <w:pPr>
              <w:pStyle w:val="BDOITable"/>
            </w:pPr>
            <w:r>
              <w:rPr>
                <w:sz w:val="17"/>
              </w:rPr>
              <w:t>Sanitation Handler</w:t>
            </w:r>
          </w:p>
        </w:tc>
        <w:tc>
          <w:tcPr>
            <w:tcW w:type="dxa" w:w="1023"/>
            <w:tcMar>
              <w:top w:w="50" w:type="dxa"/>
              <w:bottom w:w="50" w:type="dxa"/>
              <w:left w:w="90" w:type="dxa"/>
              <w:right w:w="90" w:type="dxa"/>
            </w:tcMar>
          </w:tcPr>
          <w:p>
            <w:pPr>
              <w:pStyle w:val="BDOITable"/>
            </w:pPr>
            <w:r>
              <w:rPr>
                <w:sz w:val="17"/>
              </w:rPr>
              <w:t>38</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SBM_TL</w:t>
            </w:r>
          </w:p>
        </w:tc>
        <w:tc>
          <w:tcPr>
            <w:tcW w:type="dxa" w:w="6648"/>
            <w:tcMar>
              <w:top w:w="50" w:type="dxa"/>
              <w:bottom w:w="50" w:type="dxa"/>
              <w:left w:w="90" w:type="dxa"/>
              <w:right w:w="90" w:type="dxa"/>
            </w:tcMar>
            <w:shd w:val="clear" w:color="auto" w:fill="E5F5FF"/>
          </w:tcPr>
          <w:p>
            <w:pPr>
              <w:pStyle w:val="BDOITable"/>
            </w:pPr>
            <w:r>
              <w:rPr>
                <w:sz w:val="17"/>
              </w:rPr>
              <w:t>Team Lead (Submitted Policies)</w:t>
            </w:r>
          </w:p>
        </w:tc>
        <w:tc>
          <w:tcPr>
            <w:tcW w:type="dxa" w:w="1023"/>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2301"/>
            <w:tcMar>
              <w:top w:w="50" w:type="dxa"/>
              <w:bottom w:w="50" w:type="dxa"/>
              <w:left w:w="90" w:type="dxa"/>
              <w:right w:w="90" w:type="dxa"/>
            </w:tcMar>
          </w:tcPr>
          <w:p>
            <w:pPr>
              <w:pStyle w:val="BDOITable"/>
            </w:pPr>
            <w:r>
              <w:rPr>
                <w:sz w:val="17"/>
              </w:rPr>
              <w:t>SBM_POLICY_REVIEWER</w:t>
            </w:r>
          </w:p>
        </w:tc>
        <w:tc>
          <w:tcPr>
            <w:tcW w:type="dxa" w:w="6648"/>
            <w:tcMar>
              <w:top w:w="50" w:type="dxa"/>
              <w:bottom w:w="50" w:type="dxa"/>
              <w:left w:w="90" w:type="dxa"/>
              <w:right w:w="90" w:type="dxa"/>
            </w:tcMar>
          </w:tcPr>
          <w:p>
            <w:pPr>
              <w:pStyle w:val="BDOITable"/>
            </w:pPr>
            <w:r>
              <w:rPr>
                <w:sz w:val="17"/>
              </w:rPr>
              <w:t>Policy Review Officer (Non-CBG Corporate)</w:t>
            </w:r>
          </w:p>
        </w:tc>
        <w:tc>
          <w:tcPr>
            <w:tcW w:type="dxa" w:w="1023"/>
            <w:tcMar>
              <w:top w:w="50" w:type="dxa"/>
              <w:bottom w:w="50" w:type="dxa"/>
              <w:left w:w="90" w:type="dxa"/>
              <w:right w:w="90" w:type="dxa"/>
            </w:tcMar>
          </w:tcPr>
          <w:p>
            <w:pPr>
              <w:pStyle w:val="BDOITable"/>
            </w:pPr>
            <w:r>
              <w:rPr>
                <w:sz w:val="17"/>
              </w:rPr>
              <w:t>14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SBM_RULE_ADMIN</w:t>
            </w:r>
          </w:p>
        </w:tc>
        <w:tc>
          <w:tcPr>
            <w:tcW w:type="dxa" w:w="6648"/>
            <w:tcMar>
              <w:top w:w="50" w:type="dxa"/>
              <w:bottom w:w="50" w:type="dxa"/>
              <w:left w:w="90" w:type="dxa"/>
              <w:right w:w="90" w:type="dxa"/>
            </w:tcMar>
            <w:shd w:val="clear" w:color="auto" w:fill="E5F5FF"/>
          </w:tcPr>
          <w:p>
            <w:pPr>
              <w:pStyle w:val="BDOITable"/>
            </w:pPr>
            <w:r>
              <w:rPr>
                <w:sz w:val="17"/>
              </w:rPr>
              <w:t>Rule administrator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SBM_UPP_HANDLER</w:t>
            </w:r>
          </w:p>
        </w:tc>
        <w:tc>
          <w:tcPr>
            <w:tcW w:type="dxa" w:w="6648"/>
            <w:tcMar>
              <w:top w:w="50" w:type="dxa"/>
              <w:bottom w:w="50" w:type="dxa"/>
              <w:left w:w="90" w:type="dxa"/>
              <w:right w:w="90" w:type="dxa"/>
            </w:tcMar>
          </w:tcPr>
          <w:p>
            <w:pPr>
              <w:pStyle w:val="BDOITable"/>
            </w:pPr>
            <w:r>
              <w:rPr>
                <w:sz w:val="17"/>
              </w:rPr>
              <w:t>Admin Team UPP handler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 / MAO</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NB Team Lead</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TSU</w:t>
            </w:r>
          </w:p>
        </w:tc>
        <w:tc>
          <w:tcPr>
            <w:tcW w:type="dxa" w:w="6648"/>
            <w:tcMar>
              <w:top w:w="50" w:type="dxa"/>
              <w:bottom w:w="50" w:type="dxa"/>
              <w:left w:w="90" w:type="dxa"/>
              <w:right w:w="90" w:type="dxa"/>
            </w:tcMar>
            <w:shd w:val="clear" w:color="auto" w:fill="E5F5FF"/>
          </w:tcPr>
          <w:p>
            <w:pPr>
              <w:pStyle w:val="BDOITable"/>
            </w:pPr>
            <w:r>
              <w:rPr>
                <w:sz w:val="17"/>
              </w:rPr>
              <w:t>TSU approver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PROCESSOR</w:t>
            </w:r>
          </w:p>
        </w:tc>
        <w:tc>
          <w:tcPr>
            <w:tcW w:type="dxa" w:w="6648"/>
            <w:tcMar>
              <w:top w:w="50" w:type="dxa"/>
              <w:bottom w:w="50" w:type="dxa"/>
              <w:left w:w="90" w:type="dxa"/>
              <w:right w:w="90" w:type="dxa"/>
            </w:tcMar>
          </w:tcPr>
          <w:p>
            <w:pPr>
              <w:pStyle w:val="BDOITable"/>
            </w:pPr>
            <w:r>
              <w:rPr>
                <w:sz w:val="17"/>
              </w:rPr>
              <w:t>Placement and Booking user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26</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Submitted Policies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bank counterpart or insurer, or a security rule is broken</w:t>
            </w:r>
          </w:p>
        </w:tc>
        <w:tc>
          <w:tcPr>
            <w:tcW w:type="dxa" w:w="3196"/>
            <w:tcMar>
              <w:top w:w="50" w:type="dxa"/>
              <w:bottom w:w="50" w:type="dxa"/>
              <w:left w:w="90" w:type="dxa"/>
              <w:right w:w="90" w:type="dxa"/>
            </w:tcMar>
          </w:tcPr>
          <w:p>
            <w:pPr>
              <w:pStyle w:val="BDOITable"/>
            </w:pPr>
            <w:r>
              <w:rPr>
                <w:sz w:val="18"/>
              </w:rPr>
              <w:t>An excluded account is handed to renewal; a user sees records outside the own scope; a preparer approves the own IAAF</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file loaded twice creates duplicates; the expiry scan misses records within the lead days</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A fallout reason code is missing on the report; a filter is ignored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SBM, run, IAAF or TOR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35 of 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36 of 36</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113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148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75 / 73</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61</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82</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13</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FR-SP-001</w:t>
            </w:r>
          </w:p>
        </w:tc>
        <w:tc>
          <w:tcPr>
            <w:tcW w:type="dxa" w:w="3804"/>
            <w:tcMar>
              <w:top w:w="50" w:type="dxa"/>
              <w:bottom w:w="50" w:type="dxa"/>
              <w:left w:w="90" w:type="dxa"/>
              <w:right w:w="90" w:type="dxa"/>
            </w:tcMar>
          </w:tcPr>
          <w:p>
            <w:pPr>
              <w:pStyle w:val="BDOITable"/>
            </w:pPr>
            <w:r>
              <w:rPr>
                <w:sz w:val="16"/>
              </w:rPr>
              <w:t>Upload submitted policies</w:t>
            </w:r>
          </w:p>
        </w:tc>
        <w:tc>
          <w:tcPr>
            <w:tcW w:type="dxa" w:w="1953"/>
            <w:tcMar>
              <w:top w:w="50" w:type="dxa"/>
              <w:bottom w:w="50" w:type="dxa"/>
              <w:left w:w="90" w:type="dxa"/>
              <w:right w:w="90" w:type="dxa"/>
            </w:tcMar>
          </w:tcPr>
          <w:p>
            <w:pPr>
              <w:pStyle w:val="BDOITable"/>
            </w:pPr>
            <w:r>
              <w:rPr>
                <w:sz w:val="16"/>
              </w:rPr>
              <w:t>BRIDSP-01</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FR-SP-002</w:t>
            </w:r>
          </w:p>
        </w:tc>
        <w:tc>
          <w:tcPr>
            <w:tcW w:type="dxa" w:w="3804"/>
            <w:tcMar>
              <w:top w:w="50" w:type="dxa"/>
              <w:bottom w:w="50" w:type="dxa"/>
              <w:left w:w="90" w:type="dxa"/>
              <w:right w:w="90" w:type="dxa"/>
            </w:tcMar>
            <w:shd w:val="clear" w:color="auto" w:fill="E5F5FF"/>
          </w:tcPr>
          <w:p>
            <w:pPr>
              <w:pStyle w:val="BDOITable"/>
            </w:pPr>
            <w:r>
              <w:rPr>
                <w:sz w:val="16"/>
              </w:rPr>
              <w:t>Extract policy details from documents and save them after confirmation (Release 2)</w:t>
            </w:r>
          </w:p>
        </w:tc>
        <w:tc>
          <w:tcPr>
            <w:tcW w:type="dxa" w:w="1953"/>
            <w:tcMar>
              <w:top w:w="50" w:type="dxa"/>
              <w:bottom w:w="50" w:type="dxa"/>
              <w:left w:w="90" w:type="dxa"/>
              <w:right w:w="90" w:type="dxa"/>
            </w:tcMar>
            <w:shd w:val="clear" w:color="auto" w:fill="E5F5FF"/>
          </w:tcPr>
          <w:p>
            <w:pPr>
              <w:pStyle w:val="BDOITable"/>
            </w:pPr>
            <w:r>
              <w:rPr>
                <w:sz w:val="16"/>
              </w:rPr>
              <w:t>BRIDSP-04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FR-SP-003</w:t>
            </w:r>
          </w:p>
        </w:tc>
        <w:tc>
          <w:tcPr>
            <w:tcW w:type="dxa" w:w="3804"/>
            <w:tcMar>
              <w:top w:w="50" w:type="dxa"/>
              <w:bottom w:w="50" w:type="dxa"/>
              <w:left w:w="90" w:type="dxa"/>
              <w:right w:w="90" w:type="dxa"/>
            </w:tcMar>
          </w:tcPr>
          <w:p>
            <w:pPr>
              <w:pStyle w:val="BDOITable"/>
            </w:pPr>
            <w:r>
              <w:rPr>
                <w:sz w:val="16"/>
              </w:rPr>
              <w:t>Create or update a policy manually and tag its renewal opportunity</w:t>
            </w:r>
          </w:p>
        </w:tc>
        <w:tc>
          <w:tcPr>
            <w:tcW w:type="dxa" w:w="1953"/>
            <w:tcMar>
              <w:top w:w="50" w:type="dxa"/>
              <w:bottom w:w="50" w:type="dxa"/>
              <w:left w:w="90" w:type="dxa"/>
              <w:right w:w="90" w:type="dxa"/>
            </w:tcMar>
          </w:tcPr>
          <w:p>
            <w:pPr>
              <w:pStyle w:val="BDOITable"/>
            </w:pPr>
            <w:r>
              <w:rPr>
                <w:sz w:val="16"/>
              </w:rPr>
              <w:t>BRIDSP-05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FR-SP-004</w:t>
            </w:r>
          </w:p>
        </w:tc>
        <w:tc>
          <w:tcPr>
            <w:tcW w:type="dxa" w:w="3804"/>
            <w:tcMar>
              <w:top w:w="50" w:type="dxa"/>
              <w:bottom w:w="50" w:type="dxa"/>
              <w:left w:w="90" w:type="dxa"/>
              <w:right w:w="90" w:type="dxa"/>
            </w:tcMar>
            <w:shd w:val="clear" w:color="auto" w:fill="E5F5FF"/>
          </w:tcPr>
          <w:p>
            <w:pPr>
              <w:pStyle w:val="BDOITable"/>
            </w:pPr>
            <w:r>
              <w:rPr>
                <w:sz w:val="16"/>
              </w:rPr>
              <w:t>Migrate the existing Excel masterlists</w:t>
            </w:r>
          </w:p>
        </w:tc>
        <w:tc>
          <w:tcPr>
            <w:tcW w:type="dxa" w:w="1953"/>
            <w:tcMar>
              <w:top w:w="50" w:type="dxa"/>
              <w:bottom w:w="50" w:type="dxa"/>
              <w:left w:w="90" w:type="dxa"/>
              <w:right w:w="90" w:type="dxa"/>
            </w:tcMar>
            <w:shd w:val="clear" w:color="auto" w:fill="E5F5FF"/>
          </w:tcPr>
          <w:p>
            <w:pPr>
              <w:pStyle w:val="BDOITable"/>
            </w:pPr>
            <w:r>
              <w:rPr>
                <w:sz w:val="16"/>
              </w:rPr>
              <w:t>BRIDSP-36</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FR-SP-010</w:t>
            </w:r>
          </w:p>
        </w:tc>
        <w:tc>
          <w:tcPr>
            <w:tcW w:type="dxa" w:w="3804"/>
            <w:tcMar>
              <w:top w:w="50" w:type="dxa"/>
              <w:bottom w:w="50" w:type="dxa"/>
              <w:left w:w="90" w:type="dxa"/>
              <w:right w:w="90" w:type="dxa"/>
            </w:tcMar>
          </w:tcPr>
          <w:p>
            <w:pPr>
              <w:pStyle w:val="BDOITable"/>
            </w:pPr>
            <w:r>
              <w:rPr>
                <w:sz w:val="16"/>
              </w:rPr>
              <w:t>Keep one Submitted Masterlist</w:t>
            </w:r>
          </w:p>
        </w:tc>
        <w:tc>
          <w:tcPr>
            <w:tcW w:type="dxa" w:w="1953"/>
            <w:tcMar>
              <w:top w:w="50" w:type="dxa"/>
              <w:bottom w:w="50" w:type="dxa"/>
              <w:left w:w="90" w:type="dxa"/>
              <w:right w:w="90" w:type="dxa"/>
            </w:tcMar>
          </w:tcPr>
          <w:p>
            <w:pPr>
              <w:pStyle w:val="BDOITable"/>
            </w:pPr>
            <w:r>
              <w:rPr>
                <w:sz w:val="16"/>
              </w:rPr>
              <w:t>BRIDSP-06</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FR-SP-011</w:t>
            </w:r>
          </w:p>
        </w:tc>
        <w:tc>
          <w:tcPr>
            <w:tcW w:type="dxa" w:w="3804"/>
            <w:tcMar>
              <w:top w:w="50" w:type="dxa"/>
              <w:bottom w:w="50" w:type="dxa"/>
              <w:left w:w="90" w:type="dxa"/>
              <w:right w:w="90" w:type="dxa"/>
            </w:tcMar>
            <w:shd w:val="clear" w:color="auto" w:fill="E5F5FF"/>
          </w:tcPr>
          <w:p>
            <w:pPr>
              <w:pStyle w:val="BDOITable"/>
            </w:pPr>
            <w:r>
              <w:rPr>
                <w:sz w:val="16"/>
              </w:rPr>
              <w:t>View and extract the masterlist by role</w:t>
            </w:r>
          </w:p>
        </w:tc>
        <w:tc>
          <w:tcPr>
            <w:tcW w:type="dxa" w:w="1953"/>
            <w:tcMar>
              <w:top w:w="50" w:type="dxa"/>
              <w:bottom w:w="50" w:type="dxa"/>
              <w:left w:w="90" w:type="dxa"/>
              <w:right w:w="90" w:type="dxa"/>
            </w:tcMar>
            <w:shd w:val="clear" w:color="auto" w:fill="E5F5FF"/>
          </w:tcPr>
          <w:p>
            <w:pPr>
              <w:pStyle w:val="BDOITable"/>
            </w:pPr>
            <w:r>
              <w:rPr>
                <w:sz w:val="16"/>
              </w:rPr>
              <w:t>BRIDSP-32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FR-SP-012</w:t>
            </w:r>
          </w:p>
        </w:tc>
        <w:tc>
          <w:tcPr>
            <w:tcW w:type="dxa" w:w="3804"/>
            <w:tcMar>
              <w:top w:w="50" w:type="dxa"/>
              <w:bottom w:w="50" w:type="dxa"/>
              <w:left w:w="90" w:type="dxa"/>
              <w:right w:w="90" w:type="dxa"/>
            </w:tcMar>
          </w:tcPr>
          <w:p>
            <w:pPr>
              <w:pStyle w:val="BDOITable"/>
            </w:pPr>
            <w:r>
              <w:rPr>
                <w:sz w:val="16"/>
              </w:rPr>
              <w:t>Monitor handler, conversion status and remarks</w:t>
            </w:r>
          </w:p>
        </w:tc>
        <w:tc>
          <w:tcPr>
            <w:tcW w:type="dxa" w:w="1953"/>
            <w:tcMar>
              <w:top w:w="50" w:type="dxa"/>
              <w:bottom w:w="50" w:type="dxa"/>
              <w:left w:w="90" w:type="dxa"/>
              <w:right w:w="90" w:type="dxa"/>
            </w:tcMar>
          </w:tcPr>
          <w:p>
            <w:pPr>
              <w:pStyle w:val="BDOITable"/>
            </w:pPr>
            <w:r>
              <w:rPr>
                <w:sz w:val="16"/>
              </w:rPr>
              <w:t>BRIDSP-33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FR-SP-020</w:t>
            </w:r>
          </w:p>
        </w:tc>
        <w:tc>
          <w:tcPr>
            <w:tcW w:type="dxa" w:w="3804"/>
            <w:tcMar>
              <w:top w:w="50" w:type="dxa"/>
              <w:bottom w:w="50" w:type="dxa"/>
              <w:left w:w="90" w:type="dxa"/>
              <w:right w:w="90" w:type="dxa"/>
            </w:tcMar>
            <w:shd w:val="clear" w:color="auto" w:fill="E5F5FF"/>
          </w:tcPr>
          <w:p>
            <w:pPr>
              <w:pStyle w:val="BDOITable"/>
            </w:pPr>
            <w:r>
              <w:rPr>
                <w:sz w:val="16"/>
              </w:rPr>
              <w:t>Define sanitation, matching, classification and disposition criteria</w:t>
            </w:r>
          </w:p>
        </w:tc>
        <w:tc>
          <w:tcPr>
            <w:tcW w:type="dxa" w:w="1953"/>
            <w:tcMar>
              <w:top w:w="50" w:type="dxa"/>
              <w:bottom w:w="50" w:type="dxa"/>
              <w:left w:w="90" w:type="dxa"/>
              <w:right w:w="90" w:type="dxa"/>
            </w:tcMar>
            <w:shd w:val="clear" w:color="auto" w:fill="E5F5FF"/>
          </w:tcPr>
          <w:p>
            <w:pPr>
              <w:pStyle w:val="BDOITable"/>
            </w:pPr>
            <w:r>
              <w:rPr>
                <w:sz w:val="16"/>
              </w:rPr>
              <w:t>BRIDSP-10</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FR-SP-021</w:t>
            </w:r>
          </w:p>
        </w:tc>
        <w:tc>
          <w:tcPr>
            <w:tcW w:type="dxa" w:w="3804"/>
            <w:tcMar>
              <w:top w:w="50" w:type="dxa"/>
              <w:bottom w:w="50" w:type="dxa"/>
              <w:left w:w="90" w:type="dxa"/>
              <w:right w:w="90" w:type="dxa"/>
            </w:tcMar>
          </w:tcPr>
          <w:p>
            <w:pPr>
              <w:pStyle w:val="BDOITable"/>
            </w:pPr>
            <w:r>
              <w:rPr>
                <w:sz w:val="16"/>
              </w:rPr>
              <w:t>Run processing automatically after intake</w:t>
            </w:r>
          </w:p>
        </w:tc>
        <w:tc>
          <w:tcPr>
            <w:tcW w:type="dxa" w:w="1953"/>
            <w:tcMar>
              <w:top w:w="50" w:type="dxa"/>
              <w:bottom w:w="50" w:type="dxa"/>
              <w:left w:w="90" w:type="dxa"/>
              <w:right w:w="90" w:type="dxa"/>
            </w:tcMar>
          </w:tcPr>
          <w:p>
            <w:pPr>
              <w:pStyle w:val="BDOITable"/>
            </w:pPr>
            <w:r>
              <w:rPr>
                <w:sz w:val="16"/>
              </w:rPr>
              <w:t>BRIDSP-11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FR-SP-022</w:t>
            </w:r>
          </w:p>
        </w:tc>
        <w:tc>
          <w:tcPr>
            <w:tcW w:type="dxa" w:w="3804"/>
            <w:tcMar>
              <w:top w:w="50" w:type="dxa"/>
              <w:bottom w:w="50" w:type="dxa"/>
              <w:left w:w="90" w:type="dxa"/>
              <w:right w:w="90" w:type="dxa"/>
            </w:tcMar>
            <w:shd w:val="clear" w:color="auto" w:fill="E5F5FF"/>
          </w:tcPr>
          <w:p>
            <w:pPr>
              <w:pStyle w:val="BDOITable"/>
            </w:pPr>
            <w:r>
              <w:rPr>
                <w:sz w:val="16"/>
              </w:rPr>
              <w:t>Report fallout after processing</w:t>
            </w:r>
          </w:p>
        </w:tc>
        <w:tc>
          <w:tcPr>
            <w:tcW w:type="dxa" w:w="1953"/>
            <w:tcMar>
              <w:top w:w="50" w:type="dxa"/>
              <w:bottom w:w="50" w:type="dxa"/>
              <w:left w:w="90" w:type="dxa"/>
              <w:right w:w="90" w:type="dxa"/>
            </w:tcMar>
            <w:shd w:val="clear" w:color="auto" w:fill="E5F5FF"/>
          </w:tcPr>
          <w:p>
            <w:pPr>
              <w:pStyle w:val="BDOITable"/>
            </w:pPr>
            <w:r>
              <w:rPr>
                <w:sz w:val="16"/>
              </w:rPr>
              <w:t>BRIDSP-12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FR-SP-030</w:t>
            </w:r>
          </w:p>
        </w:tc>
        <w:tc>
          <w:tcPr>
            <w:tcW w:type="dxa" w:w="3804"/>
            <w:tcMar>
              <w:top w:w="50" w:type="dxa"/>
              <w:bottom w:w="50" w:type="dxa"/>
              <w:left w:w="90" w:type="dxa"/>
              <w:right w:w="90" w:type="dxa"/>
            </w:tcMar>
          </w:tcPr>
          <w:p>
            <w:pPr>
              <w:pStyle w:val="BDOITable"/>
            </w:pPr>
            <w:r>
              <w:rPr>
                <w:sz w:val="16"/>
              </w:rPr>
              <w:t>Classify policies as Inforced or Submitted</w:t>
            </w:r>
          </w:p>
        </w:tc>
        <w:tc>
          <w:tcPr>
            <w:tcW w:type="dxa" w:w="1953"/>
            <w:tcMar>
              <w:top w:w="50" w:type="dxa"/>
              <w:bottom w:w="50" w:type="dxa"/>
              <w:left w:w="90" w:type="dxa"/>
              <w:right w:w="90" w:type="dxa"/>
            </w:tcMar>
          </w:tcPr>
          <w:p>
            <w:pPr>
              <w:pStyle w:val="BDOITable"/>
            </w:pPr>
            <w:r>
              <w:rPr>
                <w:sz w:val="16"/>
              </w:rPr>
              <w:t>BRIDSP-13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FR-SP-031</w:t>
            </w:r>
          </w:p>
        </w:tc>
        <w:tc>
          <w:tcPr>
            <w:tcW w:type="dxa" w:w="3804"/>
            <w:tcMar>
              <w:top w:w="50" w:type="dxa"/>
              <w:bottom w:w="50" w:type="dxa"/>
              <w:left w:w="90" w:type="dxa"/>
              <w:right w:w="90" w:type="dxa"/>
            </w:tcMar>
            <w:shd w:val="clear" w:color="auto" w:fill="E5F5FF"/>
          </w:tcPr>
          <w:p>
            <w:pPr>
              <w:pStyle w:val="BDOITable"/>
            </w:pPr>
            <w:r>
              <w:rPr>
                <w:sz w:val="16"/>
              </w:rPr>
              <w:t>Group Submitted policies into qualification buckets</w:t>
            </w:r>
          </w:p>
        </w:tc>
        <w:tc>
          <w:tcPr>
            <w:tcW w:type="dxa" w:w="1953"/>
            <w:tcMar>
              <w:top w:w="50" w:type="dxa"/>
              <w:bottom w:w="50" w:type="dxa"/>
              <w:left w:w="90" w:type="dxa"/>
              <w:right w:w="90" w:type="dxa"/>
            </w:tcMar>
            <w:shd w:val="clear" w:color="auto" w:fill="E5F5FF"/>
          </w:tcPr>
          <w:p>
            <w:pPr>
              <w:pStyle w:val="BDOITable"/>
            </w:pPr>
            <w:r>
              <w:rPr>
                <w:sz w:val="16"/>
              </w:rPr>
              <w:t>BRIDSP-14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FR-SP-032</w:t>
            </w:r>
          </w:p>
        </w:tc>
        <w:tc>
          <w:tcPr>
            <w:tcW w:type="dxa" w:w="3804"/>
            <w:tcMar>
              <w:top w:w="50" w:type="dxa"/>
              <w:bottom w:w="50" w:type="dxa"/>
              <w:left w:w="90" w:type="dxa"/>
              <w:right w:w="90" w:type="dxa"/>
            </w:tcMar>
          </w:tcPr>
          <w:p>
            <w:pPr>
              <w:pStyle w:val="BDOITable"/>
            </w:pPr>
            <w:r>
              <w:rPr>
                <w:sz w:val="16"/>
              </w:rPr>
              <w:t>Choose the RA template from the active loan of the loan reports</w:t>
            </w:r>
          </w:p>
        </w:tc>
        <w:tc>
          <w:tcPr>
            <w:tcW w:type="dxa" w:w="1953"/>
            <w:tcMar>
              <w:top w:w="50" w:type="dxa"/>
              <w:bottom w:w="50" w:type="dxa"/>
              <w:left w:w="90" w:type="dxa"/>
              <w:right w:w="90" w:type="dxa"/>
            </w:tcMar>
          </w:tcPr>
          <w:p>
            <w:pPr>
              <w:pStyle w:val="BDOITable"/>
            </w:pPr>
            <w:r>
              <w:rPr>
                <w:sz w:val="16"/>
              </w:rPr>
              <w:t>BRIDSP-15</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FR-SP-033</w:t>
            </w:r>
          </w:p>
        </w:tc>
        <w:tc>
          <w:tcPr>
            <w:tcW w:type="dxa" w:w="3804"/>
            <w:tcMar>
              <w:top w:w="50" w:type="dxa"/>
              <w:bottom w:w="50" w:type="dxa"/>
              <w:left w:w="90" w:type="dxa"/>
              <w:right w:w="90" w:type="dxa"/>
            </w:tcMar>
            <w:shd w:val="clear" w:color="auto" w:fill="E5F5FF"/>
          </w:tcPr>
          <w:p>
            <w:pPr>
              <w:pStyle w:val="BDOITable"/>
            </w:pPr>
            <w:r>
              <w:rPr>
                <w:sz w:val="16"/>
              </w:rPr>
              <w:t>Assign policies to non-renewal buckets</w:t>
            </w:r>
          </w:p>
        </w:tc>
        <w:tc>
          <w:tcPr>
            <w:tcW w:type="dxa" w:w="1953"/>
            <w:tcMar>
              <w:top w:w="50" w:type="dxa"/>
              <w:bottom w:w="50" w:type="dxa"/>
              <w:left w:w="90" w:type="dxa"/>
              <w:right w:w="90" w:type="dxa"/>
            </w:tcMar>
            <w:shd w:val="clear" w:color="auto" w:fill="E5F5FF"/>
          </w:tcPr>
          <w:p>
            <w:pPr>
              <w:pStyle w:val="BDOITable"/>
            </w:pPr>
            <w:r>
              <w:rPr>
                <w:sz w:val="16"/>
              </w:rPr>
              <w:t>BRIDSP-16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FR-SP-034</w:t>
            </w:r>
          </w:p>
        </w:tc>
        <w:tc>
          <w:tcPr>
            <w:tcW w:type="dxa" w:w="3804"/>
            <w:tcMar>
              <w:top w:w="50" w:type="dxa"/>
              <w:bottom w:w="50" w:type="dxa"/>
              <w:left w:w="90" w:type="dxa"/>
              <w:right w:w="90" w:type="dxa"/>
            </w:tcMar>
          </w:tcPr>
          <w:p>
            <w:pPr>
              <w:pStyle w:val="BDOITable"/>
            </w:pPr>
            <w:r>
              <w:rPr>
                <w:sz w:val="16"/>
              </w:rPr>
              <w:t>Group Inforced policies and create RAs and proposals</w:t>
            </w:r>
          </w:p>
        </w:tc>
        <w:tc>
          <w:tcPr>
            <w:tcW w:type="dxa" w:w="1953"/>
            <w:tcMar>
              <w:top w:w="50" w:type="dxa"/>
              <w:bottom w:w="50" w:type="dxa"/>
              <w:left w:w="90" w:type="dxa"/>
              <w:right w:w="90" w:type="dxa"/>
            </w:tcMar>
          </w:tcPr>
          <w:p>
            <w:pPr>
              <w:pStyle w:val="BDOITable"/>
            </w:pPr>
            <w:r>
              <w:rPr>
                <w:sz w:val="16"/>
              </w:rPr>
              <w:t>BRIDSP-17</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FR-SP-035</w:t>
            </w:r>
          </w:p>
        </w:tc>
        <w:tc>
          <w:tcPr>
            <w:tcW w:type="dxa" w:w="3804"/>
            <w:tcMar>
              <w:top w:w="50" w:type="dxa"/>
              <w:bottom w:w="50" w:type="dxa"/>
              <w:left w:w="90" w:type="dxa"/>
              <w:right w:w="90" w:type="dxa"/>
            </w:tcMar>
            <w:shd w:val="clear" w:color="auto" w:fill="E5F5FF"/>
          </w:tcPr>
          <w:p>
            <w:pPr>
              <w:pStyle w:val="BDOITable"/>
            </w:pPr>
            <w:r>
              <w:rPr>
                <w:sz w:val="16"/>
              </w:rPr>
              <w:t>Receive loan files and match them to the submitted policies automatically</w:t>
            </w:r>
          </w:p>
        </w:tc>
        <w:tc>
          <w:tcPr>
            <w:tcW w:type="dxa" w:w="1953"/>
            <w:tcMar>
              <w:top w:w="50" w:type="dxa"/>
              <w:bottom w:w="50" w:type="dxa"/>
              <w:left w:w="90" w:type="dxa"/>
              <w:right w:w="90" w:type="dxa"/>
            </w:tcMar>
            <w:shd w:val="clear" w:color="auto" w:fill="E5F5FF"/>
          </w:tcPr>
          <w:p>
            <w:pPr>
              <w:pStyle w:val="BDOITable"/>
            </w:pPr>
            <w:r>
              <w:rPr>
                <w:sz w:val="16"/>
              </w:rPr>
              <w:t>BRIDSP-02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FR-SP-040</w:t>
            </w:r>
          </w:p>
        </w:tc>
        <w:tc>
          <w:tcPr>
            <w:tcW w:type="dxa" w:w="3804"/>
            <w:tcMar>
              <w:top w:w="50" w:type="dxa"/>
              <w:bottom w:w="50" w:type="dxa"/>
              <w:left w:w="90" w:type="dxa"/>
              <w:right w:w="90" w:type="dxa"/>
            </w:tcMar>
          </w:tcPr>
          <w:p>
            <w:pPr>
              <w:pStyle w:val="BDOITable"/>
            </w:pPr>
            <w:r>
              <w:rPr>
                <w:sz w:val="16"/>
              </w:rPr>
              <w:t>Record policy reviews and generate one IAAF per policy</w:t>
            </w:r>
          </w:p>
        </w:tc>
        <w:tc>
          <w:tcPr>
            <w:tcW w:type="dxa" w:w="1953"/>
            <w:tcMar>
              <w:top w:w="50" w:type="dxa"/>
              <w:bottom w:w="50" w:type="dxa"/>
              <w:left w:w="90" w:type="dxa"/>
              <w:right w:w="90" w:type="dxa"/>
            </w:tcMar>
          </w:tcPr>
          <w:p>
            <w:pPr>
              <w:pStyle w:val="BDOITable"/>
            </w:pPr>
            <w:r>
              <w:rPr>
                <w:sz w:val="16"/>
              </w:rPr>
              <w:t>BRIDSP-07, BRIDSP-08</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FR-SP-041</w:t>
            </w:r>
          </w:p>
        </w:tc>
        <w:tc>
          <w:tcPr>
            <w:tcW w:type="dxa" w:w="3804"/>
            <w:tcMar>
              <w:top w:w="50" w:type="dxa"/>
              <w:bottom w:w="50" w:type="dxa"/>
              <w:left w:w="90" w:type="dxa"/>
              <w:right w:w="90" w:type="dxa"/>
            </w:tcMar>
            <w:shd w:val="clear" w:color="auto" w:fill="E5F5FF"/>
          </w:tcPr>
          <w:p>
            <w:pPr>
              <w:pStyle w:val="BDOITable"/>
            </w:pPr>
            <w:r>
              <w:rPr>
                <w:sz w:val="16"/>
              </w:rPr>
              <w:t>Route the IAAF for approval and signature</w:t>
            </w:r>
          </w:p>
        </w:tc>
        <w:tc>
          <w:tcPr>
            <w:tcW w:type="dxa" w:w="1953"/>
            <w:tcMar>
              <w:top w:w="50" w:type="dxa"/>
              <w:bottom w:w="50" w:type="dxa"/>
              <w:left w:w="90" w:type="dxa"/>
              <w:right w:w="90" w:type="dxa"/>
            </w:tcMar>
            <w:shd w:val="clear" w:color="auto" w:fill="E5F5FF"/>
          </w:tcPr>
          <w:p>
            <w:pPr>
              <w:pStyle w:val="BDOITable"/>
            </w:pPr>
            <w:r>
              <w:rPr>
                <w:sz w:val="16"/>
              </w:rPr>
              <w:t>BRIDSP-09</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FR-SP-050</w:t>
            </w:r>
          </w:p>
        </w:tc>
        <w:tc>
          <w:tcPr>
            <w:tcW w:type="dxa" w:w="3804"/>
            <w:tcMar>
              <w:top w:w="50" w:type="dxa"/>
              <w:bottom w:w="50" w:type="dxa"/>
              <w:left w:w="90" w:type="dxa"/>
              <w:right w:w="90" w:type="dxa"/>
            </w:tcMar>
          </w:tcPr>
          <w:p>
            <w:pPr>
              <w:pStyle w:val="BDOITable"/>
            </w:pPr>
            <w:r>
              <w:rPr>
                <w:sz w:val="16"/>
              </w:rPr>
              <w:t>Detect accounts exceeding acceptance or coverage limits</w:t>
            </w:r>
          </w:p>
        </w:tc>
        <w:tc>
          <w:tcPr>
            <w:tcW w:type="dxa" w:w="1953"/>
            <w:tcMar>
              <w:top w:w="50" w:type="dxa"/>
              <w:bottom w:w="50" w:type="dxa"/>
              <w:left w:w="90" w:type="dxa"/>
              <w:right w:w="90" w:type="dxa"/>
            </w:tcMar>
          </w:tcPr>
          <w:p>
            <w:pPr>
              <w:pStyle w:val="BDOITable"/>
            </w:pPr>
            <w:r>
              <w:rPr>
                <w:sz w:val="16"/>
              </w:rPr>
              <w:t>BRIDSP-20</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FR-SP-051</w:t>
            </w:r>
          </w:p>
        </w:tc>
        <w:tc>
          <w:tcPr>
            <w:tcW w:type="dxa" w:w="3804"/>
            <w:tcMar>
              <w:top w:w="50" w:type="dxa"/>
              <w:bottom w:w="50" w:type="dxa"/>
              <w:left w:w="90" w:type="dxa"/>
              <w:right w:w="90" w:type="dxa"/>
            </w:tcMar>
            <w:shd w:val="clear" w:color="auto" w:fill="E5F5FF"/>
          </w:tcPr>
          <w:p>
            <w:pPr>
              <w:pStyle w:val="BDOITable"/>
            </w:pPr>
            <w:r>
              <w:rPr>
                <w:sz w:val="16"/>
              </w:rPr>
              <w:t>Generate the Terms of Reference</w:t>
            </w:r>
          </w:p>
        </w:tc>
        <w:tc>
          <w:tcPr>
            <w:tcW w:type="dxa" w:w="1953"/>
            <w:tcMar>
              <w:top w:w="50" w:type="dxa"/>
              <w:bottom w:w="50" w:type="dxa"/>
              <w:left w:w="90" w:type="dxa"/>
              <w:right w:w="90" w:type="dxa"/>
            </w:tcMar>
            <w:shd w:val="clear" w:color="auto" w:fill="E5F5FF"/>
          </w:tcPr>
          <w:p>
            <w:pPr>
              <w:pStyle w:val="BDOITable"/>
            </w:pPr>
            <w:r>
              <w:rPr>
                <w:sz w:val="16"/>
              </w:rPr>
              <w:t>BRIDSP-21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FR-SP-052</w:t>
            </w:r>
          </w:p>
        </w:tc>
        <w:tc>
          <w:tcPr>
            <w:tcW w:type="dxa" w:w="3804"/>
            <w:tcMar>
              <w:top w:w="50" w:type="dxa"/>
              <w:bottom w:w="50" w:type="dxa"/>
              <w:left w:w="90" w:type="dxa"/>
              <w:right w:w="90" w:type="dxa"/>
            </w:tcMar>
          </w:tcPr>
          <w:p>
            <w:pPr>
              <w:pStyle w:val="BDOITable"/>
            </w:pPr>
            <w:r>
              <w:rPr>
                <w:sz w:val="16"/>
              </w:rPr>
              <w:t>Route the TOR for approval per the TSU Approval Matrix</w:t>
            </w:r>
          </w:p>
        </w:tc>
        <w:tc>
          <w:tcPr>
            <w:tcW w:type="dxa" w:w="1953"/>
            <w:tcMar>
              <w:top w:w="50" w:type="dxa"/>
              <w:bottom w:w="50" w:type="dxa"/>
              <w:left w:w="90" w:type="dxa"/>
              <w:right w:w="90" w:type="dxa"/>
            </w:tcMar>
          </w:tcPr>
          <w:p>
            <w:pPr>
              <w:pStyle w:val="BDOITable"/>
            </w:pPr>
            <w:r>
              <w:rPr>
                <w:sz w:val="16"/>
              </w:rPr>
              <w:t>BRIDSP-22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FR-SP-053</w:t>
            </w:r>
          </w:p>
        </w:tc>
        <w:tc>
          <w:tcPr>
            <w:tcW w:type="dxa" w:w="3804"/>
            <w:tcMar>
              <w:top w:w="50" w:type="dxa"/>
              <w:bottom w:w="50" w:type="dxa"/>
              <w:left w:w="90" w:type="dxa"/>
              <w:right w:w="90" w:type="dxa"/>
            </w:tcMar>
            <w:shd w:val="clear" w:color="auto" w:fill="E5F5FF"/>
          </w:tcPr>
          <w:p>
            <w:pPr>
              <w:pStyle w:val="BDOITable"/>
            </w:pPr>
            <w:r>
              <w:rPr>
                <w:sz w:val="16"/>
              </w:rPr>
              <w:t>Hand the approved TOR over to the Account Officer</w:t>
            </w:r>
          </w:p>
        </w:tc>
        <w:tc>
          <w:tcPr>
            <w:tcW w:type="dxa" w:w="1953"/>
            <w:tcMar>
              <w:top w:w="50" w:type="dxa"/>
              <w:bottom w:w="50" w:type="dxa"/>
              <w:left w:w="90" w:type="dxa"/>
              <w:right w:w="90" w:type="dxa"/>
            </w:tcMar>
            <w:shd w:val="clear" w:color="auto" w:fill="E5F5FF"/>
          </w:tcPr>
          <w:p>
            <w:pPr>
              <w:pStyle w:val="BDOITable"/>
            </w:pPr>
            <w:r>
              <w:rPr>
                <w:sz w:val="16"/>
              </w:rPr>
              <w:t>BRIDSP-23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FR-SP-060</w:t>
            </w:r>
          </w:p>
        </w:tc>
        <w:tc>
          <w:tcPr>
            <w:tcW w:type="dxa" w:w="3804"/>
            <w:tcMar>
              <w:top w:w="50" w:type="dxa"/>
              <w:bottom w:w="50" w:type="dxa"/>
              <w:left w:w="90" w:type="dxa"/>
              <w:right w:w="90" w:type="dxa"/>
            </w:tcMar>
          </w:tcPr>
          <w:p>
            <w:pPr>
              <w:pStyle w:val="BDOITable"/>
            </w:pPr>
            <w:r>
              <w:rPr>
                <w:sz w:val="16"/>
              </w:rPr>
              <w:t>Detect expiring policies and hand them to Renewal</w:t>
            </w:r>
          </w:p>
        </w:tc>
        <w:tc>
          <w:tcPr>
            <w:tcW w:type="dxa" w:w="1953"/>
            <w:tcMar>
              <w:top w:w="50" w:type="dxa"/>
              <w:bottom w:w="50" w:type="dxa"/>
              <w:left w:w="90" w:type="dxa"/>
              <w:right w:w="90" w:type="dxa"/>
            </w:tcMar>
          </w:tcPr>
          <w:p>
            <w:pPr>
              <w:pStyle w:val="BDOITable"/>
            </w:pPr>
            <w:r>
              <w:rPr>
                <w:sz w:val="16"/>
              </w:rPr>
              <w:t>BRIDSP-27</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FR-SP-061</w:t>
            </w:r>
          </w:p>
        </w:tc>
        <w:tc>
          <w:tcPr>
            <w:tcW w:type="dxa" w:w="3804"/>
            <w:tcMar>
              <w:top w:w="50" w:type="dxa"/>
              <w:bottom w:w="50" w:type="dxa"/>
              <w:left w:w="90" w:type="dxa"/>
              <w:right w:w="90" w:type="dxa"/>
            </w:tcMar>
            <w:shd w:val="clear" w:color="auto" w:fill="E5F5FF"/>
          </w:tcPr>
          <w:p>
            <w:pPr>
              <w:pStyle w:val="BDOITable"/>
            </w:pPr>
            <w:r>
              <w:rPr>
                <w:sz w:val="16"/>
              </w:rPr>
              <w:t>List the policies subject for renewal</w:t>
            </w:r>
          </w:p>
        </w:tc>
        <w:tc>
          <w:tcPr>
            <w:tcW w:type="dxa" w:w="1953"/>
            <w:tcMar>
              <w:top w:w="50" w:type="dxa"/>
              <w:bottom w:w="50" w:type="dxa"/>
              <w:left w:w="90" w:type="dxa"/>
              <w:right w:w="90" w:type="dxa"/>
            </w:tcMar>
            <w:shd w:val="clear" w:color="auto" w:fill="E5F5FF"/>
          </w:tcPr>
          <w:p>
            <w:pPr>
              <w:pStyle w:val="BDOITable"/>
            </w:pPr>
            <w:r>
              <w:rPr>
                <w:sz w:val="16"/>
              </w:rPr>
              <w:t>BRIDSP-29</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FR-SP-062</w:t>
            </w:r>
          </w:p>
        </w:tc>
        <w:tc>
          <w:tcPr>
            <w:tcW w:type="dxa" w:w="3804"/>
            <w:tcMar>
              <w:top w:w="50" w:type="dxa"/>
              <w:bottom w:w="50" w:type="dxa"/>
              <w:left w:w="90" w:type="dxa"/>
              <w:right w:w="90" w:type="dxa"/>
            </w:tcMar>
          </w:tcPr>
          <w:p>
            <w:pPr>
              <w:pStyle w:val="BDOITable"/>
            </w:pPr>
            <w:r>
              <w:rPr>
                <w:sz w:val="16"/>
              </w:rPr>
              <w:t>Send letters and proposals when the criteria are met</w:t>
            </w:r>
          </w:p>
        </w:tc>
        <w:tc>
          <w:tcPr>
            <w:tcW w:type="dxa" w:w="1953"/>
            <w:tcMar>
              <w:top w:w="50" w:type="dxa"/>
              <w:bottom w:w="50" w:type="dxa"/>
              <w:left w:w="90" w:type="dxa"/>
              <w:right w:w="90" w:type="dxa"/>
            </w:tcMar>
          </w:tcPr>
          <w:p>
            <w:pPr>
              <w:pStyle w:val="BDOITable"/>
            </w:pPr>
            <w:r>
              <w:rPr>
                <w:sz w:val="16"/>
              </w:rPr>
              <w:t>BRIDSP-26</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FR-SP-063</w:t>
            </w:r>
          </w:p>
        </w:tc>
        <w:tc>
          <w:tcPr>
            <w:tcW w:type="dxa" w:w="3804"/>
            <w:tcMar>
              <w:top w:w="50" w:type="dxa"/>
              <w:bottom w:w="50" w:type="dxa"/>
              <w:left w:w="90" w:type="dxa"/>
              <w:right w:w="90" w:type="dxa"/>
            </w:tcMar>
            <w:shd w:val="clear" w:color="auto" w:fill="E5F5FF"/>
          </w:tcPr>
          <w:p>
            <w:pPr>
              <w:pStyle w:val="BDOITable"/>
            </w:pPr>
            <w:r>
              <w:rPr>
                <w:sz w:val="16"/>
              </w:rPr>
              <w:t>Re-assign the insurer while a hold cover request is open</w:t>
            </w:r>
          </w:p>
        </w:tc>
        <w:tc>
          <w:tcPr>
            <w:tcW w:type="dxa" w:w="1953"/>
            <w:tcMar>
              <w:top w:w="50" w:type="dxa"/>
              <w:bottom w:w="50" w:type="dxa"/>
              <w:left w:w="90" w:type="dxa"/>
              <w:right w:w="90" w:type="dxa"/>
            </w:tcMar>
            <w:shd w:val="clear" w:color="auto" w:fill="E5F5FF"/>
          </w:tcPr>
          <w:p>
            <w:pPr>
              <w:pStyle w:val="BDOITable"/>
            </w:pPr>
            <w:r>
              <w:rPr>
                <w:sz w:val="16"/>
              </w:rPr>
              <w:t>BRIDSP-35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FR-SP-064</w:t>
            </w:r>
          </w:p>
        </w:tc>
        <w:tc>
          <w:tcPr>
            <w:tcW w:type="dxa" w:w="3804"/>
            <w:tcMar>
              <w:top w:w="50" w:type="dxa"/>
              <w:bottom w:w="50" w:type="dxa"/>
              <w:left w:w="90" w:type="dxa"/>
              <w:right w:w="90" w:type="dxa"/>
            </w:tcMar>
          </w:tcPr>
          <w:p>
            <w:pPr>
              <w:pStyle w:val="BDOITable"/>
            </w:pPr>
            <w:r>
              <w:rPr>
                <w:sz w:val="16"/>
              </w:rPr>
              <w:t>Process placement of the renewal account</w:t>
            </w:r>
          </w:p>
        </w:tc>
        <w:tc>
          <w:tcPr>
            <w:tcW w:type="dxa" w:w="1953"/>
            <w:tcMar>
              <w:top w:w="50" w:type="dxa"/>
              <w:bottom w:w="50" w:type="dxa"/>
              <w:left w:w="90" w:type="dxa"/>
              <w:right w:w="90" w:type="dxa"/>
            </w:tcMar>
          </w:tcPr>
          <w:p>
            <w:pPr>
              <w:pStyle w:val="BDOITable"/>
            </w:pPr>
            <w:r>
              <w:rPr>
                <w:sz w:val="16"/>
              </w:rPr>
              <w:t>BRIDSP-30</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FR-SP-065</w:t>
            </w:r>
          </w:p>
        </w:tc>
        <w:tc>
          <w:tcPr>
            <w:tcW w:type="dxa" w:w="3804"/>
            <w:tcMar>
              <w:top w:w="50" w:type="dxa"/>
              <w:bottom w:w="50" w:type="dxa"/>
              <w:left w:w="90" w:type="dxa"/>
              <w:right w:w="90" w:type="dxa"/>
            </w:tcMar>
            <w:shd w:val="clear" w:color="auto" w:fill="E5F5FF"/>
          </w:tcPr>
          <w:p>
            <w:pPr>
              <w:pStyle w:val="BDOITable"/>
            </w:pPr>
            <w:r>
              <w:rPr>
                <w:sz w:val="16"/>
              </w:rPr>
              <w:t>Show the booked status in the masterlist</w:t>
            </w:r>
          </w:p>
        </w:tc>
        <w:tc>
          <w:tcPr>
            <w:tcW w:type="dxa" w:w="1953"/>
            <w:tcMar>
              <w:top w:w="50" w:type="dxa"/>
              <w:bottom w:w="50" w:type="dxa"/>
              <w:left w:w="90" w:type="dxa"/>
              <w:right w:w="90" w:type="dxa"/>
            </w:tcMar>
            <w:shd w:val="clear" w:color="auto" w:fill="E5F5FF"/>
          </w:tcPr>
          <w:p>
            <w:pPr>
              <w:pStyle w:val="BDOITable"/>
            </w:pPr>
            <w:r>
              <w:rPr>
                <w:sz w:val="16"/>
              </w:rPr>
              <w:t>BRIDSP-31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FR-SP-066</w:t>
            </w:r>
          </w:p>
        </w:tc>
        <w:tc>
          <w:tcPr>
            <w:tcW w:type="dxa" w:w="3804"/>
            <w:tcMar>
              <w:top w:w="50" w:type="dxa"/>
              <w:bottom w:w="50" w:type="dxa"/>
              <w:left w:w="90" w:type="dxa"/>
              <w:right w:w="90" w:type="dxa"/>
            </w:tcMar>
          </w:tcPr>
          <w:p>
            <w:pPr>
              <w:pStyle w:val="BDOITable"/>
            </w:pPr>
            <w:r>
              <w:rPr>
                <w:sz w:val="16"/>
              </w:rPr>
              <w:t>Create individual or batch proposals with nominated package rates</w:t>
            </w:r>
          </w:p>
        </w:tc>
        <w:tc>
          <w:tcPr>
            <w:tcW w:type="dxa" w:w="1953"/>
            <w:tcMar>
              <w:top w:w="50" w:type="dxa"/>
              <w:bottom w:w="50" w:type="dxa"/>
              <w:left w:w="90" w:type="dxa"/>
              <w:right w:w="90" w:type="dxa"/>
            </w:tcMar>
          </w:tcPr>
          <w:p>
            <w:pPr>
              <w:pStyle w:val="BDOITable"/>
            </w:pPr>
            <w:r>
              <w:rPr>
                <w:sz w:val="16"/>
              </w:rPr>
              <w:t>BRIDSP-18</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FR-SP-067</w:t>
            </w:r>
          </w:p>
        </w:tc>
        <w:tc>
          <w:tcPr>
            <w:tcW w:type="dxa" w:w="3804"/>
            <w:tcMar>
              <w:top w:w="50" w:type="dxa"/>
              <w:bottom w:w="50" w:type="dxa"/>
              <w:left w:w="90" w:type="dxa"/>
              <w:right w:w="90" w:type="dxa"/>
            </w:tcMar>
            <w:shd w:val="clear" w:color="auto" w:fill="E5F5FF"/>
          </w:tcPr>
          <w:p>
            <w:pPr>
              <w:pStyle w:val="BDOITable"/>
            </w:pPr>
            <w:r>
              <w:rPr>
                <w:sz w:val="16"/>
              </w:rPr>
              <w:t>Assign proposals to a preferred accredited insurer</w:t>
            </w:r>
          </w:p>
        </w:tc>
        <w:tc>
          <w:tcPr>
            <w:tcW w:type="dxa" w:w="1953"/>
            <w:tcMar>
              <w:top w:w="50" w:type="dxa"/>
              <w:bottom w:w="50" w:type="dxa"/>
              <w:left w:w="90" w:type="dxa"/>
              <w:right w:w="90" w:type="dxa"/>
            </w:tcMar>
            <w:shd w:val="clear" w:color="auto" w:fill="E5F5FF"/>
          </w:tcPr>
          <w:p>
            <w:pPr>
              <w:pStyle w:val="BDOITable"/>
            </w:pPr>
            <w:r>
              <w:rPr>
                <w:sz w:val="16"/>
              </w:rPr>
              <w:t>BRIDSP-19</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FR-SP-070</w:t>
            </w:r>
          </w:p>
        </w:tc>
        <w:tc>
          <w:tcPr>
            <w:tcW w:type="dxa" w:w="3804"/>
            <w:tcMar>
              <w:top w:w="50" w:type="dxa"/>
              <w:bottom w:w="50" w:type="dxa"/>
              <w:left w:w="90" w:type="dxa"/>
              <w:right w:w="90" w:type="dxa"/>
            </w:tcMar>
          </w:tcPr>
          <w:p>
            <w:pPr>
              <w:pStyle w:val="BDOITable"/>
            </w:pPr>
            <w:r>
              <w:rPr>
                <w:sz w:val="16"/>
              </w:rPr>
              <w:t>Tag handling-fee payments in the Unapplied Payment List</w:t>
            </w:r>
          </w:p>
        </w:tc>
        <w:tc>
          <w:tcPr>
            <w:tcW w:type="dxa" w:w="1953"/>
            <w:tcMar>
              <w:top w:w="50" w:type="dxa"/>
              <w:bottom w:w="50" w:type="dxa"/>
              <w:left w:w="90" w:type="dxa"/>
              <w:right w:w="90" w:type="dxa"/>
            </w:tcMar>
          </w:tcPr>
          <w:p>
            <w:pPr>
              <w:pStyle w:val="BDOITable"/>
            </w:pPr>
            <w:r>
              <w:rPr>
                <w:sz w:val="16"/>
              </w:rPr>
              <w:t>BRIDSP-34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FR-SP-080</w:t>
            </w:r>
          </w:p>
        </w:tc>
        <w:tc>
          <w:tcPr>
            <w:tcW w:type="dxa" w:w="3804"/>
            <w:tcMar>
              <w:top w:w="50" w:type="dxa"/>
              <w:bottom w:w="50" w:type="dxa"/>
              <w:left w:w="90" w:type="dxa"/>
              <w:right w:w="90" w:type="dxa"/>
            </w:tcMar>
            <w:shd w:val="clear" w:color="auto" w:fill="E5F5FF"/>
          </w:tcPr>
          <w:p>
            <w:pPr>
              <w:pStyle w:val="BDOITable"/>
            </w:pPr>
            <w:r>
              <w:rPr>
                <w:sz w:val="16"/>
              </w:rPr>
              <w:t>Generate Submitted Policies reports</w:t>
            </w:r>
          </w:p>
        </w:tc>
        <w:tc>
          <w:tcPr>
            <w:tcW w:type="dxa" w:w="1953"/>
            <w:tcMar>
              <w:top w:w="50" w:type="dxa"/>
              <w:bottom w:w="50" w:type="dxa"/>
              <w:left w:w="90" w:type="dxa"/>
              <w:right w:w="90" w:type="dxa"/>
            </w:tcMar>
            <w:shd w:val="clear" w:color="auto" w:fill="E5F5FF"/>
          </w:tcPr>
          <w:p>
            <w:pPr>
              <w:pStyle w:val="BDOITable"/>
            </w:pPr>
            <w:r>
              <w:rPr>
                <w:sz w:val="16"/>
              </w:rPr>
              <w:t>BRIDSP-24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FR-SP-081</w:t>
            </w:r>
          </w:p>
        </w:tc>
        <w:tc>
          <w:tcPr>
            <w:tcW w:type="dxa" w:w="3804"/>
            <w:tcMar>
              <w:top w:w="50" w:type="dxa"/>
              <w:bottom w:w="50" w:type="dxa"/>
              <w:left w:w="90" w:type="dxa"/>
              <w:right w:w="90" w:type="dxa"/>
            </w:tcMar>
          </w:tcPr>
          <w:p>
            <w:pPr>
              <w:pStyle w:val="BDOITable"/>
            </w:pPr>
            <w:r>
              <w:rPr>
                <w:sz w:val="16"/>
              </w:rPr>
              <w:t>View, download and print reports in several formats</w:t>
            </w:r>
          </w:p>
        </w:tc>
        <w:tc>
          <w:tcPr>
            <w:tcW w:type="dxa" w:w="1953"/>
            <w:tcMar>
              <w:top w:w="50" w:type="dxa"/>
              <w:bottom w:w="50" w:type="dxa"/>
              <w:left w:w="90" w:type="dxa"/>
              <w:right w:w="90" w:type="dxa"/>
            </w:tcMar>
          </w:tcPr>
          <w:p>
            <w:pPr>
              <w:pStyle w:val="BDOITable"/>
            </w:pPr>
            <w:r>
              <w:rPr>
                <w:sz w:val="16"/>
              </w:rPr>
              <w:t>BRIDSP-25</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FR-SP-082</w:t>
            </w:r>
          </w:p>
        </w:tc>
        <w:tc>
          <w:tcPr>
            <w:tcW w:type="dxa" w:w="3804"/>
            <w:tcMar>
              <w:top w:w="50" w:type="dxa"/>
              <w:bottom w:w="50" w:type="dxa"/>
              <w:left w:w="90" w:type="dxa"/>
              <w:right w:w="90" w:type="dxa"/>
            </w:tcMar>
            <w:shd w:val="clear" w:color="auto" w:fill="E5F5FF"/>
          </w:tcPr>
          <w:p>
            <w:pPr>
              <w:pStyle w:val="BDOITable"/>
            </w:pPr>
            <w:r>
              <w:rPr>
                <w:sz w:val="16"/>
              </w:rPr>
              <w:t>Send notifications and alerts for key events</w:t>
            </w:r>
          </w:p>
        </w:tc>
        <w:tc>
          <w:tcPr>
            <w:tcW w:type="dxa" w:w="1953"/>
            <w:tcMar>
              <w:top w:w="50" w:type="dxa"/>
              <w:bottom w:w="50" w:type="dxa"/>
              <w:left w:w="90" w:type="dxa"/>
              <w:right w:w="90" w:type="dxa"/>
            </w:tcMar>
            <w:shd w:val="clear" w:color="auto" w:fill="E5F5FF"/>
          </w:tcPr>
          <w:p>
            <w:pPr>
              <w:pStyle w:val="BDOITable"/>
            </w:pPr>
            <w:r>
              <w:rPr>
                <w:sz w:val="16"/>
              </w:rPr>
              <w:t>BRIDSP-28</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FR-SP-083</w:t>
            </w:r>
          </w:p>
        </w:tc>
        <w:tc>
          <w:tcPr>
            <w:tcW w:type="dxa" w:w="3804"/>
            <w:tcMar>
              <w:top w:w="50" w:type="dxa"/>
              <w:bottom w:w="50" w:type="dxa"/>
              <w:left w:w="90" w:type="dxa"/>
              <w:right w:w="90" w:type="dxa"/>
            </w:tcMar>
          </w:tcPr>
          <w:p>
            <w:pPr>
              <w:pStyle w:val="BDOITable"/>
            </w:pPr>
            <w:r>
              <w:rPr>
                <w:sz w:val="16"/>
              </w:rPr>
              <w:t>Report the expiring accounts of a month and the active loans without an active policy</w:t>
            </w:r>
          </w:p>
        </w:tc>
        <w:tc>
          <w:tcPr>
            <w:tcW w:type="dxa" w:w="1953"/>
            <w:tcMar>
              <w:top w:w="50" w:type="dxa"/>
              <w:bottom w:w="50" w:type="dxa"/>
              <w:left w:w="90" w:type="dxa"/>
              <w:right w:w="90" w:type="dxa"/>
            </w:tcMar>
          </w:tcPr>
          <w:p>
            <w:pPr>
              <w:pStyle w:val="BDOITable"/>
            </w:pPr>
            <w:r>
              <w:rPr>
                <w:sz w:val="16"/>
              </w:rPr>
              <w:t>BRIDSP-03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BRIDSP-01</w:t>
            </w:r>
          </w:p>
        </w:tc>
        <w:tc>
          <w:tcPr>
            <w:tcW w:type="dxa" w:w="4638"/>
            <w:tcMar>
              <w:top w:w="50" w:type="dxa"/>
              <w:bottom w:w="50" w:type="dxa"/>
              <w:left w:w="90" w:type="dxa"/>
              <w:right w:w="90" w:type="dxa"/>
            </w:tcMar>
          </w:tcPr>
          <w:p>
            <w:pPr>
              <w:pStyle w:val="BDOITable"/>
            </w:pPr>
            <w:r>
              <w:rPr>
                <w:sz w:val="16"/>
              </w:rPr>
              <w:t>FR-SP-001</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BRIDSP-02</w:t>
            </w:r>
          </w:p>
        </w:tc>
        <w:tc>
          <w:tcPr>
            <w:tcW w:type="dxa" w:w="4638"/>
            <w:tcMar>
              <w:top w:w="50" w:type="dxa"/>
              <w:bottom w:w="50" w:type="dxa"/>
              <w:left w:w="90" w:type="dxa"/>
              <w:right w:w="90" w:type="dxa"/>
            </w:tcMar>
            <w:shd w:val="clear" w:color="auto" w:fill="E5F5FF"/>
          </w:tcPr>
          <w:p>
            <w:pPr>
              <w:pStyle w:val="BDOITable"/>
            </w:pPr>
            <w:r>
              <w:rPr>
                <w:sz w:val="16"/>
              </w:rPr>
              <w:t>FR-SP-035</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BRIDSP-03</w:t>
            </w:r>
          </w:p>
        </w:tc>
        <w:tc>
          <w:tcPr>
            <w:tcW w:type="dxa" w:w="4638"/>
            <w:tcMar>
              <w:top w:w="50" w:type="dxa"/>
              <w:bottom w:w="50" w:type="dxa"/>
              <w:left w:w="90" w:type="dxa"/>
              <w:right w:w="90" w:type="dxa"/>
            </w:tcMar>
          </w:tcPr>
          <w:p>
            <w:pPr>
              <w:pStyle w:val="BDOITable"/>
            </w:pPr>
            <w:r>
              <w:rPr>
                <w:sz w:val="16"/>
              </w:rPr>
              <w:t>FR-SP-083</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BRIDSP-04</w:t>
            </w:r>
          </w:p>
        </w:tc>
        <w:tc>
          <w:tcPr>
            <w:tcW w:type="dxa" w:w="4638"/>
            <w:tcMar>
              <w:top w:w="50" w:type="dxa"/>
              <w:bottom w:w="50" w:type="dxa"/>
              <w:left w:w="90" w:type="dxa"/>
              <w:right w:w="90" w:type="dxa"/>
            </w:tcMar>
            <w:shd w:val="clear" w:color="auto" w:fill="E5F5FF"/>
          </w:tcPr>
          <w:p>
            <w:pPr>
              <w:pStyle w:val="BDOITable"/>
            </w:pPr>
            <w:r>
              <w:rPr>
                <w:sz w:val="16"/>
              </w:rPr>
              <w:t>FR-SP-002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BRIDSP-05</w:t>
            </w:r>
          </w:p>
        </w:tc>
        <w:tc>
          <w:tcPr>
            <w:tcW w:type="dxa" w:w="4638"/>
            <w:tcMar>
              <w:top w:w="50" w:type="dxa"/>
              <w:bottom w:w="50" w:type="dxa"/>
              <w:left w:w="90" w:type="dxa"/>
              <w:right w:w="90" w:type="dxa"/>
            </w:tcMar>
          </w:tcPr>
          <w:p>
            <w:pPr>
              <w:pStyle w:val="BDOITable"/>
            </w:pPr>
            <w:r>
              <w:rPr>
                <w:sz w:val="16"/>
              </w:rPr>
              <w:t>FR-SP-003</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BRIDSP-06</w:t>
            </w:r>
          </w:p>
        </w:tc>
        <w:tc>
          <w:tcPr>
            <w:tcW w:type="dxa" w:w="4638"/>
            <w:tcMar>
              <w:top w:w="50" w:type="dxa"/>
              <w:bottom w:w="50" w:type="dxa"/>
              <w:left w:w="90" w:type="dxa"/>
              <w:right w:w="90" w:type="dxa"/>
            </w:tcMar>
            <w:shd w:val="clear" w:color="auto" w:fill="E5F5FF"/>
          </w:tcPr>
          <w:p>
            <w:pPr>
              <w:pStyle w:val="BDOITable"/>
            </w:pPr>
            <w:r>
              <w:rPr>
                <w:sz w:val="16"/>
              </w:rPr>
              <w:t>FR-SP-010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BRIDSP-07</w:t>
            </w:r>
          </w:p>
        </w:tc>
        <w:tc>
          <w:tcPr>
            <w:tcW w:type="dxa" w:w="4638"/>
            <w:tcMar>
              <w:top w:w="50" w:type="dxa"/>
              <w:bottom w:w="50" w:type="dxa"/>
              <w:left w:w="90" w:type="dxa"/>
              <w:right w:w="90" w:type="dxa"/>
            </w:tcMar>
          </w:tcPr>
          <w:p>
            <w:pPr>
              <w:pStyle w:val="BDOITable"/>
            </w:pPr>
            <w:r>
              <w:rPr>
                <w:sz w:val="16"/>
              </w:rPr>
              <w:t>FR-SP-040</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BRIDSP-08</w:t>
            </w:r>
          </w:p>
        </w:tc>
        <w:tc>
          <w:tcPr>
            <w:tcW w:type="dxa" w:w="4638"/>
            <w:tcMar>
              <w:top w:w="50" w:type="dxa"/>
              <w:bottom w:w="50" w:type="dxa"/>
              <w:left w:w="90" w:type="dxa"/>
              <w:right w:w="90" w:type="dxa"/>
            </w:tcMar>
            <w:shd w:val="clear" w:color="auto" w:fill="E5F5FF"/>
          </w:tcPr>
          <w:p>
            <w:pPr>
              <w:pStyle w:val="BDOITable"/>
            </w:pPr>
            <w:r>
              <w:rPr>
                <w:sz w:val="16"/>
              </w:rPr>
              <w:t>FR-SP-040</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BRIDSP-09</w:t>
            </w:r>
          </w:p>
        </w:tc>
        <w:tc>
          <w:tcPr>
            <w:tcW w:type="dxa" w:w="4638"/>
            <w:tcMar>
              <w:top w:w="50" w:type="dxa"/>
              <w:bottom w:w="50" w:type="dxa"/>
              <w:left w:w="90" w:type="dxa"/>
              <w:right w:w="90" w:type="dxa"/>
            </w:tcMar>
          </w:tcPr>
          <w:p>
            <w:pPr>
              <w:pStyle w:val="BDOITable"/>
            </w:pPr>
            <w:r>
              <w:rPr>
                <w:sz w:val="16"/>
              </w:rPr>
              <w:t>FR-SP-041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BRIDSP-10</w:t>
            </w:r>
          </w:p>
        </w:tc>
        <w:tc>
          <w:tcPr>
            <w:tcW w:type="dxa" w:w="4638"/>
            <w:tcMar>
              <w:top w:w="50" w:type="dxa"/>
              <w:bottom w:w="50" w:type="dxa"/>
              <w:left w:w="90" w:type="dxa"/>
              <w:right w:w="90" w:type="dxa"/>
            </w:tcMar>
            <w:shd w:val="clear" w:color="auto" w:fill="E5F5FF"/>
          </w:tcPr>
          <w:p>
            <w:pPr>
              <w:pStyle w:val="BDOITable"/>
            </w:pPr>
            <w:r>
              <w:rPr>
                <w:sz w:val="16"/>
              </w:rPr>
              <w:t>FR-SP-020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BRIDSP-11</w:t>
            </w:r>
          </w:p>
        </w:tc>
        <w:tc>
          <w:tcPr>
            <w:tcW w:type="dxa" w:w="4638"/>
            <w:tcMar>
              <w:top w:w="50" w:type="dxa"/>
              <w:bottom w:w="50" w:type="dxa"/>
              <w:left w:w="90" w:type="dxa"/>
              <w:right w:w="90" w:type="dxa"/>
            </w:tcMar>
          </w:tcPr>
          <w:p>
            <w:pPr>
              <w:pStyle w:val="BDOITable"/>
            </w:pPr>
            <w:r>
              <w:rPr>
                <w:sz w:val="16"/>
              </w:rPr>
              <w:t>FR-SP-021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BRIDSP-12</w:t>
            </w:r>
          </w:p>
        </w:tc>
        <w:tc>
          <w:tcPr>
            <w:tcW w:type="dxa" w:w="4638"/>
            <w:tcMar>
              <w:top w:w="50" w:type="dxa"/>
              <w:bottom w:w="50" w:type="dxa"/>
              <w:left w:w="90" w:type="dxa"/>
              <w:right w:w="90" w:type="dxa"/>
            </w:tcMar>
            <w:shd w:val="clear" w:color="auto" w:fill="E5F5FF"/>
          </w:tcPr>
          <w:p>
            <w:pPr>
              <w:pStyle w:val="BDOITable"/>
            </w:pPr>
            <w:r>
              <w:rPr>
                <w:sz w:val="16"/>
              </w:rPr>
              <w:t>FR-SP-022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BRIDSP-13</w:t>
            </w:r>
          </w:p>
        </w:tc>
        <w:tc>
          <w:tcPr>
            <w:tcW w:type="dxa" w:w="4638"/>
            <w:tcMar>
              <w:top w:w="50" w:type="dxa"/>
              <w:bottom w:w="50" w:type="dxa"/>
              <w:left w:w="90" w:type="dxa"/>
              <w:right w:w="90" w:type="dxa"/>
            </w:tcMar>
          </w:tcPr>
          <w:p>
            <w:pPr>
              <w:pStyle w:val="BDOITable"/>
            </w:pPr>
            <w:r>
              <w:rPr>
                <w:sz w:val="16"/>
              </w:rPr>
              <w:t>FR-SP-030</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BRIDSP-14</w:t>
            </w:r>
          </w:p>
        </w:tc>
        <w:tc>
          <w:tcPr>
            <w:tcW w:type="dxa" w:w="4638"/>
            <w:tcMar>
              <w:top w:w="50" w:type="dxa"/>
              <w:bottom w:w="50" w:type="dxa"/>
              <w:left w:w="90" w:type="dxa"/>
              <w:right w:w="90" w:type="dxa"/>
            </w:tcMar>
            <w:shd w:val="clear" w:color="auto" w:fill="E5F5FF"/>
          </w:tcPr>
          <w:p>
            <w:pPr>
              <w:pStyle w:val="BDOITable"/>
            </w:pPr>
            <w:r>
              <w:rPr>
                <w:sz w:val="16"/>
              </w:rPr>
              <w:t>FR-SP-031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BRIDSP-15</w:t>
            </w:r>
          </w:p>
        </w:tc>
        <w:tc>
          <w:tcPr>
            <w:tcW w:type="dxa" w:w="4638"/>
            <w:tcMar>
              <w:top w:w="50" w:type="dxa"/>
              <w:bottom w:w="50" w:type="dxa"/>
              <w:left w:w="90" w:type="dxa"/>
              <w:right w:w="90" w:type="dxa"/>
            </w:tcMar>
          </w:tcPr>
          <w:p>
            <w:pPr>
              <w:pStyle w:val="BDOITable"/>
            </w:pPr>
            <w:r>
              <w:rPr>
                <w:sz w:val="16"/>
              </w:rPr>
              <w:t>FR-SP-032</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BRIDSP-16</w:t>
            </w:r>
          </w:p>
        </w:tc>
        <w:tc>
          <w:tcPr>
            <w:tcW w:type="dxa" w:w="4638"/>
            <w:tcMar>
              <w:top w:w="50" w:type="dxa"/>
              <w:bottom w:w="50" w:type="dxa"/>
              <w:left w:w="90" w:type="dxa"/>
              <w:right w:w="90" w:type="dxa"/>
            </w:tcMar>
            <w:shd w:val="clear" w:color="auto" w:fill="E5F5FF"/>
          </w:tcPr>
          <w:p>
            <w:pPr>
              <w:pStyle w:val="BDOITable"/>
            </w:pPr>
            <w:r>
              <w:rPr>
                <w:sz w:val="16"/>
              </w:rPr>
              <w:t>FR-SP-033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BRIDSP-17</w:t>
            </w:r>
          </w:p>
        </w:tc>
        <w:tc>
          <w:tcPr>
            <w:tcW w:type="dxa" w:w="4638"/>
            <w:tcMar>
              <w:top w:w="50" w:type="dxa"/>
              <w:bottom w:w="50" w:type="dxa"/>
              <w:left w:w="90" w:type="dxa"/>
              <w:right w:w="90" w:type="dxa"/>
            </w:tcMar>
          </w:tcPr>
          <w:p>
            <w:pPr>
              <w:pStyle w:val="BDOITable"/>
            </w:pPr>
            <w:r>
              <w:rPr>
                <w:sz w:val="16"/>
              </w:rPr>
              <w:t>FR-SP-034</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BRIDSP-18</w:t>
            </w:r>
          </w:p>
        </w:tc>
        <w:tc>
          <w:tcPr>
            <w:tcW w:type="dxa" w:w="4638"/>
            <w:tcMar>
              <w:top w:w="50" w:type="dxa"/>
              <w:bottom w:w="50" w:type="dxa"/>
              <w:left w:w="90" w:type="dxa"/>
              <w:right w:w="90" w:type="dxa"/>
            </w:tcMar>
            <w:shd w:val="clear" w:color="auto" w:fill="E5F5FF"/>
          </w:tcPr>
          <w:p>
            <w:pPr>
              <w:pStyle w:val="BDOITable"/>
            </w:pPr>
            <w:r>
              <w:rPr>
                <w:sz w:val="16"/>
              </w:rPr>
              <w:t>FR-SP-066</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BRIDSP-19</w:t>
            </w:r>
          </w:p>
        </w:tc>
        <w:tc>
          <w:tcPr>
            <w:tcW w:type="dxa" w:w="4638"/>
            <w:tcMar>
              <w:top w:w="50" w:type="dxa"/>
              <w:bottom w:w="50" w:type="dxa"/>
              <w:left w:w="90" w:type="dxa"/>
              <w:right w:w="90" w:type="dxa"/>
            </w:tcMar>
          </w:tcPr>
          <w:p>
            <w:pPr>
              <w:pStyle w:val="BDOITable"/>
            </w:pPr>
            <w:r>
              <w:rPr>
                <w:sz w:val="16"/>
              </w:rPr>
              <w:t>FR-SP-067</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BRIDSP-20</w:t>
            </w:r>
          </w:p>
        </w:tc>
        <w:tc>
          <w:tcPr>
            <w:tcW w:type="dxa" w:w="4638"/>
            <w:tcMar>
              <w:top w:w="50" w:type="dxa"/>
              <w:bottom w:w="50" w:type="dxa"/>
              <w:left w:w="90" w:type="dxa"/>
              <w:right w:w="90" w:type="dxa"/>
            </w:tcMar>
            <w:shd w:val="clear" w:color="auto" w:fill="E5F5FF"/>
          </w:tcPr>
          <w:p>
            <w:pPr>
              <w:pStyle w:val="BDOITable"/>
            </w:pPr>
            <w:r>
              <w:rPr>
                <w:sz w:val="16"/>
              </w:rPr>
              <w:t>FR-SP-050</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BRIDSP-21</w:t>
            </w:r>
          </w:p>
        </w:tc>
        <w:tc>
          <w:tcPr>
            <w:tcW w:type="dxa" w:w="4638"/>
            <w:tcMar>
              <w:top w:w="50" w:type="dxa"/>
              <w:bottom w:w="50" w:type="dxa"/>
              <w:left w:w="90" w:type="dxa"/>
              <w:right w:w="90" w:type="dxa"/>
            </w:tcMar>
          </w:tcPr>
          <w:p>
            <w:pPr>
              <w:pStyle w:val="BDOITable"/>
            </w:pPr>
            <w:r>
              <w:rPr>
                <w:sz w:val="16"/>
              </w:rPr>
              <w:t>FR-SP-051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BRIDSP-22</w:t>
            </w:r>
          </w:p>
        </w:tc>
        <w:tc>
          <w:tcPr>
            <w:tcW w:type="dxa" w:w="4638"/>
            <w:tcMar>
              <w:top w:w="50" w:type="dxa"/>
              <w:bottom w:w="50" w:type="dxa"/>
              <w:left w:w="90" w:type="dxa"/>
              <w:right w:w="90" w:type="dxa"/>
            </w:tcMar>
            <w:shd w:val="clear" w:color="auto" w:fill="E5F5FF"/>
          </w:tcPr>
          <w:p>
            <w:pPr>
              <w:pStyle w:val="BDOITable"/>
            </w:pPr>
            <w:r>
              <w:rPr>
                <w:sz w:val="16"/>
              </w:rPr>
              <w:t>FR-SP-052</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BRIDSP-23</w:t>
            </w:r>
          </w:p>
        </w:tc>
        <w:tc>
          <w:tcPr>
            <w:tcW w:type="dxa" w:w="4638"/>
            <w:tcMar>
              <w:top w:w="50" w:type="dxa"/>
              <w:bottom w:w="50" w:type="dxa"/>
              <w:left w:w="90" w:type="dxa"/>
              <w:right w:w="90" w:type="dxa"/>
            </w:tcMar>
          </w:tcPr>
          <w:p>
            <w:pPr>
              <w:pStyle w:val="BDOITable"/>
            </w:pPr>
            <w:r>
              <w:rPr>
                <w:sz w:val="16"/>
              </w:rPr>
              <w:t>FR-SP-053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BRIDSP-24</w:t>
            </w:r>
          </w:p>
        </w:tc>
        <w:tc>
          <w:tcPr>
            <w:tcW w:type="dxa" w:w="4638"/>
            <w:tcMar>
              <w:top w:w="50" w:type="dxa"/>
              <w:bottom w:w="50" w:type="dxa"/>
              <w:left w:w="90" w:type="dxa"/>
              <w:right w:w="90" w:type="dxa"/>
            </w:tcMar>
            <w:shd w:val="clear" w:color="auto" w:fill="E5F5FF"/>
          </w:tcPr>
          <w:p>
            <w:pPr>
              <w:pStyle w:val="BDOITable"/>
            </w:pPr>
            <w:r>
              <w:rPr>
                <w:sz w:val="16"/>
              </w:rPr>
              <w:t>FR-SP-080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BRIDSP-25</w:t>
            </w:r>
          </w:p>
        </w:tc>
        <w:tc>
          <w:tcPr>
            <w:tcW w:type="dxa" w:w="4638"/>
            <w:tcMar>
              <w:top w:w="50" w:type="dxa"/>
              <w:bottom w:w="50" w:type="dxa"/>
              <w:left w:w="90" w:type="dxa"/>
              <w:right w:w="90" w:type="dxa"/>
            </w:tcMar>
          </w:tcPr>
          <w:p>
            <w:pPr>
              <w:pStyle w:val="BDOITable"/>
            </w:pPr>
            <w:r>
              <w:rPr>
                <w:sz w:val="16"/>
              </w:rPr>
              <w:t>FR-SP-081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BRIDSP-26</w:t>
            </w:r>
          </w:p>
        </w:tc>
        <w:tc>
          <w:tcPr>
            <w:tcW w:type="dxa" w:w="4638"/>
            <w:tcMar>
              <w:top w:w="50" w:type="dxa"/>
              <w:bottom w:w="50" w:type="dxa"/>
              <w:left w:w="90" w:type="dxa"/>
              <w:right w:w="90" w:type="dxa"/>
            </w:tcMar>
            <w:shd w:val="clear" w:color="auto" w:fill="E5F5FF"/>
          </w:tcPr>
          <w:p>
            <w:pPr>
              <w:pStyle w:val="BDOITable"/>
            </w:pPr>
            <w:r>
              <w:rPr>
                <w:sz w:val="16"/>
              </w:rPr>
              <w:t>FR-SP-062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BRIDSP-27</w:t>
            </w:r>
          </w:p>
        </w:tc>
        <w:tc>
          <w:tcPr>
            <w:tcW w:type="dxa" w:w="4638"/>
            <w:tcMar>
              <w:top w:w="50" w:type="dxa"/>
              <w:bottom w:w="50" w:type="dxa"/>
              <w:left w:w="90" w:type="dxa"/>
              <w:right w:w="90" w:type="dxa"/>
            </w:tcMar>
          </w:tcPr>
          <w:p>
            <w:pPr>
              <w:pStyle w:val="BDOITable"/>
            </w:pPr>
            <w:r>
              <w:rPr>
                <w:sz w:val="16"/>
              </w:rPr>
              <w:t>FR-SP-060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BRIDSP-28</w:t>
            </w:r>
          </w:p>
        </w:tc>
        <w:tc>
          <w:tcPr>
            <w:tcW w:type="dxa" w:w="4638"/>
            <w:tcMar>
              <w:top w:w="50" w:type="dxa"/>
              <w:bottom w:w="50" w:type="dxa"/>
              <w:left w:w="90" w:type="dxa"/>
              <w:right w:w="90" w:type="dxa"/>
            </w:tcMar>
            <w:shd w:val="clear" w:color="auto" w:fill="E5F5FF"/>
          </w:tcPr>
          <w:p>
            <w:pPr>
              <w:pStyle w:val="BDOITable"/>
            </w:pPr>
            <w:r>
              <w:rPr>
                <w:sz w:val="16"/>
              </w:rPr>
              <w:t>FR-SP-082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BRIDSP-29</w:t>
            </w:r>
          </w:p>
        </w:tc>
        <w:tc>
          <w:tcPr>
            <w:tcW w:type="dxa" w:w="4638"/>
            <w:tcMar>
              <w:top w:w="50" w:type="dxa"/>
              <w:bottom w:w="50" w:type="dxa"/>
              <w:left w:w="90" w:type="dxa"/>
              <w:right w:w="90" w:type="dxa"/>
            </w:tcMar>
          </w:tcPr>
          <w:p>
            <w:pPr>
              <w:pStyle w:val="BDOITable"/>
            </w:pPr>
            <w:r>
              <w:rPr>
                <w:sz w:val="16"/>
              </w:rPr>
              <w:t>FR-SP-061</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BRIDSP-30</w:t>
            </w:r>
          </w:p>
        </w:tc>
        <w:tc>
          <w:tcPr>
            <w:tcW w:type="dxa" w:w="4638"/>
            <w:tcMar>
              <w:top w:w="50" w:type="dxa"/>
              <w:bottom w:w="50" w:type="dxa"/>
              <w:left w:w="90" w:type="dxa"/>
              <w:right w:w="90" w:type="dxa"/>
            </w:tcMar>
            <w:shd w:val="clear" w:color="auto" w:fill="E5F5FF"/>
          </w:tcPr>
          <w:p>
            <w:pPr>
              <w:pStyle w:val="BDOITable"/>
            </w:pPr>
            <w:r>
              <w:rPr>
                <w:sz w:val="16"/>
              </w:rPr>
              <w:t>FR-SP-064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BRIDSP-31</w:t>
            </w:r>
          </w:p>
        </w:tc>
        <w:tc>
          <w:tcPr>
            <w:tcW w:type="dxa" w:w="4638"/>
            <w:tcMar>
              <w:top w:w="50" w:type="dxa"/>
              <w:bottom w:w="50" w:type="dxa"/>
              <w:left w:w="90" w:type="dxa"/>
              <w:right w:w="90" w:type="dxa"/>
            </w:tcMar>
          </w:tcPr>
          <w:p>
            <w:pPr>
              <w:pStyle w:val="BDOITable"/>
            </w:pPr>
            <w:r>
              <w:rPr>
                <w:sz w:val="16"/>
              </w:rPr>
              <w:t>FR-SP-065</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BRIDSP-32</w:t>
            </w:r>
          </w:p>
        </w:tc>
        <w:tc>
          <w:tcPr>
            <w:tcW w:type="dxa" w:w="4638"/>
            <w:tcMar>
              <w:top w:w="50" w:type="dxa"/>
              <w:bottom w:w="50" w:type="dxa"/>
              <w:left w:w="90" w:type="dxa"/>
              <w:right w:w="90" w:type="dxa"/>
            </w:tcMar>
            <w:shd w:val="clear" w:color="auto" w:fill="E5F5FF"/>
          </w:tcPr>
          <w:p>
            <w:pPr>
              <w:pStyle w:val="BDOITable"/>
            </w:pPr>
            <w:r>
              <w:rPr>
                <w:sz w:val="16"/>
              </w:rPr>
              <w:t>FR-SP-011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BRIDSP-33</w:t>
            </w:r>
          </w:p>
        </w:tc>
        <w:tc>
          <w:tcPr>
            <w:tcW w:type="dxa" w:w="4638"/>
            <w:tcMar>
              <w:top w:w="50" w:type="dxa"/>
              <w:bottom w:w="50" w:type="dxa"/>
              <w:left w:w="90" w:type="dxa"/>
              <w:right w:w="90" w:type="dxa"/>
            </w:tcMar>
          </w:tcPr>
          <w:p>
            <w:pPr>
              <w:pStyle w:val="BDOITable"/>
            </w:pPr>
            <w:r>
              <w:rPr>
                <w:sz w:val="16"/>
              </w:rPr>
              <w:t>FR-SP-012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BRIDSP-34</w:t>
            </w:r>
          </w:p>
        </w:tc>
        <w:tc>
          <w:tcPr>
            <w:tcW w:type="dxa" w:w="4638"/>
            <w:tcMar>
              <w:top w:w="50" w:type="dxa"/>
              <w:bottom w:w="50" w:type="dxa"/>
              <w:left w:w="90" w:type="dxa"/>
              <w:right w:w="90" w:type="dxa"/>
            </w:tcMar>
            <w:shd w:val="clear" w:color="auto" w:fill="E5F5FF"/>
          </w:tcPr>
          <w:p>
            <w:pPr>
              <w:pStyle w:val="BDOITable"/>
            </w:pPr>
            <w:r>
              <w:rPr>
                <w:sz w:val="16"/>
              </w:rPr>
              <w:t>FR-SP-070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BRIDSP-35</w:t>
            </w:r>
          </w:p>
        </w:tc>
        <w:tc>
          <w:tcPr>
            <w:tcW w:type="dxa" w:w="4638"/>
            <w:tcMar>
              <w:top w:w="50" w:type="dxa"/>
              <w:bottom w:w="50" w:type="dxa"/>
              <w:left w:w="90" w:type="dxa"/>
              <w:right w:w="90" w:type="dxa"/>
            </w:tcMar>
          </w:tcPr>
          <w:p>
            <w:pPr>
              <w:pStyle w:val="BDOITable"/>
            </w:pPr>
            <w:r>
              <w:rPr>
                <w:sz w:val="16"/>
              </w:rPr>
              <w:t>FR-SP-063</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BRIDSP-36</w:t>
            </w:r>
          </w:p>
        </w:tc>
        <w:tc>
          <w:tcPr>
            <w:tcW w:type="dxa" w:w="4638"/>
            <w:tcMar>
              <w:top w:w="50" w:type="dxa"/>
              <w:bottom w:w="50" w:type="dxa"/>
              <w:left w:w="90" w:type="dxa"/>
              <w:right w:w="90" w:type="dxa"/>
            </w:tcMar>
            <w:shd w:val="clear" w:color="auto" w:fill="E5F5FF"/>
          </w:tcPr>
          <w:p>
            <w:pPr>
              <w:pStyle w:val="BDOITable"/>
            </w:pPr>
            <w:r>
              <w:rPr>
                <w:sz w:val="16"/>
              </w:rPr>
              <w:t>FR-SP-004</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SC-SP-01</w:t>
            </w:r>
          </w:p>
        </w:tc>
        <w:tc>
          <w:tcPr>
            <w:tcW w:type="dxa" w:w="2464"/>
            <w:tcMar>
              <w:top w:w="50" w:type="dxa"/>
              <w:bottom w:w="50" w:type="dxa"/>
              <w:left w:w="90" w:type="dxa"/>
              <w:right w:w="90" w:type="dxa"/>
            </w:tcMar>
          </w:tcPr>
          <w:p>
            <w:pPr>
              <w:pStyle w:val="BDOITable"/>
            </w:pPr>
            <w:r>
              <w:rPr>
                <w:sz w:val="17"/>
              </w:rPr>
              <w:t>SBM_HANDLER – Submitted Handler</w:t>
            </w:r>
          </w:p>
        </w:tc>
        <w:tc>
          <w:tcPr>
            <w:tcW w:type="dxa" w:w="5631"/>
            <w:tcMar>
              <w:top w:w="50" w:type="dxa"/>
              <w:bottom w:w="50" w:type="dxa"/>
              <w:left w:w="90" w:type="dxa"/>
              <w:right w:w="90" w:type="dxa"/>
            </w:tcMar>
          </w:tcPr>
          <w:p>
            <w:pPr>
              <w:pStyle w:val="BDOITable"/>
            </w:pPr>
            <w:r>
              <w:rPr>
                <w:sz w:val="17"/>
              </w:rPr>
              <w:t>Intake. Handlers upload source files (Excel, CSV, ODS, PDF), create records by hand and migrate the Excel masterlists; extracted policy details are confirmed in Release 2.</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SC-SP-02</w:t>
            </w:r>
          </w:p>
        </w:tc>
        <w:tc>
          <w:tcPr>
            <w:tcW w:type="dxa" w:w="2464"/>
            <w:tcMar>
              <w:top w:w="50" w:type="dxa"/>
              <w:bottom w:w="50" w:type="dxa"/>
              <w:left w:w="90" w:type="dxa"/>
              <w:right w:w="90" w:type="dxa"/>
            </w:tcMar>
            <w:shd w:val="clear" w:color="auto" w:fill="E5F5FF"/>
          </w:tcPr>
          <w:p>
            <w:pPr>
              <w:pStyle w:val="BDOITable"/>
            </w:pPr>
            <w:r>
              <w:rPr>
                <w:sz w:val="17"/>
              </w:rPr>
              <w:t>SBM_HANDLER – Submitted Handler</w:t>
            </w:r>
          </w:p>
        </w:tc>
        <w:tc>
          <w:tcPr>
            <w:tcW w:type="dxa" w:w="5631"/>
            <w:tcMar>
              <w:top w:w="50" w:type="dxa"/>
              <w:bottom w:w="50" w:type="dxa"/>
              <w:left w:w="90" w:type="dxa"/>
              <w:right w:w="90" w:type="dxa"/>
            </w:tcMar>
            <w:shd w:val="clear" w:color="auto" w:fill="E5F5FF"/>
          </w:tcPr>
          <w:p>
            <w:pPr>
              <w:pStyle w:val="BDOITable"/>
            </w:pPr>
            <w:r>
              <w:rPr>
                <w:sz w:val="17"/>
              </w:rPr>
              <w:t>Masterlist. One masterlist with history, handler, conversion status and remarks; each user sees and extracts only the records of the own scope.</w:t>
            </w:r>
          </w:p>
        </w:tc>
        <w:tc>
          <w:tcPr>
            <w:tcW w:type="dxa" w:w="821"/>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1056"/>
            <w:tcMar>
              <w:top w:w="50" w:type="dxa"/>
              <w:bottom w:w="50" w:type="dxa"/>
              <w:left w:w="90" w:type="dxa"/>
              <w:right w:w="90" w:type="dxa"/>
            </w:tcMar>
          </w:tcPr>
          <w:p>
            <w:pPr>
              <w:pStyle w:val="BDOITable"/>
            </w:pPr>
            <w:r>
              <w:rPr>
                <w:sz w:val="17"/>
              </w:rPr>
              <w:t>SC-SP-03</w:t>
            </w:r>
          </w:p>
        </w:tc>
        <w:tc>
          <w:tcPr>
            <w:tcW w:type="dxa" w:w="2464"/>
            <w:tcMar>
              <w:top w:w="50" w:type="dxa"/>
              <w:bottom w:w="50" w:type="dxa"/>
              <w:left w:w="90" w:type="dxa"/>
              <w:right w:w="90" w:type="dxa"/>
            </w:tcMar>
          </w:tcPr>
          <w:p>
            <w:pPr>
              <w:pStyle w:val="BDOITable"/>
            </w:pPr>
            <w:r>
              <w:rPr>
                <w:sz w:val="17"/>
              </w:rPr>
              <w:t>SBM_SANITATION – Sanitation Handler</w:t>
            </w:r>
          </w:p>
        </w:tc>
        <w:tc>
          <w:tcPr>
            <w:tcW w:type="dxa" w:w="5631"/>
            <w:tcMar>
              <w:top w:w="50" w:type="dxa"/>
              <w:bottom w:w="50" w:type="dxa"/>
              <w:left w:w="90" w:type="dxa"/>
              <w:right w:w="90" w:type="dxa"/>
            </w:tcMar>
          </w:tcPr>
          <w:p>
            <w:pPr>
              <w:pStyle w:val="BDOITable"/>
            </w:pPr>
            <w:r>
              <w:rPr>
                <w:sz w:val="17"/>
              </w:rPr>
              <w:t>Rules and processing. Rule sets are approved by a checker; processing runs after intake, on schedule and on demand; fallout is reported and resolved.</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SC-SP-04</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Loan files and classification. Loan files (LAMD, LMS) are matched to the policies automatically; policies are classified Inforced or Submitted, bucketed, excluded or made ready for renewal with the RA template.</w:t>
            </w:r>
          </w:p>
        </w:tc>
        <w:tc>
          <w:tcPr>
            <w:tcW w:type="dxa" w:w="821"/>
            <w:tcMar>
              <w:top w:w="50" w:type="dxa"/>
              <w:bottom w:w="50" w:type="dxa"/>
              <w:left w:w="90" w:type="dxa"/>
              <w:right w:w="90" w:type="dxa"/>
            </w:tcMar>
            <w:shd w:val="clear" w:color="auto" w:fill="E5F5FF"/>
          </w:tcPr>
          <w:p>
            <w:pPr>
              <w:pStyle w:val="BDOITable"/>
            </w:pPr>
            <w:r>
              <w:rPr>
                <w:sz w:val="17"/>
              </w:rPr>
              <w:t>20</w:t>
            </w:r>
          </w:p>
        </w:tc>
      </w:tr>
      <w:tr>
        <w:trPr>
          <w:cantSplit w:val="true"/>
        </w:trPr>
        <w:tc>
          <w:tcPr>
            <w:tcW w:type="dxa" w:w="1056"/>
            <w:tcMar>
              <w:top w:w="50" w:type="dxa"/>
              <w:bottom w:w="50" w:type="dxa"/>
              <w:left w:w="90" w:type="dxa"/>
              <w:right w:w="90" w:type="dxa"/>
            </w:tcMar>
          </w:tcPr>
          <w:p>
            <w:pPr>
              <w:pStyle w:val="BDOITable"/>
            </w:pPr>
            <w:r>
              <w:rPr>
                <w:sz w:val="17"/>
              </w:rPr>
              <w:t>SC-SP-05</w:t>
            </w:r>
          </w:p>
        </w:tc>
        <w:tc>
          <w:tcPr>
            <w:tcW w:type="dxa" w:w="2464"/>
            <w:tcMar>
              <w:top w:w="50" w:type="dxa"/>
              <w:bottom w:w="50" w:type="dxa"/>
              <w:left w:w="90" w:type="dxa"/>
              <w:right w:w="90" w:type="dxa"/>
            </w:tcMar>
          </w:tcPr>
          <w:p>
            <w:pPr>
              <w:pStyle w:val="BDOITable"/>
            </w:pPr>
            <w:r>
              <w:rPr>
                <w:sz w:val="17"/>
              </w:rPr>
              <w:t>SBM_POLICY_REVIEWER – Policy Review Officer</w:t>
            </w:r>
          </w:p>
        </w:tc>
        <w:tc>
          <w:tcPr>
            <w:tcW w:type="dxa" w:w="5631"/>
            <w:tcMar>
              <w:top w:w="50" w:type="dxa"/>
              <w:bottom w:w="50" w:type="dxa"/>
              <w:left w:w="90" w:type="dxa"/>
              <w:right w:w="90" w:type="dxa"/>
            </w:tcMar>
          </w:tcPr>
          <w:p>
            <w:pPr>
              <w:pStyle w:val="BDOITable"/>
            </w:pPr>
            <w:r>
              <w:rPr>
                <w:sz w:val="17"/>
              </w:rPr>
              <w:t>Policy review and IAAF. The reviewer records reviews, generates one IAAF per policy and routes it through the approval matrix to the bank counterpart.</w:t>
            </w:r>
          </w:p>
        </w:tc>
        <w:tc>
          <w:tcPr>
            <w:tcW w:type="dxa" w:w="821"/>
            <w:tcMar>
              <w:top w:w="50" w:type="dxa"/>
              <w:bottom w:w="50" w:type="dxa"/>
              <w:left w:w="90" w:type="dxa"/>
              <w:right w:w="90" w:type="dxa"/>
            </w:tcMar>
          </w:tcPr>
          <w:p>
            <w:pPr>
              <w:pStyle w:val="BDOITable"/>
            </w:pPr>
            <w:r>
              <w:rPr>
                <w:sz w:val="17"/>
              </w:rPr>
              <w:t>11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SC-SP-06</w:t>
            </w:r>
          </w:p>
        </w:tc>
        <w:tc>
          <w:tcPr>
            <w:tcW w:type="dxa" w:w="2464"/>
            <w:tcMar>
              <w:top w:w="50" w:type="dxa"/>
              <w:bottom w:w="50" w:type="dxa"/>
              <w:left w:w="90" w:type="dxa"/>
              <w:right w:w="90" w:type="dxa"/>
            </w:tcMar>
            <w:shd w:val="clear" w:color="auto" w:fill="E5F5FF"/>
          </w:tcPr>
          <w:p>
            <w:pPr>
              <w:pStyle w:val="BDOITable"/>
            </w:pPr>
            <w:r>
              <w:rPr>
                <w:sz w:val="17"/>
              </w:rPr>
              <w:t>MKT_AO – Marketing AO / MAO</w:t>
            </w:r>
          </w:p>
        </w:tc>
        <w:tc>
          <w:tcPr>
            <w:tcW w:type="dxa" w:w="5631"/>
            <w:tcMar>
              <w:top w:w="50" w:type="dxa"/>
              <w:bottom w:w="50" w:type="dxa"/>
              <w:left w:w="90" w:type="dxa"/>
              <w:right w:w="90" w:type="dxa"/>
            </w:tcMar>
            <w:shd w:val="clear" w:color="auto" w:fill="E5F5FF"/>
          </w:tcPr>
          <w:p>
            <w:pPr>
              <w:pStyle w:val="BDOITable"/>
            </w:pPr>
            <w:r>
              <w:rPr>
                <w:sz w:val="17"/>
              </w:rPr>
              <w:t>Limits and TOR. A limit breach is flagged, the TOR is prepared, approved by TSU and handed over to the AO.</w:t>
            </w:r>
          </w:p>
        </w:tc>
        <w:tc>
          <w:tcPr>
            <w:tcW w:type="dxa" w:w="821"/>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1056"/>
            <w:tcMar>
              <w:top w:w="50" w:type="dxa"/>
              <w:bottom w:w="50" w:type="dxa"/>
              <w:left w:w="90" w:type="dxa"/>
              <w:right w:w="90" w:type="dxa"/>
            </w:tcMar>
          </w:tcPr>
          <w:p>
            <w:pPr>
              <w:pStyle w:val="BDOITable"/>
            </w:pPr>
            <w:r>
              <w:rPr>
                <w:sz w:val="17"/>
              </w:rPr>
              <w:t>SC-SP-07</w:t>
            </w:r>
          </w:p>
        </w:tc>
        <w:tc>
          <w:tcPr>
            <w:tcW w:type="dxa" w:w="2464"/>
            <w:tcMar>
              <w:top w:w="50" w:type="dxa"/>
              <w:bottom w:w="50" w:type="dxa"/>
              <w:left w:w="90" w:type="dxa"/>
              <w:right w:w="90" w:type="dxa"/>
            </w:tcMar>
          </w:tcPr>
          <w:p>
            <w:pPr>
              <w:pStyle w:val="BDOITable"/>
            </w:pPr>
            <w:r>
              <w:rPr>
                <w:sz w:val="17"/>
              </w:rPr>
              <w:t>SBM_SANITATION – Sanitation Handler</w:t>
            </w:r>
          </w:p>
        </w:tc>
        <w:tc>
          <w:tcPr>
            <w:tcW w:type="dxa" w:w="5631"/>
            <w:tcMar>
              <w:top w:w="50" w:type="dxa"/>
              <w:bottom w:w="50" w:type="dxa"/>
              <w:left w:w="90" w:type="dxa"/>
              <w:right w:w="90" w:type="dxa"/>
            </w:tcMar>
          </w:tcPr>
          <w:p>
            <w:pPr>
              <w:pStyle w:val="BDOITable"/>
            </w:pPr>
            <w:r>
              <w:rPr>
                <w:sz w:val="17"/>
              </w:rPr>
              <w:t>Proposals and renewal. Proposals are created one by one or in batches with nominated rates and a preferred insurer; expiring policies are handed to Renewal; letters are sent; the insurer is re-assigned while a hold cover is open; placement and booking update the masterlist.</w:t>
            </w:r>
          </w:p>
        </w:tc>
        <w:tc>
          <w:tcPr>
            <w:tcW w:type="dxa" w:w="821"/>
            <w:tcMar>
              <w:top w:w="50" w:type="dxa"/>
              <w:bottom w:w="50" w:type="dxa"/>
              <w:left w:w="90" w:type="dxa"/>
              <w:right w:w="90" w:type="dxa"/>
            </w:tcMar>
          </w:tcPr>
          <w:p>
            <w:pPr>
              <w:pStyle w:val="BDOITable"/>
            </w:pPr>
            <w:r>
              <w:rPr>
                <w:sz w:val="17"/>
              </w:rPr>
              <w:t>35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SC-SP-08</w:t>
            </w:r>
          </w:p>
        </w:tc>
        <w:tc>
          <w:tcPr>
            <w:tcW w:type="dxa" w:w="2464"/>
            <w:tcMar>
              <w:top w:w="50" w:type="dxa"/>
              <w:bottom w:w="50" w:type="dxa"/>
              <w:left w:w="90" w:type="dxa"/>
              <w:right w:w="90" w:type="dxa"/>
            </w:tcMar>
            <w:shd w:val="clear" w:color="auto" w:fill="E5F5FF"/>
          </w:tcPr>
          <w:p>
            <w:pPr>
              <w:pStyle w:val="BDOITable"/>
            </w:pPr>
            <w:r>
              <w:rPr>
                <w:sz w:val="17"/>
              </w:rPr>
              <w:t>SBM_UPP_HANDLER – Admin Team UPP handler</w:t>
            </w:r>
          </w:p>
        </w:tc>
        <w:tc>
          <w:tcPr>
            <w:tcW w:type="dxa" w:w="5631"/>
            <w:tcMar>
              <w:top w:w="50" w:type="dxa"/>
              <w:bottom w:w="50" w:type="dxa"/>
              <w:left w:w="90" w:type="dxa"/>
              <w:right w:w="90" w:type="dxa"/>
            </w:tcMar>
            <w:shd w:val="clear" w:color="auto" w:fill="E5F5FF"/>
          </w:tcPr>
          <w:p>
            <w:pPr>
              <w:pStyle w:val="BDOITable"/>
            </w:pPr>
            <w:r>
              <w:rPr>
                <w:sz w:val="17"/>
              </w:rPr>
              <w:t>Handling fee. Handling-fee payments are tagged in the Unapplied Payment List and applied by Cashiering.</w:t>
            </w:r>
          </w:p>
        </w:tc>
        <w:tc>
          <w:tcPr>
            <w:tcW w:type="dxa" w:w="821"/>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1056"/>
            <w:tcMar>
              <w:top w:w="50" w:type="dxa"/>
              <w:bottom w:w="50" w:type="dxa"/>
              <w:left w:w="90" w:type="dxa"/>
              <w:right w:w="90" w:type="dxa"/>
            </w:tcMar>
          </w:tcPr>
          <w:p>
            <w:pPr>
              <w:pStyle w:val="BDOITable"/>
            </w:pPr>
            <w:r>
              <w:rPr>
                <w:sz w:val="17"/>
              </w:rPr>
              <w:t>SC-SP-09</w:t>
            </w:r>
          </w:p>
        </w:tc>
        <w:tc>
          <w:tcPr>
            <w:tcW w:type="dxa" w:w="2464"/>
            <w:tcMar>
              <w:top w:w="50" w:type="dxa"/>
              <w:bottom w:w="50" w:type="dxa"/>
              <w:left w:w="90" w:type="dxa"/>
              <w:right w:w="90" w:type="dxa"/>
            </w:tcMar>
          </w:tcPr>
          <w:p>
            <w:pPr>
              <w:pStyle w:val="BDOITable"/>
            </w:pPr>
            <w:r>
              <w:rPr>
                <w:sz w:val="17"/>
              </w:rPr>
              <w:t>SBM_TL – Team Lead</w:t>
            </w:r>
          </w:p>
        </w:tc>
        <w:tc>
          <w:tcPr>
            <w:tcW w:type="dxa" w:w="5631"/>
            <w:tcMar>
              <w:top w:w="50" w:type="dxa"/>
              <w:bottom w:w="50" w:type="dxa"/>
              <w:left w:w="90" w:type="dxa"/>
              <w:right w:w="90" w:type="dxa"/>
            </w:tcMar>
          </w:tcPr>
          <w:p>
            <w:pPr>
              <w:pStyle w:val="BDOITable"/>
            </w:pPr>
            <w:r>
              <w:rPr>
                <w:sz w:val="17"/>
              </w:rPr>
              <w:t>Monitoring. The home page, the Submitted Policies reports in several formats, and the notifications and alerts of key events.</w:t>
            </w:r>
          </w:p>
        </w:tc>
        <w:tc>
          <w:tcPr>
            <w:tcW w:type="dxa" w:w="821"/>
            <w:tcMar>
              <w:top w:w="50" w:type="dxa"/>
              <w:bottom w:w="50" w:type="dxa"/>
              <w:left w:w="90" w:type="dxa"/>
              <w:right w:w="90" w:type="dxa"/>
            </w:tcMar>
          </w:tcPr>
          <w:p>
            <w:pPr>
              <w:pStyle w:val="BDOITable"/>
            </w:pPr>
            <w:r>
              <w:rPr>
                <w:sz w:val="17"/>
              </w:rPr>
              <w:t>15</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Hand.</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Check.</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Sanit.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Pol. Rev.</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Rule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UPP</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w:t>
            </w:r>
          </w:p>
        </w:tc>
      </w:tr>
      <w:tr>
        <w:trPr>
          <w:cantSplit w:val="true"/>
        </w:trPr>
        <w:tc>
          <w:tcPr>
            <w:tcW w:type="dxa" w:w="2156"/>
            <w:tcMar>
              <w:top w:w="50" w:type="dxa"/>
              <w:bottom w:w="50" w:type="dxa"/>
              <w:left w:w="90" w:type="dxa"/>
              <w:right w:w="90" w:type="dxa"/>
            </w:tcMar>
          </w:tcPr>
          <w:p>
            <w:pPr>
              <w:pStyle w:val="BDOITable"/>
            </w:pPr>
            <w:r>
              <w:rPr>
                <w:sz w:val="15"/>
              </w:rPr>
              <w:t>View the masterlist and records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Create and edit records, tag renewal, confirm extraction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Upload sources and loan files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Run processing, resolve fallout, hand off, re-assign insurer</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Maintain rule sets and matrices (maker)</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rule sets</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Prepare reviews and IAAF</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an IAAF level</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Prepare a TOR</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 TOR</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Send and print letters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Handling-fee records and manual tag</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Migrate Excel masterlists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Extract the masterlist</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Run Submitted Policies reports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Create proposals, edit nominated rates, assign the insurer</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The LMS and LAD layouts, the nominated rate table and the vehicle classifications are not supplied in time (SP SQ27, SQ29)</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of FR-SP-035 and FR-SP-066 run with the layouts and rates of TD-SP-05 and TD-SP-11 and are re-run when BDOI supplies them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Screen names, labels or messages change after BDOI's review of the FRS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Compare the screens with this plan before the system test; re-issue the workbook with the confirmed texts</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(SP SQ04 classification, SQ05 bucket precedence, SQ06 RA template, SQ07 IAAF matrix, SQ08 TOR and Released, SQ12 acceptance window)</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rule sets, matrices and parameters; the affected cases name them and are re-run after the change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Renewal module is not available when Submitted Policies is tested</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Test the pending hand-off (TC-SP-060.3-01); re-run the renewal cases of SC-SP-07 when the Renewal module is available</w:t>
            </w:r>
          </w:p>
        </w:tc>
      </w:tr>
      <w:tr>
        <w:trPr>
          <w:cantSplit w:val="true"/>
        </w:trPr>
        <w:tc>
          <w:tcPr>
            <w:tcW w:type="dxa" w:w="3688"/>
            <w:tcMar>
              <w:top w:w="50" w:type="dxa"/>
              <w:bottom w:w="50" w:type="dxa"/>
              <w:left w:w="90" w:type="dxa"/>
              <w:right w:w="90" w:type="dxa"/>
            </w:tcMar>
          </w:tcPr>
          <w:p>
            <w:pPr>
              <w:pStyle w:val="BDOITable"/>
            </w:pPr>
            <w:r>
              <w:rPr>
                <w:sz w:val="18"/>
              </w:rPr>
              <w:t>Source layouts and legacy masterlist layouts are not supplied (SP SQ01, SQ02)</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Test with the draft templates; re-run the intake and migration cases on the BDOI layouts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Real borrower data reaches a test environment through an unmasked file</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The test lead masks every source file before upload and checks the masterlist after each intake</w:t>
            </w:r>
          </w:p>
        </w:tc>
      </w:tr>
      <w:tr>
        <w:trPr>
          <w:cantSplit w:val="true"/>
        </w:trPr>
        <w:tc>
          <w:tcPr>
            <w:tcW w:type="dxa" w:w="3688"/>
            <w:tcMar>
              <w:top w:w="50" w:type="dxa"/>
              <w:bottom w:w="50" w:type="dxa"/>
              <w:left w:w="90" w:type="dxa"/>
              <w:right w:w="90" w:type="dxa"/>
            </w:tcMar>
          </w:tcPr>
          <w:p>
            <w:pPr>
              <w:pStyle w:val="BDOITable"/>
            </w:pPr>
            <w:r>
              <w:rPr>
                <w:sz w:val="18"/>
              </w:rPr>
              <w:t>Date-based cases (lead days, acceptance days, hold cover end)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sets expiry and request dates in the test environment and runs the jobs on demand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from several teams and segments are not available at the same time</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segment and role in the UAT plan (deliverable 30)</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Submitted Policies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Submitted Policies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BRD-12 Submitted Policies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TestPlan BRD-12 Submitted Policies Summary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