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QUICK-REFERENCE GUIDE</w:t>
      </w:r>
    </w:p>
    <w:p>
      <w:pPr>
        <w:spacing w:after="80" w:line="240" w:lineRule="auto"/>
      </w:pPr>
      <w:r>
        <w:rPr>
          <w:b/>
          <w:color w:val="004EA8"/>
          <w:sz w:val="56"/>
        </w:rPr>
        <w:t>Quick-Reference Guide: Cashier</w:t>
      </w:r>
    </w:p>
    <w:p>
      <w:pPr>
        <w:spacing w:after="40"/>
      </w:pPr>
      <w:r>
        <w:rPr>
          <w:color w:val="2E2E2E"/>
          <w:sz w:val="28"/>
        </w:rPr>
        <w:t>What you do in BIBS, your main tasks step by step, tips and where to get help</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BIBS-QRG-CASH</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change and training lead</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from the FRS walkthroughs and functional requirements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Key users of the Cashier persona</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Check against the screens in UAT</w:t>
            </w:r>
          </w:p>
        </w:tc>
      </w:tr>
      <w:tr>
        <w:trPr>
          <w:cantSplit w:val="true"/>
        </w:trPr>
        <w:tc>
          <w:tcPr>
            <w:tcW w:type="dxa" w:w="2606"/>
            <w:tcMar>
              <w:top w:w="50" w:type="dxa"/>
              <w:bottom w:w="50" w:type="dxa"/>
              <w:left w:w="90" w:type="dxa"/>
              <w:right w:w="90" w:type="dxa"/>
            </w:tcMar>
          </w:tcPr>
          <w:p>
            <w:pPr>
              <w:pStyle w:val="BDOITable"/>
            </w:pPr>
            <w:r>
              <w:rPr>
                <w:sz w:val="18"/>
              </w:rPr>
              <w:t>BDOI trainers</w:t>
            </w:r>
          </w:p>
        </w:tc>
        <w:tc>
          <w:tcPr>
            <w:tcW w:type="dxa" w:w="2266"/>
            <w:tcMar>
              <w:top w:w="50" w:type="dxa"/>
              <w:bottom w:w="50" w:type="dxa"/>
              <w:left w:w="90" w:type="dxa"/>
              <w:right w:w="90" w:type="dxa"/>
            </w:tcMar>
          </w:tcPr>
          <w:p>
            <w:pPr>
              <w:pStyle w:val="BDOITable"/>
            </w:pPr>
            <w:r>
              <w:rPr>
                <w:sz w:val="18"/>
              </w:rPr>
              <w:t>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End-user training</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1 Your role in BIBS</w:t>
        </w:r>
        <w:r>
          <w:t xml:space="preserve">	</w:t>
        </w:r>
        <w:r>
          <w:t xml:space="preserve">4</w:t>
        </w:r>
      </w:hyperlink>
    </w:p>
    <w:p>
      <w:pPr>
        <w:pStyle w:val="toc2"/>
      </w:pPr>
      <w:hyperlink w:anchor="_Toc000102" w:history="1">
        <w:r>
          <w:t xml:space="preserve">1.1 Your menus</w:t>
        </w:r>
        <w:r>
          <w:t xml:space="preserve">	</w:t>
        </w:r>
        <w:r>
          <w:t xml:space="preserve">4</w:t>
        </w:r>
      </w:hyperlink>
    </w:p>
    <w:p>
      <w:pPr>
        <w:pStyle w:val="toc1"/>
      </w:pPr>
      <w:hyperlink w:anchor="_Toc000103" w:history="1">
        <w:r>
          <w:t xml:space="preserve">2 Your main tasks</w:t>
        </w:r>
        <w:r>
          <w:t xml:space="preserve">	</w:t>
        </w:r>
        <w:r>
          <w:t xml:space="preserve">4</w:t>
        </w:r>
      </w:hyperlink>
    </w:p>
    <w:p>
      <w:pPr>
        <w:pStyle w:val="toc2"/>
      </w:pPr>
      <w:hyperlink w:anchor="_Toc000104" w:history="1">
        <w:r>
          <w:t xml:space="preserve">2.1 Receive a payment and issue the receipt</w:t>
        </w:r>
        <w:r>
          <w:t xml:space="preserve">	</w:t>
        </w:r>
        <w:r>
          <w:t xml:space="preserve">4</w:t>
        </w:r>
      </w:hyperlink>
    </w:p>
    <w:p>
      <w:pPr>
        <w:pStyle w:val="toc2"/>
      </w:pPr>
      <w:hyperlink w:anchor="_Toc000105" w:history="1">
        <w:r>
          <w:t xml:space="preserve">2.2 Act on a collector's request and a check pick-up</w:t>
        </w:r>
        <w:r>
          <w:t xml:space="preserve">	</w:t>
        </w:r>
        <w:r>
          <w:t xml:space="preserve">4</w:t>
        </w:r>
      </w:hyperlink>
    </w:p>
    <w:p>
      <w:pPr>
        <w:pStyle w:val="toc2"/>
      </w:pPr>
      <w:hyperlink w:anchor="_Toc000106" w:history="1">
        <w:r>
          <w:t xml:space="preserve">2.3 Refund an unapplied payment</w:t>
        </w:r>
        <w:r>
          <w:t xml:space="preserve">	</w:t>
        </w:r>
        <w:r>
          <w:t xml:space="preserve">5</w:t>
        </w:r>
      </w:hyperlink>
    </w:p>
    <w:p>
      <w:pPr>
        <w:pStyle w:val="toc2"/>
      </w:pPr>
      <w:hyperlink w:anchor="_Toc000107" w:history="1">
        <w:r>
          <w:t xml:space="preserve">2.4 Cancel a receipt</w:t>
        </w:r>
        <w:r>
          <w:t xml:space="preserve">	</w:t>
        </w:r>
        <w:r>
          <w:t xml:space="preserve">5</w:t>
        </w:r>
      </w:hyperlink>
    </w:p>
    <w:p>
      <w:pPr>
        <w:pStyle w:val="toc1"/>
      </w:pPr>
      <w:hyperlink w:anchor="_Toc000108" w:history="1">
        <w:r>
          <w:t xml:space="preserve">3 Tips</w:t>
        </w:r>
        <w:r>
          <w:t xml:space="preserve">	</w:t>
        </w:r>
        <w:r>
          <w:t xml:space="preserve">5</w:t>
        </w:r>
      </w:hyperlink>
    </w:p>
    <w:p>
      <w:pPr>
        <w:pStyle w:val="toc1"/>
      </w:pPr>
      <w:hyperlink w:anchor="_Toc000109" w:history="1">
        <w:r>
          <w:t xml:space="preserve">4 Where to get help</w:t>
        </w:r>
        <w:r>
          <w:t xml:space="preserve">	</w:t>
        </w:r>
        <w:r>
          <w:t xml:space="preserve">5</w:t>
        </w:r>
      </w:hyperlink>
      <w:r>
        <w:fldChar w:fldCharType="end"/>
      </w:r>
    </w:p>
    <w:p>
      <w:pPr>
        <w:pStyle w:val="Heading1"/>
        <w:pageBreakBefore/>
        <w:pBdr>
          <w:bottom w:val="single" w:sz="4" w:space="4" w:color="99C1E7"/>
        </w:pBdr>
      </w:pPr>
      <w:bookmarkStart w:id="101" w:name="_Toc000101"/>
      <w:r>
        <w:rPr/>
        <w:t>1 Your role in BIBS</w:t>
      </w:r>
      <w:bookmarkEnd w:id="101"/>
    </w:p>
    <w:p>
      <w:r>
        <w:rPr/>
        <w:t>You receive and apply client payments. In BIBS you find the invoice, receive the payment, issue the acknowledgement receipt and apply it, process the payment uploads of the bank channels, act on the requests of the collectors, prepare check pick-ups, refund unapplied payments and cancel receipts under approval.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Persona</w:t>
            </w:r>
          </w:p>
        </w:tc>
        <w:tc>
          <w:tcPr>
            <w:tcW w:type="dxa" w:w="7704"/>
            <w:tcMar>
              <w:top w:w="50" w:type="dxa"/>
              <w:bottom w:w="50" w:type="dxa"/>
              <w:left w:w="90" w:type="dxa"/>
              <w:right w:w="90" w:type="dxa"/>
            </w:tcMar>
          </w:tcPr>
          <w:p>
            <w:pPr>
              <w:pStyle w:val="BDOITable"/>
              <w:keepNext/>
            </w:pPr>
            <w:r>
              <w:rPr>
                <w:sz w:val="18"/>
              </w:rPr>
              <w:t>Cashier</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BRDs</w:t>
            </w:r>
          </w:p>
        </w:tc>
        <w:tc>
          <w:tcPr>
            <w:tcW w:type="dxa" w:w="7704"/>
            <w:tcMar>
              <w:top w:w="50" w:type="dxa"/>
              <w:bottom w:w="50" w:type="dxa"/>
              <w:left w:w="90" w:type="dxa"/>
              <w:right w:w="90" w:type="dxa"/>
            </w:tcMar>
          </w:tcPr>
          <w:p>
            <w:pPr>
              <w:pStyle w:val="BDOITable"/>
              <w:keepNext/>
            </w:pPr>
            <w:r>
              <w:rPr>
                <w:sz w:val="18"/>
              </w:rPr>
              <w:t>BRD-02 Operations (Cashiering), BRD-04 Collections (requests), BRD-13 (legacy items)</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Home page</w:t>
            </w:r>
          </w:p>
        </w:tc>
        <w:tc>
          <w:tcPr>
            <w:tcW w:type="dxa" w:w="7704"/>
            <w:tcMar>
              <w:top w:w="50" w:type="dxa"/>
              <w:bottom w:w="50" w:type="dxa"/>
              <w:left w:w="90" w:type="dxa"/>
              <w:right w:w="90" w:type="dxa"/>
            </w:tcMar>
          </w:tcPr>
          <w:p>
            <w:pPr>
              <w:pStyle w:val="BDOITable"/>
              <w:keepNext/>
            </w:pPr>
            <w:r>
              <w:rPr>
                <w:sz w:val="18"/>
              </w:rPr>
              <w:t>Cashiering Workbench: counts of payments, unapplied items and incoming requests</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Sign-in</w:t>
            </w:r>
          </w:p>
        </w:tc>
        <w:tc>
          <w:tcPr>
            <w:tcW w:type="dxa" w:w="7704"/>
            <w:tcMar>
              <w:top w:w="50" w:type="dxa"/>
              <w:bottom w:w="50" w:type="dxa"/>
              <w:left w:w="90" w:type="dxa"/>
              <w:right w:w="90" w:type="dxa"/>
            </w:tcMar>
          </w:tcPr>
          <w:p>
            <w:pPr>
              <w:pStyle w:val="BDOITable"/>
              <w:keepNext/>
            </w:pPr>
            <w:r>
              <w:rPr>
                <w:sz w:val="18"/>
              </w:rPr>
              <w:t>BDO single sign-on (EIAM); MFA as set by Information Security</w:t>
            </w:r>
          </w:p>
        </w:tc>
      </w:tr>
    </w:tbl>
    <w:p>
      <w:pPr>
        <w:pStyle w:val="BDOISpacer"/>
      </w:pPr>
    </w:p>
    <w:p>
      <w:pPr>
        <w:pStyle w:val="Heading2"/>
      </w:pPr>
      <w:bookmarkStart w:id="102" w:name="_Toc000102"/>
      <w:r>
        <w:rPr/>
        <w:t>1.1 Your menus</w:t>
      </w:r>
      <w:bookmarkEnd w:id="102"/>
    </w:p>
    <w:p>
      <w:r>
        <w:rPr/>
        <w:t>The sidebar shows only the screens your roles allow. Your main menus:</w:t>
      </w:r>
    </w:p>
    <w:p>
      <w:pPr>
        <w:tabs>
          <w:tab w:pos="312" w:val="left"/>
        </w:tabs>
        <w:spacing w:after="40"/>
        <w:ind w:left="312" w:hanging="283"/>
      </w:pPr>
      <w:r>
        <w:rPr>
          <w:color w:val="004EA8"/>
        </w:rPr>
        <w:t>•</w:t>
        <w:tab/>
      </w:r>
      <w:r>
        <w:rPr/>
        <w:t>Operations &gt; Operations: Operations Home, Invoice Search</w:t>
      </w:r>
    </w:p>
    <w:p>
      <w:pPr>
        <w:tabs>
          <w:tab w:pos="312" w:val="left"/>
        </w:tabs>
        <w:spacing w:after="40"/>
        <w:ind w:left="312" w:hanging="283"/>
      </w:pPr>
      <w:r>
        <w:rPr>
          <w:color w:val="004EA8"/>
        </w:rPr>
        <w:t>•</w:t>
        <w:tab/>
      </w:r>
      <w:r>
        <w:rPr/>
        <w:t>Finance &gt; Cashiering: Cashiering Workbench, Receive Payment, Receipts, Unapplied Payments, Incoming Requests, Pre-booked Payments, Payment Uploads, PDC Warehouse, Check Pick-up, Batch Print, Receipt Series</w:t>
      </w:r>
    </w:p>
    <w:p>
      <w:pPr>
        <w:tabs>
          <w:tab w:pos="312" w:val="left"/>
        </w:tabs>
        <w:spacing w:after="120"/>
        <w:ind w:left="312" w:hanging="283"/>
      </w:pPr>
      <w:r>
        <w:rPr>
          <w:color w:val="004EA8"/>
        </w:rPr>
        <w:t>•</w:t>
        <w:tab/>
      </w:r>
      <w:r>
        <w:rPr/>
        <w:t>Finance &gt; Collections (read access and exports)</w:t>
      </w:r>
    </w:p>
    <w:p>
      <w:pPr>
        <w:pStyle w:val="Heading1"/>
        <w:pBdr>
          <w:bottom w:val="single" w:sz="4" w:space="4" w:color="99C1E7"/>
        </w:pBdr>
      </w:pPr>
      <w:bookmarkStart w:id="103" w:name="_Toc000103"/>
      <w:r>
        <w:rPr/>
        <w:t>2 Your main tasks</w:t>
      </w:r>
      <w:bookmarkEnd w:id="103"/>
    </w:p>
    <w:p>
      <w:r>
        <w:rPr/>
        <w:t>Each task lists the steps in order, the screen (ID and name of the screen specification) and the step of the FRS walkthrough or the functional requirement it follows. The FRS walkthroughs show every step with its screenshot.</w:t>
      </w:r>
    </w:p>
    <w:p>
      <w:pPr>
        <w:pStyle w:val="Heading2"/>
      </w:pPr>
      <w:bookmarkStart w:id="104" w:name="_Toc000104"/>
      <w:r>
        <w:rPr/>
        <w:t>2.1 Receive a payment and issue the receipt</w:t>
      </w:r>
      <w:bookmarkEnd w:id="104"/>
    </w:p>
    <w:p>
      <w:r>
        <w:rPr/>
        <w:t>Reference: FRS BRD-02, walkthrough WT-A steps 2-4.</w:t>
      </w:r>
    </w:p>
    <w:p>
      <w:pPr>
        <w:pStyle w:val="Caption"/>
        <w:keepNext/>
        <w:spacing w:after="60"/>
      </w:pPr>
      <w:r>
        <w:rPr>
          <w:b/>
          <w:i w:val="0"/>
        </w:rPr>
        <w:t xml:space="preserve">Table 1: </w:t>
      </w:r>
      <w:r>
        <w:rPr/>
        <w:t>Receive a payment and issue the receipt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Search the ARN on Invoice Search.</w:t>
            </w:r>
          </w:p>
        </w:tc>
        <w:tc>
          <w:tcPr>
            <w:tcW w:type="dxa" w:w="2523"/>
            <w:tcMar>
              <w:top w:w="50" w:type="dxa"/>
              <w:bottom w:w="50" w:type="dxa"/>
              <w:left w:w="90" w:type="dxa"/>
              <w:right w:w="90" w:type="dxa"/>
            </w:tcMar>
          </w:tcPr>
          <w:p>
            <w:pPr>
              <w:pStyle w:val="BDOITable"/>
            </w:pPr>
            <w:r>
              <w:rPr>
                <w:sz w:val="17"/>
              </w:rPr>
              <w:t>SCR-OP-02 Invoice Search</w:t>
            </w:r>
          </w:p>
        </w:tc>
        <w:tc>
          <w:tcPr>
            <w:tcW w:type="dxa" w:w="1322"/>
            <w:tcMar>
              <w:top w:w="50" w:type="dxa"/>
              <w:bottom w:w="50" w:type="dxa"/>
              <w:left w:w="90" w:type="dxa"/>
              <w:right w:w="90" w:type="dxa"/>
            </w:tcMar>
          </w:tcPr>
          <w:p>
            <w:pPr>
              <w:pStyle w:val="BDOITable"/>
            </w:pPr>
            <w:r>
              <w:rPr>
                <w:sz w:val="17"/>
              </w:rPr>
              <w:t>WT-A.2</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Open Receive Payment, enter the ARN, the payor, the amount paid and the payment date, and check the preview.</w:t>
            </w:r>
          </w:p>
        </w:tc>
        <w:tc>
          <w:tcPr>
            <w:tcW w:type="dxa" w:w="2523"/>
            <w:tcMar>
              <w:top w:w="50" w:type="dxa"/>
              <w:bottom w:w="50" w:type="dxa"/>
              <w:left w:w="90" w:type="dxa"/>
              <w:right w:w="90" w:type="dxa"/>
            </w:tcMar>
            <w:shd w:val="clear" w:color="auto" w:fill="E5F5FF"/>
          </w:tcPr>
          <w:p>
            <w:pPr>
              <w:pStyle w:val="BDOITable"/>
            </w:pPr>
            <w:r>
              <w:rPr>
                <w:sz w:val="17"/>
              </w:rPr>
              <w:t>SCR-OP-08 Receive Payment</w:t>
            </w:r>
          </w:p>
        </w:tc>
        <w:tc>
          <w:tcPr>
            <w:tcW w:type="dxa" w:w="1322"/>
            <w:tcMar>
              <w:top w:w="50" w:type="dxa"/>
              <w:bottom w:w="50" w:type="dxa"/>
              <w:left w:w="90" w:type="dxa"/>
              <w:right w:w="90" w:type="dxa"/>
            </w:tcMar>
            <w:shd w:val="clear" w:color="auto" w:fill="E5F5FF"/>
          </w:tcPr>
          <w:p>
            <w:pPr>
              <w:pStyle w:val="BDOITable"/>
            </w:pPr>
            <w:r>
              <w:rPr>
                <w:sz w:val="17"/>
              </w:rPr>
              <w:t>WT-A.3</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Click Issue AR and Apply.</w:t>
            </w:r>
          </w:p>
        </w:tc>
        <w:tc>
          <w:tcPr>
            <w:tcW w:type="dxa" w:w="2523"/>
            <w:tcMar>
              <w:top w:w="50" w:type="dxa"/>
              <w:bottom w:w="50" w:type="dxa"/>
              <w:left w:w="90" w:type="dxa"/>
              <w:right w:w="90" w:type="dxa"/>
            </w:tcMar>
          </w:tcPr>
          <w:p>
            <w:pPr>
              <w:pStyle w:val="BDOITable"/>
            </w:pPr>
            <w:r>
              <w:rPr>
                <w:sz w:val="17"/>
              </w:rPr>
              <w:t>SCR-OP-10 Receipt</w:t>
            </w:r>
          </w:p>
        </w:tc>
        <w:tc>
          <w:tcPr>
            <w:tcW w:type="dxa" w:w="1322"/>
            <w:tcMar>
              <w:top w:w="50" w:type="dxa"/>
              <w:bottom w:w="50" w:type="dxa"/>
              <w:left w:w="90" w:type="dxa"/>
              <w:right w:w="90" w:type="dxa"/>
            </w:tcMar>
          </w:tcPr>
          <w:p>
            <w:pPr>
              <w:pStyle w:val="BDOITable"/>
            </w:pPr>
            <w:r>
              <w:rPr>
                <w:sz w:val="17"/>
              </w:rPr>
              <w:t>WT-A.4</w:t>
            </w:r>
          </w:p>
        </w:tc>
      </w:tr>
    </w:tbl>
    <w:p>
      <w:pPr>
        <w:pStyle w:val="BDOISpacer"/>
      </w:pPr>
    </w:p>
    <w:p>
      <w:pPr>
        <w:pStyle w:val="Heading2"/>
      </w:pPr>
      <w:bookmarkStart w:id="105" w:name="_Toc000105"/>
      <w:r>
        <w:rPr/>
        <w:t>2.2 Act on a collector's request and a check pick-up</w:t>
      </w:r>
      <w:bookmarkEnd w:id="105"/>
    </w:p>
    <w:p>
      <w:r>
        <w:rPr/>
        <w:t>Reference: FRS BRD-04, walkthroughs WT-C step 3 and WT-A step 6.</w:t>
      </w:r>
    </w:p>
    <w:p>
      <w:pPr>
        <w:pStyle w:val="Caption"/>
        <w:keepNext/>
        <w:spacing w:after="60"/>
      </w:pPr>
      <w:r>
        <w:rPr>
          <w:b/>
          <w:i w:val="0"/>
        </w:rPr>
        <w:t xml:space="preserve">Table 2: </w:t>
      </w:r>
      <w:r>
        <w:rPr/>
        <w:t>Act on a collector's request and a check pick-up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Incoming Requests, select the collector request and click Accept Request.</w:t>
            </w:r>
          </w:p>
        </w:tc>
        <w:tc>
          <w:tcPr>
            <w:tcW w:type="dxa" w:w="2523"/>
            <w:tcMar>
              <w:top w:w="50" w:type="dxa"/>
              <w:bottom w:w="50" w:type="dxa"/>
              <w:left w:w="90" w:type="dxa"/>
              <w:right w:w="90" w:type="dxa"/>
            </w:tcMar>
          </w:tcPr>
          <w:p>
            <w:pPr>
              <w:pStyle w:val="BDOITable"/>
            </w:pPr>
            <w:r>
              <w:rPr>
                <w:sz w:val="17"/>
              </w:rPr>
              <w:t>SCR-OP-13 Incoming Requests</w:t>
            </w:r>
          </w:p>
        </w:tc>
        <w:tc>
          <w:tcPr>
            <w:tcW w:type="dxa" w:w="1322"/>
            <w:tcMar>
              <w:top w:w="50" w:type="dxa"/>
              <w:bottom w:w="50" w:type="dxa"/>
              <w:left w:w="90" w:type="dxa"/>
              <w:right w:w="90" w:type="dxa"/>
            </w:tcMar>
          </w:tcPr>
          <w:p>
            <w:pPr>
              <w:pStyle w:val="BDOITable"/>
            </w:pPr>
            <w:r>
              <w:rPr>
                <w:sz w:val="17"/>
              </w:rPr>
              <w:t>BRD-04 WT-C.3</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Open Check Pick-up to see the pick-ups recorded by the collectors with date, address, contact and amount.</w:t>
            </w:r>
          </w:p>
        </w:tc>
        <w:tc>
          <w:tcPr>
            <w:tcW w:type="dxa" w:w="2523"/>
            <w:tcMar>
              <w:top w:w="50" w:type="dxa"/>
              <w:bottom w:w="50" w:type="dxa"/>
              <w:left w:w="90" w:type="dxa"/>
              <w:right w:w="90" w:type="dxa"/>
            </w:tcMar>
            <w:shd w:val="clear" w:color="auto" w:fill="E5F5FF"/>
          </w:tcPr>
          <w:p>
            <w:pPr>
              <w:pStyle w:val="BDOITable"/>
            </w:pPr>
            <w:r>
              <w:rPr>
                <w:sz w:val="17"/>
              </w:rPr>
              <w:t>Check Pick-up (Cashiering)</w:t>
            </w:r>
          </w:p>
        </w:tc>
        <w:tc>
          <w:tcPr>
            <w:tcW w:type="dxa" w:w="1322"/>
            <w:tcMar>
              <w:top w:w="50" w:type="dxa"/>
              <w:bottom w:w="50" w:type="dxa"/>
              <w:left w:w="90" w:type="dxa"/>
              <w:right w:w="90" w:type="dxa"/>
            </w:tcMar>
            <w:shd w:val="clear" w:color="auto" w:fill="E5F5FF"/>
          </w:tcPr>
          <w:p>
            <w:pPr>
              <w:pStyle w:val="BDOITable"/>
            </w:pPr>
            <w:r>
              <w:rPr>
                <w:sz w:val="17"/>
              </w:rPr>
              <w:t>BRD-04 WT-A.6</w:t>
            </w:r>
          </w:p>
        </w:tc>
      </w:tr>
    </w:tbl>
    <w:p>
      <w:pPr>
        <w:pStyle w:val="BDOISpacer"/>
      </w:pPr>
    </w:p>
    <w:p>
      <w:pPr>
        <w:pStyle w:val="Heading2"/>
      </w:pPr>
      <w:bookmarkStart w:id="106" w:name="_Toc000106"/>
      <w:r>
        <w:rPr/>
        <w:t>2.3 Refund an unapplied payment</w:t>
      </w:r>
      <w:bookmarkEnd w:id="106"/>
    </w:p>
    <w:p>
      <w:r>
        <w:rPr/>
        <w:t>Reference: FRS BRD-02, walkthrough WT-B steps 8-9.</w:t>
      </w:r>
    </w:p>
    <w:p>
      <w:pPr>
        <w:pStyle w:val="Caption"/>
        <w:keepNext/>
        <w:spacing w:after="60"/>
      </w:pPr>
      <w:r>
        <w:rPr>
          <w:b/>
          <w:i w:val="0"/>
        </w:rPr>
        <w:t xml:space="preserve">Table 3: </w:t>
      </w:r>
      <w:r>
        <w:rPr/>
        <w:t>Refund an unapplied payment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the unapplied payment, assign a refund to the client and submit it.</w:t>
            </w:r>
          </w:p>
        </w:tc>
        <w:tc>
          <w:tcPr>
            <w:tcW w:type="dxa" w:w="2523"/>
            <w:tcMar>
              <w:top w:w="50" w:type="dxa"/>
              <w:bottom w:w="50" w:type="dxa"/>
              <w:left w:w="90" w:type="dxa"/>
              <w:right w:w="90" w:type="dxa"/>
            </w:tcMar>
          </w:tcPr>
          <w:p>
            <w:pPr>
              <w:pStyle w:val="BDOITable"/>
            </w:pPr>
            <w:r>
              <w:rPr>
                <w:sz w:val="17"/>
              </w:rPr>
              <w:t>SCR-OP-12 Unapplied Payment</w:t>
            </w:r>
          </w:p>
        </w:tc>
        <w:tc>
          <w:tcPr>
            <w:tcW w:type="dxa" w:w="1322"/>
            <w:tcMar>
              <w:top w:w="50" w:type="dxa"/>
              <w:bottom w:w="50" w:type="dxa"/>
              <w:left w:w="90" w:type="dxa"/>
              <w:right w:w="90" w:type="dxa"/>
            </w:tcMar>
          </w:tcPr>
          <w:p>
            <w:pPr>
              <w:pStyle w:val="BDOITable"/>
            </w:pPr>
            <w:r>
              <w:rPr>
                <w:sz w:val="17"/>
              </w:rPr>
              <w:t>WT-B.8</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The Cashiering Team Leader opens it and clicks Approve.</w:t>
            </w:r>
          </w:p>
        </w:tc>
        <w:tc>
          <w:tcPr>
            <w:tcW w:type="dxa" w:w="2523"/>
            <w:tcMar>
              <w:top w:w="50" w:type="dxa"/>
              <w:bottom w:w="50" w:type="dxa"/>
              <w:left w:w="90" w:type="dxa"/>
              <w:right w:w="90" w:type="dxa"/>
            </w:tcMar>
            <w:shd w:val="clear" w:color="auto" w:fill="E5F5FF"/>
          </w:tcPr>
          <w:p>
            <w:pPr>
              <w:pStyle w:val="BDOITable"/>
            </w:pPr>
            <w:r>
              <w:rPr>
                <w:sz w:val="17"/>
              </w:rPr>
              <w:t>SCR-OP-12 Unapplied Payment</w:t>
            </w:r>
          </w:p>
        </w:tc>
        <w:tc>
          <w:tcPr>
            <w:tcW w:type="dxa" w:w="1322"/>
            <w:tcMar>
              <w:top w:w="50" w:type="dxa"/>
              <w:bottom w:w="50" w:type="dxa"/>
              <w:left w:w="90" w:type="dxa"/>
              <w:right w:w="90" w:type="dxa"/>
            </w:tcMar>
            <w:shd w:val="clear" w:color="auto" w:fill="E5F5FF"/>
          </w:tcPr>
          <w:p>
            <w:pPr>
              <w:pStyle w:val="BDOITable"/>
            </w:pPr>
            <w:r>
              <w:rPr>
                <w:sz w:val="17"/>
              </w:rPr>
              <w:t>WT-B.9</w:t>
            </w:r>
          </w:p>
        </w:tc>
      </w:tr>
    </w:tbl>
    <w:p>
      <w:pPr>
        <w:pStyle w:val="BDOISpacer"/>
      </w:pPr>
    </w:p>
    <w:p>
      <w:pPr>
        <w:pStyle w:val="Heading2"/>
      </w:pPr>
      <w:bookmarkStart w:id="107" w:name="_Toc000107"/>
      <w:r>
        <w:rPr/>
        <w:t>2.4 Cancel a receipt</w:t>
      </w:r>
      <w:bookmarkEnd w:id="107"/>
    </w:p>
    <w:p>
      <w:r>
        <w:rPr/>
        <w:t>Reference: FRS BRD-02, walkthrough WT-D steps 3-4.</w:t>
      </w:r>
    </w:p>
    <w:p>
      <w:pPr>
        <w:pStyle w:val="Caption"/>
        <w:keepNext/>
        <w:spacing w:after="60"/>
      </w:pPr>
      <w:r>
        <w:rPr>
          <w:b/>
          <w:i w:val="0"/>
        </w:rPr>
        <w:t xml:space="preserve">Table 4: </w:t>
      </w:r>
      <w:r>
        <w:rPr/>
        <w:t>Cancel a receipt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the receipt, click Cancel Receipt, choose the reason and submit the cancellation.</w:t>
            </w:r>
          </w:p>
        </w:tc>
        <w:tc>
          <w:tcPr>
            <w:tcW w:type="dxa" w:w="2523"/>
            <w:tcMar>
              <w:top w:w="50" w:type="dxa"/>
              <w:bottom w:w="50" w:type="dxa"/>
              <w:left w:w="90" w:type="dxa"/>
              <w:right w:w="90" w:type="dxa"/>
            </w:tcMar>
          </w:tcPr>
          <w:p>
            <w:pPr>
              <w:pStyle w:val="BDOITable"/>
            </w:pPr>
            <w:r>
              <w:rPr>
                <w:sz w:val="17"/>
              </w:rPr>
              <w:t>SCR-OP-10 Receipt</w:t>
            </w:r>
          </w:p>
        </w:tc>
        <w:tc>
          <w:tcPr>
            <w:tcW w:type="dxa" w:w="1322"/>
            <w:tcMar>
              <w:top w:w="50" w:type="dxa"/>
              <w:bottom w:w="50" w:type="dxa"/>
              <w:left w:w="90" w:type="dxa"/>
              <w:right w:w="90" w:type="dxa"/>
            </w:tcMar>
          </w:tcPr>
          <w:p>
            <w:pPr>
              <w:pStyle w:val="BDOITable"/>
            </w:pPr>
            <w:r>
              <w:rPr>
                <w:sz w:val="17"/>
              </w:rPr>
              <w:t>WT-D.3</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The Cashiering Team Leader opens the receipt and clicks Approve and Post.</w:t>
            </w:r>
          </w:p>
        </w:tc>
        <w:tc>
          <w:tcPr>
            <w:tcW w:type="dxa" w:w="2523"/>
            <w:tcMar>
              <w:top w:w="50" w:type="dxa"/>
              <w:bottom w:w="50" w:type="dxa"/>
              <w:left w:w="90" w:type="dxa"/>
              <w:right w:w="90" w:type="dxa"/>
            </w:tcMar>
            <w:shd w:val="clear" w:color="auto" w:fill="E5F5FF"/>
          </w:tcPr>
          <w:p>
            <w:pPr>
              <w:pStyle w:val="BDOITable"/>
            </w:pPr>
            <w:r>
              <w:rPr>
                <w:sz w:val="17"/>
              </w:rPr>
              <w:t>SCR-OP-10 Receipt</w:t>
            </w:r>
          </w:p>
        </w:tc>
        <w:tc>
          <w:tcPr>
            <w:tcW w:type="dxa" w:w="1322"/>
            <w:tcMar>
              <w:top w:w="50" w:type="dxa"/>
              <w:bottom w:w="50" w:type="dxa"/>
              <w:left w:w="90" w:type="dxa"/>
              <w:right w:w="90" w:type="dxa"/>
            </w:tcMar>
            <w:shd w:val="clear" w:color="auto" w:fill="E5F5FF"/>
          </w:tcPr>
          <w:p>
            <w:pPr>
              <w:pStyle w:val="BDOITable"/>
            </w:pPr>
            <w:r>
              <w:rPr>
                <w:sz w:val="17"/>
              </w:rPr>
              <w:t>WT-D.4</w:t>
            </w:r>
          </w:p>
        </w:tc>
      </w:tr>
    </w:tbl>
    <w:p>
      <w:pPr>
        <w:pStyle w:val="BDOISpacer"/>
      </w:pPr>
    </w:p>
    <w:p>
      <w:pPr>
        <w:pStyle w:val="Heading1"/>
        <w:pBdr>
          <w:bottom w:val="single" w:sz="4" w:space="4" w:color="99C1E7"/>
        </w:pBdr>
      </w:pPr>
      <w:bookmarkStart w:id="108" w:name="_Toc000108"/>
      <w:r>
        <w:rPr/>
        <w:t>3 Tips</w:t>
      </w:r>
      <w:bookmarkEnd w:id="108"/>
    </w:p>
    <w:p>
      <w:pPr>
        <w:tabs>
          <w:tab w:pos="312" w:val="left"/>
        </w:tabs>
        <w:spacing w:after="40"/>
        <w:ind w:left="312" w:hanging="283"/>
      </w:pPr>
      <w:r>
        <w:rPr>
          <w:color w:val="004EA8"/>
        </w:rPr>
        <w:t>•</w:t>
        <w:tab/>
      </w:r>
      <w:r>
        <w:rPr/>
        <w:t>Payment Uploads accept the Excel template as well as CSV or TXT files.</w:t>
      </w:r>
    </w:p>
    <w:p>
      <w:pPr>
        <w:tabs>
          <w:tab w:pos="312" w:val="left"/>
        </w:tabs>
        <w:spacing w:after="40"/>
        <w:ind w:left="312" w:hanging="283"/>
      </w:pPr>
      <w:r>
        <w:rPr>
          <w:color w:val="004EA8"/>
        </w:rPr>
        <w:t>•</w:t>
        <w:tab/>
      </w:r>
      <w:r>
        <w:rPr/>
        <w:t>A receipt cancellation is posted only after the Team Leader's approval.</w:t>
      </w:r>
    </w:p>
    <w:p>
      <w:pPr>
        <w:tabs>
          <w:tab w:pos="312" w:val="left"/>
        </w:tabs>
        <w:spacing w:after="120"/>
        <w:ind w:left="312" w:hanging="283"/>
      </w:pPr>
      <w:r>
        <w:rPr>
          <w:color w:val="004EA8"/>
        </w:rPr>
        <w:t>•</w:t>
        <w:tab/>
      </w:r>
      <w:r>
        <w:rPr/>
        <w:t>Check the preview before Issue AR and Apply: the receipt number is issued from the receipt series.</w:t>
      </w:r>
    </w:p>
    <w:p>
      <w:pPr>
        <w:pStyle w:val="Heading1"/>
        <w:pBdr>
          <w:bottom w:val="single" w:sz="4" w:space="4" w:color="99C1E7"/>
        </w:pBdr>
      </w:pPr>
      <w:bookmarkStart w:id="109" w:name="_Toc000109"/>
      <w:r>
        <w:rPr/>
        <w:t>4 Where to get help</w:t>
      </w:r>
      <w:bookmarkEnd w:id="109"/>
    </w:p>
    <w:p>
      <w:pPr>
        <w:tabs>
          <w:tab w:pos="312" w:val="left"/>
        </w:tabs>
        <w:spacing w:after="40"/>
        <w:ind w:left="312" w:hanging="283"/>
      </w:pPr>
      <w:r>
        <w:rPr>
          <w:color w:val="004EA8"/>
        </w:rPr>
        <w:t>•</w:t>
        <w:tab/>
      </w:r>
      <w:r>
        <w:rPr/>
        <w:t>Help Center (sidebar, Help &gt; Help Center): the help of every screen you may open, with How it works and Controls; search by word.</w:t>
      </w:r>
    </w:p>
    <w:p>
      <w:pPr>
        <w:tabs>
          <w:tab w:pos="312" w:val="left"/>
        </w:tabs>
        <w:spacing w:after="40"/>
        <w:ind w:left="312" w:hanging="283"/>
      </w:pPr>
      <w:r>
        <w:rPr>
          <w:color w:val="004EA8"/>
        </w:rPr>
        <w:t>•</w:t>
        <w:tab/>
      </w:r>
      <w:r>
        <w:rPr/>
        <w:t>Info icons on field labels: the format and rule of the field; the short format hint under a field gives dates as dd-MMM-yyyy and the file limits.</w:t>
      </w:r>
    </w:p>
    <w:p>
      <w:pPr>
        <w:tabs>
          <w:tab w:pos="312" w:val="left"/>
        </w:tabs>
        <w:spacing w:after="40"/>
        <w:ind w:left="312" w:hanging="283"/>
      </w:pPr>
      <w:r>
        <w:rPr>
          <w:color w:val="004EA8"/>
        </w:rPr>
        <w:t>•</w:t>
        <w:tab/>
      </w:r>
      <w:r>
        <w:rPr/>
        <w:t>Messages: a refused action shows the message on the screen in plain words; the message tells what to correct (the tips above list the frequent ones).</w:t>
      </w:r>
    </w:p>
    <w:p>
      <w:pPr>
        <w:tabs>
          <w:tab w:pos="312" w:val="left"/>
        </w:tabs>
        <w:spacing w:after="40"/>
        <w:ind w:left="312" w:hanging="283"/>
      </w:pPr>
      <w:r>
        <w:rPr>
          <w:color w:val="004EA8"/>
        </w:rPr>
        <w:t>•</w:t>
        <w:tab/>
      </w:r>
      <w:r>
        <w:rPr/>
        <w:t>My Work and My Approvals: every record waiting for you, with the action to take; notices in the bell icon link to the record.</w:t>
      </w:r>
    </w:p>
    <w:p>
      <w:pPr>
        <w:tabs>
          <w:tab w:pos="312" w:val="left"/>
        </w:tabs>
        <w:spacing w:after="40"/>
        <w:ind w:left="312" w:hanging="283"/>
      </w:pPr>
      <w:r>
        <w:rPr>
          <w:color w:val="004EA8"/>
        </w:rPr>
        <w:t>•</w:t>
        <w:tab/>
      </w:r>
      <w:r>
        <w:rPr/>
        <w:t>Key user of your unit: first point of contact for how-to questions and for a second pair of eyes.</w:t>
      </w:r>
    </w:p>
    <w:p>
      <w:pPr>
        <w:tabs>
          <w:tab w:pos="312" w:val="left"/>
        </w:tabs>
        <w:spacing w:after="120"/>
        <w:ind w:left="312" w:hanging="283"/>
      </w:pPr>
      <w:r>
        <w:rPr>
          <w:color w:val="004EA8"/>
        </w:rPr>
        <w:t>•</w:t>
        <w:tab/>
      </w:r>
      <w:r>
        <w:rPr/>
        <w:t>Service desk (BDOI IT): access problems, errors and anything the key user cannot solve; give the record number, the screen ID and the time.</w:t>
      </w:r>
    </w:p>
    <w:p>
      <w:r>
        <w:rPr/>
        <w:t>Report a problem with: the record number, the screen ID or name, what you did, the message shown word for word and the time.</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QRG Cashier</w:t>
    </w:r>
    <w:r>
      <w:rPr>
        <w:color w:val="656565"/>
        <w:sz w:val="16"/>
      </w:rPr>
      <w:t xml:space="preserve">   Quick-Reference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Adoption BRD-00 QRG Cashier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