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QUICK-REFERENCE GUIDE</w:t>
      </w:r>
    </w:p>
    <w:p>
      <w:pPr>
        <w:spacing w:after="80" w:line="240" w:lineRule="auto"/>
      </w:pPr>
      <w:r>
        <w:rPr>
          <w:b/>
          <w:color w:val="004EA8"/>
          <w:sz w:val="56"/>
        </w:rPr>
        <w:t>Quick-Reference Guide: Claims Officer</w:t>
      </w:r>
    </w:p>
    <w:p>
      <w:pPr>
        <w:spacing w:after="40"/>
      </w:pPr>
      <w:r>
        <w:rPr>
          <w:color w:val="2E2E2E"/>
          <w:sz w:val="28"/>
        </w:rPr>
        <w:t>What you do in BIBS, your main tasks step by step, tips and where to get help</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BIBS-QRG-CLM</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FRS walkthroughs and functional requirements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Key users of the Claims Officer persona</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 against the screens in UAT</w:t>
            </w:r>
          </w:p>
        </w:tc>
      </w:tr>
      <w:tr>
        <w:trPr>
          <w:cantSplit w:val="true"/>
        </w:trPr>
        <w:tc>
          <w:tcPr>
            <w:tcW w:type="dxa" w:w="2606"/>
            <w:tcMar>
              <w:top w:w="50" w:type="dxa"/>
              <w:bottom w:w="50" w:type="dxa"/>
              <w:left w:w="90" w:type="dxa"/>
              <w:right w:w="90" w:type="dxa"/>
            </w:tcMar>
          </w:tcPr>
          <w:p>
            <w:pPr>
              <w:pStyle w:val="BDOITable"/>
            </w:pPr>
            <w:r>
              <w:rPr>
                <w:sz w:val="18"/>
              </w:rPr>
              <w:t>BDOI trainers</w:t>
            </w:r>
          </w:p>
        </w:tc>
        <w:tc>
          <w:tcPr>
            <w:tcW w:type="dxa" w:w="2266"/>
            <w:tcMar>
              <w:top w:w="50" w:type="dxa"/>
              <w:bottom w:w="50" w:type="dxa"/>
              <w:left w:w="90" w:type="dxa"/>
              <w:right w:w="90" w:type="dxa"/>
            </w:tcMar>
          </w:tcPr>
          <w:p>
            <w:pPr>
              <w:pStyle w:val="BDOITable"/>
            </w:pPr>
            <w:r>
              <w:rPr>
                <w:sz w:val="18"/>
              </w:rPr>
              <w:t>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End-user training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1 Your role in BIBS</w:t>
        </w:r>
        <w:r>
          <w:t xml:space="preserve">	</w:t>
        </w:r>
        <w:r>
          <w:t xml:space="preserve">4</w:t>
        </w:r>
      </w:hyperlink>
    </w:p>
    <w:p>
      <w:pPr>
        <w:pStyle w:val="toc2"/>
      </w:pPr>
      <w:hyperlink w:anchor="_Toc000102" w:history="1">
        <w:r>
          <w:t xml:space="preserve">1.1 Your menus</w:t>
        </w:r>
        <w:r>
          <w:t xml:space="preserve">	</w:t>
        </w:r>
        <w:r>
          <w:t xml:space="preserve">4</w:t>
        </w:r>
      </w:hyperlink>
    </w:p>
    <w:p>
      <w:pPr>
        <w:pStyle w:val="toc1"/>
      </w:pPr>
      <w:hyperlink w:anchor="_Toc000103" w:history="1">
        <w:r>
          <w:t xml:space="preserve">2 Your main tasks</w:t>
        </w:r>
        <w:r>
          <w:t xml:space="preserve">	</w:t>
        </w:r>
        <w:r>
          <w:t xml:space="preserve">4</w:t>
        </w:r>
      </w:hyperlink>
    </w:p>
    <w:p>
      <w:pPr>
        <w:pStyle w:val="toc2"/>
      </w:pPr>
      <w:hyperlink w:anchor="_Toc000104" w:history="1">
        <w:r>
          <w:t xml:space="preserve">2.1 Record a claim</w:t>
        </w:r>
        <w:r>
          <w:t xml:space="preserve">	</w:t>
        </w:r>
        <w:r>
          <w:t xml:space="preserve">4</w:t>
        </w:r>
      </w:hyperlink>
    </w:p>
    <w:p>
      <w:pPr>
        <w:pStyle w:val="toc2"/>
      </w:pPr>
      <w:hyperlink w:anchor="_Toc000105" w:history="1">
        <w:r>
          <w:t xml:space="preserve">2.2 Work with the insurers</w:t>
        </w:r>
        <w:r>
          <w:t xml:space="preserve">	</w:t>
        </w:r>
        <w:r>
          <w:t xml:space="preserve">4</w:t>
        </w:r>
      </w:hyperlink>
    </w:p>
    <w:p>
      <w:pPr>
        <w:pStyle w:val="toc2"/>
      </w:pPr>
      <w:hyperlink w:anchor="_Toc000106" w:history="1">
        <w:r>
          <w:t xml:space="preserve">2.3 Follow up and close</w:t>
        </w:r>
        <w:r>
          <w:t xml:space="preserve">	</w:t>
        </w:r>
        <w:r>
          <w:t xml:space="preserve">5</w:t>
        </w:r>
      </w:hyperlink>
    </w:p>
    <w:p>
      <w:pPr>
        <w:pStyle w:val="toc1"/>
      </w:pPr>
      <w:hyperlink w:anchor="_Toc000107" w:history="1">
        <w:r>
          <w:t xml:space="preserve">3 Tips</w:t>
        </w:r>
        <w:r>
          <w:t xml:space="preserve">	</w:t>
        </w:r>
        <w:r>
          <w:t xml:space="preserve">5</w:t>
        </w:r>
      </w:hyperlink>
    </w:p>
    <w:p>
      <w:pPr>
        <w:pStyle w:val="toc1"/>
      </w:pPr>
      <w:hyperlink w:anchor="_Toc000108" w:history="1">
        <w:r>
          <w:t xml:space="preserve">4 Where to get help</w:t>
        </w:r>
        <w:r>
          <w:t xml:space="preserve">	</w:t>
        </w:r>
        <w:r>
          <w:t xml:space="preserve">5</w:t>
        </w:r>
      </w:hyperlink>
      <w:r>
        <w:fldChar w:fldCharType="end"/>
      </w:r>
    </w:p>
    <w:p>
      <w:pPr>
        <w:pStyle w:val="Heading1"/>
        <w:pageBreakBefore/>
        <w:pBdr>
          <w:bottom w:val="single" w:sz="4" w:space="4" w:color="99C1E7"/>
        </w:pBdr>
      </w:pPr>
      <w:bookmarkStart w:id="101" w:name="_Toc000101"/>
      <w:r>
        <w:rPr/>
        <w:t>1 Your role in BIBS</w:t>
      </w:r>
      <w:bookmarkEnd w:id="101"/>
    </w:p>
    <w:p>
      <w:r>
        <w:rPr/>
        <w:t>You follow the clients' claims with the insurers. In BIBS you look up the cover, record the claim with its locations and insurers, send the loss advice, record the insurer claim numbers and updates, keep the action plan and the diary, and change the status up to the closure; the Team Lead and Team Head settle, close and reopen.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Persona</w:t>
            </w:r>
          </w:p>
        </w:tc>
        <w:tc>
          <w:tcPr>
            <w:tcW w:type="dxa" w:w="7704"/>
            <w:tcMar>
              <w:top w:w="50" w:type="dxa"/>
              <w:bottom w:w="50" w:type="dxa"/>
              <w:left w:w="90" w:type="dxa"/>
              <w:right w:w="90" w:type="dxa"/>
            </w:tcMar>
          </w:tcPr>
          <w:p>
            <w:pPr>
              <w:pStyle w:val="BDOITable"/>
              <w:keepNext/>
            </w:pPr>
            <w:r>
              <w:rPr>
                <w:sz w:val="18"/>
              </w:rPr>
              <w:t>Claims Officer</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BRDs</w:t>
            </w:r>
          </w:p>
        </w:tc>
        <w:tc>
          <w:tcPr>
            <w:tcW w:type="dxa" w:w="7704"/>
            <w:tcMar>
              <w:top w:w="50" w:type="dxa"/>
              <w:bottom w:w="50" w:type="dxa"/>
              <w:left w:w="90" w:type="dxa"/>
              <w:right w:w="90" w:type="dxa"/>
            </w:tcMar>
          </w:tcPr>
          <w:p>
            <w:pPr>
              <w:pStyle w:val="BDOITable"/>
              <w:keepNext/>
            </w:pPr>
            <w:r>
              <w:rPr>
                <w:sz w:val="18"/>
              </w:rPr>
              <w:t>BRD-07 Claims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Home page</w:t>
            </w:r>
          </w:p>
        </w:tc>
        <w:tc>
          <w:tcPr>
            <w:tcW w:type="dxa" w:w="7704"/>
            <w:tcMar>
              <w:top w:w="50" w:type="dxa"/>
              <w:bottom w:w="50" w:type="dxa"/>
              <w:left w:w="90" w:type="dxa"/>
              <w:right w:w="90" w:type="dxa"/>
            </w:tcMar>
          </w:tcPr>
          <w:p>
            <w:pPr>
              <w:pStyle w:val="BDOITable"/>
              <w:keepNext/>
            </w:pPr>
            <w:r>
              <w:rPr>
                <w:sz w:val="18"/>
              </w:rPr>
              <w:t>Claims Home: open claims by age and next follow-up</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Sign-in</w:t>
            </w:r>
          </w:p>
        </w:tc>
        <w:tc>
          <w:tcPr>
            <w:tcW w:type="dxa" w:w="7704"/>
            <w:tcMar>
              <w:top w:w="50" w:type="dxa"/>
              <w:bottom w:w="50" w:type="dxa"/>
              <w:left w:w="90" w:type="dxa"/>
              <w:right w:w="90" w:type="dxa"/>
            </w:tcMar>
          </w:tcPr>
          <w:p>
            <w:pPr>
              <w:pStyle w:val="BDOITable"/>
              <w:keepNext/>
            </w:pPr>
            <w:r>
              <w:rPr>
                <w:sz w:val="18"/>
              </w:rPr>
              <w:t>BDO single sign-on (EIAM); MFA as set by Information Security</w:t>
            </w:r>
          </w:p>
        </w:tc>
      </w:tr>
    </w:tbl>
    <w:p>
      <w:pPr>
        <w:pStyle w:val="BDOISpacer"/>
      </w:pPr>
    </w:p>
    <w:p>
      <w:pPr>
        <w:pStyle w:val="Heading2"/>
      </w:pPr>
      <w:bookmarkStart w:id="102" w:name="_Toc000102"/>
      <w:r>
        <w:rPr/>
        <w:t>1.1 Your menus</w:t>
      </w:r>
      <w:bookmarkEnd w:id="102"/>
    </w:p>
    <w:p>
      <w:r>
        <w:rPr/>
        <w:t>The sidebar shows only the screens your roles allow. Your main menus:</w:t>
      </w:r>
    </w:p>
    <w:p>
      <w:pPr>
        <w:tabs>
          <w:tab w:pos="312" w:val="left"/>
        </w:tabs>
        <w:spacing w:after="120"/>
        <w:ind w:left="312" w:hanging="283"/>
      </w:pPr>
      <w:r>
        <w:rPr>
          <w:color w:val="004EA8"/>
        </w:rPr>
        <w:t>•</w:t>
        <w:tab/>
      </w:r>
      <w:r>
        <w:rPr/>
        <w:t>Claims &amp; Insurance &gt; Claims Handling: Claims Home, Claims Worklist, Record Claim, Cover Lookup, My Diary, Insurer Location References, Claims Reports</w:t>
      </w:r>
    </w:p>
    <w:p>
      <w:pPr>
        <w:pStyle w:val="Heading1"/>
        <w:pBdr>
          <w:bottom w:val="single" w:sz="4" w:space="4" w:color="99C1E7"/>
        </w:pBdr>
      </w:pPr>
      <w:bookmarkStart w:id="103" w:name="_Toc000103"/>
      <w:r>
        <w:rPr/>
        <w:t>2 Your main tasks</w:t>
      </w:r>
      <w:bookmarkEnd w:id="103"/>
    </w:p>
    <w:p>
      <w:r>
        <w:rPr/>
        <w:t>Each task lists the steps in order, the screen (ID and name of the screen specification) and the step of the FRS walkthrough or the functional requirement it follows. The FRS walkthroughs show every step with its screenshot.</w:t>
      </w:r>
    </w:p>
    <w:p>
      <w:pPr>
        <w:pStyle w:val="Heading2"/>
      </w:pPr>
      <w:bookmarkStart w:id="104" w:name="_Toc000104"/>
      <w:r>
        <w:rPr/>
        <w:t>2.1 Record a claim</w:t>
      </w:r>
      <w:bookmarkEnd w:id="104"/>
    </w:p>
    <w:p>
      <w:r>
        <w:rPr/>
        <w:t>Reference: FRS BRD-07, FR-CM-010, FR-CM-011, FR-CM-020.</w:t>
      </w:r>
    </w:p>
    <w:p>
      <w:pPr>
        <w:pStyle w:val="Caption"/>
        <w:keepNext/>
        <w:spacing w:after="60"/>
      </w:pPr>
      <w:r>
        <w:rPr>
          <w:b/>
          <w:i w:val="0"/>
        </w:rPr>
        <w:t xml:space="preserve">Table 1: </w:t>
      </w:r>
      <w:r>
        <w:rPr/>
        <w:t>Record a claim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Cover Lookup and search by ARN, policy number or assured name; open the cover and start Record Claim.</w:t>
            </w:r>
          </w:p>
        </w:tc>
        <w:tc>
          <w:tcPr>
            <w:tcW w:type="dxa" w:w="2523"/>
            <w:tcMar>
              <w:top w:w="50" w:type="dxa"/>
              <w:bottom w:w="50" w:type="dxa"/>
              <w:left w:w="90" w:type="dxa"/>
              <w:right w:w="90" w:type="dxa"/>
            </w:tcMar>
          </w:tcPr>
          <w:p>
            <w:pPr>
              <w:pStyle w:val="BDOITable"/>
            </w:pPr>
            <w:r>
              <w:rPr>
                <w:sz w:val="17"/>
              </w:rPr>
              <w:t>Cover Lookup</w:t>
            </w:r>
          </w:p>
        </w:tc>
        <w:tc>
          <w:tcPr>
            <w:tcW w:type="dxa" w:w="1322"/>
            <w:tcMar>
              <w:top w:w="50" w:type="dxa"/>
              <w:bottom w:w="50" w:type="dxa"/>
              <w:left w:w="90" w:type="dxa"/>
              <w:right w:w="90" w:type="dxa"/>
            </w:tcMar>
          </w:tcPr>
          <w:p>
            <w:pPr>
              <w:pStyle w:val="BDOITable"/>
            </w:pPr>
            <w:r>
              <w:rPr>
                <w:sz w:val="17"/>
              </w:rPr>
              <w:t>FR-CM-010</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Check the cover card (policy number, version, period, premium check, Marketing unit, officer and branch) and pick the insured locations with the damage per location.</w:t>
            </w:r>
          </w:p>
        </w:tc>
        <w:tc>
          <w:tcPr>
            <w:tcW w:type="dxa" w:w="2523"/>
            <w:tcMar>
              <w:top w:w="50" w:type="dxa"/>
              <w:bottom w:w="50" w:type="dxa"/>
              <w:left w:w="90" w:type="dxa"/>
              <w:right w:w="90" w:type="dxa"/>
            </w:tcMar>
            <w:shd w:val="clear" w:color="auto" w:fill="E5F5FF"/>
          </w:tcPr>
          <w:p>
            <w:pPr>
              <w:pStyle w:val="BDOITable"/>
            </w:pPr>
            <w:r>
              <w:rPr>
                <w:sz w:val="17"/>
              </w:rPr>
              <w:t>Record Claim</w:t>
            </w:r>
          </w:p>
        </w:tc>
        <w:tc>
          <w:tcPr>
            <w:tcW w:type="dxa" w:w="1322"/>
            <w:tcMar>
              <w:top w:w="50" w:type="dxa"/>
              <w:bottom w:w="50" w:type="dxa"/>
              <w:left w:w="90" w:type="dxa"/>
              <w:right w:w="90" w:type="dxa"/>
            </w:tcMar>
            <w:shd w:val="clear" w:color="auto" w:fill="E5F5FF"/>
          </w:tcPr>
          <w:p>
            <w:pPr>
              <w:pStyle w:val="BDOITable"/>
            </w:pPr>
            <w:r>
              <w:rPr>
                <w:sz w:val="17"/>
              </w:rPr>
              <w:t>FR-CM-011, FR-CM-020</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Enter the loss details and the reported date, confirm the insurers proposed from the invoice shares and save. BIBS gives the claim number and the next follow-up date.</w:t>
            </w:r>
          </w:p>
        </w:tc>
        <w:tc>
          <w:tcPr>
            <w:tcW w:type="dxa" w:w="2523"/>
            <w:tcMar>
              <w:top w:w="50" w:type="dxa"/>
              <w:bottom w:w="50" w:type="dxa"/>
              <w:left w:w="90" w:type="dxa"/>
              <w:right w:w="90" w:type="dxa"/>
            </w:tcMar>
          </w:tcPr>
          <w:p>
            <w:pPr>
              <w:pStyle w:val="BDOITable"/>
            </w:pPr>
            <w:r>
              <w:rPr>
                <w:sz w:val="17"/>
              </w:rPr>
              <w:t>Record Claim</w:t>
            </w:r>
          </w:p>
        </w:tc>
        <w:tc>
          <w:tcPr>
            <w:tcW w:type="dxa" w:w="1322"/>
            <w:tcMar>
              <w:top w:w="50" w:type="dxa"/>
              <w:bottom w:w="50" w:type="dxa"/>
              <w:left w:w="90" w:type="dxa"/>
              <w:right w:w="90" w:type="dxa"/>
            </w:tcMar>
          </w:tcPr>
          <w:p>
            <w:pPr>
              <w:pStyle w:val="BDOITable"/>
            </w:pPr>
            <w:r>
              <w:rPr>
                <w:sz w:val="17"/>
              </w:rPr>
              <w:t>FR-CM-011</w:t>
            </w:r>
          </w:p>
        </w:tc>
      </w:tr>
    </w:tbl>
    <w:p>
      <w:pPr>
        <w:pStyle w:val="BDOISpacer"/>
      </w:pPr>
    </w:p>
    <w:p>
      <w:pPr>
        <w:pStyle w:val="Heading2"/>
      </w:pPr>
      <w:bookmarkStart w:id="105" w:name="_Toc000105"/>
      <w:r>
        <w:rPr/>
        <w:t>2.2 Work with the insurers</w:t>
      </w:r>
      <w:bookmarkEnd w:id="105"/>
    </w:p>
    <w:p>
      <w:r>
        <w:rPr/>
        <w:t>Reference: FRS BRD-07, FR-CM-016, FR-CM-021, FR-CM-022, FR-CM-024.</w:t>
      </w:r>
    </w:p>
    <w:p>
      <w:pPr>
        <w:pStyle w:val="Caption"/>
        <w:keepNext/>
        <w:spacing w:after="60"/>
      </w:pPr>
      <w:r>
        <w:rPr>
          <w:b/>
          <w:i w:val="0"/>
        </w:rPr>
        <w:t xml:space="preserve">Table 2: </w:t>
      </w:r>
      <w:r>
        <w:rPr/>
        <w:t>Work with the insurers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Click Send Loss Advice, select the insurers, check the preview and confirm.</w:t>
            </w:r>
          </w:p>
        </w:tc>
        <w:tc>
          <w:tcPr>
            <w:tcW w:type="dxa" w:w="2523"/>
            <w:tcMar>
              <w:top w:w="50" w:type="dxa"/>
              <w:bottom w:w="50" w:type="dxa"/>
              <w:left w:w="90" w:type="dxa"/>
              <w:right w:w="90" w:type="dxa"/>
            </w:tcMar>
          </w:tcPr>
          <w:p>
            <w:pPr>
              <w:pStyle w:val="BDOITable"/>
            </w:pPr>
            <w:r>
              <w:rPr>
                <w:sz w:val="17"/>
              </w:rPr>
              <w:t>Claim record</w:t>
            </w:r>
          </w:p>
        </w:tc>
        <w:tc>
          <w:tcPr>
            <w:tcW w:type="dxa" w:w="1322"/>
            <w:tcMar>
              <w:top w:w="50" w:type="dxa"/>
              <w:bottom w:w="50" w:type="dxa"/>
              <w:left w:w="90" w:type="dxa"/>
              <w:right w:w="90" w:type="dxa"/>
            </w:tcMar>
          </w:tcPr>
          <w:p>
            <w:pPr>
              <w:pStyle w:val="BDOITable"/>
            </w:pPr>
            <w:r>
              <w:rPr>
                <w:sz w:val="17"/>
              </w:rPr>
              <w:t>FR-CM-024</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On Insurers &amp; Updates, click Add Insurer Claim Number on the insurer line and enter the number and the date reported.</w:t>
            </w:r>
          </w:p>
        </w:tc>
        <w:tc>
          <w:tcPr>
            <w:tcW w:type="dxa" w:w="2523"/>
            <w:tcMar>
              <w:top w:w="50" w:type="dxa"/>
              <w:bottom w:w="50" w:type="dxa"/>
              <w:left w:w="90" w:type="dxa"/>
              <w:right w:w="90" w:type="dxa"/>
            </w:tcMar>
            <w:shd w:val="clear" w:color="auto" w:fill="E5F5FF"/>
          </w:tcPr>
          <w:p>
            <w:pPr>
              <w:pStyle w:val="BDOITable"/>
            </w:pPr>
            <w:r>
              <w:rPr>
                <w:sz w:val="17"/>
              </w:rPr>
              <w:t>Claim record (Insurers &amp; Updates)</w:t>
            </w:r>
          </w:p>
        </w:tc>
        <w:tc>
          <w:tcPr>
            <w:tcW w:type="dxa" w:w="1322"/>
            <w:tcMar>
              <w:top w:w="50" w:type="dxa"/>
              <w:bottom w:w="50" w:type="dxa"/>
              <w:left w:w="90" w:type="dxa"/>
              <w:right w:w="90" w:type="dxa"/>
            </w:tcMar>
            <w:shd w:val="clear" w:color="auto" w:fill="E5F5FF"/>
          </w:tcPr>
          <w:p>
            <w:pPr>
              <w:pStyle w:val="BDOITable"/>
            </w:pPr>
            <w:r>
              <w:rPr>
                <w:sz w:val="17"/>
              </w:rPr>
              <w:t>FR-CM-021</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Click Record Insurer Update with the date, source, reference and remarks, and attach the insurer's document.</w:t>
            </w:r>
          </w:p>
        </w:tc>
        <w:tc>
          <w:tcPr>
            <w:tcW w:type="dxa" w:w="2523"/>
            <w:tcMar>
              <w:top w:w="50" w:type="dxa"/>
              <w:bottom w:w="50" w:type="dxa"/>
              <w:left w:w="90" w:type="dxa"/>
              <w:right w:w="90" w:type="dxa"/>
            </w:tcMar>
          </w:tcPr>
          <w:p>
            <w:pPr>
              <w:pStyle w:val="BDOITable"/>
            </w:pPr>
            <w:r>
              <w:rPr>
                <w:sz w:val="17"/>
              </w:rPr>
              <w:t>Claim record (Insurers &amp; Updates)</w:t>
            </w:r>
          </w:p>
        </w:tc>
        <w:tc>
          <w:tcPr>
            <w:tcW w:type="dxa" w:w="1322"/>
            <w:tcMar>
              <w:top w:w="50" w:type="dxa"/>
              <w:bottom w:w="50" w:type="dxa"/>
              <w:left w:w="90" w:type="dxa"/>
              <w:right w:w="90" w:type="dxa"/>
            </w:tcMar>
          </w:tcPr>
          <w:p>
            <w:pPr>
              <w:pStyle w:val="BDOITable"/>
            </w:pPr>
            <w:r>
              <w:rPr>
                <w:sz w:val="17"/>
              </w:rPr>
              <w:t>FR-CM-022</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5647"/>
            <w:tcMar>
              <w:top w:w="50" w:type="dxa"/>
              <w:bottom w:w="50" w:type="dxa"/>
              <w:left w:w="90" w:type="dxa"/>
              <w:right w:w="90" w:type="dxa"/>
            </w:tcMar>
            <w:shd w:val="clear" w:color="auto" w:fill="E5F5FF"/>
          </w:tcPr>
          <w:p>
            <w:pPr>
              <w:pStyle w:val="BDOITable"/>
            </w:pPr>
            <w:r>
              <w:rPr>
                <w:sz w:val="17"/>
              </w:rPr>
              <w:t>When the premium check is Paid, click Generate Authorization Code.</w:t>
            </w:r>
          </w:p>
        </w:tc>
        <w:tc>
          <w:tcPr>
            <w:tcW w:type="dxa" w:w="2523"/>
            <w:tcMar>
              <w:top w:w="50" w:type="dxa"/>
              <w:bottom w:w="50" w:type="dxa"/>
              <w:left w:w="90" w:type="dxa"/>
              <w:right w:w="90" w:type="dxa"/>
            </w:tcMar>
            <w:shd w:val="clear" w:color="auto" w:fill="E5F5FF"/>
          </w:tcPr>
          <w:p>
            <w:pPr>
              <w:pStyle w:val="BDOITable"/>
            </w:pPr>
            <w:r>
              <w:rPr>
                <w:sz w:val="17"/>
              </w:rPr>
              <w:t>Claim record</w:t>
            </w:r>
          </w:p>
        </w:tc>
        <w:tc>
          <w:tcPr>
            <w:tcW w:type="dxa" w:w="1322"/>
            <w:tcMar>
              <w:top w:w="50" w:type="dxa"/>
              <w:bottom w:w="50" w:type="dxa"/>
              <w:left w:w="90" w:type="dxa"/>
              <w:right w:w="90" w:type="dxa"/>
            </w:tcMar>
            <w:shd w:val="clear" w:color="auto" w:fill="E5F5FF"/>
          </w:tcPr>
          <w:p>
            <w:pPr>
              <w:pStyle w:val="BDOITable"/>
            </w:pPr>
            <w:r>
              <w:rPr>
                <w:sz w:val="17"/>
              </w:rPr>
              <w:t>FR-CM-016</w:t>
            </w:r>
          </w:p>
        </w:tc>
      </w:tr>
    </w:tbl>
    <w:p>
      <w:pPr>
        <w:pStyle w:val="BDOISpacer"/>
      </w:pPr>
    </w:p>
    <w:p>
      <w:pPr>
        <w:pStyle w:val="Heading2"/>
      </w:pPr>
      <w:bookmarkStart w:id="106" w:name="_Toc000106"/>
      <w:r>
        <w:rPr/>
        <w:t>2.3 Follow up and close</w:t>
      </w:r>
      <w:bookmarkEnd w:id="106"/>
    </w:p>
    <w:p>
      <w:r>
        <w:rPr/>
        <w:t>Reference: FRS BRD-07, FR-CM-042, FR-CM-045, FR-CM-051, FR-CM-052, FR-CM-055.</w:t>
      </w:r>
    </w:p>
    <w:p>
      <w:pPr>
        <w:pStyle w:val="Caption"/>
        <w:keepNext/>
        <w:spacing w:after="60"/>
      </w:pPr>
      <w:r>
        <w:rPr>
          <w:b/>
          <w:i w:val="0"/>
        </w:rPr>
        <w:t xml:space="preserve">Table 3: </w:t>
      </w:r>
      <w:r>
        <w:rPr/>
        <w:t>Follow up and close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Claims Home, click a tile and work the filtered Claims Worklist (for example Follow-ups Due).</w:t>
            </w:r>
          </w:p>
        </w:tc>
        <w:tc>
          <w:tcPr>
            <w:tcW w:type="dxa" w:w="2523"/>
            <w:tcMar>
              <w:top w:w="50" w:type="dxa"/>
              <w:bottom w:w="50" w:type="dxa"/>
              <w:left w:w="90" w:type="dxa"/>
              <w:right w:w="90" w:type="dxa"/>
            </w:tcMar>
          </w:tcPr>
          <w:p>
            <w:pPr>
              <w:pStyle w:val="BDOITable"/>
            </w:pPr>
            <w:r>
              <w:rPr>
                <w:sz w:val="17"/>
              </w:rPr>
              <w:t>Claims Home; Claims Worklist</w:t>
            </w:r>
          </w:p>
        </w:tc>
        <w:tc>
          <w:tcPr>
            <w:tcW w:type="dxa" w:w="1322"/>
            <w:tcMar>
              <w:top w:w="50" w:type="dxa"/>
              <w:bottom w:w="50" w:type="dxa"/>
              <w:left w:w="90" w:type="dxa"/>
              <w:right w:w="90" w:type="dxa"/>
            </w:tcMar>
          </w:tcPr>
          <w:p>
            <w:pPr>
              <w:pStyle w:val="BDOITable"/>
            </w:pPr>
            <w:r>
              <w:rPr>
                <w:sz w:val="17"/>
              </w:rPr>
              <w:t>FR-CM-055</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Update the Next Action Plan Summary and add diary entries with a due date and assignee.</w:t>
            </w:r>
          </w:p>
        </w:tc>
        <w:tc>
          <w:tcPr>
            <w:tcW w:type="dxa" w:w="2523"/>
            <w:tcMar>
              <w:top w:w="50" w:type="dxa"/>
              <w:bottom w:w="50" w:type="dxa"/>
              <w:left w:w="90" w:type="dxa"/>
              <w:right w:w="90" w:type="dxa"/>
            </w:tcMar>
            <w:shd w:val="clear" w:color="auto" w:fill="E5F5FF"/>
          </w:tcPr>
          <w:p>
            <w:pPr>
              <w:pStyle w:val="BDOITable"/>
            </w:pPr>
            <w:r>
              <w:rPr>
                <w:sz w:val="17"/>
              </w:rPr>
              <w:t>Claim record (Details, Diary); My Diary</w:t>
            </w:r>
          </w:p>
        </w:tc>
        <w:tc>
          <w:tcPr>
            <w:tcW w:type="dxa" w:w="1322"/>
            <w:tcMar>
              <w:top w:w="50" w:type="dxa"/>
              <w:bottom w:w="50" w:type="dxa"/>
              <w:left w:w="90" w:type="dxa"/>
              <w:right w:w="90" w:type="dxa"/>
            </w:tcMar>
            <w:shd w:val="clear" w:color="auto" w:fill="E5F5FF"/>
          </w:tcPr>
          <w:p>
            <w:pPr>
              <w:pStyle w:val="BDOITable"/>
            </w:pPr>
            <w:r>
              <w:rPr>
                <w:sz w:val="17"/>
              </w:rPr>
              <w:t>FR-CM-051, FR-CM-052</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Click Change Status, select the status and write a remark; tag a temporary closure when the claim waits outside BDOI. The Team Lead closes permanently with the settlement.</w:t>
            </w:r>
          </w:p>
        </w:tc>
        <w:tc>
          <w:tcPr>
            <w:tcW w:type="dxa" w:w="2523"/>
            <w:tcMar>
              <w:top w:w="50" w:type="dxa"/>
              <w:bottom w:w="50" w:type="dxa"/>
              <w:left w:w="90" w:type="dxa"/>
              <w:right w:w="90" w:type="dxa"/>
            </w:tcMar>
          </w:tcPr>
          <w:p>
            <w:pPr>
              <w:pStyle w:val="BDOITable"/>
            </w:pPr>
            <w:r>
              <w:rPr>
                <w:sz w:val="17"/>
              </w:rPr>
              <w:t>Claim record</w:t>
            </w:r>
          </w:p>
        </w:tc>
        <w:tc>
          <w:tcPr>
            <w:tcW w:type="dxa" w:w="1322"/>
            <w:tcMar>
              <w:top w:w="50" w:type="dxa"/>
              <w:bottom w:w="50" w:type="dxa"/>
              <w:left w:w="90" w:type="dxa"/>
              <w:right w:w="90" w:type="dxa"/>
            </w:tcMar>
          </w:tcPr>
          <w:p>
            <w:pPr>
              <w:pStyle w:val="BDOITable"/>
            </w:pPr>
            <w:r>
              <w:rPr>
                <w:sz w:val="17"/>
              </w:rPr>
              <w:t>FR-CM-042, FR-CM-045</w:t>
            </w:r>
          </w:p>
        </w:tc>
      </w:tr>
    </w:tbl>
    <w:p>
      <w:pPr>
        <w:pStyle w:val="BDOISpacer"/>
      </w:pPr>
    </w:p>
    <w:p>
      <w:pPr>
        <w:pStyle w:val="Heading1"/>
        <w:pBdr>
          <w:bottom w:val="single" w:sz="4" w:space="4" w:color="99C1E7"/>
        </w:pBdr>
      </w:pPr>
      <w:bookmarkStart w:id="107" w:name="_Toc000107"/>
      <w:r>
        <w:rPr/>
        <w:t>3 Tips</w:t>
      </w:r>
      <w:bookmarkEnd w:id="107"/>
    </w:p>
    <w:p>
      <w:pPr>
        <w:tabs>
          <w:tab w:pos="312" w:val="left"/>
        </w:tabs>
        <w:spacing w:after="40"/>
        <w:ind w:left="312" w:hanging="283"/>
      </w:pPr>
      <w:r>
        <w:rPr>
          <w:color w:val="004EA8"/>
        </w:rPr>
        <w:t>•</w:t>
        <w:tab/>
      </w:r>
      <w:r>
        <w:rPr/>
        <w:t>The authorization code is issued only when the premium check is Paid.</w:t>
      </w:r>
    </w:p>
    <w:p>
      <w:pPr>
        <w:tabs>
          <w:tab w:pos="312" w:val="left"/>
        </w:tabs>
        <w:spacing w:after="40"/>
        <w:ind w:left="312" w:hanging="283"/>
      </w:pPr>
      <w:r>
        <w:rPr>
          <w:color w:val="004EA8"/>
        </w:rPr>
        <w:t>•</w:t>
        <w:tab/>
      </w:r>
      <w:r>
        <w:rPr/>
        <w:t>Insurer updates are never edited or deleted; a wrong diary entry is marked done with a remark.</w:t>
      </w:r>
    </w:p>
    <w:p>
      <w:pPr>
        <w:tabs>
          <w:tab w:pos="312" w:val="left"/>
        </w:tabs>
        <w:spacing w:after="120"/>
        <w:ind w:left="312" w:hanging="283"/>
      </w:pPr>
      <w:r>
        <w:rPr>
          <w:color w:val="004EA8"/>
        </w:rPr>
        <w:t>•</w:t>
        <w:tab/>
      </w:r>
      <w:r>
        <w:rPr/>
        <w:t>The combination of claim, insurer and insurer claim number is unique.</w:t>
      </w:r>
    </w:p>
    <w:p>
      <w:pPr>
        <w:pStyle w:val="Heading1"/>
        <w:pBdr>
          <w:bottom w:val="single" w:sz="4" w:space="4" w:color="99C1E7"/>
        </w:pBdr>
      </w:pPr>
      <w:bookmarkStart w:id="108" w:name="_Toc000108"/>
      <w:r>
        <w:rPr/>
        <w:t>4 Where to get help</w:t>
      </w:r>
      <w:bookmarkEnd w:id="108"/>
    </w:p>
    <w:p>
      <w:pPr>
        <w:tabs>
          <w:tab w:pos="312" w:val="left"/>
        </w:tabs>
        <w:spacing w:after="40"/>
        <w:ind w:left="312" w:hanging="283"/>
      </w:pPr>
      <w:r>
        <w:rPr>
          <w:color w:val="004EA8"/>
        </w:rPr>
        <w:t>•</w:t>
        <w:tab/>
      </w:r>
      <w:r>
        <w:rPr/>
        <w:t>Help Center (sidebar, Help &gt; Help Center): the help of every screen you may open, with How it works and Controls; search by word.</w:t>
      </w:r>
    </w:p>
    <w:p>
      <w:pPr>
        <w:tabs>
          <w:tab w:pos="312" w:val="left"/>
        </w:tabs>
        <w:spacing w:after="40"/>
        <w:ind w:left="312" w:hanging="283"/>
      </w:pPr>
      <w:r>
        <w:rPr>
          <w:color w:val="004EA8"/>
        </w:rPr>
        <w:t>•</w:t>
        <w:tab/>
      </w:r>
      <w:r>
        <w:rPr/>
        <w:t>Info icons on field labels: the format and rule of the field; the short format hint under a field gives dates as dd-MMM-yyyy and the file limits.</w:t>
      </w:r>
    </w:p>
    <w:p>
      <w:pPr>
        <w:tabs>
          <w:tab w:pos="312" w:val="left"/>
        </w:tabs>
        <w:spacing w:after="40"/>
        <w:ind w:left="312" w:hanging="283"/>
      </w:pPr>
      <w:r>
        <w:rPr>
          <w:color w:val="004EA8"/>
        </w:rPr>
        <w:t>•</w:t>
        <w:tab/>
      </w:r>
      <w:r>
        <w:rPr/>
        <w:t>Messages: a refused action shows the message on the screen in plain words; the message tells what to correct (the tips above list the frequent ones).</w:t>
      </w:r>
    </w:p>
    <w:p>
      <w:pPr>
        <w:tabs>
          <w:tab w:pos="312" w:val="left"/>
        </w:tabs>
        <w:spacing w:after="40"/>
        <w:ind w:left="312" w:hanging="283"/>
      </w:pPr>
      <w:r>
        <w:rPr>
          <w:color w:val="004EA8"/>
        </w:rPr>
        <w:t>•</w:t>
        <w:tab/>
      </w:r>
      <w:r>
        <w:rPr/>
        <w:t>My Work and My Approvals: every record waiting for you, with the action to take; notices in the bell icon link to the record.</w:t>
      </w:r>
    </w:p>
    <w:p>
      <w:pPr>
        <w:tabs>
          <w:tab w:pos="312" w:val="left"/>
        </w:tabs>
        <w:spacing w:after="40"/>
        <w:ind w:left="312" w:hanging="283"/>
      </w:pPr>
      <w:r>
        <w:rPr>
          <w:color w:val="004EA8"/>
        </w:rPr>
        <w:t>•</w:t>
        <w:tab/>
      </w:r>
      <w:r>
        <w:rPr/>
        <w:t>Key user of your unit: first point of contact for how-to questions and for a second pair of eyes.</w:t>
      </w:r>
    </w:p>
    <w:p>
      <w:pPr>
        <w:tabs>
          <w:tab w:pos="312" w:val="left"/>
        </w:tabs>
        <w:spacing w:after="120"/>
        <w:ind w:left="312" w:hanging="283"/>
      </w:pPr>
      <w:r>
        <w:rPr>
          <w:color w:val="004EA8"/>
        </w:rPr>
        <w:t>•</w:t>
        <w:tab/>
      </w:r>
      <w:r>
        <w:rPr/>
        <w:t>Service desk (BDOI IT): access problems, errors and anything the key user cannot solve; give the record number, the screen ID and the time.</w:t>
      </w:r>
    </w:p>
    <w:p>
      <w:r>
        <w:rPr/>
        <w:t>Report a problem with: the record number, the screen ID or name, what you did, the message shown word for word and the time.</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QRG Claims Officer</w:t>
    </w:r>
    <w:r>
      <w:rPr>
        <w:color w:val="656565"/>
        <w:sz w:val="16"/>
      </w:rPr>
      <w:t xml:space="preserve">   Quick-Reference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QRG Claims Officer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