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PROGRAMME ALIGNMENT</w:t>
      </w:r>
    </w:p>
    <w:p>
      <w:pPr>
        <w:spacing w:after="80" w:line="240" w:lineRule="auto"/>
      </w:pPr>
      <w:r>
        <w:rPr>
          <w:b/>
          <w:color w:val="004EA8"/>
          <w:sz w:val="56"/>
        </w:rPr>
        <w:t>Programme Alignment - Drops, Integrations and Infrastructure</w:t>
      </w:r>
    </w:p>
    <w:p>
      <w:pPr>
        <w:spacing w:after="40"/>
      </w:pPr>
      <w:r>
        <w:rPr>
          <w:color w:val="2E2E2E"/>
          <w:sz w:val="28"/>
        </w:rPr>
        <w:t>BDOI drop plan, timeline and IER workbook against BIBS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BIBS-ALN-BRD-00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First issue, from the drop plan and timeline slides, the IER workbook v20, the early renewal concept paper and the BDOI answers of 26 September 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Drops, timeline, cut-over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(integration owners)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Integration inventory and open questions IQ04-IQ19</w:t>
            </w:r>
          </w:p>
        </w:tc>
      </w:tr>
      <w:tr>
        <w:trPr>
          <w:cantSplit w:val="true"/>
        </w:trPr>
        <w:tc>
          <w:tcPr>
            <w:tcW w:type="dxa" w:w="2606"/>
            <w:tcMar>
              <w:top w:w="50" w:type="dxa"/>
              <w:bottom w:w="50" w:type="dxa"/>
              <w:left w:w="90" w:type="dxa"/>
              <w:right w:w="90" w:type="dxa"/>
            </w:tcMar>
          </w:tcPr>
          <w:p>
            <w:pPr>
              <w:pStyle w:val="BDOITable"/>
            </w:pPr>
            <w:r>
              <w:rPr>
                <w:sz w:val="18"/>
              </w:rPr>
              <w:t>Cloud and Digital Operations Engineering (IER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IT</w:t>
            </w:r>
          </w:p>
        </w:tc>
        <w:tc>
          <w:tcPr>
            <w:tcW w:type="dxa" w:w="2833"/>
            <w:tcMar>
              <w:top w:w="50" w:type="dxa"/>
              <w:bottom w:w="50" w:type="dxa"/>
              <w:left w:w="90" w:type="dxa"/>
              <w:right w:w="90" w:type="dxa"/>
            </w:tcMar>
          </w:tcPr>
          <w:p>
            <w:pPr>
              <w:pStyle w:val="BDOITable"/>
            </w:pPr>
            <w:r>
              <w:rPr>
                <w:sz w:val="18"/>
              </w:rPr>
              <w:t>Infrastructure alignment and the IER changes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Drop mapping, renewal transition</w:t>
            </w:r>
          </w:p>
        </w:tc>
      </w:tr>
      <w:tr>
        <w:trPr>
          <w:cantSplit w:val="true"/>
        </w:trPr>
        <w:tc>
          <w:tcPr>
            <w:tcW w:type="dxa" w:w="2606"/>
            <w:tcMar>
              <w:top w:w="50" w:type="dxa"/>
              <w:bottom w:w="50" w:type="dxa"/>
              <w:left w:w="90" w:type="dxa"/>
              <w:right w:w="90" w:type="dxa"/>
            </w:tcMar>
          </w:tcPr>
          <w:p>
            <w:pPr>
              <w:pStyle w:val="BDOITable"/>
            </w:pPr>
            <w:r>
              <w:rPr>
                <w:sz w:val="18"/>
              </w:rPr>
              <w:t>Head, Comptrollership; Head, Operations</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Drop 1 downstream, EGL, bank channels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plan, test and migration plan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1.2 Sources</w:t>
        </w:r>
        <w:r>
          <w:t xml:space="preserve">	</w:t>
        </w:r>
        <w:r>
          <w:t xml:space="preserve">4</w:t>
        </w:r>
      </w:hyperlink>
    </w:p>
    <w:p>
      <w:pPr>
        <w:pStyle w:val="toc2"/>
      </w:pPr>
      <w:hyperlink w:anchor="_Toc000104" w:history="1">
        <w:r>
          <w:t xml:space="preserve">1.3 BDOI answers of 26 September 2026</w:t>
        </w:r>
        <w:r>
          <w:t xml:space="preserve">	</w:t>
        </w:r>
        <w:r>
          <w:t xml:space="preserve">4</w:t>
        </w:r>
      </w:hyperlink>
    </w:p>
    <w:p>
      <w:pPr>
        <w:pStyle w:val="toc2"/>
      </w:pPr>
      <w:hyperlink w:anchor="_Toc000105" w:history="1">
        <w:r>
          <w:t xml:space="preserve">1.4 Conventions</w:t>
        </w:r>
        <w:r>
          <w:t xml:space="preserve">	</w:t>
        </w:r>
        <w:r>
          <w:t xml:space="preserve">5</w:t>
        </w:r>
      </w:hyperlink>
    </w:p>
    <w:p>
      <w:pPr>
        <w:pStyle w:val="toc1"/>
      </w:pPr>
      <w:hyperlink w:anchor="_Toc000106" w:history="1">
        <w:r>
          <w:t xml:space="preserve">2 Drop mapping</w:t>
        </w:r>
        <w:r>
          <w:t xml:space="preserve">	</w:t>
        </w:r>
        <w:r>
          <w:t xml:space="preserve">6</w:t>
        </w:r>
      </w:hyperlink>
    </w:p>
    <w:p>
      <w:pPr>
        <w:pStyle w:val="toc2"/>
      </w:pPr>
      <w:hyperlink w:anchor="_Toc000107" w:history="1">
        <w:r>
          <w:t xml:space="preserve">2.1 The drops at a glance</w:t>
        </w:r>
        <w:r>
          <w:t xml:space="preserve">	</w:t>
        </w:r>
        <w:r>
          <w:t xml:space="preserve">6</w:t>
        </w:r>
      </w:hyperlink>
    </w:p>
    <w:p>
      <w:pPr>
        <w:pStyle w:val="toc2"/>
      </w:pPr>
      <w:hyperlink w:anchor="_Toc000108" w:history="1">
        <w:r>
          <w:t xml:space="preserve">2.2 Drop items against BRDs, FRS and BIBS</w:t>
        </w:r>
        <w:r>
          <w:t xml:space="preserve">	</w:t>
        </w:r>
        <w:r>
          <w:t xml:space="preserve">7</w:t>
        </w:r>
      </w:hyperlink>
    </w:p>
    <w:p>
      <w:pPr>
        <w:pStyle w:val="toc2"/>
      </w:pPr>
      <w:hyperlink w:anchor="_Toc000109" w:history="1">
        <w:r>
          <w:t xml:space="preserve">2.3 Gaps and mismatches in the drop plan</w:t>
        </w:r>
        <w:r>
          <w:t xml:space="preserve">	</w:t>
        </w:r>
        <w:r>
          <w:t xml:space="preserve">10</w:t>
        </w:r>
      </w:hyperlink>
    </w:p>
    <w:p>
      <w:pPr>
        <w:pStyle w:val="toc2"/>
      </w:pPr>
      <w:hyperlink w:anchor="_Toc000110" w:history="1">
        <w:r>
          <w:t xml:space="preserve">2.4 Drop-to-document map</w:t>
        </w:r>
        <w:r>
          <w:t xml:space="preserve">	</w:t>
        </w:r>
        <w:r>
          <w:t xml:space="preserve">10</w:t>
        </w:r>
      </w:hyperlink>
    </w:p>
    <w:p>
      <w:pPr>
        <w:pStyle w:val="toc1"/>
      </w:pPr>
      <w:hyperlink w:anchor="_Toc000111" w:history="1">
        <w:r>
          <w:t xml:space="preserve">3 Early renewal concept paper</w:t>
        </w:r>
        <w:r>
          <w:t xml:space="preserve">	</w:t>
        </w:r>
        <w:r>
          <w:t xml:space="preserve">12</w:t>
        </w:r>
      </w:hyperlink>
    </w:p>
    <w:p>
      <w:pPr>
        <w:pStyle w:val="toc2"/>
      </w:pPr>
      <w:hyperlink w:anchor="_Toc000112" w:history="1">
        <w:r>
          <w:t xml:space="preserve">3.1 What the paper proposed</w:t>
        </w:r>
        <w:r>
          <w:t xml:space="preserve">	</w:t>
        </w:r>
        <w:r>
          <w:t xml:space="preserve">12</w:t>
        </w:r>
      </w:hyperlink>
    </w:p>
    <w:p>
      <w:pPr>
        <w:pStyle w:val="toc2"/>
      </w:pPr>
      <w:hyperlink w:anchor="_Toc000113" w:history="1">
        <w:r>
          <w:t xml:space="preserve">3.2 Status: superseded</w:t>
        </w:r>
        <w:r>
          <w:t xml:space="preserve">	</w:t>
        </w:r>
        <w:r>
          <w:t xml:space="preserve">12</w:t>
        </w:r>
      </w:hyperlink>
    </w:p>
    <w:p>
      <w:pPr>
        <w:pStyle w:val="toc2"/>
      </w:pPr>
      <w:hyperlink w:anchor="_Toc000114" w:history="1">
        <w:r>
          <w:t xml:space="preserve">3.3 What remains from the paper</w:t>
        </w:r>
        <w:r>
          <w:t xml:space="preserve">	</w:t>
        </w:r>
        <w:r>
          <w:t xml:space="preserve">13</w:t>
        </w:r>
      </w:hyperlink>
    </w:p>
    <w:p>
      <w:pPr>
        <w:pStyle w:val="toc1"/>
      </w:pPr>
      <w:hyperlink w:anchor="_Toc000115" w:history="1">
        <w:r>
          <w:t xml:space="preserve">4 Timeline alignment</w:t>
        </w:r>
        <w:r>
          <w:t xml:space="preserve">	</w:t>
        </w:r>
        <w:r>
          <w:t xml:space="preserve">14</w:t>
        </w:r>
      </w:hyperlink>
    </w:p>
    <w:p>
      <w:pPr>
        <w:pStyle w:val="toc2"/>
      </w:pPr>
      <w:hyperlink w:anchor="_Toc000116" w:history="1">
        <w:r>
          <w:t xml:space="preserve">4.1 BDOI timeline against the BIBS plan</w:t>
        </w:r>
        <w:r>
          <w:t xml:space="preserve">	</w:t>
        </w:r>
        <w:r>
          <w:t xml:space="preserve">14</w:t>
        </w:r>
      </w:hyperlink>
    </w:p>
    <w:p>
      <w:pPr>
        <w:pStyle w:val="toc2"/>
      </w:pPr>
      <w:hyperlink w:anchor="_Toc000117" w:history="1">
        <w:r>
          <w:t xml:space="preserve">4.2 Go-live date</w:t>
        </w:r>
        <w:r>
          <w:t xml:space="preserve">	</w:t>
        </w:r>
        <w:r>
          <w:t xml:space="preserve">14</w:t>
        </w:r>
      </w:hyperlink>
    </w:p>
    <w:p>
      <w:pPr>
        <w:pStyle w:val="toc2"/>
      </w:pPr>
      <w:hyperlink w:anchor="_Toc000118" w:history="1">
        <w:r>
          <w:t xml:space="preserve">4.3 What each drop needs from us, and from BDOI</w:t>
        </w:r>
        <w:r>
          <w:t xml:space="preserve">	</w:t>
        </w:r>
        <w:r>
          <w:t xml:space="preserve">15</w:t>
        </w:r>
      </w:hyperlink>
    </w:p>
    <w:p>
      <w:pPr>
        <w:pStyle w:val="toc1"/>
      </w:pPr>
      <w:hyperlink w:anchor="_Toc000119" w:history="1">
        <w:r>
          <w:t xml:space="preserve">5 Integration inventory</w:t>
        </w:r>
        <w:r>
          <w:t xml:space="preserve">	</w:t>
        </w:r>
        <w:r>
          <w:t xml:space="preserve">16</w:t>
        </w:r>
      </w:hyperlink>
    </w:p>
    <w:p>
      <w:pPr>
        <w:pStyle w:val="toc2"/>
      </w:pPr>
      <w:hyperlink w:anchor="_Toc000120" w:history="1">
        <w:r>
          <w:t xml:space="preserve">5.1 Context</w:t>
        </w:r>
        <w:r>
          <w:t xml:space="preserve">	</w:t>
        </w:r>
        <w:r>
          <w:t xml:space="preserve">16</w:t>
        </w:r>
      </w:hyperlink>
    </w:p>
    <w:p>
      <w:pPr>
        <w:pStyle w:val="toc2"/>
      </w:pPr>
      <w:hyperlink w:anchor="_Toc000121" w:history="1">
        <w:r>
          <w:t xml:space="preserve">5.2 Inventory</w:t>
        </w:r>
        <w:r>
          <w:t xml:space="preserve">	</w:t>
        </w:r>
        <w:r>
          <w:t xml:space="preserve">17</w:t>
        </w:r>
      </w:hyperlink>
    </w:p>
    <w:p>
      <w:pPr>
        <w:pStyle w:val="toc2"/>
      </w:pPr>
      <w:hyperlink w:anchor="_Toc000122" w:history="1">
        <w:r>
          <w:t xml:space="preserve">5.3 Interfaces named in the BRDs but not on the slide</w:t>
        </w:r>
        <w:r>
          <w:t xml:space="preserve">	</w:t>
        </w:r>
        <w:r>
          <w:t xml:space="preserve">20</w:t>
        </w:r>
      </w:hyperlink>
    </w:p>
    <w:p>
      <w:pPr>
        <w:pStyle w:val="toc2"/>
      </w:pPr>
      <w:hyperlink w:anchor="_Toc000123" w:history="1">
        <w:r>
          <w:t xml:space="preserve">5.4 Integration summary</w:t>
        </w:r>
        <w:r>
          <w:t xml:space="preserve">	</w:t>
        </w:r>
        <w:r>
          <w:t xml:space="preserve">20</w:t>
        </w:r>
      </w:hyperlink>
    </w:p>
    <w:p>
      <w:pPr>
        <w:pStyle w:val="toc1"/>
      </w:pPr>
      <w:hyperlink w:anchor="_Toc000124" w:history="1">
        <w:r>
          <w:t xml:space="preserve">6 Infrastructure alignment</w:t>
        </w:r>
        <w:r>
          <w:t xml:space="preserve">	</w:t>
        </w:r>
        <w:r>
          <w:t xml:space="preserve">21</w:t>
        </w:r>
      </w:hyperlink>
    </w:p>
    <w:p>
      <w:pPr>
        <w:pStyle w:val="toc2"/>
      </w:pPr>
      <w:hyperlink w:anchor="_Toc000125" w:history="1">
        <w:r>
          <w:t xml:space="preserve">6.1 What the IER says</w:t>
        </w:r>
        <w:r>
          <w:t xml:space="preserve">	</w:t>
        </w:r>
        <w:r>
          <w:t xml:space="preserve">21</w:t>
        </w:r>
      </w:hyperlink>
    </w:p>
    <w:p>
      <w:pPr>
        <w:pStyle w:val="toc2"/>
      </w:pPr>
      <w:hyperlink w:anchor="_Toc000126" w:history="1">
        <w:r>
          <w:t xml:space="preserve">6.2 IER against BIBS</w:t>
        </w:r>
        <w:r>
          <w:t xml:space="preserve">	</w:t>
        </w:r>
        <w:r>
          <w:t xml:space="preserve">23</w:t>
        </w:r>
      </w:hyperlink>
    </w:p>
    <w:p>
      <w:pPr>
        <w:pStyle w:val="toc2"/>
      </w:pPr>
      <w:hyperlink w:anchor="_Toc000127" w:history="1">
        <w:r>
          <w:t xml:space="preserve">6.3 BIBS component baseline</w:t>
        </w:r>
        <w:r>
          <w:t xml:space="preserve">	</w:t>
        </w:r>
        <w:r>
          <w:t xml:space="preserve">26</w:t>
        </w:r>
      </w:hyperlink>
    </w:p>
    <w:p>
      <w:pPr>
        <w:pStyle w:val="toc2"/>
      </w:pPr>
      <w:hyperlink w:anchor="_Toc000128" w:history="1">
        <w:r>
          <w:t xml:space="preserve">6.4 Documents in S3 only</w:t>
        </w:r>
        <w:r>
          <w:t xml:space="preserve">	</w:t>
        </w:r>
        <w:r>
          <w:t xml:space="preserve">26</w:t>
        </w:r>
      </w:hyperlink>
    </w:p>
    <w:p>
      <w:pPr>
        <w:pStyle w:val="toc2"/>
      </w:pPr>
      <w:hyperlink w:anchor="_Toc000129" w:history="1">
        <w:r>
          <w:t xml:space="preserve">6.5 Kubernetes sizing of the BIBS workloads</w:t>
        </w:r>
        <w:r>
          <w:t xml:space="preserve">	</w:t>
        </w:r>
        <w:r>
          <w:t xml:space="preserve">27</w:t>
        </w:r>
      </w:hyperlink>
    </w:p>
    <w:p>
      <w:pPr>
        <w:pStyle w:val="toc2"/>
      </w:pPr>
      <w:hyperlink w:anchor="_Toc000130" w:history="1">
        <w:r>
          <w:t xml:space="preserve">6.6 Environments, hours and disaster recovery</w:t>
        </w:r>
        <w:r>
          <w:t xml:space="preserve">	</w:t>
        </w:r>
        <w:r>
          <w:t xml:space="preserve">28</w:t>
        </w:r>
      </w:hyperlink>
    </w:p>
    <w:p>
      <w:pPr>
        <w:pStyle w:val="toc2"/>
      </w:pPr>
      <w:hyperlink w:anchor="_Toc000131" w:history="1">
        <w:r>
          <w:t xml:space="preserve">6.7 Changes needed</w:t>
        </w:r>
        <w:r>
          <w:t xml:space="preserve">	</w:t>
        </w:r>
        <w:r>
          <w:t xml:space="preserve">28</w:t>
        </w:r>
      </w:hyperlink>
    </w:p>
    <w:p>
      <w:pPr>
        <w:pStyle w:val="toc1"/>
      </w:pPr>
      <w:hyperlink w:anchor="_Toc000132" w:history="1">
        <w:r>
          <w:t xml:space="preserve">7 Open questions for BDOI</w:t>
        </w:r>
        <w:r>
          <w:t xml:space="preserve">	</w:t>
        </w:r>
        <w:r>
          <w:t xml:space="preserve">29</w:t>
        </w:r>
      </w:hyperlink>
    </w:p>
    <w:p>
      <w:pPr>
        <w:pStyle w:val="toc1"/>
      </w:pPr>
      <w:hyperlink w:anchor="_Toc000133" w:history="1">
        <w:r>
          <w:t xml:space="preserve">Glossary</w:t>
        </w:r>
        <w:r>
          <w:t xml:space="preserve">	</w:t>
        </w:r>
        <w:r>
          <w:t xml:space="preserve">32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BDOI has issued a drop plan, a programme timeline, an infrastructure estimation and recommendation (IER) workbook and a concept paper on early renewal processing. This document sets each of them against BIBS (BDOI Broker System, on iNXT BrokerVerse) and its FRS, so that the requirements, delivery, tests and infrastructure follow BDOI's drops and process. For each topic it states what fits, what does not, what we deliver, and what we need from BDOI and by when.</w:t>
      </w:r>
    </w:p>
    <w:p>
      <w:pPr>
        <w:pStyle w:val="Heading2"/>
      </w:pPr>
      <w:bookmarkStart w:id="103" w:name="_Toc000103"/>
      <w:r>
        <w:rPr/>
        <w:t>1.2 Sources</w:t>
      </w:r>
      <w:bookmarkEnd w:id="103"/>
    </w:p>
    <w:p>
      <w:pPr>
        <w:pStyle w:val="Caption"/>
        <w:keepNext/>
        <w:spacing w:after="60"/>
      </w:pPr>
      <w:r>
        <w:rPr>
          <w:b/>
          <w:i w:val="0"/>
        </w:rPr>
        <w:t xml:space="preserve">Table 1: </w:t>
      </w:r>
      <w:r>
        <w:rPr/>
        <w:t>Sources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
        <w:gridCol w:w="4603"/>
        <w:gridCol w:w="4603"/>
      </w:tblGrid>
      <w:tr>
        <w:trPr>
          <w:tblHeader w:val="true"/>
          <w:cantSplit w:val="true"/>
        </w:trPr>
        <w:tc>
          <w:tcPr>
            <w:tcW w:type="dxa" w:w="767"/>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602"/>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4602"/>
            <w:shd w:val="clear" w:color="auto" w:fill="004EA8"/>
            <w:tcMar>
              <w:top w:w="50" w:type="dxa"/>
              <w:bottom w:w="50" w:type="dxa"/>
              <w:left w:w="90" w:type="dxa"/>
              <w:right w:w="90" w:type="dxa"/>
            </w:tcMar>
            <w:vAlign w:val="center"/>
          </w:tcPr>
          <w:p>
            <w:pPr>
              <w:pStyle w:val="BDOITableHeader"/>
            </w:pPr>
            <w:r>
              <w:rPr>
                <w:b/>
                <w:color w:val="FFFFFF"/>
                <w:sz w:val="18"/>
              </w:rPr>
              <w:t>Content used</w:t>
            </w:r>
          </w:p>
        </w:tc>
      </w:tr>
      <w:tr>
        <w:trPr>
          <w:cantSplit w:val="true"/>
        </w:trPr>
        <w:tc>
          <w:tcPr>
            <w:tcW w:type="dxa" w:w="767"/>
            <w:tcMar>
              <w:top w:w="50" w:type="dxa"/>
              <w:bottom w:w="50" w:type="dxa"/>
              <w:left w:w="90" w:type="dxa"/>
              <w:right w:w="90" w:type="dxa"/>
            </w:tcMar>
          </w:tcPr>
          <w:p>
            <w:pPr>
              <w:pStyle w:val="BDOITable"/>
            </w:pPr>
            <w:r>
              <w:rPr>
                <w:b/>
                <w:sz w:val="18"/>
              </w:rPr>
              <w:t>S1</w:t>
            </w:r>
          </w:p>
        </w:tc>
        <w:tc>
          <w:tcPr>
            <w:tcW w:type="dxa" w:w="4602"/>
            <w:tcMar>
              <w:top w:w="50" w:type="dxa"/>
              <w:bottom w:w="50" w:type="dxa"/>
              <w:left w:w="90" w:type="dxa"/>
              <w:right w:w="90" w:type="dxa"/>
            </w:tcMar>
          </w:tcPr>
          <w:p>
            <w:pPr>
              <w:pStyle w:val="BDOITable"/>
            </w:pPr>
            <w:r>
              <w:rPr>
                <w:sz w:val="18"/>
              </w:rPr>
              <w:t>Drop plan slide ("BDOI Drop Plan - modules and integrations") and its transcription</w:t>
            </w:r>
          </w:p>
        </w:tc>
        <w:tc>
          <w:tcPr>
            <w:tcW w:type="dxa" w:w="4602"/>
            <w:tcMar>
              <w:top w:w="50" w:type="dxa"/>
              <w:bottom w:w="50" w:type="dxa"/>
              <w:left w:w="90" w:type="dxa"/>
              <w:right w:w="90" w:type="dxa"/>
            </w:tcMar>
          </w:tcPr>
          <w:p>
            <w:pPr>
              <w:pStyle w:val="BDOITable"/>
            </w:pPr>
            <w:r>
              <w:rPr>
                <w:sz w:val="18"/>
              </w:rPr>
              <w:t>Drops 0, 1 and 2, the BRD column, the integrations per drop</w:t>
            </w:r>
          </w:p>
        </w:tc>
      </w:tr>
      <w:tr>
        <w:trPr>
          <w:cantSplit w:val="true"/>
        </w:trPr>
        <w:tc>
          <w:tcPr>
            <w:tcW w:type="dxa" w:w="767"/>
            <w:tcMar>
              <w:top w:w="50" w:type="dxa"/>
              <w:bottom w:w="50" w:type="dxa"/>
              <w:left w:w="90" w:type="dxa"/>
              <w:right w:w="90" w:type="dxa"/>
            </w:tcMar>
            <w:shd w:val="clear" w:color="auto" w:fill="E5F5FF"/>
          </w:tcPr>
          <w:p>
            <w:pPr>
              <w:pStyle w:val="BDOITable"/>
            </w:pPr>
            <w:r>
              <w:rPr>
                <w:b/>
                <w:sz w:val="18"/>
              </w:rPr>
              <w:t>S2</w:t>
            </w:r>
          </w:p>
        </w:tc>
        <w:tc>
          <w:tcPr>
            <w:tcW w:type="dxa" w:w="4602"/>
            <w:tcMar>
              <w:top w:w="50" w:type="dxa"/>
              <w:bottom w:w="50" w:type="dxa"/>
              <w:left w:w="90" w:type="dxa"/>
              <w:right w:w="90" w:type="dxa"/>
            </w:tcMar>
            <w:shd w:val="clear" w:color="auto" w:fill="E5F5FF"/>
          </w:tcPr>
          <w:p>
            <w:pPr>
              <w:pStyle w:val="BDOITable"/>
            </w:pPr>
            <w:r>
              <w:rPr>
                <w:sz w:val="18"/>
              </w:rPr>
              <w:t>Programme timeline slide</w:t>
            </w:r>
          </w:p>
        </w:tc>
        <w:tc>
          <w:tcPr>
            <w:tcW w:type="dxa" w:w="4602"/>
            <w:tcMar>
              <w:top w:w="50" w:type="dxa"/>
              <w:bottom w:w="50" w:type="dxa"/>
              <w:left w:w="90" w:type="dxa"/>
              <w:right w:w="90" w:type="dxa"/>
            </w:tcMar>
            <w:shd w:val="clear" w:color="auto" w:fill="E5F5FF"/>
          </w:tcPr>
          <w:p>
            <w:pPr>
              <w:pStyle w:val="BDOITable"/>
            </w:pPr>
            <w:r>
              <w:rPr>
                <w:sz w:val="18"/>
              </w:rPr>
              <w:t>Requirements, development, SIT, UAT, migration, ORR / PRR bars; go-live January 2028</w:t>
            </w:r>
          </w:p>
        </w:tc>
      </w:tr>
      <w:tr>
        <w:trPr>
          <w:cantSplit w:val="true"/>
        </w:trPr>
        <w:tc>
          <w:tcPr>
            <w:tcW w:type="dxa" w:w="767"/>
            <w:tcMar>
              <w:top w:w="50" w:type="dxa"/>
              <w:bottom w:w="50" w:type="dxa"/>
              <w:left w:w="90" w:type="dxa"/>
              <w:right w:w="90" w:type="dxa"/>
            </w:tcMar>
          </w:tcPr>
          <w:p>
            <w:pPr>
              <w:pStyle w:val="BDOITable"/>
            </w:pPr>
            <w:r>
              <w:rPr>
                <w:b/>
                <w:sz w:val="18"/>
              </w:rPr>
              <w:t>S3</w:t>
            </w:r>
          </w:p>
        </w:tc>
        <w:tc>
          <w:tcPr>
            <w:tcW w:type="dxa" w:w="4602"/>
            <w:tcMar>
              <w:top w:w="50" w:type="dxa"/>
              <w:bottom w:w="50" w:type="dxa"/>
              <w:left w:w="90" w:type="dxa"/>
              <w:right w:w="90" w:type="dxa"/>
            </w:tcMar>
          </w:tcPr>
          <w:p>
            <w:pPr>
              <w:pStyle w:val="BDOITable"/>
            </w:pPr>
            <w:r>
              <w:rPr>
                <w:sz w:val="18"/>
              </w:rPr>
              <w:t>IER workbook v20 (FR-ITC-ENG007)</w:t>
            </w:r>
          </w:p>
        </w:tc>
        <w:tc>
          <w:tcPr>
            <w:tcW w:type="dxa" w:w="4602"/>
            <w:tcMar>
              <w:top w:w="50" w:type="dxa"/>
              <w:bottom w:w="50" w:type="dxa"/>
              <w:left w:w="90" w:type="dxa"/>
              <w:right w:w="90" w:type="dxa"/>
            </w:tcMar>
          </w:tcPr>
          <w:p>
            <w:pPr>
              <w:pStyle w:val="BDOITable"/>
            </w:pPr>
            <w:r>
              <w:rPr>
                <w:sz w:val="18"/>
              </w:rPr>
              <w:t>RPO / RTO, HW and SW requirements, VDI, architecture diagrams, environment and Kubernetes sheets, summary</w:t>
            </w:r>
          </w:p>
        </w:tc>
      </w:tr>
      <w:tr>
        <w:trPr>
          <w:cantSplit w:val="true"/>
        </w:trPr>
        <w:tc>
          <w:tcPr>
            <w:tcW w:type="dxa" w:w="767"/>
            <w:tcMar>
              <w:top w:w="50" w:type="dxa"/>
              <w:bottom w:w="50" w:type="dxa"/>
              <w:left w:w="90" w:type="dxa"/>
              <w:right w:w="90" w:type="dxa"/>
            </w:tcMar>
            <w:shd w:val="clear" w:color="auto" w:fill="E5F5FF"/>
          </w:tcPr>
          <w:p>
            <w:pPr>
              <w:pStyle w:val="BDOITable"/>
            </w:pPr>
            <w:r>
              <w:rPr>
                <w:b/>
                <w:sz w:val="18"/>
              </w:rPr>
              <w:t>S4</w:t>
            </w:r>
          </w:p>
        </w:tc>
        <w:tc>
          <w:tcPr>
            <w:tcW w:type="dxa" w:w="4602"/>
            <w:tcMar>
              <w:top w:w="50" w:type="dxa"/>
              <w:bottom w:w="50" w:type="dxa"/>
              <w:left w:w="90" w:type="dxa"/>
              <w:right w:w="90" w:type="dxa"/>
            </w:tcMar>
            <w:shd w:val="clear" w:color="auto" w:fill="E5F5FF"/>
          </w:tcPr>
          <w:p>
            <w:pPr>
              <w:pStyle w:val="BDOITable"/>
            </w:pPr>
            <w:r>
              <w:rPr>
                <w:sz w:val="18"/>
              </w:rPr>
              <w:t>Concept paper "Advance Implementation of Renewal Processing" V1.0, dated 06/09/2026</w:t>
            </w:r>
          </w:p>
        </w:tc>
        <w:tc>
          <w:tcPr>
            <w:tcW w:type="dxa" w:w="4602"/>
            <w:tcMar>
              <w:top w:w="50" w:type="dxa"/>
              <w:bottom w:w="50" w:type="dxa"/>
              <w:left w:w="90" w:type="dxa"/>
              <w:right w:w="90" w:type="dxa"/>
            </w:tcMar>
            <w:shd w:val="clear" w:color="auto" w:fill="E5F5FF"/>
          </w:tcPr>
          <w:p>
            <w:pPr>
              <w:pStyle w:val="BDOITable"/>
            </w:pPr>
            <w:r>
              <w:rPr>
                <w:sz w:val="18"/>
              </w:rPr>
              <w:t>Early renewal release by 15 August 2027 (superseded, see 1.3)</w:t>
            </w:r>
          </w:p>
        </w:tc>
      </w:tr>
      <w:tr>
        <w:trPr>
          <w:cantSplit w:val="true"/>
        </w:trPr>
        <w:tc>
          <w:tcPr>
            <w:tcW w:type="dxa" w:w="767"/>
            <w:tcMar>
              <w:top w:w="50" w:type="dxa"/>
              <w:bottom w:w="50" w:type="dxa"/>
              <w:left w:w="90" w:type="dxa"/>
              <w:right w:w="90" w:type="dxa"/>
            </w:tcMar>
          </w:tcPr>
          <w:p>
            <w:pPr>
              <w:pStyle w:val="BDOITable"/>
            </w:pPr>
            <w:r>
              <w:rPr>
                <w:b/>
                <w:sz w:val="18"/>
              </w:rPr>
              <w:t>S5</w:t>
            </w:r>
          </w:p>
        </w:tc>
        <w:tc>
          <w:tcPr>
            <w:tcW w:type="dxa" w:w="4602"/>
            <w:tcMar>
              <w:top w:w="50" w:type="dxa"/>
              <w:bottom w:w="50" w:type="dxa"/>
              <w:left w:w="90" w:type="dxa"/>
              <w:right w:w="90" w:type="dxa"/>
            </w:tcMar>
          </w:tcPr>
          <w:p>
            <w:pPr>
              <w:pStyle w:val="BDOITable"/>
            </w:pPr>
            <w:r>
              <w:rPr>
                <w:sz w:val="18"/>
              </w:rPr>
              <w:t>BDOI answers and integration list of 26 September 2026</w:t>
            </w:r>
          </w:p>
        </w:tc>
        <w:tc>
          <w:tcPr>
            <w:tcW w:type="dxa" w:w="4602"/>
            <w:tcMar>
              <w:top w:w="50" w:type="dxa"/>
              <w:bottom w:w="50" w:type="dxa"/>
              <w:left w:w="90" w:type="dxa"/>
              <w:right w:w="90" w:type="dxa"/>
            </w:tcMar>
          </w:tcPr>
          <w:p>
            <w:pPr>
              <w:pStyle w:val="BDOITable"/>
            </w:pPr>
            <w:r>
              <w:rPr>
                <w:sz w:val="18"/>
              </w:rPr>
              <w:t>A1 to A6 below</w:t>
            </w:r>
          </w:p>
        </w:tc>
      </w:tr>
      <w:tr>
        <w:trPr>
          <w:cantSplit w:val="true"/>
        </w:trPr>
        <w:tc>
          <w:tcPr>
            <w:tcW w:type="dxa" w:w="767"/>
            <w:tcMar>
              <w:top w:w="50" w:type="dxa"/>
              <w:bottom w:w="50" w:type="dxa"/>
              <w:left w:w="90" w:type="dxa"/>
              <w:right w:w="90" w:type="dxa"/>
            </w:tcMar>
            <w:shd w:val="clear" w:color="auto" w:fill="E5F5FF"/>
          </w:tcPr>
          <w:p>
            <w:pPr>
              <w:pStyle w:val="BDOITable"/>
            </w:pPr>
            <w:r>
              <w:rPr>
                <w:b/>
                <w:sz w:val="18"/>
              </w:rPr>
              <w:t>S6</w:t>
            </w:r>
          </w:p>
        </w:tc>
        <w:tc>
          <w:tcPr>
            <w:tcW w:type="dxa" w:w="4602"/>
            <w:tcMar>
              <w:top w:w="50" w:type="dxa"/>
              <w:bottom w:w="50" w:type="dxa"/>
              <w:left w:w="90" w:type="dxa"/>
              <w:right w:w="90" w:type="dxa"/>
            </w:tcMar>
            <w:shd w:val="clear" w:color="auto" w:fill="E5F5FF"/>
          </w:tcPr>
          <w:p>
            <w:pPr>
              <w:pStyle w:val="BDOITable"/>
            </w:pPr>
            <w:r>
              <w:rPr>
                <w:sz w:val="18"/>
              </w:rPr>
              <w:t>Document storage proposal (26 September 2026)</w:t>
            </w:r>
          </w:p>
        </w:tc>
        <w:tc>
          <w:tcPr>
            <w:tcW w:type="dxa" w:w="4602"/>
            <w:tcMar>
              <w:top w:w="50" w:type="dxa"/>
              <w:bottom w:w="50" w:type="dxa"/>
              <w:left w:w="90" w:type="dxa"/>
              <w:right w:w="90" w:type="dxa"/>
            </w:tcMar>
            <w:shd w:val="clear" w:color="auto" w:fill="E5F5FF"/>
          </w:tcPr>
          <w:p>
            <w:pPr>
              <w:pStyle w:val="BDOITable"/>
            </w:pPr>
            <w:r>
              <w:rPr>
                <w:sz w:val="18"/>
              </w:rPr>
              <w:t>S3 for file content, PostgreSQL for metadata</w:t>
            </w:r>
          </w:p>
        </w:tc>
      </w:tr>
    </w:tbl>
    <w:p>
      <w:pPr>
        <w:pStyle w:val="BDOISpacer"/>
      </w:pPr>
    </w:p>
    <w:p>
      <w:pPr>
        <w:pStyle w:val="Heading2"/>
      </w:pPr>
      <w:bookmarkStart w:id="104" w:name="_Toc000104"/>
      <w:r>
        <w:rPr/>
        <w:t>1.3 BDOI answers of 26 September 2026</w:t>
      </w:r>
      <w:bookmarkEnd w:id="104"/>
    </w:p>
    <w:p>
      <w:pPr>
        <w:pStyle w:val="Caption"/>
        <w:keepNext/>
        <w:spacing w:after="60"/>
      </w:pPr>
      <w:r>
        <w:rPr>
          <w:b/>
          <w:i w:val="0"/>
        </w:rPr>
        <w:t xml:space="preserve">Table 2: </w:t>
      </w:r>
      <w:r>
        <w:rPr/>
        <w:t>BDOI answers of 26 September 2026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12"/>
        <w:gridCol w:w="5698"/>
        <w:gridCol w:w="3561"/>
      </w:tblGrid>
      <w:tr>
        <w:trPr>
          <w:tblHeader w:val="true"/>
          <w:cantSplit w:val="true"/>
        </w:trPr>
        <w:tc>
          <w:tcPr>
            <w:tcW w:type="dxa" w:w="712"/>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Answer</w:t>
            </w:r>
          </w:p>
        </w:tc>
        <w:tc>
          <w:tcPr>
            <w:tcW w:type="dxa" w:w="3561"/>
            <w:shd w:val="clear" w:color="auto" w:fill="004EA8"/>
            <w:tcMar>
              <w:top w:w="50" w:type="dxa"/>
              <w:bottom w:w="50" w:type="dxa"/>
              <w:left w:w="90" w:type="dxa"/>
              <w:right w:w="90" w:type="dxa"/>
            </w:tcMar>
            <w:vAlign w:val="center"/>
          </w:tcPr>
          <w:p>
            <w:pPr>
              <w:pStyle w:val="BDOITableHeader"/>
            </w:pPr>
            <w:r>
              <w:rPr>
                <w:b/>
                <w:color w:val="FFFFFF"/>
                <w:sz w:val="18"/>
              </w:rPr>
              <w:t>Effect on this document</w:t>
            </w:r>
          </w:p>
        </w:tc>
      </w:tr>
      <w:tr>
        <w:trPr>
          <w:cantSplit w:val="true"/>
        </w:trPr>
        <w:tc>
          <w:tcPr>
            <w:tcW w:type="dxa" w:w="712"/>
            <w:tcMar>
              <w:top w:w="50" w:type="dxa"/>
              <w:bottom w:w="50" w:type="dxa"/>
              <w:left w:w="90" w:type="dxa"/>
              <w:right w:w="90" w:type="dxa"/>
            </w:tcMar>
          </w:tcPr>
          <w:p>
            <w:pPr>
              <w:pStyle w:val="BDOITable"/>
            </w:pPr>
            <w:r>
              <w:rPr>
                <w:b/>
                <w:sz w:val="18"/>
              </w:rPr>
              <w:t>A1</w:t>
            </w:r>
          </w:p>
        </w:tc>
        <w:tc>
          <w:tcPr>
            <w:tcW w:type="dxa" w:w="5698"/>
            <w:tcMar>
              <w:top w:w="50" w:type="dxa"/>
              <w:bottom w:w="50" w:type="dxa"/>
              <w:left w:w="90" w:type="dxa"/>
              <w:right w:w="90" w:type="dxa"/>
            </w:tcMar>
          </w:tcPr>
          <w:p>
            <w:pPr>
              <w:pStyle w:val="BDOITable"/>
            </w:pPr>
            <w:r>
              <w:rPr>
                <w:sz w:val="18"/>
              </w:rPr>
              <w:t>All modules go live together in January 2028. There is no early go-live. Drops split the requirements, delivery, test and sign-off workload; the platform goes to UAT complete, end to end</w:t>
            </w:r>
          </w:p>
        </w:tc>
        <w:tc>
          <w:tcPr>
            <w:tcW w:type="dxa" w:w="3561"/>
            <w:tcMar>
              <w:top w:w="50" w:type="dxa"/>
              <w:bottom w:w="50" w:type="dxa"/>
              <w:left w:w="90" w:type="dxa"/>
              <w:right w:w="90" w:type="dxa"/>
            </w:tcMar>
          </w:tcPr>
          <w:p>
            <w:pPr>
              <w:pStyle w:val="BDOITable"/>
            </w:pPr>
            <w:r>
              <w:rPr>
                <w:sz w:val="18"/>
              </w:rPr>
              <w:t>The concept paper is recorded as superseded (chapter 3); no separate release</w:t>
            </w:r>
          </w:p>
        </w:tc>
      </w:tr>
      <w:tr>
        <w:trPr>
          <w:cantSplit w:val="true"/>
        </w:trPr>
        <w:tc>
          <w:tcPr>
            <w:tcW w:type="dxa" w:w="712"/>
            <w:tcMar>
              <w:top w:w="50" w:type="dxa"/>
              <w:bottom w:w="50" w:type="dxa"/>
              <w:left w:w="90" w:type="dxa"/>
              <w:right w:w="90" w:type="dxa"/>
            </w:tcMar>
            <w:shd w:val="clear" w:color="auto" w:fill="E5F5FF"/>
          </w:tcPr>
          <w:p>
            <w:pPr>
              <w:pStyle w:val="BDOITable"/>
            </w:pPr>
            <w:r>
              <w:rPr>
                <w:b/>
                <w:sz w:val="18"/>
              </w:rPr>
              <w:t>A2</w:t>
            </w:r>
          </w:p>
        </w:tc>
        <w:tc>
          <w:tcPr>
            <w:tcW w:type="dxa" w:w="5698"/>
            <w:tcMar>
              <w:top w:w="50" w:type="dxa"/>
              <w:bottom w:w="50" w:type="dxa"/>
              <w:left w:w="90" w:type="dxa"/>
              <w:right w:w="90" w:type="dxa"/>
            </w:tcMar>
            <w:shd w:val="clear" w:color="auto" w:fill="E5F5FF"/>
          </w:tcPr>
          <w:p>
            <w:pPr>
              <w:pStyle w:val="BDOITable"/>
            </w:pPr>
            <w:r>
              <w:rPr>
                <w:sz w:val="18"/>
              </w:rPr>
              <w:t>Integration names and meanings (EIAM, UIDM-ISC, ECM, CCM, M365, LMS, HL-LOAS, LFS SaaS, PMS, CMS / New BOB, OBPCS, Old BOB, TFS, EDP, EGL, Bridger Insight XG); all touch-points are owned by BDOI IT</w:t>
            </w:r>
          </w:p>
        </w:tc>
        <w:tc>
          <w:tcPr>
            <w:tcW w:type="dxa" w:w="3561"/>
            <w:tcMar>
              <w:top w:w="50" w:type="dxa"/>
              <w:bottom w:w="50" w:type="dxa"/>
              <w:left w:w="90" w:type="dxa"/>
              <w:right w:w="90" w:type="dxa"/>
            </w:tcMar>
            <w:shd w:val="clear" w:color="auto" w:fill="E5F5FF"/>
          </w:tcPr>
          <w:p>
            <w:pPr>
              <w:pStyle w:val="BDOITable"/>
            </w:pPr>
            <w:r>
              <w:rPr>
                <w:sz w:val="18"/>
              </w:rPr>
              <w:t>Used in the integration inventory (chapter 5)</w:t>
            </w:r>
          </w:p>
        </w:tc>
      </w:tr>
      <w:tr>
        <w:trPr>
          <w:cantSplit w:val="true"/>
        </w:trPr>
        <w:tc>
          <w:tcPr>
            <w:tcW w:type="dxa" w:w="712"/>
            <w:tcMar>
              <w:top w:w="50" w:type="dxa"/>
              <w:bottom w:w="50" w:type="dxa"/>
              <w:left w:w="90" w:type="dxa"/>
              <w:right w:w="90" w:type="dxa"/>
            </w:tcMar>
          </w:tcPr>
          <w:p>
            <w:pPr>
              <w:pStyle w:val="BDOITable"/>
            </w:pPr>
            <w:r>
              <w:rPr>
                <w:b/>
                <w:sz w:val="18"/>
              </w:rPr>
              <w:t>A3</w:t>
            </w:r>
          </w:p>
        </w:tc>
        <w:tc>
          <w:tcPr>
            <w:tcW w:type="dxa" w:w="5698"/>
            <w:tcMar>
              <w:top w:w="50" w:type="dxa"/>
              <w:bottom w:w="50" w:type="dxa"/>
              <w:left w:w="90" w:type="dxa"/>
              <w:right w:w="90" w:type="dxa"/>
            </w:tcMar>
          </w:tcPr>
          <w:p>
            <w:pPr>
              <w:pStyle w:val="BDOITable"/>
            </w:pPr>
            <w:r>
              <w:rPr>
                <w:sz w:val="18"/>
              </w:rPr>
              <w:t>Remittance handles the reinsurance transactions in Drop 1; the reinsurance module is phase 2</w:t>
            </w:r>
          </w:p>
        </w:tc>
        <w:tc>
          <w:tcPr>
            <w:tcW w:type="dxa" w:w="3561"/>
            <w:tcMar>
              <w:top w:w="50" w:type="dxa"/>
              <w:bottom w:w="50" w:type="dxa"/>
              <w:left w:w="90" w:type="dxa"/>
              <w:right w:w="90" w:type="dxa"/>
            </w:tcMar>
          </w:tcPr>
          <w:p>
            <w:pPr>
              <w:pStyle w:val="BDOITable"/>
            </w:pPr>
            <w:r>
              <w:rPr>
                <w:sz w:val="18"/>
              </w:rPr>
              <w:t>Drop item 1.D3 (IQ20)</w:t>
            </w:r>
          </w:p>
        </w:tc>
      </w:tr>
      <w:tr>
        <w:trPr>
          <w:cantSplit w:val="true"/>
        </w:trPr>
        <w:tc>
          <w:tcPr>
            <w:tcW w:type="dxa" w:w="712"/>
            <w:tcMar>
              <w:top w:w="50" w:type="dxa"/>
              <w:bottom w:w="50" w:type="dxa"/>
              <w:left w:w="90" w:type="dxa"/>
              <w:right w:w="90" w:type="dxa"/>
            </w:tcMar>
            <w:shd w:val="clear" w:color="auto" w:fill="E5F5FF"/>
          </w:tcPr>
          <w:p>
            <w:pPr>
              <w:pStyle w:val="BDOITable"/>
            </w:pPr>
            <w:r>
              <w:rPr>
                <w:b/>
                <w:sz w:val="18"/>
              </w:rPr>
              <w:t>A4</w:t>
            </w:r>
          </w:p>
        </w:tc>
        <w:tc>
          <w:tcPr>
            <w:tcW w:type="dxa" w:w="5698"/>
            <w:tcMar>
              <w:top w:w="50" w:type="dxa"/>
              <w:bottom w:w="50" w:type="dxa"/>
              <w:left w:w="90" w:type="dxa"/>
              <w:right w:w="90" w:type="dxa"/>
            </w:tcMar>
            <w:shd w:val="clear" w:color="auto" w:fill="E5F5FF"/>
          </w:tcPr>
          <w:p>
            <w:pPr>
              <w:pStyle w:val="BDOITable"/>
            </w:pPr>
            <w:r>
              <w:rPr>
                <w:sz w:val="18"/>
              </w:rPr>
              <w:t>Documents and attachments are stored in an S3 bucket only</w:t>
            </w:r>
          </w:p>
        </w:tc>
        <w:tc>
          <w:tcPr>
            <w:tcW w:type="dxa" w:w="3561"/>
            <w:tcMar>
              <w:top w:w="50" w:type="dxa"/>
              <w:bottom w:w="50" w:type="dxa"/>
              <w:left w:w="90" w:type="dxa"/>
              <w:right w:w="90" w:type="dxa"/>
            </w:tcMar>
            <w:shd w:val="clear" w:color="auto" w:fill="E5F5FF"/>
          </w:tcPr>
          <w:p>
            <w:pPr>
              <w:pStyle w:val="BDOITable"/>
            </w:pPr>
            <w:r>
              <w:rPr>
                <w:sz w:val="18"/>
              </w:rPr>
              <w:t>Section 6.3</w:t>
            </w:r>
          </w:p>
        </w:tc>
      </w:tr>
      <w:tr>
        <w:trPr>
          <w:cantSplit w:val="true"/>
        </w:trPr>
        <w:tc>
          <w:tcPr>
            <w:tcW w:type="dxa" w:w="712"/>
            <w:tcMar>
              <w:top w:w="50" w:type="dxa"/>
              <w:bottom w:w="50" w:type="dxa"/>
              <w:left w:w="90" w:type="dxa"/>
              <w:right w:w="90" w:type="dxa"/>
            </w:tcMar>
          </w:tcPr>
          <w:p>
            <w:pPr>
              <w:pStyle w:val="BDOITable"/>
            </w:pPr>
            <w:r>
              <w:rPr>
                <w:b/>
                <w:sz w:val="18"/>
              </w:rPr>
              <w:t>A5</w:t>
            </w:r>
          </w:p>
        </w:tc>
        <w:tc>
          <w:tcPr>
            <w:tcW w:type="dxa" w:w="5698"/>
            <w:tcMar>
              <w:top w:w="50" w:type="dxa"/>
              <w:bottom w:w="50" w:type="dxa"/>
              <w:left w:w="90" w:type="dxa"/>
              <w:right w:w="90" w:type="dxa"/>
            </w:tcMar>
          </w:tcPr>
          <w:p>
            <w:pPr>
              <w:pStyle w:val="BDOITable"/>
            </w:pPr>
            <w:r>
              <w:rPr>
                <w:sz w:val="18"/>
              </w:rPr>
              <w:t>BRDs, FRS, test plans and collaterals are grouped under the drops</w:t>
            </w:r>
          </w:p>
        </w:tc>
        <w:tc>
          <w:tcPr>
            <w:tcW w:type="dxa" w:w="3561"/>
            <w:tcMar>
              <w:top w:w="50" w:type="dxa"/>
              <w:bottom w:w="50" w:type="dxa"/>
              <w:left w:w="90" w:type="dxa"/>
              <w:right w:w="90" w:type="dxa"/>
            </w:tcMar>
          </w:tcPr>
          <w:p>
            <w:pPr>
              <w:pStyle w:val="BDOITable"/>
            </w:pPr>
            <w:r>
              <w:rPr>
                <w:sz w:val="18"/>
              </w:rPr>
              <w:t>Drop-to-document map, section 2.4</w:t>
            </w:r>
          </w:p>
        </w:tc>
      </w:tr>
      <w:tr>
        <w:trPr>
          <w:cantSplit w:val="true"/>
        </w:trPr>
        <w:tc>
          <w:tcPr>
            <w:tcW w:type="dxa" w:w="712"/>
            <w:tcMar>
              <w:top w:w="50" w:type="dxa"/>
              <w:bottom w:w="50" w:type="dxa"/>
              <w:left w:w="90" w:type="dxa"/>
              <w:right w:w="90" w:type="dxa"/>
            </w:tcMar>
            <w:shd w:val="clear" w:color="auto" w:fill="E5F5FF"/>
          </w:tcPr>
          <w:p>
            <w:pPr>
              <w:pStyle w:val="BDOITable"/>
            </w:pPr>
            <w:r>
              <w:rPr>
                <w:b/>
                <w:sz w:val="18"/>
              </w:rPr>
              <w:t>A6</w:t>
            </w:r>
          </w:p>
        </w:tc>
        <w:tc>
          <w:tcPr>
            <w:tcW w:type="dxa" w:w="5698"/>
            <w:tcMar>
              <w:top w:w="50" w:type="dxa"/>
              <w:bottom w:w="50" w:type="dxa"/>
              <w:left w:w="90" w:type="dxa"/>
              <w:right w:w="90" w:type="dxa"/>
            </w:tcMar>
            <w:shd w:val="clear" w:color="auto" w:fill="E5F5FF"/>
          </w:tcPr>
          <w:p>
            <w:pPr>
              <w:pStyle w:val="BDOITable"/>
            </w:pPr>
            <w:r>
              <w:rPr>
                <w:sz w:val="18"/>
              </w:rPr>
              <w:t>BDOI supplies the diagrams for the "Architecture Diagram" sheets of the IER</w:t>
            </w:r>
          </w:p>
        </w:tc>
        <w:tc>
          <w:tcPr>
            <w:tcW w:type="dxa" w:w="3561"/>
            <w:tcMar>
              <w:top w:w="50" w:type="dxa"/>
              <w:bottom w:w="50" w:type="dxa"/>
              <w:left w:w="90" w:type="dxa"/>
              <w:right w:w="90" w:type="dxa"/>
            </w:tcMar>
            <w:shd w:val="clear" w:color="auto" w:fill="E5F5FF"/>
          </w:tcPr>
          <w:p>
            <w:pPr>
              <w:pStyle w:val="BDOITable"/>
            </w:pPr>
            <w:r>
              <w:rPr>
                <w:sz w:val="18"/>
              </w:rPr>
              <w:t>Figures 3 and 4, delivered as PNG files</w:t>
            </w:r>
          </w:p>
        </w:tc>
      </w:tr>
    </w:tbl>
    <w:p>
      <w:pPr>
        <w:pStyle w:val="BDOISpacer"/>
      </w:pPr>
    </w:p>
    <w:p>
      <w:pPr>
        <w:pStyle w:val="Heading2"/>
      </w:pPr>
      <w:bookmarkStart w:id="105" w:name="_Toc000105"/>
      <w:r>
        <w:rPr/>
        <w:t>1.4 Conventions</w:t>
      </w:r>
      <w:bookmarkEnd w:id="105"/>
    </w:p>
    <w:p>
      <w:r>
        <w:rPr/>
        <w:t>The ReInsurance BRD is phase 2. Questions to BDOI are numbered IQ01 to IQ35 (chapter 7); register items DCR-210 to DCR-235 are added to the discrepancy register.</w:t>
      </w:r>
    </w:p>
    <w:p>
      <w:pPr>
        <w:pStyle w:val="Heading1"/>
        <w:pageBreakBefore/>
        <w:pBdr>
          <w:bottom w:val="single" w:sz="4" w:space="4" w:color="99C1E7"/>
        </w:pBdr>
      </w:pPr>
      <w:bookmarkStart w:id="106" w:name="_Toc000106"/>
      <w:r>
        <w:rPr/>
        <w:t>2 Drop mapping</w:t>
      </w:r>
      <w:bookmarkEnd w:id="106"/>
    </w:p>
    <w:p>
      <w:pPr>
        <w:pStyle w:val="Heading2"/>
      </w:pPr>
      <w:bookmarkStart w:id="107" w:name="_Toc000107"/>
      <w:r>
        <w:rPr/>
        <w:t>2.1 The drops at a glance</w:t>
      </w:r>
      <w:bookmarkEnd w:id="107"/>
    </w:p>
    <w:p>
      <w:r>
        <w:rPr/>
        <w:t>Figure 1 shows each drop item with the BIBS BRD that specifies it and the integrations of the drop.</w:t>
      </w:r>
    </w:p>
    <w:p>
      <w:pPr>
        <w:keepNext/>
        <w:spacing w:before="80" w:after="0"/>
        <w:jc w:val="center"/>
      </w:pPr>
      <w:r>
        <w:drawing>
          <wp:inline xmlns:a="http://schemas.openxmlformats.org/drawingml/2006/main" xmlns:pic="http://schemas.openxmlformats.org/drawingml/2006/picture">
            <wp:extent cx="5580000" cy="5117242"/>
            <wp:docPr id="3" name="Picture 3"/>
            <wp:cNvGraphicFramePr>
              <a:graphicFrameLocks noChangeAspect="1"/>
            </wp:cNvGraphicFramePr>
            <a:graphic>
              <a:graphicData uri="http://schemas.openxmlformats.org/drawingml/2006/picture">
                <pic:pic>
                  <pic:nvPicPr>
                    <pic:cNvPr id="0" name="al_drop_map_1037.jpg"/>
                    <pic:cNvPicPr/>
                  </pic:nvPicPr>
                  <pic:blipFill>
                    <a:blip r:embed="rId15"/>
                    <a:stretch>
                      <a:fillRect/>
                    </a:stretch>
                  </pic:blipFill>
                  <pic:spPr>
                    <a:xfrm>
                      <a:off x="0" y="0"/>
                      <a:ext cx="5580000" cy="5117242"/>
                    </a:xfrm>
                    <a:prstGeom prst="rect"/>
                  </pic:spPr>
                </pic:pic>
              </a:graphicData>
            </a:graphic>
          </wp:inline>
        </w:drawing>
      </w:r>
    </w:p>
    <w:p>
      <w:pPr>
        <w:pStyle w:val="Caption"/>
        <w:jc w:val="center"/>
      </w:pPr>
      <w:r>
        <w:rPr>
          <w:b/>
          <w:i w:val="0"/>
        </w:rPr>
        <w:t xml:space="preserve">Figure 1: </w:t>
      </w:r>
      <w:r>
        <w:rPr/>
        <w:t>Drop items and the BIBS BRDs</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2"/>
      </w:pPr>
      <w:bookmarkStart w:id="108" w:name="_Toc000108"/>
      <w:r>
        <w:rPr/>
        <w:t>2.2 Drop items against BRDs, FRS and BIBS</w:t>
      </w:r>
      <w:bookmarkEnd w:id="108"/>
    </w:p>
    <w:p>
      <w:pPr>
        <w:pStyle w:val="Caption"/>
        <w:keepNext/>
        <w:spacing w:after="60"/>
      </w:pPr>
      <w:r>
        <w:rPr>
          <w:b/>
          <w:i w:val="0"/>
        </w:rPr>
        <w:t xml:space="preserve">Table 3: </w:t>
      </w:r>
      <w:r>
        <w:rPr/>
        <w:t>Drop 0 - Setup and Data Migration</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20"/>
        <w:gridCol w:w="1929"/>
        <w:gridCol w:w="1929"/>
        <w:gridCol w:w="2067"/>
        <w:gridCol w:w="1653"/>
        <w:gridCol w:w="4134"/>
        <w:gridCol w:w="1240"/>
      </w:tblGrid>
      <w:tr>
        <w:trPr>
          <w:tblHeader w:val="true"/>
          <w:cantSplit w:val="true"/>
        </w:trPr>
        <w:tc>
          <w:tcPr>
            <w:tcW w:type="dxa" w:w="620"/>
            <w:shd w:val="clear" w:color="auto" w:fill="004EA8"/>
            <w:tcMar>
              <w:top w:w="50" w:type="dxa"/>
              <w:bottom w:w="50" w:type="dxa"/>
              <w:left w:w="90" w:type="dxa"/>
              <w:right w:w="90" w:type="dxa"/>
            </w:tcMar>
            <w:vAlign w:val="center"/>
          </w:tcPr>
          <w:p>
            <w:pPr>
              <w:pStyle w:val="BDOITableHeader"/>
            </w:pPr>
            <w:r>
              <w:rPr>
                <w:b/>
                <w:color w:val="FFFFFF"/>
                <w:sz w:val="15"/>
              </w:rPr>
              <w:t>#</w:t>
            </w:r>
          </w:p>
        </w:tc>
        <w:tc>
          <w:tcPr>
            <w:tcW w:type="dxa" w:w="1929"/>
            <w:shd w:val="clear" w:color="auto" w:fill="004EA8"/>
            <w:tcMar>
              <w:top w:w="50" w:type="dxa"/>
              <w:bottom w:w="50" w:type="dxa"/>
              <w:left w:w="90" w:type="dxa"/>
              <w:right w:w="90" w:type="dxa"/>
            </w:tcMar>
            <w:vAlign w:val="center"/>
          </w:tcPr>
          <w:p>
            <w:pPr>
              <w:pStyle w:val="BDOITableHeader"/>
            </w:pPr>
            <w:r>
              <w:rPr>
                <w:b/>
                <w:color w:val="FFFFFF"/>
                <w:sz w:val="15"/>
              </w:rPr>
              <w:t>Drop item</w:t>
            </w:r>
          </w:p>
        </w:tc>
        <w:tc>
          <w:tcPr>
            <w:tcW w:type="dxa" w:w="1929"/>
            <w:shd w:val="clear" w:color="auto" w:fill="004EA8"/>
            <w:tcMar>
              <w:top w:w="50" w:type="dxa"/>
              <w:bottom w:w="50" w:type="dxa"/>
              <w:left w:w="90" w:type="dxa"/>
              <w:right w:w="90" w:type="dxa"/>
            </w:tcMar>
            <w:vAlign w:val="center"/>
          </w:tcPr>
          <w:p>
            <w:pPr>
              <w:pStyle w:val="BDOITableHeader"/>
            </w:pPr>
            <w:r>
              <w:rPr>
                <w:b/>
                <w:color w:val="FFFFFF"/>
                <w:sz w:val="15"/>
              </w:rPr>
              <w:t>BRD named by BDOI</w:t>
            </w:r>
          </w:p>
        </w:tc>
        <w:tc>
          <w:tcPr>
            <w:tcW w:type="dxa" w:w="2067"/>
            <w:shd w:val="clear" w:color="auto" w:fill="004EA8"/>
            <w:tcMar>
              <w:top w:w="50" w:type="dxa"/>
              <w:bottom w:w="50" w:type="dxa"/>
              <w:left w:w="90" w:type="dxa"/>
              <w:right w:w="90" w:type="dxa"/>
            </w:tcMar>
            <w:vAlign w:val="center"/>
          </w:tcPr>
          <w:p>
            <w:pPr>
              <w:pStyle w:val="BDOITableHeader"/>
            </w:pPr>
            <w:r>
              <w:rPr>
                <w:b/>
                <w:color w:val="FFFFFF"/>
                <w:sz w:val="15"/>
              </w:rPr>
              <w:t>BIBS BRD</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4134"/>
            <w:shd w:val="clear" w:color="auto" w:fill="004EA8"/>
            <w:tcMar>
              <w:top w:w="50" w:type="dxa"/>
              <w:bottom w:w="50" w:type="dxa"/>
              <w:left w:w="90" w:type="dxa"/>
              <w:right w:w="90" w:type="dxa"/>
            </w:tcMar>
            <w:vAlign w:val="center"/>
          </w:tcPr>
          <w:p>
            <w:pPr>
              <w:pStyle w:val="BDOITableHeader"/>
            </w:pPr>
            <w:r>
              <w:rPr>
                <w:b/>
                <w:color w:val="FFFFFF"/>
                <w:sz w:val="15"/>
              </w:rPr>
              <w:t>Gap or mismatch</w:t>
            </w:r>
          </w:p>
        </w:tc>
        <w:tc>
          <w:tcPr>
            <w:tcW w:type="dxa" w:w="1240"/>
            <w:shd w:val="clear" w:color="auto" w:fill="004EA8"/>
            <w:tcMar>
              <w:top w:w="50" w:type="dxa"/>
              <w:bottom w:w="50" w:type="dxa"/>
              <w:left w:w="90" w:type="dxa"/>
              <w:right w:w="90" w:type="dxa"/>
            </w:tcMar>
            <w:vAlign w:val="center"/>
          </w:tcPr>
          <w:p>
            <w:pPr>
              <w:pStyle w:val="BDOITableHeader"/>
            </w:pPr>
            <w:r>
              <w:rPr>
                <w:b/>
                <w:color w:val="FFFFFF"/>
                <w:sz w:val="15"/>
              </w:rPr>
              <w:t>Refs</w:t>
            </w:r>
          </w:p>
        </w:tc>
      </w:tr>
      <w:tr>
        <w:trPr>
          <w:cantSplit w:val="true"/>
        </w:trPr>
        <w:tc>
          <w:tcPr>
            <w:tcW w:type="dxa" w:w="620"/>
            <w:tcMar>
              <w:top w:w="50" w:type="dxa"/>
              <w:bottom w:w="50" w:type="dxa"/>
              <w:left w:w="90" w:type="dxa"/>
              <w:right w:w="90" w:type="dxa"/>
            </w:tcMar>
          </w:tcPr>
          <w:p>
            <w:pPr>
              <w:pStyle w:val="BDOITable"/>
            </w:pPr>
            <w:r>
              <w:rPr>
                <w:b/>
                <w:sz w:val="15"/>
              </w:rPr>
              <w:t>0.1</w:t>
            </w:r>
          </w:p>
        </w:tc>
        <w:tc>
          <w:tcPr>
            <w:tcW w:type="dxa" w:w="1929"/>
            <w:tcMar>
              <w:top w:w="50" w:type="dxa"/>
              <w:bottom w:w="50" w:type="dxa"/>
              <w:left w:w="90" w:type="dxa"/>
              <w:right w:w="90" w:type="dxa"/>
            </w:tcMar>
          </w:tcPr>
          <w:p>
            <w:pPr>
              <w:pStyle w:val="BDOITable"/>
            </w:pPr>
            <w:r>
              <w:rPr>
                <w:sz w:val="15"/>
              </w:rPr>
              <w:t>Accessibility &amp; Login</w:t>
            </w:r>
          </w:p>
        </w:tc>
        <w:tc>
          <w:tcPr>
            <w:tcW w:type="dxa" w:w="1929"/>
            <w:tcMar>
              <w:top w:w="50" w:type="dxa"/>
              <w:bottom w:w="50" w:type="dxa"/>
              <w:left w:w="90" w:type="dxa"/>
              <w:right w:w="90" w:type="dxa"/>
            </w:tcMar>
          </w:tcPr>
          <w:p>
            <w:pPr>
              <w:pStyle w:val="BDOITable"/>
            </w:pPr>
            <w:r>
              <w:rPr>
                <w:sz w:val="15"/>
              </w:rPr>
              <w:t>-</w:t>
            </w:r>
          </w:p>
        </w:tc>
        <w:tc>
          <w:tcPr>
            <w:tcW w:type="dxa" w:w="2067"/>
            <w:tcMar>
              <w:top w:w="50" w:type="dxa"/>
              <w:bottom w:w="50" w:type="dxa"/>
              <w:left w:w="90" w:type="dxa"/>
              <w:right w:w="90" w:type="dxa"/>
            </w:tcMar>
          </w:tcPr>
          <w:p>
            <w:pPr>
              <w:pStyle w:val="BDOITable"/>
            </w:pPr>
            <w:r>
              <w:rPr>
                <w:sz w:val="15"/>
              </w:rPr>
              <w:t>BRD-11 UAM; BRD-00 XC-01</w:t>
            </w:r>
          </w:p>
        </w:tc>
        <w:tc>
          <w:tcPr>
            <w:tcW w:type="dxa" w:w="1653"/>
            <w:tcMar>
              <w:top w:w="50" w:type="dxa"/>
              <w:bottom w:w="50" w:type="dxa"/>
              <w:left w:w="90" w:type="dxa"/>
              <w:right w:w="90" w:type="dxa"/>
            </w:tcMar>
          </w:tcPr>
          <w:p>
            <w:pPr>
              <w:pStyle w:val="BDOITable"/>
            </w:pPr>
            <w:r>
              <w:rPr>
                <w:sz w:val="15"/>
              </w:rPr>
              <w:t>FR-UA (log-in, session, password); FR-CR</w:t>
            </w:r>
          </w:p>
        </w:tc>
        <w:tc>
          <w:tcPr>
            <w:tcW w:type="dxa" w:w="4134"/>
            <w:tcMar>
              <w:top w:w="50" w:type="dxa"/>
              <w:bottom w:w="50" w:type="dxa"/>
              <w:left w:w="90" w:type="dxa"/>
              <w:right w:w="90" w:type="dxa"/>
            </w:tcMar>
          </w:tcPr>
          <w:p>
            <w:pPr>
              <w:pStyle w:val="BDOITable"/>
            </w:pPr>
            <w:r>
              <w:rPr>
                <w:sz w:val="15"/>
              </w:rPr>
              <w:t>No BRD named. Log-in uses BIBS passwords; EIAM (Entra ID) single sign-on is a Drop 0 integration (INT-01). "Accessibility" may mean WCAG (UAM-NFR-05) or system access.</w:t>
            </w:r>
          </w:p>
        </w:tc>
        <w:tc>
          <w:tcPr>
            <w:tcW w:type="dxa" w:w="1240"/>
            <w:tcMar>
              <w:top w:w="50" w:type="dxa"/>
              <w:bottom w:w="50" w:type="dxa"/>
              <w:left w:w="90" w:type="dxa"/>
              <w:right w:w="90" w:type="dxa"/>
            </w:tcMar>
          </w:tcPr>
          <w:p>
            <w:pPr>
              <w:pStyle w:val="BDOITable"/>
            </w:pPr>
            <w:r>
              <w:rPr>
                <w:sz w:val="15"/>
              </w:rPr>
              <w:t>IQ04, IQ24; DCR-214, DCR-230</w:t>
            </w:r>
          </w:p>
        </w:tc>
      </w:tr>
      <w:tr>
        <w:trPr>
          <w:cantSplit w:val="true"/>
        </w:trPr>
        <w:tc>
          <w:tcPr>
            <w:tcW w:type="dxa" w:w="620"/>
            <w:tcMar>
              <w:top w:w="50" w:type="dxa"/>
              <w:bottom w:w="50" w:type="dxa"/>
              <w:left w:w="90" w:type="dxa"/>
              <w:right w:w="90" w:type="dxa"/>
            </w:tcMar>
            <w:shd w:val="clear" w:color="auto" w:fill="E5F5FF"/>
          </w:tcPr>
          <w:p>
            <w:pPr>
              <w:pStyle w:val="BDOITable"/>
            </w:pPr>
            <w:r>
              <w:rPr>
                <w:b/>
                <w:sz w:val="15"/>
              </w:rPr>
              <w:t>0.2</w:t>
            </w:r>
          </w:p>
        </w:tc>
        <w:tc>
          <w:tcPr>
            <w:tcW w:type="dxa" w:w="1929"/>
            <w:tcMar>
              <w:top w:w="50" w:type="dxa"/>
              <w:bottom w:w="50" w:type="dxa"/>
              <w:left w:w="90" w:type="dxa"/>
              <w:right w:w="90" w:type="dxa"/>
            </w:tcMar>
            <w:shd w:val="clear" w:color="auto" w:fill="E5F5FF"/>
          </w:tcPr>
          <w:p>
            <w:pPr>
              <w:pStyle w:val="BDOITable"/>
            </w:pPr>
            <w:r>
              <w:rPr>
                <w:sz w:val="15"/>
              </w:rPr>
              <w:t>Authorization</w:t>
            </w:r>
          </w:p>
        </w:tc>
        <w:tc>
          <w:tcPr>
            <w:tcW w:type="dxa" w:w="1929"/>
            <w:tcMar>
              <w:top w:w="50" w:type="dxa"/>
              <w:bottom w:w="50" w:type="dxa"/>
              <w:left w:w="90" w:type="dxa"/>
              <w:right w:w="90" w:type="dxa"/>
            </w:tcMar>
            <w:shd w:val="clear" w:color="auto" w:fill="E5F5FF"/>
          </w:tcPr>
          <w:p>
            <w:pPr>
              <w:pStyle w:val="BDOITable"/>
            </w:pPr>
            <w:r>
              <w:rPr>
                <w:sz w:val="15"/>
              </w:rPr>
              <w:t>-</w:t>
            </w:r>
          </w:p>
        </w:tc>
        <w:tc>
          <w:tcPr>
            <w:tcW w:type="dxa" w:w="2067"/>
            <w:tcMar>
              <w:top w:w="50" w:type="dxa"/>
              <w:bottom w:w="50" w:type="dxa"/>
              <w:left w:w="90" w:type="dxa"/>
              <w:right w:w="90" w:type="dxa"/>
            </w:tcMar>
            <w:shd w:val="clear" w:color="auto" w:fill="E5F5FF"/>
          </w:tcPr>
          <w:p>
            <w:pPr>
              <w:pStyle w:val="BDOITable"/>
            </w:pPr>
            <w:r>
              <w:rPr>
                <w:sz w:val="15"/>
              </w:rPr>
              <w:t>BRD-11 UAM</w:t>
            </w:r>
          </w:p>
        </w:tc>
        <w:tc>
          <w:tcPr>
            <w:tcW w:type="dxa" w:w="1653"/>
            <w:tcMar>
              <w:top w:w="50" w:type="dxa"/>
              <w:bottom w:w="50" w:type="dxa"/>
              <w:left w:w="90" w:type="dxa"/>
              <w:right w:w="90" w:type="dxa"/>
            </w:tcMar>
            <w:shd w:val="clear" w:color="auto" w:fill="E5F5FF"/>
          </w:tcPr>
          <w:p>
            <w:pPr>
              <w:pStyle w:val="BDOITable"/>
            </w:pPr>
            <w:r>
              <w:rPr>
                <w:sz w:val="15"/>
              </w:rPr>
              <w:t>FR-UA</w:t>
            </w:r>
          </w:p>
        </w:tc>
        <w:tc>
          <w:tcPr>
            <w:tcW w:type="dxa" w:w="4134"/>
            <w:tcMar>
              <w:top w:w="50" w:type="dxa"/>
              <w:bottom w:w="50" w:type="dxa"/>
              <w:left w:w="90" w:type="dxa"/>
              <w:right w:w="90" w:type="dxa"/>
            </w:tcMar>
            <w:shd w:val="clear" w:color="auto" w:fill="E5F5FF"/>
          </w:tcPr>
          <w:p>
            <w:pPr>
              <w:pStyle w:val="BDOITable"/>
            </w:pPr>
            <w:r>
              <w:rPr>
                <w:sz w:val="15"/>
              </w:rPr>
              <w:t>No BRD named. Access requests and approvals are in BIBS (BRD-11); UIDM-ISC (the IGA) may take them over.</w:t>
            </w:r>
          </w:p>
        </w:tc>
        <w:tc>
          <w:tcPr>
            <w:tcW w:type="dxa" w:w="1240"/>
            <w:tcMar>
              <w:top w:w="50" w:type="dxa"/>
              <w:bottom w:w="50" w:type="dxa"/>
              <w:left w:w="90" w:type="dxa"/>
              <w:right w:w="90" w:type="dxa"/>
            </w:tcMar>
            <w:shd w:val="clear" w:color="auto" w:fill="E5F5FF"/>
          </w:tcPr>
          <w:p>
            <w:pPr>
              <w:pStyle w:val="BDOITable"/>
            </w:pPr>
            <w:r>
              <w:rPr>
                <w:sz w:val="15"/>
              </w:rPr>
              <w:t>IQ05; DCR-229</w:t>
            </w:r>
          </w:p>
        </w:tc>
      </w:tr>
      <w:tr>
        <w:trPr>
          <w:cantSplit w:val="true"/>
        </w:trPr>
        <w:tc>
          <w:tcPr>
            <w:tcW w:type="dxa" w:w="620"/>
            <w:tcMar>
              <w:top w:w="50" w:type="dxa"/>
              <w:bottom w:w="50" w:type="dxa"/>
              <w:left w:w="90" w:type="dxa"/>
              <w:right w:w="90" w:type="dxa"/>
            </w:tcMar>
          </w:tcPr>
          <w:p>
            <w:pPr>
              <w:pStyle w:val="BDOITable"/>
            </w:pPr>
            <w:r>
              <w:rPr>
                <w:b/>
                <w:sz w:val="15"/>
              </w:rPr>
              <w:t>0.3</w:t>
            </w:r>
          </w:p>
        </w:tc>
        <w:tc>
          <w:tcPr>
            <w:tcW w:type="dxa" w:w="1929"/>
            <w:tcMar>
              <w:top w:w="50" w:type="dxa"/>
              <w:bottom w:w="50" w:type="dxa"/>
              <w:left w:w="90" w:type="dxa"/>
              <w:right w:w="90" w:type="dxa"/>
            </w:tcMar>
          </w:tcPr>
          <w:p>
            <w:pPr>
              <w:pStyle w:val="BDOITable"/>
            </w:pPr>
            <w:r>
              <w:rPr>
                <w:sz w:val="15"/>
              </w:rPr>
              <w:t>User Maintenance</w:t>
            </w:r>
          </w:p>
        </w:tc>
        <w:tc>
          <w:tcPr>
            <w:tcW w:type="dxa" w:w="1929"/>
            <w:tcMar>
              <w:top w:w="50" w:type="dxa"/>
              <w:bottom w:w="50" w:type="dxa"/>
              <w:left w:w="90" w:type="dxa"/>
              <w:right w:w="90" w:type="dxa"/>
            </w:tcMar>
          </w:tcPr>
          <w:p>
            <w:pPr>
              <w:pStyle w:val="BDOITable"/>
            </w:pPr>
            <w:r>
              <w:rPr>
                <w:sz w:val="15"/>
              </w:rPr>
              <w:t>-</w:t>
            </w:r>
          </w:p>
        </w:tc>
        <w:tc>
          <w:tcPr>
            <w:tcW w:type="dxa" w:w="2067"/>
            <w:tcMar>
              <w:top w:w="50" w:type="dxa"/>
              <w:bottom w:w="50" w:type="dxa"/>
              <w:left w:w="90" w:type="dxa"/>
              <w:right w:w="90" w:type="dxa"/>
            </w:tcMar>
          </w:tcPr>
          <w:p>
            <w:pPr>
              <w:pStyle w:val="BDOITable"/>
            </w:pPr>
            <w:r>
              <w:rPr>
                <w:sz w:val="15"/>
              </w:rPr>
              <w:t>BRD-11 UAM</w:t>
            </w:r>
          </w:p>
        </w:tc>
        <w:tc>
          <w:tcPr>
            <w:tcW w:type="dxa" w:w="1653"/>
            <w:tcMar>
              <w:top w:w="50" w:type="dxa"/>
              <w:bottom w:w="50" w:type="dxa"/>
              <w:left w:w="90" w:type="dxa"/>
              <w:right w:w="90" w:type="dxa"/>
            </w:tcMar>
          </w:tcPr>
          <w:p>
            <w:pPr>
              <w:pStyle w:val="BDOITable"/>
            </w:pPr>
            <w:r>
              <w:rPr>
                <w:sz w:val="15"/>
              </w:rPr>
              <w:t>FR-UA</w:t>
            </w:r>
          </w:p>
        </w:tc>
        <w:tc>
          <w:tcPr>
            <w:tcW w:type="dxa" w:w="4134"/>
            <w:tcMar>
              <w:top w:w="50" w:type="dxa"/>
              <w:bottom w:w="50" w:type="dxa"/>
              <w:left w:w="90" w:type="dxa"/>
              <w:right w:w="90" w:type="dxa"/>
            </w:tcMar>
          </w:tcPr>
          <w:p>
            <w:pPr>
              <w:pStyle w:val="BDOITable"/>
            </w:pPr>
            <w:r>
              <w:rPr>
                <w:sz w:val="15"/>
              </w:rPr>
              <w:t>Provisioning by UIDM-ISC conflicts with BRD-11 principle "a request in BIBS is the only way to change access".</w:t>
            </w:r>
          </w:p>
        </w:tc>
        <w:tc>
          <w:tcPr>
            <w:tcW w:type="dxa" w:w="1240"/>
            <w:tcMar>
              <w:top w:w="50" w:type="dxa"/>
              <w:bottom w:w="50" w:type="dxa"/>
              <w:left w:w="90" w:type="dxa"/>
              <w:right w:w="90" w:type="dxa"/>
            </w:tcMar>
          </w:tcPr>
          <w:p>
            <w:pPr>
              <w:pStyle w:val="BDOITable"/>
            </w:pPr>
            <w:r>
              <w:rPr>
                <w:sz w:val="15"/>
              </w:rPr>
              <w:t>IQ05; DCR-229</w:t>
            </w:r>
          </w:p>
        </w:tc>
      </w:tr>
      <w:tr>
        <w:trPr>
          <w:cantSplit w:val="true"/>
        </w:trPr>
        <w:tc>
          <w:tcPr>
            <w:tcW w:type="dxa" w:w="620"/>
            <w:tcMar>
              <w:top w:w="50" w:type="dxa"/>
              <w:bottom w:w="50" w:type="dxa"/>
              <w:left w:w="90" w:type="dxa"/>
              <w:right w:w="90" w:type="dxa"/>
            </w:tcMar>
            <w:shd w:val="clear" w:color="auto" w:fill="E5F5FF"/>
          </w:tcPr>
          <w:p>
            <w:pPr>
              <w:pStyle w:val="BDOITable"/>
            </w:pPr>
            <w:r>
              <w:rPr>
                <w:b/>
                <w:sz w:val="15"/>
              </w:rPr>
              <w:t>0.4</w:t>
            </w:r>
          </w:p>
        </w:tc>
        <w:tc>
          <w:tcPr>
            <w:tcW w:type="dxa" w:w="1929"/>
            <w:tcMar>
              <w:top w:w="50" w:type="dxa"/>
              <w:bottom w:w="50" w:type="dxa"/>
              <w:left w:w="90" w:type="dxa"/>
              <w:right w:w="90" w:type="dxa"/>
            </w:tcMar>
            <w:shd w:val="clear" w:color="auto" w:fill="E5F5FF"/>
          </w:tcPr>
          <w:p>
            <w:pPr>
              <w:pStyle w:val="BDOITable"/>
            </w:pPr>
            <w:r>
              <w:rPr>
                <w:sz w:val="15"/>
              </w:rPr>
              <w:t>Data Management (GL accounts, reference tables)</w:t>
            </w:r>
          </w:p>
        </w:tc>
        <w:tc>
          <w:tcPr>
            <w:tcW w:type="dxa" w:w="1929"/>
            <w:tcMar>
              <w:top w:w="50" w:type="dxa"/>
              <w:bottom w:w="50" w:type="dxa"/>
              <w:left w:w="90" w:type="dxa"/>
              <w:right w:w="90" w:type="dxa"/>
            </w:tcMar>
            <w:shd w:val="clear" w:color="auto" w:fill="E5F5FF"/>
          </w:tcPr>
          <w:p>
            <w:pPr>
              <w:pStyle w:val="BDOITable"/>
            </w:pPr>
            <w:r>
              <w:rPr>
                <w:sz w:val="15"/>
              </w:rPr>
              <w:t>-</w:t>
            </w:r>
          </w:p>
        </w:tc>
        <w:tc>
          <w:tcPr>
            <w:tcW w:type="dxa" w:w="2067"/>
            <w:tcMar>
              <w:top w:w="50" w:type="dxa"/>
              <w:bottom w:w="50" w:type="dxa"/>
              <w:left w:w="90" w:type="dxa"/>
              <w:right w:w="90" w:type="dxa"/>
            </w:tcMar>
            <w:shd w:val="clear" w:color="auto" w:fill="E5F5FF"/>
          </w:tcPr>
          <w:p>
            <w:pPr>
              <w:pStyle w:val="BDOITable"/>
            </w:pPr>
            <w:r>
              <w:rPr>
                <w:sz w:val="15"/>
              </w:rPr>
              <w:t>BRD-00 CORE-17; BRD-5 (chart of accounts); BRD-1 (LOVs); BRD-3; BRD-13 (reference data R01-R09)</w:t>
            </w:r>
          </w:p>
        </w:tc>
        <w:tc>
          <w:tcPr>
            <w:tcW w:type="dxa" w:w="1653"/>
            <w:tcMar>
              <w:top w:w="50" w:type="dxa"/>
              <w:bottom w:w="50" w:type="dxa"/>
              <w:left w:w="90" w:type="dxa"/>
              <w:right w:w="90" w:type="dxa"/>
            </w:tcMar>
            <w:shd w:val="clear" w:color="auto" w:fill="E5F5FF"/>
          </w:tcPr>
          <w:p>
            <w:pPr>
              <w:pStyle w:val="BDOITable"/>
            </w:pPr>
            <w:r>
              <w:rPr>
                <w:sz w:val="15"/>
              </w:rPr>
              <w:t>FR-CR (CORE-17); FR-AC (chart); FR-NB-132 (LOVs)</w:t>
            </w:r>
          </w:p>
        </w:tc>
        <w:tc>
          <w:tcPr>
            <w:tcW w:type="dxa" w:w="4134"/>
            <w:tcMar>
              <w:top w:w="50" w:type="dxa"/>
              <w:bottom w:w="50" w:type="dxa"/>
              <w:left w:w="90" w:type="dxa"/>
              <w:right w:w="90" w:type="dxa"/>
            </w:tcMar>
            <w:shd w:val="clear" w:color="auto" w:fill="E5F5FF"/>
          </w:tcPr>
          <w:p>
            <w:pPr>
              <w:pStyle w:val="BDOITable"/>
            </w:pPr>
            <w:r>
              <w:rPr>
                <w:sz w:val="15"/>
              </w:rPr>
              <w:t>CORE-17 has no BRD: MIS field definition (CRQ09) and insurer management (one screen) are proposed in FRS BRD-00. Acceptance criteria not stated.</w:t>
            </w:r>
          </w:p>
        </w:tc>
        <w:tc>
          <w:tcPr>
            <w:tcW w:type="dxa" w:w="1240"/>
            <w:tcMar>
              <w:top w:w="50" w:type="dxa"/>
              <w:bottom w:w="50" w:type="dxa"/>
              <w:left w:w="90" w:type="dxa"/>
              <w:right w:w="90" w:type="dxa"/>
            </w:tcMar>
            <w:shd w:val="clear" w:color="auto" w:fill="E5F5FF"/>
          </w:tcPr>
          <w:p>
            <w:pPr>
              <w:pStyle w:val="BDOITable"/>
            </w:pPr>
            <w:r>
              <w:rPr>
                <w:sz w:val="15"/>
              </w:rPr>
              <w:t>IQ24; DCR-214</w:t>
            </w:r>
          </w:p>
        </w:tc>
      </w:tr>
      <w:tr>
        <w:trPr>
          <w:cantSplit w:val="true"/>
        </w:trPr>
        <w:tc>
          <w:tcPr>
            <w:tcW w:type="dxa" w:w="620"/>
            <w:tcMar>
              <w:top w:w="50" w:type="dxa"/>
              <w:bottom w:w="50" w:type="dxa"/>
              <w:left w:w="90" w:type="dxa"/>
              <w:right w:w="90" w:type="dxa"/>
            </w:tcMar>
          </w:tcPr>
          <w:p>
            <w:pPr>
              <w:pStyle w:val="BDOITable"/>
            </w:pPr>
            <w:r>
              <w:rPr>
                <w:b/>
                <w:sz w:val="15"/>
              </w:rPr>
              <w:t>0.5</w:t>
            </w:r>
          </w:p>
        </w:tc>
        <w:tc>
          <w:tcPr>
            <w:tcW w:type="dxa" w:w="1929"/>
            <w:tcMar>
              <w:top w:w="50" w:type="dxa"/>
              <w:bottom w:w="50" w:type="dxa"/>
              <w:left w:w="90" w:type="dxa"/>
              <w:right w:w="90" w:type="dxa"/>
            </w:tcMar>
          </w:tcPr>
          <w:p>
            <w:pPr>
              <w:pStyle w:val="BDOITable"/>
            </w:pPr>
            <w:r>
              <w:rPr>
                <w:sz w:val="15"/>
              </w:rPr>
              <w:t>Workflow</w:t>
            </w:r>
          </w:p>
        </w:tc>
        <w:tc>
          <w:tcPr>
            <w:tcW w:type="dxa" w:w="1929"/>
            <w:tcMar>
              <w:top w:w="50" w:type="dxa"/>
              <w:bottom w:w="50" w:type="dxa"/>
              <w:left w:w="90" w:type="dxa"/>
              <w:right w:w="90" w:type="dxa"/>
            </w:tcMar>
          </w:tcPr>
          <w:p>
            <w:pPr>
              <w:pStyle w:val="BDOITable"/>
            </w:pPr>
            <w:r>
              <w:rPr>
                <w:sz w:val="15"/>
              </w:rPr>
              <w:t>-</w:t>
            </w:r>
          </w:p>
        </w:tc>
        <w:tc>
          <w:tcPr>
            <w:tcW w:type="dxa" w:w="2067"/>
            <w:tcMar>
              <w:top w:w="50" w:type="dxa"/>
              <w:bottom w:w="50" w:type="dxa"/>
              <w:left w:w="90" w:type="dxa"/>
              <w:right w:w="90" w:type="dxa"/>
            </w:tcMar>
          </w:tcPr>
          <w:p>
            <w:pPr>
              <w:pStyle w:val="BDOITable"/>
            </w:pPr>
            <w:r>
              <w:rPr>
                <w:sz w:val="15"/>
              </w:rPr>
              <w:t>Cross-BRD (every BRD with approvals)</w:t>
            </w:r>
          </w:p>
        </w:tc>
        <w:tc>
          <w:tcPr>
            <w:tcW w:type="dxa" w:w="1653"/>
            <w:tcMar>
              <w:top w:w="50" w:type="dxa"/>
              <w:bottom w:w="50" w:type="dxa"/>
              <w:left w:w="90" w:type="dxa"/>
              <w:right w:w="90" w:type="dxa"/>
            </w:tcMar>
          </w:tcPr>
          <w:p>
            <w:pPr>
              <w:pStyle w:val="BDOITable"/>
            </w:pPr>
            <w:r>
              <w:rPr>
                <w:sz w:val="15"/>
              </w:rPr>
              <w:t>Workflow chapters of each FRS</w:t>
            </w:r>
          </w:p>
        </w:tc>
        <w:tc>
          <w:tcPr>
            <w:tcW w:type="dxa" w:w="4134"/>
            <w:tcMar>
              <w:top w:w="50" w:type="dxa"/>
              <w:bottom w:w="50" w:type="dxa"/>
              <w:left w:w="90" w:type="dxa"/>
              <w:right w:w="90" w:type="dxa"/>
            </w:tcMar>
          </w:tcPr>
          <w:p>
            <w:pPr>
              <w:pStyle w:val="BDOITable"/>
            </w:pPr>
            <w:r>
              <w:rPr>
                <w:sz w:val="15"/>
              </w:rPr>
              <w:t>No BRD; accepted through the workflows of each BRD.</w:t>
            </w:r>
          </w:p>
        </w:tc>
        <w:tc>
          <w:tcPr>
            <w:tcW w:type="dxa" w:w="1240"/>
            <w:tcMar>
              <w:top w:w="50" w:type="dxa"/>
              <w:bottom w:w="50" w:type="dxa"/>
              <w:left w:w="90" w:type="dxa"/>
              <w:right w:w="90" w:type="dxa"/>
            </w:tcMar>
          </w:tcPr>
          <w:p>
            <w:pPr>
              <w:pStyle w:val="BDOITable"/>
            </w:pPr>
            <w:r>
              <w:rPr>
                <w:sz w:val="15"/>
              </w:rPr>
              <w:t>DCR-214</w:t>
            </w:r>
          </w:p>
        </w:tc>
      </w:tr>
      <w:tr>
        <w:trPr>
          <w:cantSplit w:val="true"/>
        </w:trPr>
        <w:tc>
          <w:tcPr>
            <w:tcW w:type="dxa" w:w="620"/>
            <w:tcMar>
              <w:top w:w="50" w:type="dxa"/>
              <w:bottom w:w="50" w:type="dxa"/>
              <w:left w:w="90" w:type="dxa"/>
              <w:right w:w="90" w:type="dxa"/>
            </w:tcMar>
            <w:shd w:val="clear" w:color="auto" w:fill="E5F5FF"/>
          </w:tcPr>
          <w:p>
            <w:pPr>
              <w:pStyle w:val="BDOITable"/>
            </w:pPr>
            <w:r>
              <w:rPr>
                <w:b/>
                <w:sz w:val="15"/>
              </w:rPr>
              <w:t>0.6</w:t>
            </w:r>
          </w:p>
        </w:tc>
        <w:tc>
          <w:tcPr>
            <w:tcW w:type="dxa" w:w="1929"/>
            <w:tcMar>
              <w:top w:w="50" w:type="dxa"/>
              <w:bottom w:w="50" w:type="dxa"/>
              <w:left w:w="90" w:type="dxa"/>
              <w:right w:w="90" w:type="dxa"/>
            </w:tcMar>
            <w:shd w:val="clear" w:color="auto" w:fill="E5F5FF"/>
          </w:tcPr>
          <w:p>
            <w:pPr>
              <w:pStyle w:val="BDOITable"/>
            </w:pPr>
            <w:r>
              <w:rPr>
                <w:sz w:val="15"/>
              </w:rPr>
              <w:t>Product Maintenance</w:t>
            </w:r>
          </w:p>
        </w:tc>
        <w:tc>
          <w:tcPr>
            <w:tcW w:type="dxa" w:w="1929"/>
            <w:tcMar>
              <w:top w:w="50" w:type="dxa"/>
              <w:bottom w:w="50" w:type="dxa"/>
              <w:left w:w="90" w:type="dxa"/>
              <w:right w:w="90" w:type="dxa"/>
            </w:tcMar>
            <w:shd w:val="clear" w:color="auto" w:fill="E5F5FF"/>
          </w:tcPr>
          <w:p>
            <w:pPr>
              <w:pStyle w:val="BDOITable"/>
            </w:pPr>
            <w:r>
              <w:rPr>
                <w:sz w:val="15"/>
              </w:rPr>
              <w:t>-</w:t>
            </w:r>
          </w:p>
        </w:tc>
        <w:tc>
          <w:tcPr>
            <w:tcW w:type="dxa" w:w="2067"/>
            <w:tcMar>
              <w:top w:w="50" w:type="dxa"/>
              <w:bottom w:w="50" w:type="dxa"/>
              <w:left w:w="90" w:type="dxa"/>
              <w:right w:w="90" w:type="dxa"/>
            </w:tcMar>
            <w:shd w:val="clear" w:color="auto" w:fill="E5F5FF"/>
          </w:tcPr>
          <w:p>
            <w:pPr>
              <w:pStyle w:val="BDOITable"/>
            </w:pPr>
            <w:r>
              <w:rPr>
                <w:sz w:val="15"/>
              </w:rPr>
              <w:t>BRD-3 PM</w:t>
            </w:r>
          </w:p>
        </w:tc>
        <w:tc>
          <w:tcPr>
            <w:tcW w:type="dxa" w:w="1653"/>
            <w:tcMar>
              <w:top w:w="50" w:type="dxa"/>
              <w:bottom w:w="50" w:type="dxa"/>
              <w:left w:w="90" w:type="dxa"/>
              <w:right w:w="90" w:type="dxa"/>
            </w:tcMar>
            <w:shd w:val="clear" w:color="auto" w:fill="E5F5FF"/>
          </w:tcPr>
          <w:p>
            <w:pPr>
              <w:pStyle w:val="BDOITable"/>
            </w:pPr>
            <w:r>
              <w:rPr>
                <w:sz w:val="15"/>
              </w:rPr>
              <w:t>FR-PM</w:t>
            </w:r>
          </w:p>
        </w:tc>
        <w:tc>
          <w:tcPr>
            <w:tcW w:type="dxa" w:w="4134"/>
            <w:tcMar>
              <w:top w:w="50" w:type="dxa"/>
              <w:bottom w:w="50" w:type="dxa"/>
              <w:left w:w="90" w:type="dxa"/>
              <w:right w:w="90" w:type="dxa"/>
            </w:tcMar>
            <w:shd w:val="clear" w:color="auto" w:fill="E5F5FF"/>
          </w:tcPr>
          <w:p>
            <w:pPr>
              <w:pStyle w:val="BDOITable"/>
            </w:pPr>
            <w:r>
              <w:rPr>
                <w:sz w:val="15"/>
              </w:rPr>
              <w:t>None. BRD-3 is also named for Quotation (1.U2).</w:t>
            </w:r>
          </w:p>
        </w:tc>
        <w:tc>
          <w:tcPr>
            <w:tcW w:type="dxa" w:w="1240"/>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Caption"/>
        <w:keepNext/>
        <w:spacing w:after="60"/>
      </w:pPr>
      <w:r>
        <w:rPr>
          <w:b/>
          <w:i w:val="0"/>
        </w:rPr>
        <w:t xml:space="preserve">Table 4: </w:t>
      </w:r>
      <w:r>
        <w:rPr/>
        <w:t>Drop 1 - Transactional, upstream (product inherent)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20"/>
        <w:gridCol w:w="1929"/>
        <w:gridCol w:w="1929"/>
        <w:gridCol w:w="2067"/>
        <w:gridCol w:w="1653"/>
        <w:gridCol w:w="4134"/>
        <w:gridCol w:w="1240"/>
      </w:tblGrid>
      <w:tr>
        <w:trPr>
          <w:tblHeader w:val="true"/>
          <w:cantSplit w:val="true"/>
        </w:trPr>
        <w:tc>
          <w:tcPr>
            <w:tcW w:type="dxa" w:w="620"/>
            <w:shd w:val="clear" w:color="auto" w:fill="004EA8"/>
            <w:tcMar>
              <w:top w:w="50" w:type="dxa"/>
              <w:bottom w:w="50" w:type="dxa"/>
              <w:left w:w="90" w:type="dxa"/>
              <w:right w:w="90" w:type="dxa"/>
            </w:tcMar>
            <w:vAlign w:val="center"/>
          </w:tcPr>
          <w:p>
            <w:pPr>
              <w:pStyle w:val="BDOITableHeader"/>
            </w:pPr>
            <w:r>
              <w:rPr>
                <w:b/>
                <w:color w:val="FFFFFF"/>
                <w:sz w:val="15"/>
              </w:rPr>
              <w:t>#</w:t>
            </w:r>
          </w:p>
        </w:tc>
        <w:tc>
          <w:tcPr>
            <w:tcW w:type="dxa" w:w="1929"/>
            <w:shd w:val="clear" w:color="auto" w:fill="004EA8"/>
            <w:tcMar>
              <w:top w:w="50" w:type="dxa"/>
              <w:bottom w:w="50" w:type="dxa"/>
              <w:left w:w="90" w:type="dxa"/>
              <w:right w:w="90" w:type="dxa"/>
            </w:tcMar>
            <w:vAlign w:val="center"/>
          </w:tcPr>
          <w:p>
            <w:pPr>
              <w:pStyle w:val="BDOITableHeader"/>
            </w:pPr>
            <w:r>
              <w:rPr>
                <w:b/>
                <w:color w:val="FFFFFF"/>
                <w:sz w:val="15"/>
              </w:rPr>
              <w:t>Drop item</w:t>
            </w:r>
          </w:p>
        </w:tc>
        <w:tc>
          <w:tcPr>
            <w:tcW w:type="dxa" w:w="1929"/>
            <w:shd w:val="clear" w:color="auto" w:fill="004EA8"/>
            <w:tcMar>
              <w:top w:w="50" w:type="dxa"/>
              <w:bottom w:w="50" w:type="dxa"/>
              <w:left w:w="90" w:type="dxa"/>
              <w:right w:w="90" w:type="dxa"/>
            </w:tcMar>
            <w:vAlign w:val="center"/>
          </w:tcPr>
          <w:p>
            <w:pPr>
              <w:pStyle w:val="BDOITableHeader"/>
            </w:pPr>
            <w:r>
              <w:rPr>
                <w:b/>
                <w:color w:val="FFFFFF"/>
                <w:sz w:val="15"/>
              </w:rPr>
              <w:t>BRD named by BDOI</w:t>
            </w:r>
          </w:p>
        </w:tc>
        <w:tc>
          <w:tcPr>
            <w:tcW w:type="dxa" w:w="2067"/>
            <w:shd w:val="clear" w:color="auto" w:fill="004EA8"/>
            <w:tcMar>
              <w:top w:w="50" w:type="dxa"/>
              <w:bottom w:w="50" w:type="dxa"/>
              <w:left w:w="90" w:type="dxa"/>
              <w:right w:w="90" w:type="dxa"/>
            </w:tcMar>
            <w:vAlign w:val="center"/>
          </w:tcPr>
          <w:p>
            <w:pPr>
              <w:pStyle w:val="BDOITableHeader"/>
            </w:pPr>
            <w:r>
              <w:rPr>
                <w:b/>
                <w:color w:val="FFFFFF"/>
                <w:sz w:val="15"/>
              </w:rPr>
              <w:t>BIBS BRD</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4134"/>
            <w:shd w:val="clear" w:color="auto" w:fill="004EA8"/>
            <w:tcMar>
              <w:top w:w="50" w:type="dxa"/>
              <w:bottom w:w="50" w:type="dxa"/>
              <w:left w:w="90" w:type="dxa"/>
              <w:right w:w="90" w:type="dxa"/>
            </w:tcMar>
            <w:vAlign w:val="center"/>
          </w:tcPr>
          <w:p>
            <w:pPr>
              <w:pStyle w:val="BDOITableHeader"/>
            </w:pPr>
            <w:r>
              <w:rPr>
                <w:b/>
                <w:color w:val="FFFFFF"/>
                <w:sz w:val="15"/>
              </w:rPr>
              <w:t>Gap or mismatch</w:t>
            </w:r>
          </w:p>
        </w:tc>
        <w:tc>
          <w:tcPr>
            <w:tcW w:type="dxa" w:w="1240"/>
            <w:shd w:val="clear" w:color="auto" w:fill="004EA8"/>
            <w:tcMar>
              <w:top w:w="50" w:type="dxa"/>
              <w:bottom w:w="50" w:type="dxa"/>
              <w:left w:w="90" w:type="dxa"/>
              <w:right w:w="90" w:type="dxa"/>
            </w:tcMar>
            <w:vAlign w:val="center"/>
          </w:tcPr>
          <w:p>
            <w:pPr>
              <w:pStyle w:val="BDOITableHeader"/>
            </w:pPr>
            <w:r>
              <w:rPr>
                <w:b/>
                <w:color w:val="FFFFFF"/>
                <w:sz w:val="15"/>
              </w:rPr>
              <w:t>Refs</w:t>
            </w:r>
          </w:p>
        </w:tc>
      </w:tr>
      <w:tr>
        <w:trPr>
          <w:cantSplit w:val="true"/>
        </w:trPr>
        <w:tc>
          <w:tcPr>
            <w:tcW w:type="dxa" w:w="620"/>
            <w:tcMar>
              <w:top w:w="50" w:type="dxa"/>
              <w:bottom w:w="50" w:type="dxa"/>
              <w:left w:w="90" w:type="dxa"/>
              <w:right w:w="90" w:type="dxa"/>
            </w:tcMar>
          </w:tcPr>
          <w:p>
            <w:pPr>
              <w:pStyle w:val="BDOITable"/>
            </w:pPr>
            <w:r>
              <w:rPr>
                <w:b/>
                <w:sz w:val="15"/>
              </w:rPr>
              <w:t>1.U1</w:t>
            </w:r>
          </w:p>
        </w:tc>
        <w:tc>
          <w:tcPr>
            <w:tcW w:type="dxa" w:w="1929"/>
            <w:tcMar>
              <w:top w:w="50" w:type="dxa"/>
              <w:bottom w:w="50" w:type="dxa"/>
              <w:left w:w="90" w:type="dxa"/>
              <w:right w:w="90" w:type="dxa"/>
            </w:tcMar>
          </w:tcPr>
          <w:p>
            <w:pPr>
              <w:pStyle w:val="BDOITable"/>
            </w:pPr>
            <w:r>
              <w:rPr>
                <w:sz w:val="15"/>
              </w:rPr>
              <w:t>Client Onboarding</w:t>
            </w:r>
          </w:p>
        </w:tc>
        <w:tc>
          <w:tcPr>
            <w:tcW w:type="dxa" w:w="1929"/>
            <w:tcMar>
              <w:top w:w="50" w:type="dxa"/>
              <w:bottom w:w="50" w:type="dxa"/>
              <w:left w:w="90" w:type="dxa"/>
              <w:right w:w="90" w:type="dxa"/>
            </w:tcMar>
          </w:tcPr>
          <w:p>
            <w:pPr>
              <w:pStyle w:val="BDOITable"/>
            </w:pPr>
            <w:r>
              <w:rPr>
                <w:sz w:val="15"/>
              </w:rPr>
              <w:t>Data Migration BRD, New Business BRD</w:t>
            </w:r>
          </w:p>
        </w:tc>
        <w:tc>
          <w:tcPr>
            <w:tcW w:type="dxa" w:w="2067"/>
            <w:tcMar>
              <w:top w:w="50" w:type="dxa"/>
              <w:bottom w:w="50" w:type="dxa"/>
              <w:left w:w="90" w:type="dxa"/>
              <w:right w:w="90" w:type="dxa"/>
            </w:tcMar>
          </w:tcPr>
          <w:p>
            <w:pPr>
              <w:pStyle w:val="BDOITable"/>
            </w:pPr>
            <w:r>
              <w:rPr>
                <w:sz w:val="15"/>
              </w:rPr>
              <w:t>BRD-1 NB; BRD-13 DM (C01-C03); BRD-10 SANC (onboarding screening)</w:t>
            </w:r>
          </w:p>
        </w:tc>
        <w:tc>
          <w:tcPr>
            <w:tcW w:type="dxa" w:w="1653"/>
            <w:tcMar>
              <w:top w:w="50" w:type="dxa"/>
              <w:bottom w:w="50" w:type="dxa"/>
              <w:left w:w="90" w:type="dxa"/>
              <w:right w:w="90" w:type="dxa"/>
            </w:tcMar>
          </w:tcPr>
          <w:p>
            <w:pPr>
              <w:pStyle w:val="BDOITable"/>
            </w:pPr>
            <w:r>
              <w:rPr>
                <w:sz w:val="15"/>
              </w:rPr>
              <w:t>FR-NB (client); FR-DM; FR-SS</w:t>
            </w:r>
          </w:p>
        </w:tc>
        <w:tc>
          <w:tcPr>
            <w:tcW w:type="dxa" w:w="4134"/>
            <w:tcMar>
              <w:top w:w="50" w:type="dxa"/>
              <w:bottom w:w="50" w:type="dxa"/>
              <w:left w:w="90" w:type="dxa"/>
              <w:right w:w="90" w:type="dxa"/>
            </w:tcMar>
          </w:tcPr>
          <w:p>
            <w:pPr>
              <w:pStyle w:val="BDOITable"/>
            </w:pPr>
            <w:r>
              <w:rPr>
                <w:sz w:val="15"/>
              </w:rPr>
              <w:t>Client migration is part of BRD-13. Screening at onboarding (BRD-10) is in no drop.</w:t>
            </w:r>
          </w:p>
        </w:tc>
        <w:tc>
          <w:tcPr>
            <w:tcW w:type="dxa" w:w="1240"/>
            <w:tcMar>
              <w:top w:w="50" w:type="dxa"/>
              <w:bottom w:w="50" w:type="dxa"/>
              <w:left w:w="90" w:type="dxa"/>
              <w:right w:w="90" w:type="dxa"/>
            </w:tcMar>
          </w:tcPr>
          <w:p>
            <w:pPr>
              <w:pStyle w:val="BDOITable"/>
            </w:pPr>
            <w:r>
              <w:rPr>
                <w:sz w:val="15"/>
              </w:rPr>
              <w:t>IQ23; DCR-213</w:t>
            </w:r>
          </w:p>
        </w:tc>
      </w:tr>
      <w:tr>
        <w:trPr>
          <w:cantSplit w:val="true"/>
        </w:trPr>
        <w:tc>
          <w:tcPr>
            <w:tcW w:type="dxa" w:w="620"/>
            <w:tcMar>
              <w:top w:w="50" w:type="dxa"/>
              <w:bottom w:w="50" w:type="dxa"/>
              <w:left w:w="90" w:type="dxa"/>
              <w:right w:w="90" w:type="dxa"/>
            </w:tcMar>
            <w:shd w:val="clear" w:color="auto" w:fill="E5F5FF"/>
          </w:tcPr>
          <w:p>
            <w:pPr>
              <w:pStyle w:val="BDOITable"/>
            </w:pPr>
            <w:r>
              <w:rPr>
                <w:b/>
                <w:sz w:val="15"/>
              </w:rPr>
              <w:t>1.U2</w:t>
            </w:r>
          </w:p>
        </w:tc>
        <w:tc>
          <w:tcPr>
            <w:tcW w:type="dxa" w:w="1929"/>
            <w:tcMar>
              <w:top w:w="50" w:type="dxa"/>
              <w:bottom w:w="50" w:type="dxa"/>
              <w:left w:w="90" w:type="dxa"/>
              <w:right w:w="90" w:type="dxa"/>
            </w:tcMar>
            <w:shd w:val="clear" w:color="auto" w:fill="E5F5FF"/>
          </w:tcPr>
          <w:p>
            <w:pPr>
              <w:pStyle w:val="BDOITable"/>
            </w:pPr>
            <w:r>
              <w:rPr>
                <w:sz w:val="15"/>
              </w:rPr>
              <w:t>Quotation or Proposal</w:t>
            </w:r>
          </w:p>
        </w:tc>
        <w:tc>
          <w:tcPr>
            <w:tcW w:type="dxa" w:w="1929"/>
            <w:tcMar>
              <w:top w:w="50" w:type="dxa"/>
              <w:bottom w:w="50" w:type="dxa"/>
              <w:left w:w="90" w:type="dxa"/>
              <w:right w:w="90" w:type="dxa"/>
            </w:tcMar>
            <w:shd w:val="clear" w:color="auto" w:fill="E5F5FF"/>
          </w:tcPr>
          <w:p>
            <w:pPr>
              <w:pStyle w:val="BDOITable"/>
            </w:pPr>
            <w:r>
              <w:rPr>
                <w:sz w:val="15"/>
              </w:rPr>
              <w:t>New Business BRD, Product Maintenance</w:t>
            </w:r>
          </w:p>
        </w:tc>
        <w:tc>
          <w:tcPr>
            <w:tcW w:type="dxa" w:w="2067"/>
            <w:tcMar>
              <w:top w:w="50" w:type="dxa"/>
              <w:bottom w:w="50" w:type="dxa"/>
              <w:left w:w="90" w:type="dxa"/>
              <w:right w:w="90" w:type="dxa"/>
            </w:tcMar>
            <w:shd w:val="clear" w:color="auto" w:fill="E5F5FF"/>
          </w:tcPr>
          <w:p>
            <w:pPr>
              <w:pStyle w:val="BDOITable"/>
            </w:pPr>
            <w:r>
              <w:rPr>
                <w:sz w:val="15"/>
              </w:rPr>
              <w:t>BRD-1 NB (incl. Non-Package); BRD-3 PM</w:t>
            </w:r>
          </w:p>
        </w:tc>
        <w:tc>
          <w:tcPr>
            <w:tcW w:type="dxa" w:w="1653"/>
            <w:tcMar>
              <w:top w:w="50" w:type="dxa"/>
              <w:bottom w:w="50" w:type="dxa"/>
              <w:left w:w="90" w:type="dxa"/>
              <w:right w:w="90" w:type="dxa"/>
            </w:tcMar>
            <w:shd w:val="clear" w:color="auto" w:fill="E5F5FF"/>
          </w:tcPr>
          <w:p>
            <w:pPr>
              <w:pStyle w:val="BDOITable"/>
            </w:pPr>
            <w:r>
              <w:rPr>
                <w:sz w:val="15"/>
              </w:rPr>
              <w:t>FR-NB; FR-PM</w:t>
            </w:r>
          </w:p>
        </w:tc>
        <w:tc>
          <w:tcPr>
            <w:tcW w:type="dxa" w:w="4134"/>
            <w:tcMar>
              <w:top w:w="50" w:type="dxa"/>
              <w:bottom w:w="50" w:type="dxa"/>
              <w:left w:w="90" w:type="dxa"/>
              <w:right w:w="90" w:type="dxa"/>
            </w:tcMar>
            <w:shd w:val="clear" w:color="auto" w:fill="E5F5FF"/>
          </w:tcPr>
          <w:p>
            <w:pPr>
              <w:pStyle w:val="BDOITable"/>
            </w:pPr>
            <w:r>
              <w:rPr>
                <w:sz w:val="15"/>
              </w:rPr>
              <w:t>Non-Package Management (CORE-04) is not named; read as part of this item.</w:t>
            </w:r>
          </w:p>
        </w:tc>
        <w:tc>
          <w:tcPr>
            <w:tcW w:type="dxa" w:w="1240"/>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620"/>
            <w:tcMar>
              <w:top w:w="50" w:type="dxa"/>
              <w:bottom w:w="50" w:type="dxa"/>
              <w:left w:w="90" w:type="dxa"/>
              <w:right w:w="90" w:type="dxa"/>
            </w:tcMar>
          </w:tcPr>
          <w:p>
            <w:pPr>
              <w:pStyle w:val="BDOITable"/>
            </w:pPr>
            <w:r>
              <w:rPr>
                <w:b/>
                <w:sz w:val="15"/>
              </w:rPr>
              <w:t>1.U3</w:t>
            </w:r>
          </w:p>
        </w:tc>
        <w:tc>
          <w:tcPr>
            <w:tcW w:type="dxa" w:w="1929"/>
            <w:tcMar>
              <w:top w:w="50" w:type="dxa"/>
              <w:bottom w:w="50" w:type="dxa"/>
              <w:left w:w="90" w:type="dxa"/>
              <w:right w:w="90" w:type="dxa"/>
            </w:tcMar>
          </w:tcPr>
          <w:p>
            <w:pPr>
              <w:pStyle w:val="BDOITable"/>
            </w:pPr>
            <w:r>
              <w:rPr>
                <w:sz w:val="15"/>
              </w:rPr>
              <w:t>Account Creation and Maintenance</w:t>
            </w:r>
          </w:p>
        </w:tc>
        <w:tc>
          <w:tcPr>
            <w:tcW w:type="dxa" w:w="1929"/>
            <w:tcMar>
              <w:top w:w="50" w:type="dxa"/>
              <w:bottom w:w="50" w:type="dxa"/>
              <w:left w:w="90" w:type="dxa"/>
              <w:right w:w="90" w:type="dxa"/>
            </w:tcMar>
          </w:tcPr>
          <w:p>
            <w:pPr>
              <w:pStyle w:val="BDOITable"/>
            </w:pPr>
            <w:r>
              <w:rPr>
                <w:sz w:val="15"/>
              </w:rPr>
              <w:t>New Business BRD, CSF</w:t>
            </w:r>
          </w:p>
        </w:tc>
        <w:tc>
          <w:tcPr>
            <w:tcW w:type="dxa" w:w="2067"/>
            <w:tcMar>
              <w:top w:w="50" w:type="dxa"/>
              <w:bottom w:w="50" w:type="dxa"/>
              <w:left w:w="90" w:type="dxa"/>
              <w:right w:w="90" w:type="dxa"/>
            </w:tcMar>
          </w:tcPr>
          <w:p>
            <w:pPr>
              <w:pStyle w:val="BDOITable"/>
            </w:pPr>
            <w:r>
              <w:rPr>
                <w:sz w:val="15"/>
              </w:rPr>
              <w:t>BRD-1 NB; BRD-9 CSF</w:t>
            </w:r>
          </w:p>
        </w:tc>
        <w:tc>
          <w:tcPr>
            <w:tcW w:type="dxa" w:w="1653"/>
            <w:tcMar>
              <w:top w:w="50" w:type="dxa"/>
              <w:bottom w:w="50" w:type="dxa"/>
              <w:left w:w="90" w:type="dxa"/>
              <w:right w:w="90" w:type="dxa"/>
            </w:tcMar>
          </w:tcPr>
          <w:p>
            <w:pPr>
              <w:pStyle w:val="BDOITable"/>
            </w:pPr>
            <w:r>
              <w:rPr>
                <w:sz w:val="15"/>
              </w:rPr>
              <w:t>FR-NB; FR-CSF</w:t>
            </w:r>
          </w:p>
        </w:tc>
        <w:tc>
          <w:tcPr>
            <w:tcW w:type="dxa" w:w="4134"/>
            <w:tcMar>
              <w:top w:w="50" w:type="dxa"/>
              <w:bottom w:w="50" w:type="dxa"/>
              <w:left w:w="90" w:type="dxa"/>
              <w:right w:w="90" w:type="dxa"/>
            </w:tcMar>
          </w:tcPr>
          <w:p>
            <w:pPr>
              <w:pStyle w:val="BDOITable"/>
            </w:pPr>
            <w:r>
              <w:rPr>
                <w:sz w:val="15"/>
              </w:rPr>
              <w:t>Only the CSF maintenance functions (contact updates, service requests) are on the slide. The rest of CSF is in no drop.</w:t>
            </w:r>
          </w:p>
        </w:tc>
        <w:tc>
          <w:tcPr>
            <w:tcW w:type="dxa" w:w="1240"/>
            <w:tcMar>
              <w:top w:w="50" w:type="dxa"/>
              <w:bottom w:w="50" w:type="dxa"/>
              <w:left w:w="90" w:type="dxa"/>
              <w:right w:w="90" w:type="dxa"/>
            </w:tcMar>
          </w:tcPr>
          <w:p>
            <w:pPr>
              <w:pStyle w:val="BDOITable"/>
            </w:pPr>
            <w:r>
              <w:rPr>
                <w:sz w:val="15"/>
              </w:rPr>
              <w:t>IQ23; DCR-213</w:t>
            </w:r>
          </w:p>
        </w:tc>
      </w:tr>
      <w:tr>
        <w:trPr>
          <w:cantSplit w:val="true"/>
        </w:trPr>
        <w:tc>
          <w:tcPr>
            <w:tcW w:type="dxa" w:w="620"/>
            <w:tcMar>
              <w:top w:w="50" w:type="dxa"/>
              <w:bottom w:w="50" w:type="dxa"/>
              <w:left w:w="90" w:type="dxa"/>
              <w:right w:w="90" w:type="dxa"/>
            </w:tcMar>
            <w:shd w:val="clear" w:color="auto" w:fill="E5F5FF"/>
          </w:tcPr>
          <w:p>
            <w:pPr>
              <w:pStyle w:val="BDOITable"/>
            </w:pPr>
            <w:r>
              <w:rPr>
                <w:b/>
                <w:sz w:val="15"/>
              </w:rPr>
              <w:t>1.U4</w:t>
            </w:r>
          </w:p>
        </w:tc>
        <w:tc>
          <w:tcPr>
            <w:tcW w:type="dxa" w:w="1929"/>
            <w:tcMar>
              <w:top w:w="50" w:type="dxa"/>
              <w:bottom w:w="50" w:type="dxa"/>
              <w:left w:w="90" w:type="dxa"/>
              <w:right w:w="90" w:type="dxa"/>
            </w:tcMar>
            <w:shd w:val="clear" w:color="auto" w:fill="E5F5FF"/>
          </w:tcPr>
          <w:p>
            <w:pPr>
              <w:pStyle w:val="BDOITable"/>
            </w:pPr>
            <w:r>
              <w:rPr>
                <w:sz w:val="15"/>
              </w:rPr>
              <w:t>Submitted Policy</w:t>
            </w:r>
          </w:p>
        </w:tc>
        <w:tc>
          <w:tcPr>
            <w:tcW w:type="dxa" w:w="1929"/>
            <w:tcMar>
              <w:top w:w="50" w:type="dxa"/>
              <w:bottom w:w="50" w:type="dxa"/>
              <w:left w:w="90" w:type="dxa"/>
              <w:right w:w="90" w:type="dxa"/>
            </w:tcMar>
            <w:shd w:val="clear" w:color="auto" w:fill="E5F5FF"/>
          </w:tcPr>
          <w:p>
            <w:pPr>
              <w:pStyle w:val="BDOITable"/>
            </w:pPr>
            <w:r>
              <w:rPr>
                <w:sz w:val="15"/>
              </w:rPr>
              <w:t>Submitted Policies</w:t>
            </w:r>
          </w:p>
        </w:tc>
        <w:tc>
          <w:tcPr>
            <w:tcW w:type="dxa" w:w="2067"/>
            <w:tcMar>
              <w:top w:w="50" w:type="dxa"/>
              <w:bottom w:w="50" w:type="dxa"/>
              <w:left w:w="90" w:type="dxa"/>
              <w:right w:w="90" w:type="dxa"/>
            </w:tcMar>
            <w:shd w:val="clear" w:color="auto" w:fill="E5F5FF"/>
          </w:tcPr>
          <w:p>
            <w:pPr>
              <w:pStyle w:val="BDOITable"/>
            </w:pPr>
            <w:r>
              <w:rPr>
                <w:sz w:val="15"/>
              </w:rPr>
              <w:t>BRD-12 SP</w:t>
            </w:r>
          </w:p>
        </w:tc>
        <w:tc>
          <w:tcPr>
            <w:tcW w:type="dxa" w:w="1653"/>
            <w:tcMar>
              <w:top w:w="50" w:type="dxa"/>
              <w:bottom w:w="50" w:type="dxa"/>
              <w:left w:w="90" w:type="dxa"/>
              <w:right w:w="90" w:type="dxa"/>
            </w:tcMar>
            <w:shd w:val="clear" w:color="auto" w:fill="E5F5FF"/>
          </w:tcPr>
          <w:p>
            <w:pPr>
              <w:pStyle w:val="BDOITable"/>
            </w:pPr>
            <w:r>
              <w:rPr>
                <w:sz w:val="15"/>
              </w:rPr>
              <w:t>FR-SP</w:t>
            </w:r>
          </w:p>
        </w:tc>
        <w:tc>
          <w:tcPr>
            <w:tcW w:type="dxa" w:w="4134"/>
            <w:tcMar>
              <w:top w:w="50" w:type="dxa"/>
              <w:bottom w:w="50" w:type="dxa"/>
              <w:left w:w="90" w:type="dxa"/>
              <w:right w:w="90" w:type="dxa"/>
            </w:tcMar>
            <w:shd w:val="clear" w:color="auto" w:fill="E5F5FF"/>
          </w:tcPr>
          <w:p>
            <w:pPr>
              <w:pStyle w:val="BDOITable"/>
            </w:pPr>
            <w:r>
              <w:rPr>
                <w:sz w:val="15"/>
              </w:rPr>
              <w:t>Sources LFS, HL-LOAS, LMS (LAMD) are integrations.</w:t>
            </w:r>
          </w:p>
        </w:tc>
        <w:tc>
          <w:tcPr>
            <w:tcW w:type="dxa" w:w="1240"/>
            <w:tcMar>
              <w:top w:w="50" w:type="dxa"/>
              <w:bottom w:w="50" w:type="dxa"/>
              <w:left w:w="90" w:type="dxa"/>
              <w:right w:w="90" w:type="dxa"/>
            </w:tcMar>
            <w:shd w:val="clear" w:color="auto" w:fill="E5F5FF"/>
          </w:tcPr>
          <w:p>
            <w:pPr>
              <w:pStyle w:val="BDOITable"/>
            </w:pPr>
            <w:r>
              <w:rPr>
                <w:sz w:val="15"/>
              </w:rPr>
              <w:t>IQ06, IQ07, IQ08</w:t>
            </w:r>
          </w:p>
        </w:tc>
      </w:tr>
      <w:tr>
        <w:trPr>
          <w:cantSplit w:val="true"/>
        </w:trPr>
        <w:tc>
          <w:tcPr>
            <w:tcW w:type="dxa" w:w="620"/>
            <w:tcMar>
              <w:top w:w="50" w:type="dxa"/>
              <w:bottom w:w="50" w:type="dxa"/>
              <w:left w:w="90" w:type="dxa"/>
              <w:right w:w="90" w:type="dxa"/>
            </w:tcMar>
          </w:tcPr>
          <w:p>
            <w:pPr>
              <w:pStyle w:val="BDOITable"/>
            </w:pPr>
            <w:r>
              <w:rPr>
                <w:b/>
                <w:sz w:val="15"/>
              </w:rPr>
              <w:t>1.U5</w:t>
            </w:r>
          </w:p>
        </w:tc>
        <w:tc>
          <w:tcPr>
            <w:tcW w:type="dxa" w:w="1929"/>
            <w:tcMar>
              <w:top w:w="50" w:type="dxa"/>
              <w:bottom w:w="50" w:type="dxa"/>
              <w:left w:w="90" w:type="dxa"/>
              <w:right w:w="90" w:type="dxa"/>
            </w:tcMar>
          </w:tcPr>
          <w:p>
            <w:pPr>
              <w:pStyle w:val="BDOITable"/>
            </w:pPr>
            <w:r>
              <w:rPr>
                <w:sz w:val="15"/>
              </w:rPr>
              <w:t>Renewal</w:t>
            </w:r>
          </w:p>
        </w:tc>
        <w:tc>
          <w:tcPr>
            <w:tcW w:type="dxa" w:w="1929"/>
            <w:tcMar>
              <w:top w:w="50" w:type="dxa"/>
              <w:bottom w:w="50" w:type="dxa"/>
              <w:left w:w="90" w:type="dxa"/>
              <w:right w:w="90" w:type="dxa"/>
            </w:tcMar>
          </w:tcPr>
          <w:p>
            <w:pPr>
              <w:pStyle w:val="BDOITable"/>
            </w:pPr>
            <w:r>
              <w:rPr>
                <w:sz w:val="15"/>
              </w:rPr>
              <w:t>Renewal</w:t>
            </w:r>
          </w:p>
        </w:tc>
        <w:tc>
          <w:tcPr>
            <w:tcW w:type="dxa" w:w="2067"/>
            <w:tcMar>
              <w:top w:w="50" w:type="dxa"/>
              <w:bottom w:w="50" w:type="dxa"/>
              <w:left w:w="90" w:type="dxa"/>
              <w:right w:w="90" w:type="dxa"/>
            </w:tcMar>
          </w:tcPr>
          <w:p>
            <w:pPr>
              <w:pStyle w:val="BDOITable"/>
            </w:pPr>
            <w:r>
              <w:rPr>
                <w:sz w:val="15"/>
              </w:rPr>
              <w:t>BRD-6 RN</w:t>
            </w:r>
          </w:p>
        </w:tc>
        <w:tc>
          <w:tcPr>
            <w:tcW w:type="dxa" w:w="1653"/>
            <w:tcMar>
              <w:top w:w="50" w:type="dxa"/>
              <w:bottom w:w="50" w:type="dxa"/>
              <w:left w:w="90" w:type="dxa"/>
              <w:right w:w="90" w:type="dxa"/>
            </w:tcMar>
          </w:tcPr>
          <w:p>
            <w:pPr>
              <w:pStyle w:val="BDOITable"/>
            </w:pPr>
            <w:r>
              <w:rPr>
                <w:sz w:val="15"/>
              </w:rPr>
              <w:t>FR-RN</w:t>
            </w:r>
          </w:p>
        </w:tc>
        <w:tc>
          <w:tcPr>
            <w:tcW w:type="dxa" w:w="4134"/>
            <w:tcMar>
              <w:top w:w="50" w:type="dxa"/>
              <w:bottom w:w="50" w:type="dxa"/>
              <w:left w:w="90" w:type="dxa"/>
              <w:right w:w="90" w:type="dxa"/>
            </w:tcMar>
          </w:tcPr>
          <w:p>
            <w:pPr>
              <w:pStyle w:val="BDOITable"/>
            </w:pPr>
            <w:r>
              <w:rPr>
                <w:sz w:val="15"/>
              </w:rPr>
              <w:t>The early renewal release is withdrawn (answer A1); legacy RMEL cohorts are carried forward at cut-over (P03).</w:t>
            </w:r>
          </w:p>
        </w:tc>
        <w:tc>
          <w:tcPr>
            <w:tcW w:type="dxa" w:w="1240"/>
            <w:tcMar>
              <w:top w:w="50" w:type="dxa"/>
              <w:bottom w:w="50" w:type="dxa"/>
              <w:left w:w="90" w:type="dxa"/>
              <w:right w:w="90" w:type="dxa"/>
            </w:tcMar>
          </w:tcPr>
          <w:p>
            <w:pPr>
              <w:pStyle w:val="BDOITable"/>
            </w:pPr>
            <w:r>
              <w:rPr>
                <w:sz w:val="15"/>
              </w:rPr>
              <w:t>IQ02, IQ03; DCR-218, DCR-219</w:t>
            </w:r>
          </w:p>
        </w:tc>
      </w:tr>
      <w:tr>
        <w:trPr>
          <w:cantSplit w:val="true"/>
        </w:trPr>
        <w:tc>
          <w:tcPr>
            <w:tcW w:type="dxa" w:w="620"/>
            <w:tcMar>
              <w:top w:w="50" w:type="dxa"/>
              <w:bottom w:w="50" w:type="dxa"/>
              <w:left w:w="90" w:type="dxa"/>
              <w:right w:w="90" w:type="dxa"/>
            </w:tcMar>
            <w:shd w:val="clear" w:color="auto" w:fill="E5F5FF"/>
          </w:tcPr>
          <w:p>
            <w:pPr>
              <w:pStyle w:val="BDOITable"/>
            </w:pPr>
            <w:r>
              <w:rPr>
                <w:b/>
                <w:sz w:val="15"/>
              </w:rPr>
              <w:t>1.U6</w:t>
            </w:r>
          </w:p>
        </w:tc>
        <w:tc>
          <w:tcPr>
            <w:tcW w:type="dxa" w:w="1929"/>
            <w:tcMar>
              <w:top w:w="50" w:type="dxa"/>
              <w:bottom w:w="50" w:type="dxa"/>
              <w:left w:w="90" w:type="dxa"/>
              <w:right w:w="90" w:type="dxa"/>
            </w:tcMar>
            <w:shd w:val="clear" w:color="auto" w:fill="E5F5FF"/>
          </w:tcPr>
          <w:p>
            <w:pPr>
              <w:pStyle w:val="BDOITable"/>
            </w:pPr>
            <w:r>
              <w:rPr>
                <w:sz w:val="15"/>
              </w:rPr>
              <w:t>Placement &amp; ePolicy</w:t>
            </w:r>
          </w:p>
        </w:tc>
        <w:tc>
          <w:tcPr>
            <w:tcW w:type="dxa" w:w="1929"/>
            <w:tcMar>
              <w:top w:w="50" w:type="dxa"/>
              <w:bottom w:w="50" w:type="dxa"/>
              <w:left w:w="90" w:type="dxa"/>
              <w:right w:w="90" w:type="dxa"/>
            </w:tcMar>
            <w:shd w:val="clear" w:color="auto" w:fill="E5F5FF"/>
          </w:tcPr>
          <w:p>
            <w:pPr>
              <w:pStyle w:val="BDOITable"/>
            </w:pPr>
            <w:r>
              <w:rPr>
                <w:sz w:val="15"/>
              </w:rPr>
              <w:t>New Business BRD, Renewal BRD, Employee Benefits</w:t>
            </w:r>
          </w:p>
        </w:tc>
        <w:tc>
          <w:tcPr>
            <w:tcW w:type="dxa" w:w="2067"/>
            <w:tcMar>
              <w:top w:w="50" w:type="dxa"/>
              <w:bottom w:w="50" w:type="dxa"/>
              <w:left w:w="90" w:type="dxa"/>
              <w:right w:w="90" w:type="dxa"/>
            </w:tcMar>
            <w:shd w:val="clear" w:color="auto" w:fill="E5F5FF"/>
          </w:tcPr>
          <w:p>
            <w:pPr>
              <w:pStyle w:val="BDOITable"/>
            </w:pPr>
            <w:r>
              <w:rPr>
                <w:sz w:val="15"/>
              </w:rPr>
              <w:t>BRD-1 NB; BRD-6 RN; BRD-8 EB</w:t>
            </w:r>
          </w:p>
        </w:tc>
        <w:tc>
          <w:tcPr>
            <w:tcW w:type="dxa" w:w="1653"/>
            <w:tcMar>
              <w:top w:w="50" w:type="dxa"/>
              <w:bottom w:w="50" w:type="dxa"/>
              <w:left w:w="90" w:type="dxa"/>
              <w:right w:w="90" w:type="dxa"/>
            </w:tcMar>
            <w:shd w:val="clear" w:color="auto" w:fill="E5F5FF"/>
          </w:tcPr>
          <w:p>
            <w:pPr>
              <w:pStyle w:val="BDOITable"/>
            </w:pPr>
            <w:r>
              <w:rPr>
                <w:sz w:val="15"/>
              </w:rPr>
              <w:t>FR-NB; FR-RN; FR-EB</w:t>
            </w:r>
          </w:p>
        </w:tc>
        <w:tc>
          <w:tcPr>
            <w:tcW w:type="dxa" w:w="4134"/>
            <w:tcMar>
              <w:top w:w="50" w:type="dxa"/>
              <w:bottom w:w="50" w:type="dxa"/>
              <w:left w:w="90" w:type="dxa"/>
              <w:right w:w="90" w:type="dxa"/>
            </w:tcMar>
            <w:shd w:val="clear" w:color="auto" w:fill="E5F5FF"/>
          </w:tcPr>
          <w:p>
            <w:pPr>
              <w:pStyle w:val="BDOITable"/>
            </w:pPr>
            <w:r>
              <w:rPr>
                <w:sz w:val="15"/>
              </w:rPr>
              <w:t>EB placement is in Drop 1 while the EB module is in Drop 2.</w:t>
            </w:r>
          </w:p>
        </w:tc>
        <w:tc>
          <w:tcPr>
            <w:tcW w:type="dxa" w:w="1240"/>
            <w:tcMar>
              <w:top w:w="50" w:type="dxa"/>
              <w:bottom w:w="50" w:type="dxa"/>
              <w:left w:w="90" w:type="dxa"/>
              <w:right w:w="90" w:type="dxa"/>
            </w:tcMar>
            <w:shd w:val="clear" w:color="auto" w:fill="E5F5FF"/>
          </w:tcPr>
          <w:p>
            <w:pPr>
              <w:pStyle w:val="BDOITable"/>
            </w:pPr>
            <w:r>
              <w:rPr>
                <w:sz w:val="15"/>
              </w:rPr>
              <w:t>IQ22; DCR-235</w:t>
            </w:r>
          </w:p>
        </w:tc>
      </w:tr>
      <w:tr>
        <w:trPr>
          <w:cantSplit w:val="true"/>
        </w:trPr>
        <w:tc>
          <w:tcPr>
            <w:tcW w:type="dxa" w:w="620"/>
            <w:tcMar>
              <w:top w:w="50" w:type="dxa"/>
              <w:bottom w:w="50" w:type="dxa"/>
              <w:left w:w="90" w:type="dxa"/>
              <w:right w:w="90" w:type="dxa"/>
            </w:tcMar>
          </w:tcPr>
          <w:p>
            <w:pPr>
              <w:pStyle w:val="BDOITable"/>
            </w:pPr>
            <w:r>
              <w:rPr>
                <w:b/>
                <w:sz w:val="15"/>
              </w:rPr>
              <w:t>1.U7</w:t>
            </w:r>
          </w:p>
        </w:tc>
        <w:tc>
          <w:tcPr>
            <w:tcW w:type="dxa" w:w="1929"/>
            <w:tcMar>
              <w:top w:w="50" w:type="dxa"/>
              <w:bottom w:w="50" w:type="dxa"/>
              <w:left w:w="90" w:type="dxa"/>
              <w:right w:w="90" w:type="dxa"/>
            </w:tcMar>
          </w:tcPr>
          <w:p>
            <w:pPr>
              <w:pStyle w:val="BDOITable"/>
            </w:pPr>
            <w:r>
              <w:rPr>
                <w:sz w:val="15"/>
              </w:rPr>
              <w:t>Booking</w:t>
            </w:r>
          </w:p>
        </w:tc>
        <w:tc>
          <w:tcPr>
            <w:tcW w:type="dxa" w:w="1929"/>
            <w:tcMar>
              <w:top w:w="50" w:type="dxa"/>
              <w:bottom w:w="50" w:type="dxa"/>
              <w:left w:w="90" w:type="dxa"/>
              <w:right w:w="90" w:type="dxa"/>
            </w:tcMar>
          </w:tcPr>
          <w:p>
            <w:pPr>
              <w:pStyle w:val="BDOITable"/>
            </w:pPr>
            <w:r>
              <w:rPr>
                <w:sz w:val="15"/>
              </w:rPr>
              <w:t>New Business BRD, Renewal BRD, Submitted Policies</w:t>
            </w:r>
          </w:p>
        </w:tc>
        <w:tc>
          <w:tcPr>
            <w:tcW w:type="dxa" w:w="2067"/>
            <w:tcMar>
              <w:top w:w="50" w:type="dxa"/>
              <w:bottom w:w="50" w:type="dxa"/>
              <w:left w:w="90" w:type="dxa"/>
              <w:right w:w="90" w:type="dxa"/>
            </w:tcMar>
          </w:tcPr>
          <w:p>
            <w:pPr>
              <w:pStyle w:val="BDOITable"/>
            </w:pPr>
            <w:r>
              <w:rPr>
                <w:sz w:val="15"/>
              </w:rPr>
              <w:t>BRD-1 NB; BRD-6; BRD-12</w:t>
            </w:r>
          </w:p>
        </w:tc>
        <w:tc>
          <w:tcPr>
            <w:tcW w:type="dxa" w:w="1653"/>
            <w:tcMar>
              <w:top w:w="50" w:type="dxa"/>
              <w:bottom w:w="50" w:type="dxa"/>
              <w:left w:w="90" w:type="dxa"/>
              <w:right w:w="90" w:type="dxa"/>
            </w:tcMar>
          </w:tcPr>
          <w:p>
            <w:pPr>
              <w:pStyle w:val="BDOITable"/>
            </w:pPr>
            <w:r>
              <w:rPr>
                <w:sz w:val="15"/>
              </w:rPr>
              <w:t>FR-NB; FR-RN; FR-SP</w:t>
            </w:r>
          </w:p>
        </w:tc>
        <w:tc>
          <w:tcPr>
            <w:tcW w:type="dxa" w:w="4134"/>
            <w:tcMar>
              <w:top w:w="50" w:type="dxa"/>
              <w:bottom w:w="50" w:type="dxa"/>
              <w:left w:w="90" w:type="dxa"/>
              <w:right w:w="90" w:type="dxa"/>
            </w:tcMar>
          </w:tcPr>
          <w:p>
            <w:pPr>
              <w:pStyle w:val="BDOITable"/>
            </w:pPr>
            <w:r>
              <w:rPr>
                <w:sz w:val="15"/>
              </w:rPr>
              <w:t>Booking carries the business type (BT0) of renewal and submitted-policy accounts.</w:t>
            </w:r>
          </w:p>
        </w:tc>
        <w:tc>
          <w:tcPr>
            <w:tcW w:type="dxa" w:w="1240"/>
            <w:tcMar>
              <w:top w:w="50" w:type="dxa"/>
              <w:bottom w:w="50" w:type="dxa"/>
              <w:left w:w="90" w:type="dxa"/>
              <w:right w:w="90" w:type="dxa"/>
            </w:tcMar>
          </w:tcPr>
          <w:p>
            <w:pPr>
              <w:pStyle w:val="BDOITable"/>
            </w:pPr>
            <w:r>
              <w:rPr>
                <w:sz w:val="15"/>
              </w:rPr>
              <w:t>-</w:t>
            </w:r>
          </w:p>
        </w:tc>
      </w:tr>
      <w:tr>
        <w:trPr>
          <w:cantSplit w:val="true"/>
        </w:trPr>
        <w:tc>
          <w:tcPr>
            <w:tcW w:type="dxa" w:w="620"/>
            <w:tcMar>
              <w:top w:w="50" w:type="dxa"/>
              <w:bottom w:w="50" w:type="dxa"/>
              <w:left w:w="90" w:type="dxa"/>
              <w:right w:w="90" w:type="dxa"/>
            </w:tcMar>
            <w:shd w:val="clear" w:color="auto" w:fill="E5F5FF"/>
          </w:tcPr>
          <w:p>
            <w:pPr>
              <w:pStyle w:val="BDOITable"/>
            </w:pPr>
            <w:r>
              <w:rPr>
                <w:b/>
                <w:sz w:val="15"/>
              </w:rPr>
              <w:t>1.U8</w:t>
            </w:r>
          </w:p>
        </w:tc>
        <w:tc>
          <w:tcPr>
            <w:tcW w:type="dxa" w:w="1929"/>
            <w:tcMar>
              <w:top w:w="50" w:type="dxa"/>
              <w:bottom w:w="50" w:type="dxa"/>
              <w:left w:w="90" w:type="dxa"/>
              <w:right w:w="90" w:type="dxa"/>
            </w:tcMar>
            <w:shd w:val="clear" w:color="auto" w:fill="E5F5FF"/>
          </w:tcPr>
          <w:p>
            <w:pPr>
              <w:pStyle w:val="BDOITable"/>
            </w:pPr>
            <w:r>
              <w:rPr>
                <w:sz w:val="15"/>
              </w:rPr>
              <w:t>Accounting / GL</w:t>
            </w:r>
          </w:p>
        </w:tc>
        <w:tc>
          <w:tcPr>
            <w:tcW w:type="dxa" w:w="1929"/>
            <w:tcMar>
              <w:top w:w="50" w:type="dxa"/>
              <w:bottom w:w="50" w:type="dxa"/>
              <w:left w:w="90" w:type="dxa"/>
              <w:right w:w="90" w:type="dxa"/>
            </w:tcMar>
            <w:shd w:val="clear" w:color="auto" w:fill="E5F5FF"/>
          </w:tcPr>
          <w:p>
            <w:pPr>
              <w:pStyle w:val="BDOITable"/>
            </w:pPr>
            <w:r>
              <w:rPr>
                <w:sz w:val="15"/>
              </w:rPr>
              <w:t>Accounting, Disbursement &amp; ACSL BRD</w:t>
            </w:r>
          </w:p>
        </w:tc>
        <w:tc>
          <w:tcPr>
            <w:tcW w:type="dxa" w:w="2067"/>
            <w:tcMar>
              <w:top w:w="50" w:type="dxa"/>
              <w:bottom w:w="50" w:type="dxa"/>
              <w:left w:w="90" w:type="dxa"/>
              <w:right w:w="90" w:type="dxa"/>
            </w:tcMar>
            <w:shd w:val="clear" w:color="auto" w:fill="E5F5FF"/>
          </w:tcPr>
          <w:p>
            <w:pPr>
              <w:pStyle w:val="BDOITable"/>
            </w:pPr>
            <w:r>
              <w:rPr>
                <w:sz w:val="15"/>
              </w:rPr>
              <w:t>BRD-5 ACCT</w:t>
            </w:r>
          </w:p>
        </w:tc>
        <w:tc>
          <w:tcPr>
            <w:tcW w:type="dxa" w:w="1653"/>
            <w:tcMar>
              <w:top w:w="50" w:type="dxa"/>
              <w:bottom w:w="50" w:type="dxa"/>
              <w:left w:w="90" w:type="dxa"/>
              <w:right w:w="90" w:type="dxa"/>
            </w:tcMar>
            <w:shd w:val="clear" w:color="auto" w:fill="E5F5FF"/>
          </w:tcPr>
          <w:p>
            <w:pPr>
              <w:pStyle w:val="BDOITable"/>
            </w:pPr>
            <w:r>
              <w:rPr>
                <w:sz w:val="15"/>
              </w:rPr>
              <w:t>FR-AC</w:t>
            </w:r>
          </w:p>
        </w:tc>
        <w:tc>
          <w:tcPr>
            <w:tcW w:type="dxa" w:w="4134"/>
            <w:tcMar>
              <w:top w:w="50" w:type="dxa"/>
              <w:bottom w:w="50" w:type="dxa"/>
              <w:left w:w="90" w:type="dxa"/>
              <w:right w:w="90" w:type="dxa"/>
            </w:tcMar>
            <w:shd w:val="clear" w:color="auto" w:fill="E5F5FF"/>
          </w:tcPr>
          <w:p>
            <w:pPr>
              <w:pStyle w:val="BDOITable"/>
            </w:pPr>
            <w:r>
              <w:rPr>
                <w:sz w:val="15"/>
              </w:rPr>
              <w:t>Listed again as downstream 1.D5. Read as: upstream = postings of booking; downstream = GL, FRBS and ACSL.</w:t>
            </w:r>
          </w:p>
        </w:tc>
        <w:tc>
          <w:tcPr>
            <w:tcW w:type="dxa" w:w="1240"/>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620"/>
            <w:tcMar>
              <w:top w:w="50" w:type="dxa"/>
              <w:bottom w:w="50" w:type="dxa"/>
              <w:left w:w="90" w:type="dxa"/>
              <w:right w:w="90" w:type="dxa"/>
            </w:tcMar>
          </w:tcPr>
          <w:p>
            <w:pPr>
              <w:pStyle w:val="BDOITable"/>
            </w:pPr>
            <w:r>
              <w:rPr>
                <w:b/>
                <w:sz w:val="15"/>
              </w:rPr>
              <w:t>1.U9</w:t>
            </w:r>
          </w:p>
        </w:tc>
        <w:tc>
          <w:tcPr>
            <w:tcW w:type="dxa" w:w="1929"/>
            <w:tcMar>
              <w:top w:w="50" w:type="dxa"/>
              <w:bottom w:w="50" w:type="dxa"/>
              <w:left w:w="90" w:type="dxa"/>
              <w:right w:w="90" w:type="dxa"/>
            </w:tcMar>
          </w:tcPr>
          <w:p>
            <w:pPr>
              <w:pStyle w:val="BDOITable"/>
            </w:pPr>
            <w:r>
              <w:rPr>
                <w:sz w:val="15"/>
              </w:rPr>
              <w:t>Reports (upstream)</w:t>
            </w:r>
          </w:p>
        </w:tc>
        <w:tc>
          <w:tcPr>
            <w:tcW w:type="dxa" w:w="1929"/>
            <w:tcMar>
              <w:top w:w="50" w:type="dxa"/>
              <w:bottom w:w="50" w:type="dxa"/>
              <w:left w:w="90" w:type="dxa"/>
              <w:right w:w="90" w:type="dxa"/>
            </w:tcMar>
          </w:tcPr>
          <w:p>
            <w:pPr>
              <w:pStyle w:val="BDOITable"/>
            </w:pPr>
            <w:r>
              <w:rPr>
                <w:sz w:val="15"/>
              </w:rPr>
              <w:t>NB, RN, SP, EB BRDs</w:t>
            </w:r>
          </w:p>
        </w:tc>
        <w:tc>
          <w:tcPr>
            <w:tcW w:type="dxa" w:w="2067"/>
            <w:tcMar>
              <w:top w:w="50" w:type="dxa"/>
              <w:bottom w:w="50" w:type="dxa"/>
              <w:left w:w="90" w:type="dxa"/>
              <w:right w:w="90" w:type="dxa"/>
            </w:tcMar>
          </w:tcPr>
          <w:p>
            <w:pPr>
              <w:pStyle w:val="BDOITable"/>
            </w:pPr>
            <w:r>
              <w:rPr>
                <w:sz w:val="15"/>
              </w:rPr>
              <w:t>BRD-1, 6, 12, 8; Report List</w:t>
            </w:r>
          </w:p>
        </w:tc>
        <w:tc>
          <w:tcPr>
            <w:tcW w:type="dxa" w:w="1653"/>
            <w:tcMar>
              <w:top w:w="50" w:type="dxa"/>
              <w:bottom w:w="50" w:type="dxa"/>
              <w:left w:w="90" w:type="dxa"/>
              <w:right w:w="90" w:type="dxa"/>
            </w:tcMar>
          </w:tcPr>
          <w:p>
            <w:pPr>
              <w:pStyle w:val="BDOITable"/>
            </w:pPr>
            <w:r>
              <w:rPr>
                <w:sz w:val="15"/>
              </w:rPr>
              <w:t>Report sections of each FRS</w:t>
            </w:r>
          </w:p>
        </w:tc>
        <w:tc>
          <w:tcPr>
            <w:tcW w:type="dxa" w:w="4134"/>
            <w:tcMar>
              <w:top w:w="50" w:type="dxa"/>
              <w:bottom w:w="50" w:type="dxa"/>
              <w:left w:w="90" w:type="dxa"/>
              <w:right w:w="90" w:type="dxa"/>
            </w:tcMar>
          </w:tcPr>
          <w:p>
            <w:pPr>
              <w:pStyle w:val="BDOITable"/>
            </w:pPr>
            <w:r>
              <w:rPr>
                <w:sz w:val="15"/>
              </w:rPr>
              <w:t>The Report List is not split by drop.</w:t>
            </w:r>
          </w:p>
        </w:tc>
        <w:tc>
          <w:tcPr>
            <w:tcW w:type="dxa" w:w="1240"/>
            <w:tcMar>
              <w:top w:w="50" w:type="dxa"/>
              <w:bottom w:w="50" w:type="dxa"/>
              <w:left w:w="90" w:type="dxa"/>
              <w:right w:w="90" w:type="dxa"/>
            </w:tcMar>
          </w:tcPr>
          <w:p>
            <w:pPr>
              <w:pStyle w:val="BDOITable"/>
            </w:pPr>
            <w:r>
              <w:rPr>
                <w:sz w:val="15"/>
              </w:rPr>
              <w:t>DCR-235</w:t>
            </w:r>
          </w:p>
        </w:tc>
      </w:tr>
    </w:tbl>
    <w:p>
      <w:pPr>
        <w:pStyle w:val="BDOISpacer"/>
      </w:pPr>
    </w:p>
    <w:p>
      <w:pPr>
        <w:pStyle w:val="Caption"/>
        <w:keepNext/>
        <w:spacing w:after="60"/>
      </w:pPr>
      <w:r>
        <w:rPr>
          <w:b/>
          <w:i w:val="0"/>
        </w:rPr>
        <w:t xml:space="preserve">Table 5: </w:t>
      </w:r>
      <w:r>
        <w:rPr/>
        <w:t>Drop 1 - Transactional, downstream (product agnostic)</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20"/>
        <w:gridCol w:w="1929"/>
        <w:gridCol w:w="1929"/>
        <w:gridCol w:w="2067"/>
        <w:gridCol w:w="1653"/>
        <w:gridCol w:w="4134"/>
        <w:gridCol w:w="1240"/>
      </w:tblGrid>
      <w:tr>
        <w:trPr>
          <w:tblHeader w:val="true"/>
          <w:cantSplit w:val="true"/>
        </w:trPr>
        <w:tc>
          <w:tcPr>
            <w:tcW w:type="dxa" w:w="620"/>
            <w:shd w:val="clear" w:color="auto" w:fill="004EA8"/>
            <w:tcMar>
              <w:top w:w="50" w:type="dxa"/>
              <w:bottom w:w="50" w:type="dxa"/>
              <w:left w:w="90" w:type="dxa"/>
              <w:right w:w="90" w:type="dxa"/>
            </w:tcMar>
            <w:vAlign w:val="center"/>
          </w:tcPr>
          <w:p>
            <w:pPr>
              <w:pStyle w:val="BDOITableHeader"/>
            </w:pPr>
            <w:r>
              <w:rPr>
                <w:b/>
                <w:color w:val="FFFFFF"/>
                <w:sz w:val="15"/>
              </w:rPr>
              <w:t>#</w:t>
            </w:r>
          </w:p>
        </w:tc>
        <w:tc>
          <w:tcPr>
            <w:tcW w:type="dxa" w:w="1929"/>
            <w:shd w:val="clear" w:color="auto" w:fill="004EA8"/>
            <w:tcMar>
              <w:top w:w="50" w:type="dxa"/>
              <w:bottom w:w="50" w:type="dxa"/>
              <w:left w:w="90" w:type="dxa"/>
              <w:right w:w="90" w:type="dxa"/>
            </w:tcMar>
            <w:vAlign w:val="center"/>
          </w:tcPr>
          <w:p>
            <w:pPr>
              <w:pStyle w:val="BDOITableHeader"/>
            </w:pPr>
            <w:r>
              <w:rPr>
                <w:b/>
                <w:color w:val="FFFFFF"/>
                <w:sz w:val="15"/>
              </w:rPr>
              <w:t>Drop item</w:t>
            </w:r>
          </w:p>
        </w:tc>
        <w:tc>
          <w:tcPr>
            <w:tcW w:type="dxa" w:w="1929"/>
            <w:shd w:val="clear" w:color="auto" w:fill="004EA8"/>
            <w:tcMar>
              <w:top w:w="50" w:type="dxa"/>
              <w:bottom w:w="50" w:type="dxa"/>
              <w:left w:w="90" w:type="dxa"/>
              <w:right w:w="90" w:type="dxa"/>
            </w:tcMar>
            <w:vAlign w:val="center"/>
          </w:tcPr>
          <w:p>
            <w:pPr>
              <w:pStyle w:val="BDOITableHeader"/>
            </w:pPr>
            <w:r>
              <w:rPr>
                <w:b/>
                <w:color w:val="FFFFFF"/>
                <w:sz w:val="15"/>
              </w:rPr>
              <w:t>BRD named by BDOI</w:t>
            </w:r>
          </w:p>
        </w:tc>
        <w:tc>
          <w:tcPr>
            <w:tcW w:type="dxa" w:w="2067"/>
            <w:shd w:val="clear" w:color="auto" w:fill="004EA8"/>
            <w:tcMar>
              <w:top w:w="50" w:type="dxa"/>
              <w:bottom w:w="50" w:type="dxa"/>
              <w:left w:w="90" w:type="dxa"/>
              <w:right w:w="90" w:type="dxa"/>
            </w:tcMar>
            <w:vAlign w:val="center"/>
          </w:tcPr>
          <w:p>
            <w:pPr>
              <w:pStyle w:val="BDOITableHeader"/>
            </w:pPr>
            <w:r>
              <w:rPr>
                <w:b/>
                <w:color w:val="FFFFFF"/>
                <w:sz w:val="15"/>
              </w:rPr>
              <w:t>BIBS BRD</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4134"/>
            <w:shd w:val="clear" w:color="auto" w:fill="004EA8"/>
            <w:tcMar>
              <w:top w:w="50" w:type="dxa"/>
              <w:bottom w:w="50" w:type="dxa"/>
              <w:left w:w="90" w:type="dxa"/>
              <w:right w:w="90" w:type="dxa"/>
            </w:tcMar>
            <w:vAlign w:val="center"/>
          </w:tcPr>
          <w:p>
            <w:pPr>
              <w:pStyle w:val="BDOITableHeader"/>
            </w:pPr>
            <w:r>
              <w:rPr>
                <w:b/>
                <w:color w:val="FFFFFF"/>
                <w:sz w:val="15"/>
              </w:rPr>
              <w:t>Gap or mismatch</w:t>
            </w:r>
          </w:p>
        </w:tc>
        <w:tc>
          <w:tcPr>
            <w:tcW w:type="dxa" w:w="1240"/>
            <w:shd w:val="clear" w:color="auto" w:fill="004EA8"/>
            <w:tcMar>
              <w:top w:w="50" w:type="dxa"/>
              <w:bottom w:w="50" w:type="dxa"/>
              <w:left w:w="90" w:type="dxa"/>
              <w:right w:w="90" w:type="dxa"/>
            </w:tcMar>
            <w:vAlign w:val="center"/>
          </w:tcPr>
          <w:p>
            <w:pPr>
              <w:pStyle w:val="BDOITableHeader"/>
            </w:pPr>
            <w:r>
              <w:rPr>
                <w:b/>
                <w:color w:val="FFFFFF"/>
                <w:sz w:val="15"/>
              </w:rPr>
              <w:t>Refs</w:t>
            </w:r>
          </w:p>
        </w:tc>
      </w:tr>
      <w:tr>
        <w:trPr>
          <w:cantSplit w:val="true"/>
        </w:trPr>
        <w:tc>
          <w:tcPr>
            <w:tcW w:type="dxa" w:w="620"/>
            <w:tcMar>
              <w:top w:w="50" w:type="dxa"/>
              <w:bottom w:w="50" w:type="dxa"/>
              <w:left w:w="90" w:type="dxa"/>
              <w:right w:w="90" w:type="dxa"/>
            </w:tcMar>
          </w:tcPr>
          <w:p>
            <w:pPr>
              <w:pStyle w:val="BDOITable"/>
            </w:pPr>
            <w:r>
              <w:rPr>
                <w:b/>
                <w:sz w:val="15"/>
              </w:rPr>
              <w:t>1.D1</w:t>
            </w:r>
          </w:p>
        </w:tc>
        <w:tc>
          <w:tcPr>
            <w:tcW w:type="dxa" w:w="1929"/>
            <w:tcMar>
              <w:top w:w="50" w:type="dxa"/>
              <w:bottom w:w="50" w:type="dxa"/>
              <w:left w:w="90" w:type="dxa"/>
              <w:right w:w="90" w:type="dxa"/>
            </w:tcMar>
          </w:tcPr>
          <w:p>
            <w:pPr>
              <w:pStyle w:val="BDOITable"/>
            </w:pPr>
            <w:r>
              <w:rPr>
                <w:sz w:val="15"/>
              </w:rPr>
              <w:t>Disbursement</w:t>
            </w:r>
          </w:p>
        </w:tc>
        <w:tc>
          <w:tcPr>
            <w:tcW w:type="dxa" w:w="1929"/>
            <w:tcMar>
              <w:top w:w="50" w:type="dxa"/>
              <w:bottom w:w="50" w:type="dxa"/>
              <w:left w:w="90" w:type="dxa"/>
              <w:right w:w="90" w:type="dxa"/>
            </w:tcMar>
          </w:tcPr>
          <w:p>
            <w:pPr>
              <w:pStyle w:val="BDOITable"/>
            </w:pPr>
            <w:r>
              <w:rPr>
                <w:sz w:val="15"/>
              </w:rPr>
              <w:t>Accounting, Disbursement &amp; ACSL BRD</w:t>
            </w:r>
          </w:p>
        </w:tc>
        <w:tc>
          <w:tcPr>
            <w:tcW w:type="dxa" w:w="2067"/>
            <w:tcMar>
              <w:top w:w="50" w:type="dxa"/>
              <w:bottom w:w="50" w:type="dxa"/>
              <w:left w:w="90" w:type="dxa"/>
              <w:right w:w="90" w:type="dxa"/>
            </w:tcMar>
          </w:tcPr>
          <w:p>
            <w:pPr>
              <w:pStyle w:val="BDOITable"/>
            </w:pPr>
            <w:r>
              <w:rPr>
                <w:sz w:val="15"/>
              </w:rPr>
              <w:t>BRD-5 ACCT (Vol. 2)</w:t>
            </w:r>
          </w:p>
        </w:tc>
        <w:tc>
          <w:tcPr>
            <w:tcW w:type="dxa" w:w="1653"/>
            <w:tcMar>
              <w:top w:w="50" w:type="dxa"/>
              <w:bottom w:w="50" w:type="dxa"/>
              <w:left w:w="90" w:type="dxa"/>
              <w:right w:w="90" w:type="dxa"/>
            </w:tcMar>
          </w:tcPr>
          <w:p>
            <w:pPr>
              <w:pStyle w:val="BDOITable"/>
            </w:pPr>
            <w:r>
              <w:rPr>
                <w:sz w:val="15"/>
              </w:rPr>
              <w:t>FR-DS, FR-PQ</w:t>
            </w:r>
          </w:p>
        </w:tc>
        <w:tc>
          <w:tcPr>
            <w:tcW w:type="dxa" w:w="4134"/>
            <w:tcMar>
              <w:top w:w="50" w:type="dxa"/>
              <w:bottom w:w="50" w:type="dxa"/>
              <w:left w:w="90" w:type="dxa"/>
              <w:right w:w="90" w:type="dxa"/>
            </w:tcMar>
          </w:tcPr>
          <w:p>
            <w:pPr>
              <w:pStyle w:val="BDOITable"/>
            </w:pPr>
            <w:r>
              <w:rPr>
                <w:sz w:val="15"/>
              </w:rPr>
              <w:t>Outward bank channel is CMS / New BOB (a file or host-to-host interface); until it is specified, BOB approvals are uploaded (DISB_BOB_APPROVED).</w:t>
            </w:r>
          </w:p>
        </w:tc>
        <w:tc>
          <w:tcPr>
            <w:tcW w:type="dxa" w:w="1240"/>
            <w:tcMar>
              <w:top w:w="50" w:type="dxa"/>
              <w:bottom w:w="50" w:type="dxa"/>
              <w:left w:w="90" w:type="dxa"/>
              <w:right w:w="90" w:type="dxa"/>
            </w:tcMar>
          </w:tcPr>
          <w:p>
            <w:pPr>
              <w:pStyle w:val="BDOITable"/>
            </w:pPr>
            <w:r>
              <w:rPr>
                <w:sz w:val="15"/>
              </w:rPr>
              <w:t>IQ10</w:t>
            </w:r>
          </w:p>
        </w:tc>
      </w:tr>
      <w:tr>
        <w:trPr>
          <w:cantSplit w:val="true"/>
        </w:trPr>
        <w:tc>
          <w:tcPr>
            <w:tcW w:type="dxa" w:w="620"/>
            <w:tcMar>
              <w:top w:w="50" w:type="dxa"/>
              <w:bottom w:w="50" w:type="dxa"/>
              <w:left w:w="90" w:type="dxa"/>
              <w:right w:w="90" w:type="dxa"/>
            </w:tcMar>
            <w:shd w:val="clear" w:color="auto" w:fill="E5F5FF"/>
          </w:tcPr>
          <w:p>
            <w:pPr>
              <w:pStyle w:val="BDOITable"/>
            </w:pPr>
            <w:r>
              <w:rPr>
                <w:b/>
                <w:sz w:val="15"/>
              </w:rPr>
              <w:t>1.D2</w:t>
            </w:r>
          </w:p>
        </w:tc>
        <w:tc>
          <w:tcPr>
            <w:tcW w:type="dxa" w:w="1929"/>
            <w:tcMar>
              <w:top w:w="50" w:type="dxa"/>
              <w:bottom w:w="50" w:type="dxa"/>
              <w:left w:w="90" w:type="dxa"/>
              <w:right w:w="90" w:type="dxa"/>
            </w:tcMar>
            <w:shd w:val="clear" w:color="auto" w:fill="E5F5FF"/>
          </w:tcPr>
          <w:p>
            <w:pPr>
              <w:pStyle w:val="BDOITable"/>
            </w:pPr>
            <w:r>
              <w:rPr>
                <w:sz w:val="15"/>
              </w:rPr>
              <w:t>Cashiering (Payments Acceptance and Application)</w:t>
            </w:r>
          </w:p>
        </w:tc>
        <w:tc>
          <w:tcPr>
            <w:tcW w:type="dxa" w:w="1929"/>
            <w:tcMar>
              <w:top w:w="50" w:type="dxa"/>
              <w:bottom w:w="50" w:type="dxa"/>
              <w:left w:w="90" w:type="dxa"/>
              <w:right w:w="90" w:type="dxa"/>
            </w:tcMar>
            <w:shd w:val="clear" w:color="auto" w:fill="E5F5FF"/>
          </w:tcPr>
          <w:p>
            <w:pPr>
              <w:pStyle w:val="BDOITable"/>
            </w:pPr>
            <w:r>
              <w:rPr>
                <w:sz w:val="15"/>
              </w:rPr>
              <w:t>Operations BRD (Cashiering Addendum), Data Migration BRD</w:t>
            </w:r>
          </w:p>
        </w:tc>
        <w:tc>
          <w:tcPr>
            <w:tcW w:type="dxa" w:w="2067"/>
            <w:tcMar>
              <w:top w:w="50" w:type="dxa"/>
              <w:bottom w:w="50" w:type="dxa"/>
              <w:left w:w="90" w:type="dxa"/>
              <w:right w:w="90" w:type="dxa"/>
            </w:tcMar>
            <w:shd w:val="clear" w:color="auto" w:fill="E5F5FF"/>
          </w:tcPr>
          <w:p>
            <w:pPr>
              <w:pStyle w:val="BDOITable"/>
            </w:pPr>
            <w:r>
              <w:rPr>
                <w:sz w:val="15"/>
              </w:rPr>
              <w:t>BRD-2 OPS; BRD-13 (legacy UPP, F02)</w:t>
            </w:r>
          </w:p>
        </w:tc>
        <w:tc>
          <w:tcPr>
            <w:tcW w:type="dxa" w:w="1653"/>
            <w:tcMar>
              <w:top w:w="50" w:type="dxa"/>
              <w:bottom w:w="50" w:type="dxa"/>
              <w:left w:w="90" w:type="dxa"/>
              <w:right w:w="90" w:type="dxa"/>
            </w:tcMar>
            <w:shd w:val="clear" w:color="auto" w:fill="E5F5FF"/>
          </w:tcPr>
          <w:p>
            <w:pPr>
              <w:pStyle w:val="BDOITable"/>
            </w:pPr>
            <w:r>
              <w:rPr>
                <w:sz w:val="15"/>
              </w:rPr>
              <w:t>FR-OP (Cashiering); FR-DM</w:t>
            </w:r>
          </w:p>
        </w:tc>
        <w:tc>
          <w:tcPr>
            <w:tcW w:type="dxa" w:w="4134"/>
            <w:tcMar>
              <w:top w:w="50" w:type="dxa"/>
              <w:bottom w:w="50" w:type="dxa"/>
              <w:left w:w="90" w:type="dxa"/>
              <w:right w:w="90" w:type="dxa"/>
            </w:tcMar>
            <w:shd w:val="clear" w:color="auto" w:fill="E5F5FF"/>
          </w:tcPr>
          <w:p>
            <w:pPr>
              <w:pStyle w:val="BDOITable"/>
            </w:pPr>
            <w:r>
              <w:rPr>
                <w:sz w:val="15"/>
              </w:rPr>
              <w:t>The "Cashiering Addendum" is not in the BIBS pack. Channels OBPCS, Old BOB, PMS and TFS feed this module.</w:t>
            </w:r>
          </w:p>
        </w:tc>
        <w:tc>
          <w:tcPr>
            <w:tcW w:type="dxa" w:w="1240"/>
            <w:tcMar>
              <w:top w:w="50" w:type="dxa"/>
              <w:bottom w:w="50" w:type="dxa"/>
              <w:left w:w="90" w:type="dxa"/>
              <w:right w:w="90" w:type="dxa"/>
            </w:tcMar>
            <w:shd w:val="clear" w:color="auto" w:fill="E5F5FF"/>
          </w:tcPr>
          <w:p>
            <w:pPr>
              <w:pStyle w:val="BDOITable"/>
            </w:pPr>
            <w:r>
              <w:rPr>
                <w:sz w:val="15"/>
              </w:rPr>
              <w:t>IQ09, IQ10, IQ14, IQ20; DCR-215</w:t>
            </w:r>
          </w:p>
        </w:tc>
      </w:tr>
      <w:tr>
        <w:trPr>
          <w:cantSplit w:val="true"/>
        </w:trPr>
        <w:tc>
          <w:tcPr>
            <w:tcW w:type="dxa" w:w="620"/>
            <w:tcMar>
              <w:top w:w="50" w:type="dxa"/>
              <w:bottom w:w="50" w:type="dxa"/>
              <w:left w:w="90" w:type="dxa"/>
              <w:right w:w="90" w:type="dxa"/>
            </w:tcMar>
          </w:tcPr>
          <w:p>
            <w:pPr>
              <w:pStyle w:val="BDOITable"/>
            </w:pPr>
            <w:r>
              <w:rPr>
                <w:b/>
                <w:sz w:val="15"/>
              </w:rPr>
              <w:t>1.D3</w:t>
            </w:r>
          </w:p>
        </w:tc>
        <w:tc>
          <w:tcPr>
            <w:tcW w:type="dxa" w:w="1929"/>
            <w:tcMar>
              <w:top w:w="50" w:type="dxa"/>
              <w:bottom w:w="50" w:type="dxa"/>
              <w:left w:w="90" w:type="dxa"/>
              <w:right w:w="90" w:type="dxa"/>
            </w:tcMar>
          </w:tcPr>
          <w:p>
            <w:pPr>
              <w:pStyle w:val="BDOITable"/>
            </w:pPr>
            <w:r>
              <w:rPr>
                <w:sz w:val="15"/>
              </w:rPr>
              <w:t>Remittance</w:t>
            </w:r>
          </w:p>
        </w:tc>
        <w:tc>
          <w:tcPr>
            <w:tcW w:type="dxa" w:w="1929"/>
            <w:tcMar>
              <w:top w:w="50" w:type="dxa"/>
              <w:bottom w:w="50" w:type="dxa"/>
              <w:left w:w="90" w:type="dxa"/>
              <w:right w:w="90" w:type="dxa"/>
            </w:tcMar>
          </w:tcPr>
          <w:p>
            <w:pPr>
              <w:pStyle w:val="BDOITable"/>
            </w:pPr>
            <w:r>
              <w:rPr>
                <w:sz w:val="15"/>
              </w:rPr>
              <w:t>Operations BRD (Remittance Addendum), Reinsurance BRD</w:t>
            </w:r>
          </w:p>
        </w:tc>
        <w:tc>
          <w:tcPr>
            <w:tcW w:type="dxa" w:w="2067"/>
            <w:tcMar>
              <w:top w:w="50" w:type="dxa"/>
              <w:bottom w:w="50" w:type="dxa"/>
              <w:left w:w="90" w:type="dxa"/>
              <w:right w:w="90" w:type="dxa"/>
            </w:tcMar>
          </w:tcPr>
          <w:p>
            <w:pPr>
              <w:pStyle w:val="BDOITable"/>
            </w:pPr>
            <w:r>
              <w:rPr>
                <w:sz w:val="15"/>
              </w:rPr>
              <w:t>BRD-2 OPS; ReInsurance BRD (phase 2)</w:t>
            </w:r>
          </w:p>
        </w:tc>
        <w:tc>
          <w:tcPr>
            <w:tcW w:type="dxa" w:w="1653"/>
            <w:tcMar>
              <w:top w:w="50" w:type="dxa"/>
              <w:bottom w:w="50" w:type="dxa"/>
              <w:left w:w="90" w:type="dxa"/>
              <w:right w:w="90" w:type="dxa"/>
            </w:tcMar>
          </w:tcPr>
          <w:p>
            <w:pPr>
              <w:pStyle w:val="BDOITable"/>
            </w:pPr>
            <w:r>
              <w:rPr>
                <w:sz w:val="15"/>
              </w:rPr>
              <w:t>FR-OP (Remittance)</w:t>
            </w:r>
          </w:p>
        </w:tc>
        <w:tc>
          <w:tcPr>
            <w:tcW w:type="dxa" w:w="4134"/>
            <w:tcMar>
              <w:top w:w="50" w:type="dxa"/>
              <w:bottom w:w="50" w:type="dxa"/>
              <w:left w:w="90" w:type="dxa"/>
              <w:right w:w="90" w:type="dxa"/>
            </w:tcMar>
          </w:tcPr>
          <w:p>
            <w:pPr>
              <w:pStyle w:val="BDOITable"/>
            </w:pPr>
            <w:r>
              <w:rPr>
                <w:sz w:val="15"/>
              </w:rPr>
              <w:t>Answer A3: Remittance handles the reinsurance transactions in Drop 1; the reinsurance module is phase 2. Which RI transactions, and the "Remittance Addendum", are not defined.</w:t>
            </w:r>
          </w:p>
        </w:tc>
        <w:tc>
          <w:tcPr>
            <w:tcW w:type="dxa" w:w="1240"/>
            <w:tcMar>
              <w:top w:w="50" w:type="dxa"/>
              <w:bottom w:w="50" w:type="dxa"/>
              <w:left w:w="90" w:type="dxa"/>
              <w:right w:w="90" w:type="dxa"/>
            </w:tcMar>
          </w:tcPr>
          <w:p>
            <w:pPr>
              <w:pStyle w:val="BDOITable"/>
            </w:pPr>
            <w:r>
              <w:rPr>
                <w:sz w:val="15"/>
              </w:rPr>
              <w:t>IQ20; DCR-210, DCR-215</w:t>
            </w:r>
          </w:p>
        </w:tc>
      </w:tr>
      <w:tr>
        <w:trPr>
          <w:cantSplit w:val="true"/>
        </w:trPr>
        <w:tc>
          <w:tcPr>
            <w:tcW w:type="dxa" w:w="620"/>
            <w:tcMar>
              <w:top w:w="50" w:type="dxa"/>
              <w:bottom w:w="50" w:type="dxa"/>
              <w:left w:w="90" w:type="dxa"/>
              <w:right w:w="90" w:type="dxa"/>
            </w:tcMar>
            <w:shd w:val="clear" w:color="auto" w:fill="E5F5FF"/>
          </w:tcPr>
          <w:p>
            <w:pPr>
              <w:pStyle w:val="BDOITable"/>
            </w:pPr>
            <w:r>
              <w:rPr>
                <w:b/>
                <w:sz w:val="15"/>
              </w:rPr>
              <w:t>1.D4</w:t>
            </w:r>
          </w:p>
        </w:tc>
        <w:tc>
          <w:tcPr>
            <w:tcW w:type="dxa" w:w="1929"/>
            <w:tcMar>
              <w:top w:w="50" w:type="dxa"/>
              <w:bottom w:w="50" w:type="dxa"/>
              <w:left w:w="90" w:type="dxa"/>
              <w:right w:w="90" w:type="dxa"/>
            </w:tcMar>
            <w:shd w:val="clear" w:color="auto" w:fill="E5F5FF"/>
          </w:tcPr>
          <w:p>
            <w:pPr>
              <w:pStyle w:val="BDOITable"/>
            </w:pPr>
            <w:r>
              <w:rPr>
                <w:sz w:val="15"/>
              </w:rPr>
              <w:t>Adjustment / Cancellation</w:t>
            </w:r>
          </w:p>
        </w:tc>
        <w:tc>
          <w:tcPr>
            <w:tcW w:type="dxa" w:w="1929"/>
            <w:tcMar>
              <w:top w:w="50" w:type="dxa"/>
              <w:bottom w:w="50" w:type="dxa"/>
              <w:left w:w="90" w:type="dxa"/>
              <w:right w:w="90" w:type="dxa"/>
            </w:tcMar>
            <w:shd w:val="clear" w:color="auto" w:fill="E5F5FF"/>
          </w:tcPr>
          <w:p>
            <w:pPr>
              <w:pStyle w:val="BDOITable"/>
            </w:pPr>
            <w:r>
              <w:rPr>
                <w:sz w:val="15"/>
              </w:rPr>
              <w:t>Operations BRD, Accounting BRD</w:t>
            </w:r>
          </w:p>
        </w:tc>
        <w:tc>
          <w:tcPr>
            <w:tcW w:type="dxa" w:w="2067"/>
            <w:tcMar>
              <w:top w:w="50" w:type="dxa"/>
              <w:bottom w:w="50" w:type="dxa"/>
              <w:left w:w="90" w:type="dxa"/>
              <w:right w:w="90" w:type="dxa"/>
            </w:tcMar>
            <w:shd w:val="clear" w:color="auto" w:fill="E5F5FF"/>
          </w:tcPr>
          <w:p>
            <w:pPr>
              <w:pStyle w:val="BDOITable"/>
            </w:pPr>
            <w:r>
              <w:rPr>
                <w:sz w:val="15"/>
              </w:rPr>
              <w:t>BRD-2 OPS; BRD-5</w:t>
            </w:r>
          </w:p>
        </w:tc>
        <w:tc>
          <w:tcPr>
            <w:tcW w:type="dxa" w:w="1653"/>
            <w:tcMar>
              <w:top w:w="50" w:type="dxa"/>
              <w:bottom w:w="50" w:type="dxa"/>
              <w:left w:w="90" w:type="dxa"/>
              <w:right w:w="90" w:type="dxa"/>
            </w:tcMar>
            <w:shd w:val="clear" w:color="auto" w:fill="E5F5FF"/>
          </w:tcPr>
          <w:p>
            <w:pPr>
              <w:pStyle w:val="BDOITable"/>
            </w:pPr>
            <w:r>
              <w:rPr>
                <w:sz w:val="15"/>
              </w:rPr>
              <w:t>FR-OP (Adjustment)</w:t>
            </w:r>
          </w:p>
        </w:tc>
        <w:tc>
          <w:tcPr>
            <w:tcW w:type="dxa" w:w="4134"/>
            <w:tcMar>
              <w:top w:w="50" w:type="dxa"/>
              <w:bottom w:w="50" w:type="dxa"/>
              <w:left w:w="90" w:type="dxa"/>
              <w:right w:w="90" w:type="dxa"/>
            </w:tcMar>
            <w:shd w:val="clear" w:color="auto" w:fill="E5F5FF"/>
          </w:tcPr>
          <w:p>
            <w:pPr>
              <w:pStyle w:val="BDOITable"/>
            </w:pPr>
            <w:r>
              <w:rPr>
                <w:sz w:val="15"/>
              </w:rPr>
              <w:t>None.</w:t>
            </w:r>
          </w:p>
        </w:tc>
        <w:tc>
          <w:tcPr>
            <w:tcW w:type="dxa" w:w="1240"/>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620"/>
            <w:tcMar>
              <w:top w:w="50" w:type="dxa"/>
              <w:bottom w:w="50" w:type="dxa"/>
              <w:left w:w="90" w:type="dxa"/>
              <w:right w:w="90" w:type="dxa"/>
            </w:tcMar>
          </w:tcPr>
          <w:p>
            <w:pPr>
              <w:pStyle w:val="BDOITable"/>
            </w:pPr>
            <w:r>
              <w:rPr>
                <w:b/>
                <w:sz w:val="15"/>
              </w:rPr>
              <w:t>1.D5</w:t>
            </w:r>
          </w:p>
        </w:tc>
        <w:tc>
          <w:tcPr>
            <w:tcW w:type="dxa" w:w="1929"/>
            <w:tcMar>
              <w:top w:w="50" w:type="dxa"/>
              <w:bottom w:w="50" w:type="dxa"/>
              <w:left w:w="90" w:type="dxa"/>
              <w:right w:w="90" w:type="dxa"/>
            </w:tcMar>
          </w:tcPr>
          <w:p>
            <w:pPr>
              <w:pStyle w:val="BDOITable"/>
            </w:pPr>
            <w:r>
              <w:rPr>
                <w:sz w:val="15"/>
              </w:rPr>
              <w:t>Accounting / GL</w:t>
            </w:r>
          </w:p>
        </w:tc>
        <w:tc>
          <w:tcPr>
            <w:tcW w:type="dxa" w:w="1929"/>
            <w:tcMar>
              <w:top w:w="50" w:type="dxa"/>
              <w:bottom w:w="50" w:type="dxa"/>
              <w:left w:w="90" w:type="dxa"/>
              <w:right w:w="90" w:type="dxa"/>
            </w:tcMar>
          </w:tcPr>
          <w:p>
            <w:pPr>
              <w:pStyle w:val="BDOITable"/>
            </w:pPr>
            <w:r>
              <w:rPr>
                <w:sz w:val="15"/>
              </w:rPr>
              <w:t>Accounting, Disbursement &amp; ACSL BRD</w:t>
            </w:r>
          </w:p>
        </w:tc>
        <w:tc>
          <w:tcPr>
            <w:tcW w:type="dxa" w:w="2067"/>
            <w:tcMar>
              <w:top w:w="50" w:type="dxa"/>
              <w:bottom w:w="50" w:type="dxa"/>
              <w:left w:w="90" w:type="dxa"/>
              <w:right w:w="90" w:type="dxa"/>
            </w:tcMar>
          </w:tcPr>
          <w:p>
            <w:pPr>
              <w:pStyle w:val="BDOITable"/>
            </w:pPr>
            <w:r>
              <w:rPr>
                <w:sz w:val="15"/>
              </w:rPr>
              <w:t>BRD-5 ACCT (Vol. 1, 2)</w:t>
            </w:r>
          </w:p>
        </w:tc>
        <w:tc>
          <w:tcPr>
            <w:tcW w:type="dxa" w:w="1653"/>
            <w:tcMar>
              <w:top w:w="50" w:type="dxa"/>
              <w:bottom w:w="50" w:type="dxa"/>
              <w:left w:w="90" w:type="dxa"/>
              <w:right w:w="90" w:type="dxa"/>
            </w:tcMar>
          </w:tcPr>
          <w:p>
            <w:pPr>
              <w:pStyle w:val="BDOITable"/>
            </w:pPr>
            <w:r>
              <w:rPr>
                <w:sz w:val="15"/>
              </w:rPr>
              <w:t>FR-AC; FR-DS (ACSL)</w:t>
            </w:r>
          </w:p>
        </w:tc>
        <w:tc>
          <w:tcPr>
            <w:tcW w:type="dxa" w:w="4134"/>
            <w:tcMar>
              <w:top w:w="50" w:type="dxa"/>
              <w:bottom w:w="50" w:type="dxa"/>
              <w:left w:w="90" w:type="dxa"/>
              <w:right w:w="90" w:type="dxa"/>
            </w:tcMar>
          </w:tcPr>
          <w:p>
            <w:pPr>
              <w:pStyle w:val="BDOITable"/>
            </w:pPr>
            <w:r>
              <w:rPr>
                <w:sz w:val="15"/>
              </w:rPr>
              <w:t>EGL (Drop 2 integration, INT-17) takes GL data out of BIBS.</w:t>
            </w:r>
          </w:p>
        </w:tc>
        <w:tc>
          <w:tcPr>
            <w:tcW w:type="dxa" w:w="1240"/>
            <w:tcMar>
              <w:top w:w="50" w:type="dxa"/>
              <w:bottom w:w="50" w:type="dxa"/>
              <w:left w:w="90" w:type="dxa"/>
              <w:right w:w="90" w:type="dxa"/>
            </w:tcMar>
          </w:tcPr>
          <w:p>
            <w:pPr>
              <w:pStyle w:val="BDOITable"/>
            </w:pPr>
            <w:r>
              <w:rPr>
                <w:sz w:val="15"/>
              </w:rPr>
              <w:t>IQ16</w:t>
            </w:r>
          </w:p>
        </w:tc>
      </w:tr>
      <w:tr>
        <w:trPr>
          <w:cantSplit w:val="true"/>
        </w:trPr>
        <w:tc>
          <w:tcPr>
            <w:tcW w:type="dxa" w:w="620"/>
            <w:tcMar>
              <w:top w:w="50" w:type="dxa"/>
              <w:bottom w:w="50" w:type="dxa"/>
              <w:left w:w="90" w:type="dxa"/>
              <w:right w:w="90" w:type="dxa"/>
            </w:tcMar>
            <w:shd w:val="clear" w:color="auto" w:fill="E5F5FF"/>
          </w:tcPr>
          <w:p>
            <w:pPr>
              <w:pStyle w:val="BDOITable"/>
            </w:pPr>
            <w:r>
              <w:rPr>
                <w:b/>
                <w:sz w:val="15"/>
              </w:rPr>
              <w:t>1.D6</w:t>
            </w:r>
          </w:p>
        </w:tc>
        <w:tc>
          <w:tcPr>
            <w:tcW w:type="dxa" w:w="1929"/>
            <w:tcMar>
              <w:top w:w="50" w:type="dxa"/>
              <w:bottom w:w="50" w:type="dxa"/>
              <w:left w:w="90" w:type="dxa"/>
              <w:right w:w="90" w:type="dxa"/>
            </w:tcMar>
            <w:shd w:val="clear" w:color="auto" w:fill="E5F5FF"/>
          </w:tcPr>
          <w:p>
            <w:pPr>
              <w:pStyle w:val="BDOITable"/>
            </w:pPr>
            <w:r>
              <w:rPr>
                <w:sz w:val="15"/>
              </w:rPr>
              <w:t>Reports (BIR / Regulatory)</w:t>
            </w:r>
          </w:p>
        </w:tc>
        <w:tc>
          <w:tcPr>
            <w:tcW w:type="dxa" w:w="1929"/>
            <w:tcMar>
              <w:top w:w="50" w:type="dxa"/>
              <w:bottom w:w="50" w:type="dxa"/>
              <w:left w:w="90" w:type="dxa"/>
              <w:right w:w="90" w:type="dxa"/>
            </w:tcMar>
            <w:shd w:val="clear" w:color="auto" w:fill="E5F5FF"/>
          </w:tcPr>
          <w:p>
            <w:pPr>
              <w:pStyle w:val="BDOITable"/>
            </w:pPr>
            <w:r>
              <w:rPr>
                <w:sz w:val="15"/>
              </w:rPr>
              <w:t>Accounting BRD, Data Migration BRD</w:t>
            </w:r>
          </w:p>
        </w:tc>
        <w:tc>
          <w:tcPr>
            <w:tcW w:type="dxa" w:w="2067"/>
            <w:tcMar>
              <w:top w:w="50" w:type="dxa"/>
              <w:bottom w:w="50" w:type="dxa"/>
              <w:left w:w="90" w:type="dxa"/>
              <w:right w:w="90" w:type="dxa"/>
            </w:tcMar>
            <w:shd w:val="clear" w:color="auto" w:fill="E5F5FF"/>
          </w:tcPr>
          <w:p>
            <w:pPr>
              <w:pStyle w:val="BDOITable"/>
            </w:pPr>
            <w:r>
              <w:rPr>
                <w:sz w:val="15"/>
              </w:rPr>
              <w:t>BRD-5 ACCT; BRD-13</w:t>
            </w:r>
          </w:p>
        </w:tc>
        <w:tc>
          <w:tcPr>
            <w:tcW w:type="dxa" w:w="1653"/>
            <w:tcMar>
              <w:top w:w="50" w:type="dxa"/>
              <w:bottom w:w="50" w:type="dxa"/>
              <w:left w:w="90" w:type="dxa"/>
              <w:right w:w="90" w:type="dxa"/>
            </w:tcMar>
            <w:shd w:val="clear" w:color="auto" w:fill="E5F5FF"/>
          </w:tcPr>
          <w:p>
            <w:pPr>
              <w:pStyle w:val="BDOITable"/>
            </w:pPr>
            <w:r>
              <w:rPr>
                <w:sz w:val="15"/>
              </w:rPr>
              <w:t>FR-AC (BIR, IC)</w:t>
            </w:r>
          </w:p>
        </w:tc>
        <w:tc>
          <w:tcPr>
            <w:tcW w:type="dxa" w:w="4134"/>
            <w:tcMar>
              <w:top w:w="50" w:type="dxa"/>
              <w:bottom w:w="50" w:type="dxa"/>
              <w:left w:w="90" w:type="dxa"/>
              <w:right w:w="90" w:type="dxa"/>
            </w:tcMar>
            <w:shd w:val="clear" w:color="auto" w:fill="E5F5FF"/>
          </w:tcPr>
          <w:p>
            <w:pPr>
              <w:pStyle w:val="BDOITable"/>
            </w:pPr>
            <w:r>
              <w:rPr>
                <w:sz w:val="15"/>
              </w:rPr>
              <w:t>Legacy-period figures in BIR reports depend on the migration of open items and the GL opening (DMQ18).</w:t>
            </w:r>
          </w:p>
        </w:tc>
        <w:tc>
          <w:tcPr>
            <w:tcW w:type="dxa" w:w="1240"/>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620"/>
            <w:tcMar>
              <w:top w:w="50" w:type="dxa"/>
              <w:bottom w:w="50" w:type="dxa"/>
              <w:left w:w="90" w:type="dxa"/>
              <w:right w:w="90" w:type="dxa"/>
            </w:tcMar>
          </w:tcPr>
          <w:p>
            <w:pPr>
              <w:pStyle w:val="BDOITable"/>
            </w:pPr>
            <w:r>
              <w:rPr>
                <w:b/>
                <w:sz w:val="15"/>
              </w:rPr>
              <w:t>1.D7</w:t>
            </w:r>
          </w:p>
        </w:tc>
        <w:tc>
          <w:tcPr>
            <w:tcW w:type="dxa" w:w="1929"/>
            <w:tcMar>
              <w:top w:w="50" w:type="dxa"/>
              <w:bottom w:w="50" w:type="dxa"/>
              <w:left w:w="90" w:type="dxa"/>
              <w:right w:w="90" w:type="dxa"/>
            </w:tcMar>
          </w:tcPr>
          <w:p>
            <w:pPr>
              <w:pStyle w:val="BDOITable"/>
            </w:pPr>
            <w:r>
              <w:rPr>
                <w:sz w:val="15"/>
              </w:rPr>
              <w:t>Collection of Commission Receivables (Direct Payment)</w:t>
            </w:r>
          </w:p>
        </w:tc>
        <w:tc>
          <w:tcPr>
            <w:tcW w:type="dxa" w:w="1929"/>
            <w:tcMar>
              <w:top w:w="50" w:type="dxa"/>
              <w:bottom w:w="50" w:type="dxa"/>
              <w:left w:w="90" w:type="dxa"/>
              <w:right w:w="90" w:type="dxa"/>
            </w:tcMar>
          </w:tcPr>
          <w:p>
            <w:pPr>
              <w:pStyle w:val="BDOITable"/>
            </w:pPr>
            <w:r>
              <w:rPr>
                <w:sz w:val="15"/>
              </w:rPr>
              <w:t>Collections BRD Addendum, Operations BRD</w:t>
            </w:r>
          </w:p>
        </w:tc>
        <w:tc>
          <w:tcPr>
            <w:tcW w:type="dxa" w:w="2067"/>
            <w:tcMar>
              <w:top w:w="50" w:type="dxa"/>
              <w:bottom w:w="50" w:type="dxa"/>
              <w:left w:w="90" w:type="dxa"/>
              <w:right w:w="90" w:type="dxa"/>
            </w:tcMar>
          </w:tcPr>
          <w:p>
            <w:pPr>
              <w:pStyle w:val="BDOITable"/>
            </w:pPr>
            <w:r>
              <w:rPr>
                <w:sz w:val="15"/>
              </w:rPr>
              <w:t>BRD-2 OPS (CMRID); BRD-4 BRCLXN.059-064</w:t>
            </w:r>
          </w:p>
        </w:tc>
        <w:tc>
          <w:tcPr>
            <w:tcW w:type="dxa" w:w="1653"/>
            <w:tcMar>
              <w:top w:w="50" w:type="dxa"/>
              <w:bottom w:w="50" w:type="dxa"/>
              <w:left w:w="90" w:type="dxa"/>
              <w:right w:w="90" w:type="dxa"/>
            </w:tcMar>
          </w:tcPr>
          <w:p>
            <w:pPr>
              <w:pStyle w:val="BDOITable"/>
            </w:pPr>
            <w:r>
              <w:rPr>
                <w:sz w:val="15"/>
              </w:rPr>
              <w:t>FR-OP (Commission / DP); FR-CL</w:t>
            </w:r>
          </w:p>
        </w:tc>
        <w:tc>
          <w:tcPr>
            <w:tcW w:type="dxa" w:w="4134"/>
            <w:tcMar>
              <w:top w:w="50" w:type="dxa"/>
              <w:bottom w:w="50" w:type="dxa"/>
              <w:left w:w="90" w:type="dxa"/>
              <w:right w:w="90" w:type="dxa"/>
            </w:tcMar>
          </w:tcPr>
          <w:p>
            <w:pPr>
              <w:pStyle w:val="BDOITable"/>
            </w:pPr>
            <w:r>
              <w:rPr>
                <w:sz w:val="15"/>
              </w:rPr>
              <w:t>BRCLXN.061-064 are in the unsigned draft addendum only (CQ01).</w:t>
            </w:r>
          </w:p>
        </w:tc>
        <w:tc>
          <w:tcPr>
            <w:tcW w:type="dxa" w:w="1240"/>
            <w:tcMar>
              <w:top w:w="50" w:type="dxa"/>
              <w:bottom w:w="50" w:type="dxa"/>
              <w:left w:w="90" w:type="dxa"/>
              <w:right w:w="90" w:type="dxa"/>
            </w:tcMar>
          </w:tcPr>
          <w:p>
            <w:pPr>
              <w:pStyle w:val="BDOITable"/>
            </w:pPr>
            <w:r>
              <w:rPr>
                <w:sz w:val="15"/>
              </w:rPr>
              <w:t>-</w:t>
            </w:r>
          </w:p>
        </w:tc>
      </w:tr>
    </w:tbl>
    <w:p>
      <w:pPr>
        <w:pStyle w:val="BDOISpacer"/>
      </w:pPr>
    </w:p>
    <w:p>
      <w:pPr>
        <w:pStyle w:val="Caption"/>
        <w:keepNext/>
        <w:spacing w:after="60"/>
      </w:pPr>
      <w:r>
        <w:rPr>
          <w:b/>
          <w:i w:val="0"/>
        </w:rPr>
        <w:t xml:space="preserve">Table 6: </w:t>
      </w:r>
      <w:r>
        <w:rPr/>
        <w:t>Drop 2 - Independent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20"/>
        <w:gridCol w:w="1929"/>
        <w:gridCol w:w="1929"/>
        <w:gridCol w:w="2067"/>
        <w:gridCol w:w="1653"/>
        <w:gridCol w:w="4134"/>
        <w:gridCol w:w="1240"/>
      </w:tblGrid>
      <w:tr>
        <w:trPr>
          <w:tblHeader w:val="true"/>
          <w:cantSplit w:val="true"/>
        </w:trPr>
        <w:tc>
          <w:tcPr>
            <w:tcW w:type="dxa" w:w="620"/>
            <w:shd w:val="clear" w:color="auto" w:fill="004EA8"/>
            <w:tcMar>
              <w:top w:w="50" w:type="dxa"/>
              <w:bottom w:w="50" w:type="dxa"/>
              <w:left w:w="90" w:type="dxa"/>
              <w:right w:w="90" w:type="dxa"/>
            </w:tcMar>
            <w:vAlign w:val="center"/>
          </w:tcPr>
          <w:p>
            <w:pPr>
              <w:pStyle w:val="BDOITableHeader"/>
            </w:pPr>
            <w:r>
              <w:rPr>
                <w:b/>
                <w:color w:val="FFFFFF"/>
                <w:sz w:val="15"/>
              </w:rPr>
              <w:t>#</w:t>
            </w:r>
          </w:p>
        </w:tc>
        <w:tc>
          <w:tcPr>
            <w:tcW w:type="dxa" w:w="1929"/>
            <w:shd w:val="clear" w:color="auto" w:fill="004EA8"/>
            <w:tcMar>
              <w:top w:w="50" w:type="dxa"/>
              <w:bottom w:w="50" w:type="dxa"/>
              <w:left w:w="90" w:type="dxa"/>
              <w:right w:w="90" w:type="dxa"/>
            </w:tcMar>
            <w:vAlign w:val="center"/>
          </w:tcPr>
          <w:p>
            <w:pPr>
              <w:pStyle w:val="BDOITableHeader"/>
            </w:pPr>
            <w:r>
              <w:rPr>
                <w:b/>
                <w:color w:val="FFFFFF"/>
                <w:sz w:val="15"/>
              </w:rPr>
              <w:t>Drop item</w:t>
            </w:r>
          </w:p>
        </w:tc>
        <w:tc>
          <w:tcPr>
            <w:tcW w:type="dxa" w:w="1929"/>
            <w:shd w:val="clear" w:color="auto" w:fill="004EA8"/>
            <w:tcMar>
              <w:top w:w="50" w:type="dxa"/>
              <w:bottom w:w="50" w:type="dxa"/>
              <w:left w:w="90" w:type="dxa"/>
              <w:right w:w="90" w:type="dxa"/>
            </w:tcMar>
            <w:vAlign w:val="center"/>
          </w:tcPr>
          <w:p>
            <w:pPr>
              <w:pStyle w:val="BDOITableHeader"/>
            </w:pPr>
            <w:r>
              <w:rPr>
                <w:b/>
                <w:color w:val="FFFFFF"/>
                <w:sz w:val="15"/>
              </w:rPr>
              <w:t>BRD named by BDOI</w:t>
            </w:r>
          </w:p>
        </w:tc>
        <w:tc>
          <w:tcPr>
            <w:tcW w:type="dxa" w:w="2067"/>
            <w:shd w:val="clear" w:color="auto" w:fill="004EA8"/>
            <w:tcMar>
              <w:top w:w="50" w:type="dxa"/>
              <w:bottom w:w="50" w:type="dxa"/>
              <w:left w:w="90" w:type="dxa"/>
              <w:right w:w="90" w:type="dxa"/>
            </w:tcMar>
            <w:vAlign w:val="center"/>
          </w:tcPr>
          <w:p>
            <w:pPr>
              <w:pStyle w:val="BDOITableHeader"/>
            </w:pPr>
            <w:r>
              <w:rPr>
                <w:b/>
                <w:color w:val="FFFFFF"/>
                <w:sz w:val="15"/>
              </w:rPr>
              <w:t>BIBS BRD</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4134"/>
            <w:shd w:val="clear" w:color="auto" w:fill="004EA8"/>
            <w:tcMar>
              <w:top w:w="50" w:type="dxa"/>
              <w:bottom w:w="50" w:type="dxa"/>
              <w:left w:w="90" w:type="dxa"/>
              <w:right w:w="90" w:type="dxa"/>
            </w:tcMar>
            <w:vAlign w:val="center"/>
          </w:tcPr>
          <w:p>
            <w:pPr>
              <w:pStyle w:val="BDOITableHeader"/>
            </w:pPr>
            <w:r>
              <w:rPr>
                <w:b/>
                <w:color w:val="FFFFFF"/>
                <w:sz w:val="15"/>
              </w:rPr>
              <w:t>Gap or mismatch</w:t>
            </w:r>
          </w:p>
        </w:tc>
        <w:tc>
          <w:tcPr>
            <w:tcW w:type="dxa" w:w="1240"/>
            <w:shd w:val="clear" w:color="auto" w:fill="004EA8"/>
            <w:tcMar>
              <w:top w:w="50" w:type="dxa"/>
              <w:bottom w:w="50" w:type="dxa"/>
              <w:left w:w="90" w:type="dxa"/>
              <w:right w:w="90" w:type="dxa"/>
            </w:tcMar>
            <w:vAlign w:val="center"/>
          </w:tcPr>
          <w:p>
            <w:pPr>
              <w:pStyle w:val="BDOITableHeader"/>
            </w:pPr>
            <w:r>
              <w:rPr>
                <w:b/>
                <w:color w:val="FFFFFF"/>
                <w:sz w:val="15"/>
              </w:rPr>
              <w:t>Refs</w:t>
            </w:r>
          </w:p>
        </w:tc>
      </w:tr>
      <w:tr>
        <w:trPr>
          <w:cantSplit w:val="true"/>
        </w:trPr>
        <w:tc>
          <w:tcPr>
            <w:tcW w:type="dxa" w:w="620"/>
            <w:tcMar>
              <w:top w:w="50" w:type="dxa"/>
              <w:bottom w:w="50" w:type="dxa"/>
              <w:left w:w="90" w:type="dxa"/>
              <w:right w:w="90" w:type="dxa"/>
            </w:tcMar>
          </w:tcPr>
          <w:p>
            <w:pPr>
              <w:pStyle w:val="BDOITable"/>
            </w:pPr>
            <w:r>
              <w:rPr>
                <w:b/>
                <w:sz w:val="15"/>
              </w:rPr>
              <w:t>2.1</w:t>
            </w:r>
          </w:p>
        </w:tc>
        <w:tc>
          <w:tcPr>
            <w:tcW w:type="dxa" w:w="1929"/>
            <w:tcMar>
              <w:top w:w="50" w:type="dxa"/>
              <w:bottom w:w="50" w:type="dxa"/>
              <w:left w:w="90" w:type="dxa"/>
              <w:right w:w="90" w:type="dxa"/>
            </w:tcMar>
          </w:tcPr>
          <w:p>
            <w:pPr>
              <w:pStyle w:val="BDOITable"/>
            </w:pPr>
            <w:r>
              <w:rPr>
                <w:sz w:val="15"/>
              </w:rPr>
              <w:t>Marketing Collection (extraction)</w:t>
            </w:r>
          </w:p>
        </w:tc>
        <w:tc>
          <w:tcPr>
            <w:tcW w:type="dxa" w:w="1929"/>
            <w:tcMar>
              <w:top w:w="50" w:type="dxa"/>
              <w:bottom w:w="50" w:type="dxa"/>
              <w:left w:w="90" w:type="dxa"/>
              <w:right w:w="90" w:type="dxa"/>
            </w:tcMar>
          </w:tcPr>
          <w:p>
            <w:pPr>
              <w:pStyle w:val="BDOITable"/>
            </w:pPr>
            <w:r>
              <w:rPr>
                <w:sz w:val="15"/>
              </w:rPr>
              <w:t>-</w:t>
            </w:r>
          </w:p>
        </w:tc>
        <w:tc>
          <w:tcPr>
            <w:tcW w:type="dxa" w:w="2067"/>
            <w:tcMar>
              <w:top w:w="50" w:type="dxa"/>
              <w:bottom w:w="50" w:type="dxa"/>
              <w:left w:w="90" w:type="dxa"/>
              <w:right w:w="90" w:type="dxa"/>
            </w:tcMar>
          </w:tcPr>
          <w:p>
            <w:pPr>
              <w:pStyle w:val="BDOITable"/>
            </w:pPr>
            <w:r>
              <w:rPr>
                <w:sz w:val="15"/>
              </w:rPr>
              <w:t>BRD-4 CLXN; BRD-2 (MKTID)</w:t>
            </w:r>
          </w:p>
        </w:tc>
        <w:tc>
          <w:tcPr>
            <w:tcW w:type="dxa" w:w="1653"/>
            <w:tcMar>
              <w:top w:w="50" w:type="dxa"/>
              <w:bottom w:w="50" w:type="dxa"/>
              <w:left w:w="90" w:type="dxa"/>
              <w:right w:w="90" w:type="dxa"/>
            </w:tcMar>
          </w:tcPr>
          <w:p>
            <w:pPr>
              <w:pStyle w:val="BDOITable"/>
            </w:pPr>
            <w:r>
              <w:rPr>
                <w:sz w:val="15"/>
              </w:rPr>
              <w:t>FR-CL; FR-OP (Marketing Collection items)</w:t>
            </w:r>
          </w:p>
        </w:tc>
        <w:tc>
          <w:tcPr>
            <w:tcW w:type="dxa" w:w="4134"/>
            <w:tcMar>
              <w:top w:w="50" w:type="dxa"/>
              <w:bottom w:w="50" w:type="dxa"/>
              <w:left w:w="90" w:type="dxa"/>
              <w:right w:w="90" w:type="dxa"/>
            </w:tcMar>
          </w:tcPr>
          <w:p>
            <w:pPr>
              <w:pStyle w:val="BDOITable"/>
            </w:pPr>
            <w:r>
              <w:rPr>
                <w:sz w:val="15"/>
              </w:rPr>
              <w:t>BRD-4 is a BIBS module fed by the Operations ledger; "extraction" is undefined (a feed to a separate CMS application, or the daily files?).</w:t>
            </w:r>
          </w:p>
        </w:tc>
        <w:tc>
          <w:tcPr>
            <w:tcW w:type="dxa" w:w="1240"/>
            <w:tcMar>
              <w:top w:w="50" w:type="dxa"/>
              <w:bottom w:w="50" w:type="dxa"/>
              <w:left w:w="90" w:type="dxa"/>
              <w:right w:w="90" w:type="dxa"/>
            </w:tcMar>
          </w:tcPr>
          <w:p>
            <w:pPr>
              <w:pStyle w:val="BDOITable"/>
            </w:pPr>
            <w:r>
              <w:rPr>
                <w:sz w:val="15"/>
              </w:rPr>
              <w:t>IQ21; DCR-212, DCR-221</w:t>
            </w:r>
          </w:p>
        </w:tc>
      </w:tr>
      <w:tr>
        <w:trPr>
          <w:cantSplit w:val="true"/>
        </w:trPr>
        <w:tc>
          <w:tcPr>
            <w:tcW w:type="dxa" w:w="620"/>
            <w:tcMar>
              <w:top w:w="50" w:type="dxa"/>
              <w:bottom w:w="50" w:type="dxa"/>
              <w:left w:w="90" w:type="dxa"/>
              <w:right w:w="90" w:type="dxa"/>
            </w:tcMar>
            <w:shd w:val="clear" w:color="auto" w:fill="E5F5FF"/>
          </w:tcPr>
          <w:p>
            <w:pPr>
              <w:pStyle w:val="BDOITable"/>
            </w:pPr>
            <w:r>
              <w:rPr>
                <w:b/>
                <w:sz w:val="15"/>
              </w:rPr>
              <w:t>2.2</w:t>
            </w:r>
          </w:p>
        </w:tc>
        <w:tc>
          <w:tcPr>
            <w:tcW w:type="dxa" w:w="1929"/>
            <w:tcMar>
              <w:top w:w="50" w:type="dxa"/>
              <w:bottom w:w="50" w:type="dxa"/>
              <w:left w:w="90" w:type="dxa"/>
              <w:right w:w="90" w:type="dxa"/>
            </w:tcMar>
            <w:shd w:val="clear" w:color="auto" w:fill="E5F5FF"/>
          </w:tcPr>
          <w:p>
            <w:pPr>
              <w:pStyle w:val="BDOITable"/>
            </w:pPr>
            <w:r>
              <w:rPr>
                <w:sz w:val="15"/>
              </w:rPr>
              <w:t>Claims</w:t>
            </w:r>
          </w:p>
        </w:tc>
        <w:tc>
          <w:tcPr>
            <w:tcW w:type="dxa" w:w="1929"/>
            <w:tcMar>
              <w:top w:w="50" w:type="dxa"/>
              <w:bottom w:w="50" w:type="dxa"/>
              <w:left w:w="90" w:type="dxa"/>
              <w:right w:w="90" w:type="dxa"/>
            </w:tcMar>
            <w:shd w:val="clear" w:color="auto" w:fill="E5F5FF"/>
          </w:tcPr>
          <w:p>
            <w:pPr>
              <w:pStyle w:val="BDOITable"/>
            </w:pPr>
            <w:r>
              <w:rPr>
                <w:sz w:val="15"/>
              </w:rPr>
              <w:t>-</w:t>
            </w:r>
          </w:p>
        </w:tc>
        <w:tc>
          <w:tcPr>
            <w:tcW w:type="dxa" w:w="2067"/>
            <w:tcMar>
              <w:top w:w="50" w:type="dxa"/>
              <w:bottom w:w="50" w:type="dxa"/>
              <w:left w:w="90" w:type="dxa"/>
              <w:right w:w="90" w:type="dxa"/>
            </w:tcMar>
            <w:shd w:val="clear" w:color="auto" w:fill="E5F5FF"/>
          </w:tcPr>
          <w:p>
            <w:pPr>
              <w:pStyle w:val="BDOITable"/>
            </w:pPr>
            <w:r>
              <w:rPr>
                <w:sz w:val="15"/>
              </w:rPr>
              <w:t>BRD-7 CLM</w:t>
            </w:r>
          </w:p>
        </w:tc>
        <w:tc>
          <w:tcPr>
            <w:tcW w:type="dxa" w:w="1653"/>
            <w:tcMar>
              <w:top w:w="50" w:type="dxa"/>
              <w:bottom w:w="50" w:type="dxa"/>
              <w:left w:w="90" w:type="dxa"/>
              <w:right w:w="90" w:type="dxa"/>
            </w:tcMar>
            <w:shd w:val="clear" w:color="auto" w:fill="E5F5FF"/>
          </w:tcPr>
          <w:p>
            <w:pPr>
              <w:pStyle w:val="BDOITable"/>
            </w:pPr>
            <w:r>
              <w:rPr>
                <w:sz w:val="15"/>
              </w:rPr>
              <w:t>FR-CM</w:t>
            </w:r>
          </w:p>
        </w:tc>
        <w:tc>
          <w:tcPr>
            <w:tcW w:type="dxa" w:w="4134"/>
            <w:tcMar>
              <w:top w:w="50" w:type="dxa"/>
              <w:bottom w:w="50" w:type="dxa"/>
              <w:left w:w="90" w:type="dxa"/>
              <w:right w:w="90" w:type="dxa"/>
            </w:tcMar>
            <w:shd w:val="clear" w:color="auto" w:fill="E5F5FF"/>
          </w:tcPr>
          <w:p>
            <w:pPr>
              <w:pStyle w:val="BDOITable"/>
            </w:pPr>
            <w:r>
              <w:rPr>
                <w:sz w:val="15"/>
              </w:rPr>
              <w:t>Open-claims migration (F07) is conditional (CLQ14).</w:t>
            </w:r>
          </w:p>
        </w:tc>
        <w:tc>
          <w:tcPr>
            <w:tcW w:type="dxa" w:w="1240"/>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620"/>
            <w:tcMar>
              <w:top w:w="50" w:type="dxa"/>
              <w:bottom w:w="50" w:type="dxa"/>
              <w:left w:w="90" w:type="dxa"/>
              <w:right w:w="90" w:type="dxa"/>
            </w:tcMar>
          </w:tcPr>
          <w:p>
            <w:pPr>
              <w:pStyle w:val="BDOITable"/>
            </w:pPr>
            <w:r>
              <w:rPr>
                <w:b/>
                <w:sz w:val="15"/>
              </w:rPr>
              <w:t>2.3</w:t>
            </w:r>
          </w:p>
        </w:tc>
        <w:tc>
          <w:tcPr>
            <w:tcW w:type="dxa" w:w="1929"/>
            <w:tcMar>
              <w:top w:w="50" w:type="dxa"/>
              <w:bottom w:w="50" w:type="dxa"/>
              <w:left w:w="90" w:type="dxa"/>
              <w:right w:w="90" w:type="dxa"/>
            </w:tcMar>
          </w:tcPr>
          <w:p>
            <w:pPr>
              <w:pStyle w:val="BDOITable"/>
            </w:pPr>
            <w:r>
              <w:rPr>
                <w:sz w:val="15"/>
              </w:rPr>
              <w:t>Production Reconciliation</w:t>
            </w:r>
          </w:p>
        </w:tc>
        <w:tc>
          <w:tcPr>
            <w:tcW w:type="dxa" w:w="1929"/>
            <w:tcMar>
              <w:top w:w="50" w:type="dxa"/>
              <w:bottom w:w="50" w:type="dxa"/>
              <w:left w:w="90" w:type="dxa"/>
              <w:right w:w="90" w:type="dxa"/>
            </w:tcMar>
          </w:tcPr>
          <w:p>
            <w:pPr>
              <w:pStyle w:val="BDOITable"/>
            </w:pPr>
            <w:r>
              <w:rPr>
                <w:sz w:val="15"/>
              </w:rPr>
              <w:t>-</w:t>
            </w:r>
          </w:p>
        </w:tc>
        <w:tc>
          <w:tcPr>
            <w:tcW w:type="dxa" w:w="2067"/>
            <w:tcMar>
              <w:top w:w="50" w:type="dxa"/>
              <w:bottom w:w="50" w:type="dxa"/>
              <w:left w:w="90" w:type="dxa"/>
              <w:right w:w="90" w:type="dxa"/>
            </w:tcMar>
          </w:tcPr>
          <w:p>
            <w:pPr>
              <w:pStyle w:val="BDOITable"/>
            </w:pPr>
            <w:r>
              <w:rPr>
                <w:sz w:val="15"/>
              </w:rPr>
              <w:t>BRD-2 OPS (PRCID)</w:t>
            </w:r>
          </w:p>
        </w:tc>
        <w:tc>
          <w:tcPr>
            <w:tcW w:type="dxa" w:w="1653"/>
            <w:tcMar>
              <w:top w:w="50" w:type="dxa"/>
              <w:bottom w:w="50" w:type="dxa"/>
              <w:left w:w="90" w:type="dxa"/>
              <w:right w:w="90" w:type="dxa"/>
            </w:tcMar>
          </w:tcPr>
          <w:p>
            <w:pPr>
              <w:pStyle w:val="BDOITable"/>
            </w:pPr>
            <w:r>
              <w:rPr>
                <w:sz w:val="15"/>
              </w:rPr>
              <w:t>FR-OP (Production Reconciliation)</w:t>
            </w:r>
          </w:p>
        </w:tc>
        <w:tc>
          <w:tcPr>
            <w:tcW w:type="dxa" w:w="4134"/>
            <w:tcMar>
              <w:top w:w="50" w:type="dxa"/>
              <w:bottom w:w="50" w:type="dxa"/>
              <w:left w:w="90" w:type="dxa"/>
              <w:right w:w="90" w:type="dxa"/>
            </w:tcMar>
          </w:tcPr>
          <w:p>
            <w:pPr>
              <w:pStyle w:val="BDOITable"/>
            </w:pPr>
            <w:r>
              <w:rPr>
                <w:sz w:val="15"/>
              </w:rPr>
              <w:t>Specified in the Operations FRS; tested in SIT Drop 2 as BDOI plans. Insurer feedback files are an Insurer System integration.</w:t>
            </w:r>
          </w:p>
        </w:tc>
        <w:tc>
          <w:tcPr>
            <w:tcW w:type="dxa" w:w="1240"/>
            <w:tcMar>
              <w:top w:w="50" w:type="dxa"/>
              <w:bottom w:w="50" w:type="dxa"/>
              <w:left w:w="90" w:type="dxa"/>
              <w:right w:w="90" w:type="dxa"/>
            </w:tcMar>
          </w:tcPr>
          <w:p>
            <w:pPr>
              <w:pStyle w:val="BDOITable"/>
            </w:pPr>
            <w:r>
              <w:rPr>
                <w:sz w:val="15"/>
              </w:rPr>
              <w:t>IQ18</w:t>
            </w:r>
          </w:p>
        </w:tc>
      </w:tr>
      <w:tr>
        <w:trPr>
          <w:cantSplit w:val="true"/>
        </w:trPr>
        <w:tc>
          <w:tcPr>
            <w:tcW w:type="dxa" w:w="620"/>
            <w:tcMar>
              <w:top w:w="50" w:type="dxa"/>
              <w:bottom w:w="50" w:type="dxa"/>
              <w:left w:w="90" w:type="dxa"/>
              <w:right w:w="90" w:type="dxa"/>
            </w:tcMar>
            <w:shd w:val="clear" w:color="auto" w:fill="E5F5FF"/>
          </w:tcPr>
          <w:p>
            <w:pPr>
              <w:pStyle w:val="BDOITable"/>
            </w:pPr>
            <w:r>
              <w:rPr>
                <w:b/>
                <w:sz w:val="15"/>
              </w:rPr>
              <w:t>2.4</w:t>
            </w:r>
          </w:p>
        </w:tc>
        <w:tc>
          <w:tcPr>
            <w:tcW w:type="dxa" w:w="1929"/>
            <w:tcMar>
              <w:top w:w="50" w:type="dxa"/>
              <w:bottom w:w="50" w:type="dxa"/>
              <w:left w:w="90" w:type="dxa"/>
              <w:right w:w="90" w:type="dxa"/>
            </w:tcMar>
            <w:shd w:val="clear" w:color="auto" w:fill="E5F5FF"/>
          </w:tcPr>
          <w:p>
            <w:pPr>
              <w:pStyle w:val="BDOITable"/>
            </w:pPr>
            <w:r>
              <w:rPr>
                <w:sz w:val="15"/>
              </w:rPr>
              <w:t>Employee Benefits (no portal feature)</w:t>
            </w:r>
          </w:p>
        </w:tc>
        <w:tc>
          <w:tcPr>
            <w:tcW w:type="dxa" w:w="1929"/>
            <w:tcMar>
              <w:top w:w="50" w:type="dxa"/>
              <w:bottom w:w="50" w:type="dxa"/>
              <w:left w:w="90" w:type="dxa"/>
              <w:right w:w="90" w:type="dxa"/>
            </w:tcMar>
            <w:shd w:val="clear" w:color="auto" w:fill="E5F5FF"/>
          </w:tcPr>
          <w:p>
            <w:pPr>
              <w:pStyle w:val="BDOITable"/>
            </w:pPr>
            <w:r>
              <w:rPr>
                <w:sz w:val="15"/>
              </w:rPr>
              <w:t>-</w:t>
            </w:r>
          </w:p>
        </w:tc>
        <w:tc>
          <w:tcPr>
            <w:tcW w:type="dxa" w:w="2067"/>
            <w:tcMar>
              <w:top w:w="50" w:type="dxa"/>
              <w:bottom w:w="50" w:type="dxa"/>
              <w:left w:w="90" w:type="dxa"/>
              <w:right w:w="90" w:type="dxa"/>
            </w:tcMar>
            <w:shd w:val="clear" w:color="auto" w:fill="E5F5FF"/>
          </w:tcPr>
          <w:p>
            <w:pPr>
              <w:pStyle w:val="BDOITable"/>
            </w:pPr>
            <w:r>
              <w:rPr>
                <w:sz w:val="15"/>
              </w:rPr>
              <w:t>BRD-8 EB</w:t>
            </w:r>
          </w:p>
        </w:tc>
        <w:tc>
          <w:tcPr>
            <w:tcW w:type="dxa" w:w="1653"/>
            <w:tcMar>
              <w:top w:w="50" w:type="dxa"/>
              <w:bottom w:w="50" w:type="dxa"/>
              <w:left w:w="90" w:type="dxa"/>
              <w:right w:w="90" w:type="dxa"/>
            </w:tcMar>
            <w:shd w:val="clear" w:color="auto" w:fill="E5F5FF"/>
          </w:tcPr>
          <w:p>
            <w:pPr>
              <w:pStyle w:val="BDOITable"/>
            </w:pPr>
            <w:r>
              <w:rPr>
                <w:sz w:val="15"/>
              </w:rPr>
              <w:t>FR-EB</w:t>
            </w:r>
          </w:p>
        </w:tc>
        <w:tc>
          <w:tcPr>
            <w:tcW w:type="dxa" w:w="4134"/>
            <w:tcMar>
              <w:top w:w="50" w:type="dxa"/>
              <w:bottom w:w="50" w:type="dxa"/>
              <w:left w:w="90" w:type="dxa"/>
              <w:right w:w="90" w:type="dxa"/>
            </w:tcMar>
            <w:shd w:val="clear" w:color="auto" w:fill="E5F5FF"/>
          </w:tcPr>
          <w:p>
            <w:pPr>
              <w:pStyle w:val="BDOITable"/>
            </w:pPr>
            <w:r>
              <w:rPr>
                <w:sz w:val="15"/>
              </w:rPr>
              <w:t>BRD-8 BRID-005, 005.01, 014 and FRS BRD-8 use an insurer / client-HR portal; the IER diagram shows an "EB Insurer Portal" tenant.</w:t>
            </w:r>
          </w:p>
        </w:tc>
        <w:tc>
          <w:tcPr>
            <w:tcW w:type="dxa" w:w="1240"/>
            <w:tcMar>
              <w:top w:w="50" w:type="dxa"/>
              <w:bottom w:w="50" w:type="dxa"/>
              <w:left w:w="90" w:type="dxa"/>
              <w:right w:w="90" w:type="dxa"/>
            </w:tcMar>
            <w:shd w:val="clear" w:color="auto" w:fill="E5F5FF"/>
          </w:tcPr>
          <w:p>
            <w:pPr>
              <w:pStyle w:val="BDOITable"/>
            </w:pPr>
            <w:r>
              <w:rPr>
                <w:sz w:val="15"/>
              </w:rPr>
              <w:t>IQ22; DCR-211</w:t>
            </w:r>
          </w:p>
        </w:tc>
      </w:tr>
      <w:tr>
        <w:trPr>
          <w:cantSplit w:val="true"/>
        </w:trPr>
        <w:tc>
          <w:tcPr>
            <w:tcW w:type="dxa" w:w="620"/>
            <w:tcMar>
              <w:top w:w="50" w:type="dxa"/>
              <w:bottom w:w="50" w:type="dxa"/>
              <w:left w:w="90" w:type="dxa"/>
              <w:right w:w="90" w:type="dxa"/>
            </w:tcMar>
          </w:tcPr>
          <w:p>
            <w:pPr>
              <w:pStyle w:val="BDOITable"/>
            </w:pPr>
            <w:r>
              <w:rPr>
                <w:b/>
                <w:sz w:val="15"/>
              </w:rPr>
              <w:t>2.5</w:t>
            </w:r>
          </w:p>
        </w:tc>
        <w:tc>
          <w:tcPr>
            <w:tcW w:type="dxa" w:w="1929"/>
            <w:tcMar>
              <w:top w:w="50" w:type="dxa"/>
              <w:bottom w:w="50" w:type="dxa"/>
              <w:left w:w="90" w:type="dxa"/>
              <w:right w:w="90" w:type="dxa"/>
            </w:tcMar>
          </w:tcPr>
          <w:p>
            <w:pPr>
              <w:pStyle w:val="BDOITable"/>
            </w:pPr>
            <w:r>
              <w:rPr>
                <w:sz w:val="15"/>
              </w:rPr>
              <w:t>Other Reports</w:t>
            </w:r>
          </w:p>
        </w:tc>
        <w:tc>
          <w:tcPr>
            <w:tcW w:type="dxa" w:w="1929"/>
            <w:tcMar>
              <w:top w:w="50" w:type="dxa"/>
              <w:bottom w:w="50" w:type="dxa"/>
              <w:left w:w="90" w:type="dxa"/>
              <w:right w:w="90" w:type="dxa"/>
            </w:tcMar>
          </w:tcPr>
          <w:p>
            <w:pPr>
              <w:pStyle w:val="BDOITable"/>
            </w:pPr>
            <w:r>
              <w:rPr>
                <w:sz w:val="15"/>
              </w:rPr>
              <w:t>-</w:t>
            </w:r>
          </w:p>
        </w:tc>
        <w:tc>
          <w:tcPr>
            <w:tcW w:type="dxa" w:w="2067"/>
            <w:tcMar>
              <w:top w:w="50" w:type="dxa"/>
              <w:bottom w:w="50" w:type="dxa"/>
              <w:left w:w="90" w:type="dxa"/>
              <w:right w:w="90" w:type="dxa"/>
            </w:tcMar>
          </w:tcPr>
          <w:p>
            <w:pPr>
              <w:pStyle w:val="BDOITable"/>
            </w:pPr>
            <w:r>
              <w:rPr>
                <w:sz w:val="15"/>
              </w:rPr>
              <w:t>Report List; BRD-00 CORE-21</w:t>
            </w:r>
          </w:p>
        </w:tc>
        <w:tc>
          <w:tcPr>
            <w:tcW w:type="dxa" w:w="1653"/>
            <w:tcMar>
              <w:top w:w="50" w:type="dxa"/>
              <w:bottom w:w="50" w:type="dxa"/>
              <w:left w:w="90" w:type="dxa"/>
              <w:right w:w="90" w:type="dxa"/>
            </w:tcMar>
          </w:tcPr>
          <w:p>
            <w:pPr>
              <w:pStyle w:val="BDOITable"/>
            </w:pPr>
            <w:r>
              <w:rPr>
                <w:sz w:val="15"/>
              </w:rPr>
              <w:t>FR-CR (reports)</w:t>
            </w:r>
          </w:p>
        </w:tc>
        <w:tc>
          <w:tcPr>
            <w:tcW w:type="dxa" w:w="4134"/>
            <w:tcMar>
              <w:top w:w="50" w:type="dxa"/>
              <w:bottom w:w="50" w:type="dxa"/>
              <w:left w:w="90" w:type="dxa"/>
              <w:right w:w="90" w:type="dxa"/>
            </w:tcMar>
          </w:tcPr>
          <w:p>
            <w:pPr>
              <w:pStyle w:val="BDOITable"/>
            </w:pPr>
            <w:r>
              <w:rPr>
                <w:sz w:val="15"/>
              </w:rPr>
              <w:t>"Other" is not defined; propose: every Report List item not owned by a Drop 1 module.</w:t>
            </w:r>
          </w:p>
        </w:tc>
        <w:tc>
          <w:tcPr>
            <w:tcW w:type="dxa" w:w="1240"/>
            <w:tcMar>
              <w:top w:w="50" w:type="dxa"/>
              <w:bottom w:w="50" w:type="dxa"/>
              <w:left w:w="90" w:type="dxa"/>
              <w:right w:w="90" w:type="dxa"/>
            </w:tcMar>
          </w:tcPr>
          <w:p>
            <w:pPr>
              <w:pStyle w:val="BDOITable"/>
            </w:pPr>
            <w:r>
              <w:rPr>
                <w:sz w:val="15"/>
              </w:rPr>
              <w:t>DCR-235</w:t>
            </w:r>
          </w:p>
        </w:tc>
      </w:tr>
    </w:tbl>
    <w:p>
      <w:pPr>
        <w:pStyle w:val="BDOISpacer"/>
      </w:pP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2"/>
      </w:pPr>
      <w:bookmarkStart w:id="109" w:name="_Toc000109"/>
      <w:r>
        <w:rPr/>
        <w:t>2.3 Gaps and mismatches in the drop plan</w:t>
      </w:r>
      <w:bookmarkEnd w:id="109"/>
    </w:p>
    <w:p>
      <w:pPr>
        <w:pStyle w:val="Caption"/>
        <w:keepNext/>
        <w:spacing w:after="60"/>
      </w:pPr>
      <w:r>
        <w:rPr>
          <w:b/>
          <w:i w:val="0"/>
        </w:rPr>
        <w:t xml:space="preserve">Table 7: </w:t>
      </w:r>
      <w:r>
        <w:rPr/>
        <w:t>Gaps and mismatches in the drop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04"/>
        <w:gridCol w:w="4671"/>
        <w:gridCol w:w="3534"/>
        <w:gridCol w:w="1262"/>
      </w:tblGrid>
      <w:tr>
        <w:trPr>
          <w:tblHeader w:val="true"/>
          <w:cantSplit w:val="true"/>
        </w:trPr>
        <w:tc>
          <w:tcPr>
            <w:tcW w:type="dxa" w:w="505"/>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4670"/>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534"/>
            <w:shd w:val="clear" w:color="auto" w:fill="004EA8"/>
            <w:tcMar>
              <w:top w:w="50" w:type="dxa"/>
              <w:bottom w:w="50" w:type="dxa"/>
              <w:left w:w="90" w:type="dxa"/>
              <w:right w:w="90" w:type="dxa"/>
            </w:tcMar>
            <w:vAlign w:val="center"/>
          </w:tcPr>
          <w:p>
            <w:pPr>
              <w:pStyle w:val="BDOITableHeader"/>
            </w:pPr>
            <w:r>
              <w:rPr>
                <w:b/>
                <w:color w:val="FFFFFF"/>
                <w:sz w:val="17"/>
              </w:rPr>
              <w:t>Proposal</w:t>
            </w:r>
          </w:p>
        </w:tc>
        <w:tc>
          <w:tcPr>
            <w:tcW w:type="dxa" w:w="1262"/>
            <w:shd w:val="clear" w:color="auto" w:fill="004EA8"/>
            <w:tcMar>
              <w:top w:w="50" w:type="dxa"/>
              <w:bottom w:w="50" w:type="dxa"/>
              <w:left w:w="90" w:type="dxa"/>
              <w:right w:w="90" w:type="dxa"/>
            </w:tcMar>
            <w:vAlign w:val="center"/>
          </w:tcPr>
          <w:p>
            <w:pPr>
              <w:pStyle w:val="BDOITableHeader"/>
            </w:pPr>
            <w:r>
              <w:rPr>
                <w:b/>
                <w:color w:val="FFFFFF"/>
                <w:sz w:val="17"/>
              </w:rPr>
              <w:t>Refs</w:t>
            </w:r>
          </w:p>
        </w:tc>
      </w:tr>
      <w:tr>
        <w:trPr>
          <w:cantSplit w:val="true"/>
        </w:trPr>
        <w:tc>
          <w:tcPr>
            <w:tcW w:type="dxa" w:w="505"/>
            <w:tcMar>
              <w:top w:w="50" w:type="dxa"/>
              <w:bottom w:w="50" w:type="dxa"/>
              <w:left w:w="90" w:type="dxa"/>
              <w:right w:w="90" w:type="dxa"/>
            </w:tcMar>
          </w:tcPr>
          <w:p>
            <w:pPr>
              <w:pStyle w:val="BDOITable"/>
            </w:pPr>
            <w:r>
              <w:rPr>
                <w:b/>
                <w:sz w:val="17"/>
              </w:rPr>
              <w:t>M1</w:t>
            </w:r>
          </w:p>
        </w:tc>
        <w:tc>
          <w:tcPr>
            <w:tcW w:type="dxa" w:w="4670"/>
            <w:tcMar>
              <w:top w:w="50" w:type="dxa"/>
              <w:bottom w:w="50" w:type="dxa"/>
              <w:left w:w="90" w:type="dxa"/>
              <w:right w:w="90" w:type="dxa"/>
            </w:tcMar>
          </w:tcPr>
          <w:p>
            <w:pPr>
              <w:pStyle w:val="BDOITable"/>
            </w:pPr>
            <w:r>
              <w:rPr>
                <w:b/>
                <w:sz w:val="17"/>
              </w:rPr>
              <w:t>Reinsurance under Remittance (1.D3).</w:t>
            </w:r>
            <w:r>
              <w:rPr>
                <w:sz w:val="17"/>
              </w:rPr>
              <w:t xml:space="preserve"> The slide names the Reinsurance BRD for Remittance; the ReInsurance BRD is phase 2. BDOI answered that Remittance handles the reinsurance transactions (A3), but which transactions and with which accounting is not written anywhere</w:t>
            </w:r>
          </w:p>
        </w:tc>
        <w:tc>
          <w:tcPr>
            <w:tcW w:type="dxa" w:w="3534"/>
            <w:tcMar>
              <w:top w:w="50" w:type="dxa"/>
              <w:bottom w:w="50" w:type="dxa"/>
              <w:left w:w="90" w:type="dxa"/>
              <w:right w:w="90" w:type="dxa"/>
            </w:tcMar>
          </w:tcPr>
          <w:p>
            <w:pPr>
              <w:pStyle w:val="BDOITable"/>
            </w:pPr>
            <w:r>
              <w:rPr>
                <w:sz w:val="17"/>
              </w:rPr>
              <w:t>BDOI names the transactions and supplies the "Remittance Addendum"; BIBS handles them in Remittance as insurer-like counterparties; the treaty and facultative module stays phase 2</w:t>
            </w:r>
          </w:p>
        </w:tc>
        <w:tc>
          <w:tcPr>
            <w:tcW w:type="dxa" w:w="1262"/>
            <w:tcMar>
              <w:top w:w="50" w:type="dxa"/>
              <w:bottom w:w="50" w:type="dxa"/>
              <w:left w:w="90" w:type="dxa"/>
              <w:right w:w="90" w:type="dxa"/>
            </w:tcMar>
          </w:tcPr>
          <w:p>
            <w:pPr>
              <w:pStyle w:val="BDOITable"/>
            </w:pPr>
            <w:r>
              <w:rPr>
                <w:sz w:val="17"/>
              </w:rPr>
              <w:t>IQ20, DCR-210</w:t>
            </w:r>
          </w:p>
        </w:tc>
      </w:tr>
      <w:tr>
        <w:trPr>
          <w:cantSplit w:val="true"/>
        </w:trPr>
        <w:tc>
          <w:tcPr>
            <w:tcW w:type="dxa" w:w="505"/>
            <w:tcMar>
              <w:top w:w="50" w:type="dxa"/>
              <w:bottom w:w="50" w:type="dxa"/>
              <w:left w:w="90" w:type="dxa"/>
              <w:right w:w="90" w:type="dxa"/>
            </w:tcMar>
            <w:shd w:val="clear" w:color="auto" w:fill="E5F5FF"/>
          </w:tcPr>
          <w:p>
            <w:pPr>
              <w:pStyle w:val="BDOITable"/>
            </w:pPr>
            <w:r>
              <w:rPr>
                <w:b/>
                <w:sz w:val="17"/>
              </w:rPr>
              <w:t>M2</w:t>
            </w:r>
          </w:p>
        </w:tc>
        <w:tc>
          <w:tcPr>
            <w:tcW w:type="dxa" w:w="4670"/>
            <w:tcMar>
              <w:top w:w="50" w:type="dxa"/>
              <w:bottom w:w="50" w:type="dxa"/>
              <w:left w:w="90" w:type="dxa"/>
              <w:right w:w="90" w:type="dxa"/>
            </w:tcMar>
            <w:shd w:val="clear" w:color="auto" w:fill="E5F5FF"/>
          </w:tcPr>
          <w:p>
            <w:pPr>
              <w:pStyle w:val="BDOITable"/>
            </w:pPr>
            <w:r>
              <w:rPr>
                <w:b/>
                <w:sz w:val="17"/>
              </w:rPr>
              <w:t>Employee Benefits "no portal feature" (2.4).</w:t>
            </w:r>
            <w:r>
              <w:rPr>
                <w:sz w:val="17"/>
              </w:rPr>
              <w:t xml:space="preserve"> BRD-8 (BRID-005, 005.01, 014) and FRS BRD-8 use an insurer and client-HR portal; the IER diagram shows an "EB Insurer Portal" tenant</w:t>
            </w:r>
          </w:p>
        </w:tc>
        <w:tc>
          <w:tcPr>
            <w:tcW w:type="dxa" w:w="3534"/>
            <w:tcMar>
              <w:top w:w="50" w:type="dxa"/>
              <w:bottom w:w="50" w:type="dxa"/>
              <w:left w:w="90" w:type="dxa"/>
              <w:right w:w="90" w:type="dxa"/>
            </w:tcMar>
            <w:shd w:val="clear" w:color="auto" w:fill="E5F5FF"/>
          </w:tcPr>
          <w:p>
            <w:pPr>
              <w:pStyle w:val="BDOITable"/>
            </w:pPr>
            <w:r>
              <w:rPr>
                <w:sz w:val="17"/>
              </w:rPr>
              <w:t>No portal for EB; insurers and client HR send documents by e-mail and EB users upload them; FRS BRD-8 re-issued</w:t>
            </w:r>
          </w:p>
        </w:tc>
        <w:tc>
          <w:tcPr>
            <w:tcW w:type="dxa" w:w="1262"/>
            <w:tcMar>
              <w:top w:w="50" w:type="dxa"/>
              <w:bottom w:w="50" w:type="dxa"/>
              <w:left w:w="90" w:type="dxa"/>
              <w:right w:w="90" w:type="dxa"/>
            </w:tcMar>
            <w:shd w:val="clear" w:color="auto" w:fill="E5F5FF"/>
          </w:tcPr>
          <w:p>
            <w:pPr>
              <w:pStyle w:val="BDOITable"/>
            </w:pPr>
            <w:r>
              <w:rPr>
                <w:sz w:val="17"/>
              </w:rPr>
              <w:t>IQ22, DCR-211</w:t>
            </w:r>
          </w:p>
        </w:tc>
      </w:tr>
      <w:tr>
        <w:trPr>
          <w:cantSplit w:val="true"/>
        </w:trPr>
        <w:tc>
          <w:tcPr>
            <w:tcW w:type="dxa" w:w="505"/>
            <w:tcMar>
              <w:top w:w="50" w:type="dxa"/>
              <w:bottom w:w="50" w:type="dxa"/>
              <w:left w:w="90" w:type="dxa"/>
              <w:right w:w="90" w:type="dxa"/>
            </w:tcMar>
          </w:tcPr>
          <w:p>
            <w:pPr>
              <w:pStyle w:val="BDOITable"/>
            </w:pPr>
            <w:r>
              <w:rPr>
                <w:b/>
                <w:sz w:val="17"/>
              </w:rPr>
              <w:t>M3</w:t>
            </w:r>
          </w:p>
        </w:tc>
        <w:tc>
          <w:tcPr>
            <w:tcW w:type="dxa" w:w="4670"/>
            <w:tcMar>
              <w:top w:w="50" w:type="dxa"/>
              <w:bottom w:w="50" w:type="dxa"/>
              <w:left w:w="90" w:type="dxa"/>
              <w:right w:w="90" w:type="dxa"/>
            </w:tcMar>
          </w:tcPr>
          <w:p>
            <w:pPr>
              <w:pStyle w:val="BDOITable"/>
            </w:pPr>
            <w:r>
              <w:rPr>
                <w:b/>
                <w:sz w:val="17"/>
              </w:rPr>
              <w:t>"Marketing Collection (extraction)" in Drop 2.</w:t>
            </w:r>
            <w:r>
              <w:rPr>
                <w:sz w:val="17"/>
              </w:rPr>
              <w:t xml:space="preserve"> BRD-4 Collections is a BIBS module fed by the Operations ledger; no extraction is needed inside BIBS. The item may assume the legacy Collection Management System stays</w:t>
            </w:r>
          </w:p>
        </w:tc>
        <w:tc>
          <w:tcPr>
            <w:tcW w:type="dxa" w:w="3534"/>
            <w:tcMar>
              <w:top w:w="50" w:type="dxa"/>
              <w:bottom w:w="50" w:type="dxa"/>
              <w:left w:w="90" w:type="dxa"/>
              <w:right w:w="90" w:type="dxa"/>
            </w:tcMar>
          </w:tcPr>
          <w:p>
            <w:pPr>
              <w:pStyle w:val="BDOITable"/>
            </w:pPr>
            <w:r>
              <w:rPr>
                <w:sz w:val="17"/>
              </w:rPr>
              <w:t>BDOI confirms that BRD-4 in BIBS replaces the Collection Management System; the item then means the Collections daily files</w:t>
            </w:r>
          </w:p>
        </w:tc>
        <w:tc>
          <w:tcPr>
            <w:tcW w:type="dxa" w:w="1262"/>
            <w:tcMar>
              <w:top w:w="50" w:type="dxa"/>
              <w:bottom w:w="50" w:type="dxa"/>
              <w:left w:w="90" w:type="dxa"/>
              <w:right w:w="90" w:type="dxa"/>
            </w:tcMar>
          </w:tcPr>
          <w:p>
            <w:pPr>
              <w:pStyle w:val="BDOITable"/>
            </w:pPr>
            <w:r>
              <w:rPr>
                <w:sz w:val="17"/>
              </w:rPr>
              <w:t>IQ21, DCR-212</w:t>
            </w:r>
          </w:p>
        </w:tc>
      </w:tr>
      <w:tr>
        <w:trPr>
          <w:cantSplit w:val="true"/>
        </w:trPr>
        <w:tc>
          <w:tcPr>
            <w:tcW w:type="dxa" w:w="505"/>
            <w:tcMar>
              <w:top w:w="50" w:type="dxa"/>
              <w:bottom w:w="50" w:type="dxa"/>
              <w:left w:w="90" w:type="dxa"/>
              <w:right w:w="90" w:type="dxa"/>
            </w:tcMar>
            <w:shd w:val="clear" w:color="auto" w:fill="E5F5FF"/>
          </w:tcPr>
          <w:p>
            <w:pPr>
              <w:pStyle w:val="BDOITable"/>
            </w:pPr>
            <w:r>
              <w:rPr>
                <w:b/>
                <w:sz w:val="17"/>
              </w:rPr>
              <w:t>M4</w:t>
            </w:r>
          </w:p>
        </w:tc>
        <w:tc>
          <w:tcPr>
            <w:tcW w:type="dxa" w:w="4670"/>
            <w:tcMar>
              <w:top w:w="50" w:type="dxa"/>
              <w:bottom w:w="50" w:type="dxa"/>
              <w:left w:w="90" w:type="dxa"/>
              <w:right w:w="90" w:type="dxa"/>
            </w:tcMar>
            <w:shd w:val="clear" w:color="auto" w:fill="E5F5FF"/>
          </w:tcPr>
          <w:p>
            <w:pPr>
              <w:pStyle w:val="BDOITable"/>
            </w:pPr>
            <w:r>
              <w:rPr>
                <w:b/>
                <w:sz w:val="17"/>
              </w:rPr>
              <w:t>Claims and Production Reconciliation in Drop 2.</w:t>
            </w:r>
            <w:r>
              <w:rPr>
                <w:sz w:val="17"/>
              </w:rPr>
              <w:t xml:space="preserve"> Both are specified. No conflict: they are tested in SIT Drop 2 (Jul - Sep 2027); Production Reconciliation is a chapter of the BRD-2 FRS, which is otherwise in Drop 1</w:t>
            </w:r>
          </w:p>
        </w:tc>
        <w:tc>
          <w:tcPr>
            <w:tcW w:type="dxa" w:w="3534"/>
            <w:tcMar>
              <w:top w:w="50" w:type="dxa"/>
              <w:bottom w:w="50" w:type="dxa"/>
              <w:left w:w="90" w:type="dxa"/>
              <w:right w:w="90" w:type="dxa"/>
            </w:tcMar>
            <w:shd w:val="clear" w:color="auto" w:fill="E5F5FF"/>
          </w:tcPr>
          <w:p>
            <w:pPr>
              <w:pStyle w:val="BDOITable"/>
            </w:pPr>
            <w:r>
              <w:rPr>
                <w:sz w:val="17"/>
              </w:rPr>
              <w:t>Split the BRD-2 test plan by chapter</w:t>
            </w:r>
          </w:p>
        </w:tc>
        <w:tc>
          <w:tcPr>
            <w:tcW w:type="dxa" w:w="1262"/>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505"/>
            <w:tcMar>
              <w:top w:w="50" w:type="dxa"/>
              <w:bottom w:w="50" w:type="dxa"/>
              <w:left w:w="90" w:type="dxa"/>
              <w:right w:w="90" w:type="dxa"/>
            </w:tcMar>
          </w:tcPr>
          <w:p>
            <w:pPr>
              <w:pStyle w:val="BDOITable"/>
            </w:pPr>
            <w:r>
              <w:rPr>
                <w:b/>
                <w:sz w:val="17"/>
              </w:rPr>
              <w:t>M5</w:t>
            </w:r>
          </w:p>
        </w:tc>
        <w:tc>
          <w:tcPr>
            <w:tcW w:type="dxa" w:w="4670"/>
            <w:tcMar>
              <w:top w:w="50" w:type="dxa"/>
              <w:bottom w:w="50" w:type="dxa"/>
              <w:left w:w="90" w:type="dxa"/>
              <w:right w:w="90" w:type="dxa"/>
            </w:tcMar>
          </w:tcPr>
          <w:p>
            <w:pPr>
              <w:pStyle w:val="BDOITable"/>
            </w:pPr>
            <w:r>
              <w:rPr>
                <w:b/>
                <w:sz w:val="17"/>
              </w:rPr>
              <w:t>Data Management, Workflow, Accessibility &amp; Login (Drop 0) have no BRD.</w:t>
            </w:r>
            <w:r>
              <w:rPr>
                <w:sz w:val="17"/>
              </w:rPr>
              <w:t xml:space="preserve"> Data Management is umbrella capability CORE-17 (MIS fields and insurer management, proposed in FRS BRD-00); Workflow is platform; "Accessibility" can mean sign-in or WCAG accessibility</w:t>
            </w:r>
          </w:p>
        </w:tc>
        <w:tc>
          <w:tcPr>
            <w:tcW w:type="dxa" w:w="3534"/>
            <w:tcMar>
              <w:top w:w="50" w:type="dxa"/>
              <w:bottom w:w="50" w:type="dxa"/>
              <w:left w:w="90" w:type="dxa"/>
              <w:right w:w="90" w:type="dxa"/>
            </w:tcMar>
          </w:tcPr>
          <w:p>
            <w:pPr>
              <w:pStyle w:val="BDOITable"/>
            </w:pPr>
            <w:r>
              <w:rPr>
                <w:sz w:val="17"/>
              </w:rPr>
              <w:t>Use CORE-17, BRD-11 plus EIAM, and each BRD's workflows as the acceptance basis; the accessibility statement (deliverable 40) covers WCAG</w:t>
            </w:r>
          </w:p>
        </w:tc>
        <w:tc>
          <w:tcPr>
            <w:tcW w:type="dxa" w:w="1262"/>
            <w:tcMar>
              <w:top w:w="50" w:type="dxa"/>
              <w:bottom w:w="50" w:type="dxa"/>
              <w:left w:w="90" w:type="dxa"/>
              <w:right w:w="90" w:type="dxa"/>
            </w:tcMar>
          </w:tcPr>
          <w:p>
            <w:pPr>
              <w:pStyle w:val="BDOITable"/>
            </w:pPr>
            <w:r>
              <w:rPr>
                <w:sz w:val="17"/>
              </w:rPr>
              <w:t>IQ24, DCR-214</w:t>
            </w:r>
          </w:p>
        </w:tc>
      </w:tr>
      <w:tr>
        <w:trPr>
          <w:cantSplit w:val="true"/>
        </w:trPr>
        <w:tc>
          <w:tcPr>
            <w:tcW w:type="dxa" w:w="505"/>
            <w:tcMar>
              <w:top w:w="50" w:type="dxa"/>
              <w:bottom w:w="50" w:type="dxa"/>
              <w:left w:w="90" w:type="dxa"/>
              <w:right w:w="90" w:type="dxa"/>
            </w:tcMar>
            <w:shd w:val="clear" w:color="auto" w:fill="E5F5FF"/>
          </w:tcPr>
          <w:p>
            <w:pPr>
              <w:pStyle w:val="BDOITable"/>
            </w:pPr>
            <w:r>
              <w:rPr>
                <w:b/>
                <w:sz w:val="17"/>
              </w:rPr>
              <w:t>M6</w:t>
            </w:r>
          </w:p>
        </w:tc>
        <w:tc>
          <w:tcPr>
            <w:tcW w:type="dxa" w:w="4670"/>
            <w:tcMar>
              <w:top w:w="50" w:type="dxa"/>
              <w:bottom w:w="50" w:type="dxa"/>
              <w:left w:w="90" w:type="dxa"/>
              <w:right w:w="90" w:type="dxa"/>
            </w:tcMar>
            <w:shd w:val="clear" w:color="auto" w:fill="E5F5FF"/>
          </w:tcPr>
          <w:p>
            <w:pPr>
              <w:pStyle w:val="BDOITable"/>
            </w:pPr>
            <w:r>
              <w:rPr>
                <w:b/>
                <w:sz w:val="17"/>
              </w:rPr>
              <w:t>BRDs not on the slide.</w:t>
            </w:r>
            <w:r>
              <w:rPr>
                <w:sz w:val="17"/>
              </w:rPr>
              <w:t xml:space="preserve"> BRD-10 Sanction Screening and the CSF service-request functions are in no drop</w:t>
            </w:r>
          </w:p>
        </w:tc>
        <w:tc>
          <w:tcPr>
            <w:tcW w:type="dxa" w:w="3534"/>
            <w:tcMar>
              <w:top w:w="50" w:type="dxa"/>
              <w:bottom w:w="50" w:type="dxa"/>
              <w:left w:w="90" w:type="dxa"/>
              <w:right w:w="90" w:type="dxa"/>
            </w:tcMar>
            <w:shd w:val="clear" w:color="auto" w:fill="E5F5FF"/>
          </w:tcPr>
          <w:p>
            <w:pPr>
              <w:pStyle w:val="BDOITable"/>
            </w:pPr>
            <w:r>
              <w:rPr>
                <w:sz w:val="17"/>
              </w:rPr>
              <w:t>BRD-10 in Drop 1 with Client Onboarding; CSF service requests in Drop 2</w:t>
            </w:r>
          </w:p>
        </w:tc>
        <w:tc>
          <w:tcPr>
            <w:tcW w:type="dxa" w:w="1262"/>
            <w:tcMar>
              <w:top w:w="50" w:type="dxa"/>
              <w:bottom w:w="50" w:type="dxa"/>
              <w:left w:w="90" w:type="dxa"/>
              <w:right w:w="90" w:type="dxa"/>
            </w:tcMar>
            <w:shd w:val="clear" w:color="auto" w:fill="E5F5FF"/>
          </w:tcPr>
          <w:p>
            <w:pPr>
              <w:pStyle w:val="BDOITable"/>
            </w:pPr>
            <w:r>
              <w:rPr>
                <w:sz w:val="17"/>
              </w:rPr>
              <w:t>IQ23, DCR-213</w:t>
            </w:r>
          </w:p>
        </w:tc>
      </w:tr>
      <w:tr>
        <w:trPr>
          <w:cantSplit w:val="true"/>
        </w:trPr>
        <w:tc>
          <w:tcPr>
            <w:tcW w:type="dxa" w:w="505"/>
            <w:tcMar>
              <w:top w:w="50" w:type="dxa"/>
              <w:bottom w:w="50" w:type="dxa"/>
              <w:left w:w="90" w:type="dxa"/>
              <w:right w:w="90" w:type="dxa"/>
            </w:tcMar>
          </w:tcPr>
          <w:p>
            <w:pPr>
              <w:pStyle w:val="BDOITable"/>
            </w:pPr>
            <w:r>
              <w:rPr>
                <w:b/>
                <w:sz w:val="17"/>
              </w:rPr>
              <w:t>M7</w:t>
            </w:r>
          </w:p>
        </w:tc>
        <w:tc>
          <w:tcPr>
            <w:tcW w:type="dxa" w:w="4670"/>
            <w:tcMar>
              <w:top w:w="50" w:type="dxa"/>
              <w:bottom w:w="50" w:type="dxa"/>
              <w:left w:w="90" w:type="dxa"/>
              <w:right w:w="90" w:type="dxa"/>
            </w:tcMar>
          </w:tcPr>
          <w:p>
            <w:pPr>
              <w:pStyle w:val="BDOITable"/>
            </w:pPr>
            <w:r>
              <w:rPr>
                <w:b/>
                <w:sz w:val="17"/>
              </w:rPr>
              <w:t>Documents we do not have.</w:t>
            </w:r>
            <w:r>
              <w:rPr>
                <w:sz w:val="17"/>
              </w:rPr>
              <w:t xml:space="preserve"> "Operations BRD (Cashiering Addendum)" and "(Remittance Addendum)" are named on the slide; the BIBS pack has only Operations Addendum 1 (RMTID.002, ADJID.014)</w:t>
            </w:r>
          </w:p>
        </w:tc>
        <w:tc>
          <w:tcPr>
            <w:tcW w:type="dxa" w:w="3534"/>
            <w:tcMar>
              <w:top w:w="50" w:type="dxa"/>
              <w:bottom w:w="50" w:type="dxa"/>
              <w:left w:w="90" w:type="dxa"/>
              <w:right w:w="90" w:type="dxa"/>
            </w:tcMar>
          </w:tcPr>
          <w:p>
            <w:pPr>
              <w:pStyle w:val="BDOITable"/>
            </w:pPr>
            <w:r>
              <w:rPr>
                <w:sz w:val="17"/>
              </w:rPr>
              <w:t>BDOI supplies them</w:t>
            </w:r>
          </w:p>
        </w:tc>
        <w:tc>
          <w:tcPr>
            <w:tcW w:type="dxa" w:w="1262"/>
            <w:tcMar>
              <w:top w:w="50" w:type="dxa"/>
              <w:bottom w:w="50" w:type="dxa"/>
              <w:left w:w="90" w:type="dxa"/>
              <w:right w:w="90" w:type="dxa"/>
            </w:tcMar>
          </w:tcPr>
          <w:p>
            <w:pPr>
              <w:pStyle w:val="BDOITable"/>
            </w:pPr>
            <w:r>
              <w:rPr>
                <w:sz w:val="17"/>
              </w:rPr>
              <w:t>IQ20, DCR-215</w:t>
            </w:r>
          </w:p>
        </w:tc>
      </w:tr>
      <w:tr>
        <w:trPr>
          <w:cantSplit w:val="true"/>
        </w:trPr>
        <w:tc>
          <w:tcPr>
            <w:tcW w:type="dxa" w:w="505"/>
            <w:tcMar>
              <w:top w:w="50" w:type="dxa"/>
              <w:bottom w:w="50" w:type="dxa"/>
              <w:left w:w="90" w:type="dxa"/>
              <w:right w:w="90" w:type="dxa"/>
            </w:tcMar>
            <w:shd w:val="clear" w:color="auto" w:fill="E5F5FF"/>
          </w:tcPr>
          <w:p>
            <w:pPr>
              <w:pStyle w:val="BDOITable"/>
            </w:pPr>
            <w:r>
              <w:rPr>
                <w:b/>
                <w:sz w:val="17"/>
              </w:rPr>
              <w:t>M8</w:t>
            </w:r>
          </w:p>
        </w:tc>
        <w:tc>
          <w:tcPr>
            <w:tcW w:type="dxa" w:w="4670"/>
            <w:tcMar>
              <w:top w:w="50" w:type="dxa"/>
              <w:bottom w:w="50" w:type="dxa"/>
              <w:left w:w="90" w:type="dxa"/>
              <w:right w:w="90" w:type="dxa"/>
            </w:tcMar>
            <w:shd w:val="clear" w:color="auto" w:fill="E5F5FF"/>
          </w:tcPr>
          <w:p>
            <w:pPr>
              <w:pStyle w:val="BDOITable"/>
            </w:pPr>
            <w:r>
              <w:rPr>
                <w:b/>
                <w:sz w:val="17"/>
              </w:rPr>
              <w:t>EB in Drop 1.</w:t>
            </w:r>
            <w:r>
              <w:rPr>
                <w:sz w:val="17"/>
              </w:rPr>
              <w:t xml:space="preserve"> Placement &amp; ePolicy and Reports (upstream) name Employee Benefits, while the EB module is Drop 2</w:t>
            </w:r>
          </w:p>
        </w:tc>
        <w:tc>
          <w:tcPr>
            <w:tcW w:type="dxa" w:w="3534"/>
            <w:tcMar>
              <w:top w:w="50" w:type="dxa"/>
              <w:bottom w:w="50" w:type="dxa"/>
              <w:left w:w="90" w:type="dxa"/>
              <w:right w:w="90" w:type="dxa"/>
            </w:tcMar>
            <w:shd w:val="clear" w:color="auto" w:fill="E5F5FF"/>
          </w:tcPr>
          <w:p>
            <w:pPr>
              <w:pStyle w:val="BDOITable"/>
            </w:pPr>
            <w:r>
              <w:rPr>
                <w:sz w:val="17"/>
              </w:rPr>
              <w:t>EB programmes are placed through the NB placement screens in Drop 1; EB servicing in Drop 2</w:t>
            </w:r>
          </w:p>
        </w:tc>
        <w:tc>
          <w:tcPr>
            <w:tcW w:type="dxa" w:w="1262"/>
            <w:tcMar>
              <w:top w:w="50" w:type="dxa"/>
              <w:bottom w:w="50" w:type="dxa"/>
              <w:left w:w="90" w:type="dxa"/>
              <w:right w:w="90" w:type="dxa"/>
            </w:tcMar>
            <w:shd w:val="clear" w:color="auto" w:fill="E5F5FF"/>
          </w:tcPr>
          <w:p>
            <w:pPr>
              <w:pStyle w:val="BDOITable"/>
            </w:pPr>
            <w:r>
              <w:rPr>
                <w:sz w:val="17"/>
              </w:rPr>
              <w:t>IQ22, DCR-235</w:t>
            </w:r>
          </w:p>
        </w:tc>
      </w:tr>
      <w:tr>
        <w:trPr>
          <w:cantSplit w:val="true"/>
        </w:trPr>
        <w:tc>
          <w:tcPr>
            <w:tcW w:type="dxa" w:w="505"/>
            <w:tcMar>
              <w:top w:w="50" w:type="dxa"/>
              <w:bottom w:w="50" w:type="dxa"/>
              <w:left w:w="90" w:type="dxa"/>
              <w:right w:w="90" w:type="dxa"/>
            </w:tcMar>
          </w:tcPr>
          <w:p>
            <w:pPr>
              <w:pStyle w:val="BDOITable"/>
            </w:pPr>
            <w:r>
              <w:rPr>
                <w:b/>
                <w:sz w:val="17"/>
              </w:rPr>
              <w:t>M9</w:t>
            </w:r>
          </w:p>
        </w:tc>
        <w:tc>
          <w:tcPr>
            <w:tcW w:type="dxa" w:w="4670"/>
            <w:tcMar>
              <w:top w:w="50" w:type="dxa"/>
              <w:bottom w:w="50" w:type="dxa"/>
              <w:left w:w="90" w:type="dxa"/>
              <w:right w:w="90" w:type="dxa"/>
            </w:tcMar>
          </w:tcPr>
          <w:p>
            <w:pPr>
              <w:pStyle w:val="BDOITable"/>
            </w:pPr>
            <w:r>
              <w:rPr>
                <w:b/>
                <w:sz w:val="17"/>
              </w:rPr>
              <w:t>One system in two drops.</w:t>
            </w:r>
            <w:r>
              <w:rPr>
                <w:sz w:val="17"/>
              </w:rPr>
              <w:t xml:space="preserve"> HLS (Drop 0) and LOAS (Drop 2) are HL-LOAS</w:t>
            </w:r>
          </w:p>
        </w:tc>
        <w:tc>
          <w:tcPr>
            <w:tcW w:type="dxa" w:w="3534"/>
            <w:tcMar>
              <w:top w:w="50" w:type="dxa"/>
              <w:bottom w:w="50" w:type="dxa"/>
              <w:left w:w="90" w:type="dxa"/>
              <w:right w:w="90" w:type="dxa"/>
            </w:tcMar>
          </w:tcPr>
          <w:p>
            <w:pPr>
              <w:pStyle w:val="BDOITable"/>
            </w:pPr>
            <w:r>
              <w:rPr>
                <w:sz w:val="17"/>
              </w:rPr>
              <w:t>One interface specification, delivered in Drop 0</w:t>
            </w:r>
          </w:p>
        </w:tc>
        <w:tc>
          <w:tcPr>
            <w:tcW w:type="dxa" w:w="1262"/>
            <w:tcMar>
              <w:top w:w="50" w:type="dxa"/>
              <w:bottom w:w="50" w:type="dxa"/>
              <w:left w:w="90" w:type="dxa"/>
              <w:right w:w="90" w:type="dxa"/>
            </w:tcMar>
          </w:tcPr>
          <w:p>
            <w:pPr>
              <w:pStyle w:val="BDOITable"/>
            </w:pPr>
            <w:r>
              <w:rPr>
                <w:sz w:val="17"/>
              </w:rPr>
              <w:t>IQ07, DCR-216</w:t>
            </w:r>
          </w:p>
        </w:tc>
      </w:tr>
      <w:tr>
        <w:trPr>
          <w:cantSplit w:val="true"/>
        </w:trPr>
        <w:tc>
          <w:tcPr>
            <w:tcW w:type="dxa" w:w="505"/>
            <w:tcMar>
              <w:top w:w="50" w:type="dxa"/>
              <w:bottom w:w="50" w:type="dxa"/>
              <w:left w:w="90" w:type="dxa"/>
              <w:right w:w="90" w:type="dxa"/>
            </w:tcMar>
            <w:shd w:val="clear" w:color="auto" w:fill="E5F5FF"/>
          </w:tcPr>
          <w:p>
            <w:pPr>
              <w:pStyle w:val="BDOITable"/>
            </w:pPr>
            <w:r>
              <w:rPr>
                <w:b/>
                <w:sz w:val="17"/>
              </w:rPr>
              <w:t>M10</w:t>
            </w:r>
          </w:p>
        </w:tc>
        <w:tc>
          <w:tcPr>
            <w:tcW w:type="dxa" w:w="4670"/>
            <w:tcMar>
              <w:top w:w="50" w:type="dxa"/>
              <w:bottom w:w="50" w:type="dxa"/>
              <w:left w:w="90" w:type="dxa"/>
              <w:right w:w="90" w:type="dxa"/>
            </w:tcMar>
            <w:shd w:val="clear" w:color="auto" w:fill="E5F5FF"/>
          </w:tcPr>
          <w:p>
            <w:pPr>
              <w:pStyle w:val="BDOITable"/>
            </w:pPr>
            <w:r>
              <w:rPr>
                <w:b/>
                <w:sz w:val="17"/>
              </w:rPr>
              <w:t>CMS means two things.</w:t>
            </w:r>
            <w:r>
              <w:rPr>
                <w:sz w:val="17"/>
              </w:rPr>
              <w:t xml:space="preserve"> In the BIBS documents CMS is the Collection Management System (BRD-4); on the slide it is the Cash Management System (outward payments)</w:t>
            </w:r>
          </w:p>
        </w:tc>
        <w:tc>
          <w:tcPr>
            <w:tcW w:type="dxa" w:w="3534"/>
            <w:tcMar>
              <w:top w:w="50" w:type="dxa"/>
              <w:bottom w:w="50" w:type="dxa"/>
              <w:left w:w="90" w:type="dxa"/>
              <w:right w:w="90" w:type="dxa"/>
            </w:tcMar>
            <w:shd w:val="clear" w:color="auto" w:fill="E5F5FF"/>
          </w:tcPr>
          <w:p>
            <w:pPr>
              <w:pStyle w:val="BDOITable"/>
            </w:pPr>
            <w:r>
              <w:rPr>
                <w:sz w:val="17"/>
              </w:rPr>
              <w:t>Use "CMS / New BOB" for the bank channel and "Collection Management System" in full</w:t>
            </w:r>
          </w:p>
        </w:tc>
        <w:tc>
          <w:tcPr>
            <w:tcW w:type="dxa" w:w="1262"/>
            <w:tcMar>
              <w:top w:w="50" w:type="dxa"/>
              <w:bottom w:w="50" w:type="dxa"/>
              <w:left w:w="90" w:type="dxa"/>
              <w:right w:w="90" w:type="dxa"/>
            </w:tcMar>
            <w:shd w:val="clear" w:color="auto" w:fill="E5F5FF"/>
          </w:tcPr>
          <w:p>
            <w:pPr>
              <w:pStyle w:val="BDOITable"/>
            </w:pPr>
            <w:r>
              <w:rPr>
                <w:sz w:val="17"/>
              </w:rPr>
              <w:t>DCR-221</w:t>
            </w:r>
          </w:p>
        </w:tc>
      </w:tr>
    </w:tbl>
    <w:p>
      <w:pPr>
        <w:pStyle w:val="BDOISpacer"/>
      </w:pPr>
    </w:p>
    <w:p>
      <w:pPr>
        <w:pStyle w:val="Heading2"/>
      </w:pPr>
      <w:bookmarkStart w:id="110" w:name="_Toc000110"/>
      <w:r>
        <w:rPr/>
        <w:t>2.4 Drop-to-document map</w:t>
      </w:r>
      <w:bookmarkEnd w:id="110"/>
    </w:p>
    <w:p>
      <w:r>
        <w:rPr/>
        <w:t>BDOI groups the BRDs, FRS, test plans and collaterals under the drops (A5). The folder restructure follows the column "Drop (folder)"; documents used by more than one drop stay in one folder and are cross-referenced. Programme documents sit in a Programme folder.</w:t>
      </w:r>
    </w:p>
    <w:p>
      <w:pPr>
        <w:pStyle w:val="Caption"/>
        <w:keepNext/>
        <w:spacing w:after="60"/>
      </w:pPr>
      <w:r>
        <w:rPr>
          <w:b/>
          <w:i w:val="0"/>
        </w:rPr>
        <w:t xml:space="preserve">Table 8: </w:t>
      </w:r>
      <w:r>
        <w:rPr/>
        <w:t>Drop-to-document map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2039"/>
        <w:gridCol w:w="1246"/>
        <w:gridCol w:w="2266"/>
        <w:gridCol w:w="2039"/>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6"/>
              </w:rPr>
              <w:t>Kind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Drop (folder)</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6"/>
              </w:rPr>
              <w:t>Shared with</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6"/>
              </w:rPr>
              <w:t>Note</w:t>
            </w:r>
          </w:p>
        </w:tc>
      </w:tr>
      <w:tr>
        <w:trPr>
          <w:cantSplit w:val="true"/>
        </w:trPr>
        <w:tc>
          <w:tcPr>
            <w:tcW w:type="dxa" w:w="2380"/>
            <w:tcMar>
              <w:top w:w="50" w:type="dxa"/>
              <w:bottom w:w="50" w:type="dxa"/>
              <w:left w:w="90" w:type="dxa"/>
              <w:right w:w="90" w:type="dxa"/>
            </w:tcMar>
          </w:tcPr>
          <w:p>
            <w:pPr>
              <w:pStyle w:val="BDOITable"/>
            </w:pPr>
            <w:r>
              <w:rPr>
                <w:b/>
                <w:sz w:val="16"/>
              </w:rPr>
              <w:t>BRD-00 Core Replacement (umbrella)</w:t>
            </w:r>
          </w:p>
        </w:tc>
        <w:tc>
          <w:tcPr>
            <w:tcW w:type="dxa" w:w="2040"/>
            <w:tcMar>
              <w:top w:w="50" w:type="dxa"/>
              <w:bottom w:w="50" w:type="dxa"/>
              <w:left w:w="90" w:type="dxa"/>
              <w:right w:w="90" w:type="dxa"/>
            </w:tcMar>
          </w:tcPr>
          <w:p>
            <w:pPr>
              <w:pStyle w:val="BDOITable"/>
            </w:pPr>
            <w:r>
              <w:rPr>
                <w:sz w:val="16"/>
              </w:rPr>
              <w:t>FRS, spec</w:t>
            </w:r>
          </w:p>
        </w:tc>
        <w:tc>
          <w:tcPr>
            <w:tcW w:type="dxa" w:w="1246"/>
            <w:tcMar>
              <w:top w:w="50" w:type="dxa"/>
              <w:bottom w:w="50" w:type="dxa"/>
              <w:left w:w="90" w:type="dxa"/>
              <w:right w:w="90" w:type="dxa"/>
            </w:tcMar>
          </w:tcPr>
          <w:p>
            <w:pPr>
              <w:pStyle w:val="BDOITable"/>
            </w:pPr>
            <w:r>
              <w:rPr>
                <w:sz w:val="16"/>
              </w:rPr>
              <w:t>Programme</w:t>
            </w:r>
          </w:p>
        </w:tc>
        <w:tc>
          <w:tcPr>
            <w:tcW w:type="dxa" w:w="2266"/>
            <w:tcMar>
              <w:top w:w="50" w:type="dxa"/>
              <w:bottom w:w="50" w:type="dxa"/>
              <w:left w:w="90" w:type="dxa"/>
              <w:right w:w="90" w:type="dxa"/>
            </w:tcMar>
          </w:tcPr>
          <w:p>
            <w:pPr>
              <w:pStyle w:val="BDOITable"/>
            </w:pPr>
            <w:r>
              <w:rPr>
                <w:sz w:val="16"/>
              </w:rPr>
              <w:t>All drops (cross-cutting FR-CR, NFRs)</w:t>
            </w:r>
          </w:p>
        </w:tc>
        <w:tc>
          <w:tcPr>
            <w:tcW w:type="dxa" w:w="2040"/>
            <w:tcMar>
              <w:top w:w="50" w:type="dxa"/>
              <w:bottom w:w="50" w:type="dxa"/>
              <w:left w:w="90" w:type="dxa"/>
              <w:right w:w="90" w:type="dxa"/>
            </w:tcMar>
          </w:tcPr>
          <w:p>
            <w:pPr>
              <w:pStyle w:val="BDOITable"/>
            </w:pPr>
            <w:r>
              <w:rPr>
                <w:sz w:val="16"/>
              </w:rPr>
              <w:t>Stays at programme level</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BRD-11 User Access Maintenance</w:t>
            </w:r>
          </w:p>
        </w:tc>
        <w:tc>
          <w:tcPr>
            <w:tcW w:type="dxa" w:w="2040"/>
            <w:tcMar>
              <w:top w:w="50" w:type="dxa"/>
              <w:bottom w:w="50" w:type="dxa"/>
              <w:left w:w="90" w:type="dxa"/>
              <w:right w:w="90" w:type="dxa"/>
            </w:tcMar>
            <w:shd w:val="clear" w:color="auto" w:fill="E5F5FF"/>
          </w:tcPr>
          <w:p>
            <w:pPr>
              <w:pStyle w:val="BDOITable"/>
            </w:pPr>
            <w:r>
              <w:rPr>
                <w:sz w:val="16"/>
              </w:rPr>
              <w:t>FRS, test plan</w:t>
            </w:r>
          </w:p>
        </w:tc>
        <w:tc>
          <w:tcPr>
            <w:tcW w:type="dxa" w:w="1246"/>
            <w:tcMar>
              <w:top w:w="50" w:type="dxa"/>
              <w:bottom w:w="50" w:type="dxa"/>
              <w:left w:w="90" w:type="dxa"/>
              <w:right w:w="90" w:type="dxa"/>
            </w:tcMar>
            <w:shd w:val="clear" w:color="auto" w:fill="E5F5FF"/>
          </w:tcPr>
          <w:p>
            <w:pPr>
              <w:pStyle w:val="BDOITable"/>
            </w:pPr>
            <w:r>
              <w:rPr>
                <w:sz w:val="16"/>
              </w:rPr>
              <w:t>Drop 0</w:t>
            </w:r>
          </w:p>
        </w:tc>
        <w:tc>
          <w:tcPr>
            <w:tcW w:type="dxa" w:w="2266"/>
            <w:tcMar>
              <w:top w:w="50" w:type="dxa"/>
              <w:bottom w:w="50" w:type="dxa"/>
              <w:left w:w="90" w:type="dxa"/>
              <w:right w:w="90" w:type="dxa"/>
            </w:tcMar>
            <w:shd w:val="clear" w:color="auto" w:fill="E5F5FF"/>
          </w:tcPr>
          <w:p>
            <w:pPr>
              <w:pStyle w:val="BDOITable"/>
            </w:pPr>
            <w:r>
              <w:rPr>
                <w:sz w:val="16"/>
              </w:rPr>
              <w:t>-</w:t>
            </w:r>
          </w:p>
        </w:tc>
        <w:tc>
          <w:tcPr>
            <w:tcW w:type="dxa" w:w="2040"/>
            <w:tcMar>
              <w:top w:w="50" w:type="dxa"/>
              <w:bottom w:w="50" w:type="dxa"/>
              <w:left w:w="90" w:type="dxa"/>
              <w:right w:w="90" w:type="dxa"/>
            </w:tcMar>
            <w:shd w:val="clear" w:color="auto" w:fill="E5F5FF"/>
          </w:tcPr>
          <w:p>
            <w:pPr>
              <w:pStyle w:val="BDOITable"/>
            </w:pPr>
            <w:r>
              <w:rPr>
                <w:sz w:val="16"/>
              </w:rPr>
              <w:t>Items 0.1-0.3; EIAM and UIDM-ISC change it</w:t>
            </w:r>
          </w:p>
        </w:tc>
      </w:tr>
      <w:tr>
        <w:trPr>
          <w:cantSplit w:val="true"/>
        </w:trPr>
        <w:tc>
          <w:tcPr>
            <w:tcW w:type="dxa" w:w="2380"/>
            <w:tcMar>
              <w:top w:w="50" w:type="dxa"/>
              <w:bottom w:w="50" w:type="dxa"/>
              <w:left w:w="90" w:type="dxa"/>
              <w:right w:w="90" w:type="dxa"/>
            </w:tcMar>
          </w:tcPr>
          <w:p>
            <w:pPr>
              <w:pStyle w:val="BDOITable"/>
            </w:pPr>
            <w:r>
              <w:rPr>
                <w:b/>
                <w:sz w:val="16"/>
              </w:rPr>
              <w:t>BRD-3 Product Maintenance</w:t>
            </w:r>
          </w:p>
        </w:tc>
        <w:tc>
          <w:tcPr>
            <w:tcW w:type="dxa" w:w="2040"/>
            <w:tcMar>
              <w:top w:w="50" w:type="dxa"/>
              <w:bottom w:w="50" w:type="dxa"/>
              <w:left w:w="90" w:type="dxa"/>
              <w:right w:w="90" w:type="dxa"/>
            </w:tcMar>
          </w:tcPr>
          <w:p>
            <w:pPr>
              <w:pStyle w:val="BDOITable"/>
            </w:pPr>
            <w:r>
              <w:rPr>
                <w:sz w:val="16"/>
              </w:rPr>
              <w:t>FRS, test plan</w:t>
            </w:r>
          </w:p>
        </w:tc>
        <w:tc>
          <w:tcPr>
            <w:tcW w:type="dxa" w:w="1246"/>
            <w:tcMar>
              <w:top w:w="50" w:type="dxa"/>
              <w:bottom w:w="50" w:type="dxa"/>
              <w:left w:w="90" w:type="dxa"/>
              <w:right w:w="90" w:type="dxa"/>
            </w:tcMar>
          </w:tcPr>
          <w:p>
            <w:pPr>
              <w:pStyle w:val="BDOITable"/>
            </w:pPr>
            <w:r>
              <w:rPr>
                <w:sz w:val="16"/>
              </w:rPr>
              <w:t>Drop 0</w:t>
            </w:r>
          </w:p>
        </w:tc>
        <w:tc>
          <w:tcPr>
            <w:tcW w:type="dxa" w:w="2266"/>
            <w:tcMar>
              <w:top w:w="50" w:type="dxa"/>
              <w:bottom w:w="50" w:type="dxa"/>
              <w:left w:w="90" w:type="dxa"/>
              <w:right w:w="90" w:type="dxa"/>
            </w:tcMar>
          </w:tcPr>
          <w:p>
            <w:pPr>
              <w:pStyle w:val="BDOITable"/>
            </w:pPr>
            <w:r>
              <w:rPr>
                <w:sz w:val="16"/>
              </w:rPr>
              <w:t>Drop 1 (quotation, 1.U2)</w:t>
            </w:r>
          </w:p>
        </w:tc>
        <w:tc>
          <w:tcPr>
            <w:tcW w:type="dxa" w:w="2040"/>
            <w:tcMar>
              <w:top w:w="50" w:type="dxa"/>
              <w:bottom w:w="50" w:type="dxa"/>
              <w:left w:w="90" w:type="dxa"/>
              <w:right w:w="90" w:type="dxa"/>
            </w:tcMar>
          </w:tcPr>
          <w:p>
            <w:pPr>
              <w:pStyle w:val="BDOITable"/>
            </w:pPr>
            <w:r>
              <w:rPr>
                <w:sz w:val="16"/>
              </w:rPr>
              <w:t>Item 0.6</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BRD-13 Data Migration</w:t>
            </w:r>
          </w:p>
        </w:tc>
        <w:tc>
          <w:tcPr>
            <w:tcW w:type="dxa" w:w="2040"/>
            <w:tcMar>
              <w:top w:w="50" w:type="dxa"/>
              <w:bottom w:w="50" w:type="dxa"/>
              <w:left w:w="90" w:type="dxa"/>
              <w:right w:w="90" w:type="dxa"/>
            </w:tcMar>
            <w:shd w:val="clear" w:color="auto" w:fill="E5F5FF"/>
          </w:tcPr>
          <w:p>
            <w:pPr>
              <w:pStyle w:val="BDOITable"/>
            </w:pPr>
            <w:r>
              <w:rPr>
                <w:sz w:val="16"/>
              </w:rPr>
              <w:t>FRS, test plan, migration pack (strategy, workbook, runbook, reconciliation, templates)</w:t>
            </w:r>
          </w:p>
        </w:tc>
        <w:tc>
          <w:tcPr>
            <w:tcW w:type="dxa" w:w="1246"/>
            <w:tcMar>
              <w:top w:w="50" w:type="dxa"/>
              <w:bottom w:w="50" w:type="dxa"/>
              <w:left w:w="90" w:type="dxa"/>
              <w:right w:w="90" w:type="dxa"/>
            </w:tcMar>
            <w:shd w:val="clear" w:color="auto" w:fill="E5F5FF"/>
          </w:tcPr>
          <w:p>
            <w:pPr>
              <w:pStyle w:val="BDOITable"/>
            </w:pPr>
            <w:r>
              <w:rPr>
                <w:sz w:val="16"/>
              </w:rPr>
              <w:t>Drop 0</w:t>
            </w:r>
          </w:p>
        </w:tc>
        <w:tc>
          <w:tcPr>
            <w:tcW w:type="dxa" w:w="2266"/>
            <w:tcMar>
              <w:top w:w="50" w:type="dxa"/>
              <w:bottom w:w="50" w:type="dxa"/>
              <w:left w:w="90" w:type="dxa"/>
              <w:right w:w="90" w:type="dxa"/>
            </w:tcMar>
            <w:shd w:val="clear" w:color="auto" w:fill="E5F5FF"/>
          </w:tcPr>
          <w:p>
            <w:pPr>
              <w:pStyle w:val="BDOITable"/>
            </w:pPr>
            <w:r>
              <w:rPr>
                <w:sz w:val="16"/>
              </w:rPr>
              <w:t>Drop 1 (client onboarding, cashiering, BIR reports) and the migration stream</w:t>
            </w:r>
          </w:p>
        </w:tc>
        <w:tc>
          <w:tcPr>
            <w:tcW w:type="dxa" w:w="2040"/>
            <w:tcMar>
              <w:top w:w="50" w:type="dxa"/>
              <w:bottom w:w="50" w:type="dxa"/>
              <w:left w:w="90" w:type="dxa"/>
              <w:right w:w="90" w:type="dxa"/>
            </w:tcMar>
            <w:shd w:val="clear" w:color="auto" w:fill="E5F5FF"/>
          </w:tcPr>
          <w:p>
            <w:pPr>
              <w:pStyle w:val="BDOITable"/>
            </w:pPr>
            <w:r>
              <w:rPr>
                <w:sz w:val="16"/>
              </w:rPr>
              <w:t>Migration has its own timeline row</w:t>
            </w:r>
          </w:p>
        </w:tc>
      </w:tr>
      <w:tr>
        <w:trPr>
          <w:cantSplit w:val="true"/>
        </w:trPr>
        <w:tc>
          <w:tcPr>
            <w:tcW w:type="dxa" w:w="2380"/>
            <w:tcMar>
              <w:top w:w="50" w:type="dxa"/>
              <w:bottom w:w="50" w:type="dxa"/>
              <w:left w:w="90" w:type="dxa"/>
              <w:right w:w="90" w:type="dxa"/>
            </w:tcMar>
          </w:tcPr>
          <w:p>
            <w:pPr>
              <w:pStyle w:val="BDOITable"/>
            </w:pPr>
            <w:r>
              <w:rPr>
                <w:b/>
                <w:sz w:val="16"/>
              </w:rPr>
              <w:t>BRD-1 New Business</w:t>
            </w:r>
          </w:p>
        </w:tc>
        <w:tc>
          <w:tcPr>
            <w:tcW w:type="dxa" w:w="2040"/>
            <w:tcMar>
              <w:top w:w="50" w:type="dxa"/>
              <w:bottom w:w="50" w:type="dxa"/>
              <w:left w:w="90" w:type="dxa"/>
              <w:right w:w="90" w:type="dxa"/>
            </w:tcMar>
          </w:tcPr>
          <w:p>
            <w:pPr>
              <w:pStyle w:val="BDOITable"/>
            </w:pPr>
            <w:r>
              <w:rPr>
                <w:sz w:val="16"/>
              </w:rPr>
              <w:t>FRS, test plan</w:t>
            </w:r>
          </w:p>
        </w:tc>
        <w:tc>
          <w:tcPr>
            <w:tcW w:type="dxa" w:w="1246"/>
            <w:tcMar>
              <w:top w:w="50" w:type="dxa"/>
              <w:bottom w:w="50" w:type="dxa"/>
              <w:left w:w="90" w:type="dxa"/>
              <w:right w:w="90" w:type="dxa"/>
            </w:tcMar>
          </w:tcPr>
          <w:p>
            <w:pPr>
              <w:pStyle w:val="BDOITable"/>
            </w:pPr>
            <w:r>
              <w:rPr>
                <w:sz w:val="16"/>
              </w:rPr>
              <w:t>Drop 1</w:t>
            </w:r>
          </w:p>
        </w:tc>
        <w:tc>
          <w:tcPr>
            <w:tcW w:type="dxa" w:w="2266"/>
            <w:tcMar>
              <w:top w:w="50" w:type="dxa"/>
              <w:bottom w:w="50" w:type="dxa"/>
              <w:left w:w="90" w:type="dxa"/>
              <w:right w:w="90" w:type="dxa"/>
            </w:tcMar>
          </w:tcPr>
          <w:p>
            <w:pPr>
              <w:pStyle w:val="BDOITable"/>
            </w:pPr>
            <w:r>
              <w:rPr>
                <w:sz w:val="16"/>
              </w:rPr>
              <w:t>-</w:t>
            </w:r>
          </w:p>
        </w:tc>
        <w:tc>
          <w:tcPr>
            <w:tcW w:type="dxa" w:w="2040"/>
            <w:tcMar>
              <w:top w:w="50" w:type="dxa"/>
              <w:bottom w:w="50" w:type="dxa"/>
              <w:left w:w="90" w:type="dxa"/>
              <w:right w:w="90" w:type="dxa"/>
            </w:tcMar>
          </w:tcPr>
          <w:p>
            <w:pPr>
              <w:pStyle w:val="BDOITable"/>
            </w:pPr>
            <w:r>
              <w:rPr>
                <w:sz w:val="16"/>
              </w:rPr>
              <w:t>Upstream items 1.U1-1.U3, 1.U6, 1.U7, 1.U9</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BRD-6 Renewal</w:t>
            </w:r>
          </w:p>
        </w:tc>
        <w:tc>
          <w:tcPr>
            <w:tcW w:type="dxa" w:w="2040"/>
            <w:tcMar>
              <w:top w:w="50" w:type="dxa"/>
              <w:bottom w:w="50" w:type="dxa"/>
              <w:left w:w="90" w:type="dxa"/>
              <w:right w:w="90" w:type="dxa"/>
            </w:tcMar>
            <w:shd w:val="clear" w:color="auto" w:fill="E5F5FF"/>
          </w:tcPr>
          <w:p>
            <w:pPr>
              <w:pStyle w:val="BDOITable"/>
            </w:pPr>
            <w:r>
              <w:rPr>
                <w:sz w:val="16"/>
              </w:rPr>
              <w:t>FRS, test plan</w:t>
            </w:r>
          </w:p>
        </w:tc>
        <w:tc>
          <w:tcPr>
            <w:tcW w:type="dxa" w:w="1246"/>
            <w:tcMar>
              <w:top w:w="50" w:type="dxa"/>
              <w:bottom w:w="50" w:type="dxa"/>
              <w:left w:w="90" w:type="dxa"/>
              <w:right w:w="90" w:type="dxa"/>
            </w:tcMar>
            <w:shd w:val="clear" w:color="auto" w:fill="E5F5FF"/>
          </w:tcPr>
          <w:p>
            <w:pPr>
              <w:pStyle w:val="BDOITable"/>
            </w:pPr>
            <w:r>
              <w:rPr>
                <w:sz w:val="16"/>
              </w:rPr>
              <w:t>Drop 1</w:t>
            </w:r>
          </w:p>
        </w:tc>
        <w:tc>
          <w:tcPr>
            <w:tcW w:type="dxa" w:w="2266"/>
            <w:tcMar>
              <w:top w:w="50" w:type="dxa"/>
              <w:bottom w:w="50" w:type="dxa"/>
              <w:left w:w="90" w:type="dxa"/>
              <w:right w:w="90" w:type="dxa"/>
            </w:tcMar>
            <w:shd w:val="clear" w:color="auto" w:fill="E5F5FF"/>
          </w:tcPr>
          <w:p>
            <w:pPr>
              <w:pStyle w:val="BDOITable"/>
            </w:pPr>
            <w:r>
              <w:rPr>
                <w:sz w:val="16"/>
              </w:rPr>
              <w:t>-</w:t>
            </w:r>
          </w:p>
        </w:tc>
        <w:tc>
          <w:tcPr>
            <w:tcW w:type="dxa" w:w="2040"/>
            <w:tcMar>
              <w:top w:w="50" w:type="dxa"/>
              <w:bottom w:w="50" w:type="dxa"/>
              <w:left w:w="90" w:type="dxa"/>
              <w:right w:w="90" w:type="dxa"/>
            </w:tcMar>
            <w:shd w:val="clear" w:color="auto" w:fill="E5F5FF"/>
          </w:tcPr>
          <w:p>
            <w:pPr>
              <w:pStyle w:val="BDOITable"/>
            </w:pPr>
            <w:r>
              <w:rPr>
                <w:sz w:val="16"/>
              </w:rPr>
              <w:t>Upstream 1.U5</w:t>
            </w:r>
          </w:p>
        </w:tc>
      </w:tr>
      <w:tr>
        <w:trPr>
          <w:cantSplit w:val="true"/>
        </w:trPr>
        <w:tc>
          <w:tcPr>
            <w:tcW w:type="dxa" w:w="2380"/>
            <w:tcMar>
              <w:top w:w="50" w:type="dxa"/>
              <w:bottom w:w="50" w:type="dxa"/>
              <w:left w:w="90" w:type="dxa"/>
              <w:right w:w="90" w:type="dxa"/>
            </w:tcMar>
          </w:tcPr>
          <w:p>
            <w:pPr>
              <w:pStyle w:val="BDOITable"/>
            </w:pPr>
            <w:r>
              <w:rPr>
                <w:b/>
                <w:sz w:val="16"/>
              </w:rPr>
              <w:t>BRD-12 Submitted Policies</w:t>
            </w:r>
          </w:p>
        </w:tc>
        <w:tc>
          <w:tcPr>
            <w:tcW w:type="dxa" w:w="2040"/>
            <w:tcMar>
              <w:top w:w="50" w:type="dxa"/>
              <w:bottom w:w="50" w:type="dxa"/>
              <w:left w:w="90" w:type="dxa"/>
              <w:right w:w="90" w:type="dxa"/>
            </w:tcMar>
          </w:tcPr>
          <w:p>
            <w:pPr>
              <w:pStyle w:val="BDOITable"/>
            </w:pPr>
            <w:r>
              <w:rPr>
                <w:sz w:val="16"/>
              </w:rPr>
              <w:t>FRS, test plan</w:t>
            </w:r>
          </w:p>
        </w:tc>
        <w:tc>
          <w:tcPr>
            <w:tcW w:type="dxa" w:w="1246"/>
            <w:tcMar>
              <w:top w:w="50" w:type="dxa"/>
              <w:bottom w:w="50" w:type="dxa"/>
              <w:left w:w="90" w:type="dxa"/>
              <w:right w:w="90" w:type="dxa"/>
            </w:tcMar>
          </w:tcPr>
          <w:p>
            <w:pPr>
              <w:pStyle w:val="BDOITable"/>
            </w:pPr>
            <w:r>
              <w:rPr>
                <w:sz w:val="16"/>
              </w:rPr>
              <w:t>Drop 1</w:t>
            </w:r>
          </w:p>
        </w:tc>
        <w:tc>
          <w:tcPr>
            <w:tcW w:type="dxa" w:w="2266"/>
            <w:tcMar>
              <w:top w:w="50" w:type="dxa"/>
              <w:bottom w:w="50" w:type="dxa"/>
              <w:left w:w="90" w:type="dxa"/>
              <w:right w:w="90" w:type="dxa"/>
            </w:tcMar>
          </w:tcPr>
          <w:p>
            <w:pPr>
              <w:pStyle w:val="BDOITable"/>
            </w:pPr>
            <w:r>
              <w:rPr>
                <w:sz w:val="16"/>
              </w:rPr>
              <w:t>-</w:t>
            </w:r>
          </w:p>
        </w:tc>
        <w:tc>
          <w:tcPr>
            <w:tcW w:type="dxa" w:w="2040"/>
            <w:tcMar>
              <w:top w:w="50" w:type="dxa"/>
              <w:bottom w:w="50" w:type="dxa"/>
              <w:left w:w="90" w:type="dxa"/>
              <w:right w:w="90" w:type="dxa"/>
            </w:tcMar>
          </w:tcPr>
          <w:p>
            <w:pPr>
              <w:pStyle w:val="BDOITable"/>
            </w:pPr>
            <w:r>
              <w:rPr>
                <w:sz w:val="16"/>
              </w:rPr>
              <w:t>Upstream 1.U4</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BRD-10 Sanction Screening and Risk Profiling</w:t>
            </w:r>
          </w:p>
        </w:tc>
        <w:tc>
          <w:tcPr>
            <w:tcW w:type="dxa" w:w="2040"/>
            <w:tcMar>
              <w:top w:w="50" w:type="dxa"/>
              <w:bottom w:w="50" w:type="dxa"/>
              <w:left w:w="90" w:type="dxa"/>
              <w:right w:w="90" w:type="dxa"/>
            </w:tcMar>
            <w:shd w:val="clear" w:color="auto" w:fill="E5F5FF"/>
          </w:tcPr>
          <w:p>
            <w:pPr>
              <w:pStyle w:val="BDOITable"/>
            </w:pPr>
            <w:r>
              <w:rPr>
                <w:sz w:val="16"/>
              </w:rPr>
              <w:t>FRS, test plan</w:t>
            </w:r>
          </w:p>
        </w:tc>
        <w:tc>
          <w:tcPr>
            <w:tcW w:type="dxa" w:w="1246"/>
            <w:tcMar>
              <w:top w:w="50" w:type="dxa"/>
              <w:bottom w:w="50" w:type="dxa"/>
              <w:left w:w="90" w:type="dxa"/>
              <w:right w:w="90" w:type="dxa"/>
            </w:tcMar>
            <w:shd w:val="clear" w:color="auto" w:fill="E5F5FF"/>
          </w:tcPr>
          <w:p>
            <w:pPr>
              <w:pStyle w:val="BDOITable"/>
            </w:pPr>
            <w:r>
              <w:rPr>
                <w:sz w:val="16"/>
              </w:rPr>
              <w:t>Drop 1 (proposed)</w:t>
            </w:r>
          </w:p>
        </w:tc>
        <w:tc>
          <w:tcPr>
            <w:tcW w:type="dxa" w:w="2266"/>
            <w:tcMar>
              <w:top w:w="50" w:type="dxa"/>
              <w:bottom w:w="50" w:type="dxa"/>
              <w:left w:w="90" w:type="dxa"/>
              <w:right w:w="90" w:type="dxa"/>
            </w:tcMar>
            <w:shd w:val="clear" w:color="auto" w:fill="E5F5FF"/>
          </w:tcPr>
          <w:p>
            <w:pPr>
              <w:pStyle w:val="BDOITable"/>
            </w:pPr>
            <w:r>
              <w:rPr>
                <w:sz w:val="16"/>
              </w:rPr>
              <w:t>Drop 2 (Bridger Insight XG)</w:t>
            </w:r>
          </w:p>
        </w:tc>
        <w:tc>
          <w:tcPr>
            <w:tcW w:type="dxa" w:w="2040"/>
            <w:tcMar>
              <w:top w:w="50" w:type="dxa"/>
              <w:bottom w:w="50" w:type="dxa"/>
              <w:left w:w="90" w:type="dxa"/>
              <w:right w:w="90" w:type="dxa"/>
            </w:tcMar>
            <w:shd w:val="clear" w:color="auto" w:fill="E5F5FF"/>
          </w:tcPr>
          <w:p>
            <w:pPr>
              <w:pStyle w:val="BDOITable"/>
            </w:pPr>
            <w:r>
              <w:rPr>
                <w:sz w:val="16"/>
              </w:rPr>
              <w:t>Not on the slide; proposed with Client Onboarding (IQ23)</w:t>
            </w:r>
          </w:p>
        </w:tc>
      </w:tr>
      <w:tr>
        <w:trPr>
          <w:cantSplit w:val="true"/>
        </w:trPr>
        <w:tc>
          <w:tcPr>
            <w:tcW w:type="dxa" w:w="2380"/>
            <w:tcMar>
              <w:top w:w="50" w:type="dxa"/>
              <w:bottom w:w="50" w:type="dxa"/>
              <w:left w:w="90" w:type="dxa"/>
              <w:right w:w="90" w:type="dxa"/>
            </w:tcMar>
          </w:tcPr>
          <w:p>
            <w:pPr>
              <w:pStyle w:val="BDOITable"/>
            </w:pPr>
            <w:r>
              <w:rPr>
                <w:b/>
                <w:sz w:val="16"/>
              </w:rPr>
              <w:t>BRD-9 Customer Servicing Facility</w:t>
            </w:r>
          </w:p>
        </w:tc>
        <w:tc>
          <w:tcPr>
            <w:tcW w:type="dxa" w:w="2040"/>
            <w:tcMar>
              <w:top w:w="50" w:type="dxa"/>
              <w:bottom w:w="50" w:type="dxa"/>
              <w:left w:w="90" w:type="dxa"/>
              <w:right w:w="90" w:type="dxa"/>
            </w:tcMar>
          </w:tcPr>
          <w:p>
            <w:pPr>
              <w:pStyle w:val="BDOITable"/>
            </w:pPr>
            <w:r>
              <w:rPr>
                <w:sz w:val="16"/>
              </w:rPr>
              <w:t>FRS, test plan</w:t>
            </w:r>
          </w:p>
        </w:tc>
        <w:tc>
          <w:tcPr>
            <w:tcW w:type="dxa" w:w="1246"/>
            <w:tcMar>
              <w:top w:w="50" w:type="dxa"/>
              <w:bottom w:w="50" w:type="dxa"/>
              <w:left w:w="90" w:type="dxa"/>
              <w:right w:w="90" w:type="dxa"/>
            </w:tcMar>
          </w:tcPr>
          <w:p>
            <w:pPr>
              <w:pStyle w:val="BDOITable"/>
            </w:pPr>
            <w:r>
              <w:rPr>
                <w:sz w:val="16"/>
              </w:rPr>
              <w:t>Drop 1</w:t>
            </w:r>
          </w:p>
        </w:tc>
        <w:tc>
          <w:tcPr>
            <w:tcW w:type="dxa" w:w="2266"/>
            <w:tcMar>
              <w:top w:w="50" w:type="dxa"/>
              <w:bottom w:w="50" w:type="dxa"/>
              <w:left w:w="90" w:type="dxa"/>
              <w:right w:w="90" w:type="dxa"/>
            </w:tcMar>
          </w:tcPr>
          <w:p>
            <w:pPr>
              <w:pStyle w:val="BDOITable"/>
            </w:pPr>
            <w:r>
              <w:rPr>
                <w:sz w:val="16"/>
              </w:rPr>
              <w:t>Drop 2 (proposed for the service-request functions)</w:t>
            </w:r>
          </w:p>
        </w:tc>
        <w:tc>
          <w:tcPr>
            <w:tcW w:type="dxa" w:w="2040"/>
            <w:tcMar>
              <w:top w:w="50" w:type="dxa"/>
              <w:bottom w:w="50" w:type="dxa"/>
              <w:left w:w="90" w:type="dxa"/>
              <w:right w:w="90" w:type="dxa"/>
            </w:tcMar>
          </w:tcPr>
          <w:p>
            <w:pPr>
              <w:pStyle w:val="BDOITable"/>
            </w:pPr>
            <w:r>
              <w:rPr>
                <w:sz w:val="16"/>
              </w:rPr>
              <w:t>Only account maintenance is on the slide (IQ23)</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BRD-5 Accounting, Disbursement and ACSL</w:t>
            </w:r>
          </w:p>
        </w:tc>
        <w:tc>
          <w:tcPr>
            <w:tcW w:type="dxa" w:w="2040"/>
            <w:tcMar>
              <w:top w:w="50" w:type="dxa"/>
              <w:bottom w:w="50" w:type="dxa"/>
              <w:left w:w="90" w:type="dxa"/>
              <w:right w:w="90" w:type="dxa"/>
            </w:tcMar>
            <w:shd w:val="clear" w:color="auto" w:fill="E5F5FF"/>
          </w:tcPr>
          <w:p>
            <w:pPr>
              <w:pStyle w:val="BDOITable"/>
            </w:pPr>
            <w:r>
              <w:rPr>
                <w:sz w:val="16"/>
              </w:rPr>
              <w:t>FRS (cover note, Vol. 1, Vol. 2), test plans</w:t>
            </w:r>
          </w:p>
        </w:tc>
        <w:tc>
          <w:tcPr>
            <w:tcW w:type="dxa" w:w="1246"/>
            <w:tcMar>
              <w:top w:w="50" w:type="dxa"/>
              <w:bottom w:w="50" w:type="dxa"/>
              <w:left w:w="90" w:type="dxa"/>
              <w:right w:w="90" w:type="dxa"/>
            </w:tcMar>
            <w:shd w:val="clear" w:color="auto" w:fill="E5F5FF"/>
          </w:tcPr>
          <w:p>
            <w:pPr>
              <w:pStyle w:val="BDOITable"/>
            </w:pPr>
            <w:r>
              <w:rPr>
                <w:sz w:val="16"/>
              </w:rPr>
              <w:t>Drop 1</w:t>
            </w:r>
          </w:p>
        </w:tc>
        <w:tc>
          <w:tcPr>
            <w:tcW w:type="dxa" w:w="2266"/>
            <w:tcMar>
              <w:top w:w="50" w:type="dxa"/>
              <w:bottom w:w="50" w:type="dxa"/>
              <w:left w:w="90" w:type="dxa"/>
              <w:right w:w="90" w:type="dxa"/>
            </w:tcMar>
            <w:shd w:val="clear" w:color="auto" w:fill="E5F5FF"/>
          </w:tcPr>
          <w:p>
            <w:pPr>
              <w:pStyle w:val="BDOITable"/>
            </w:pPr>
            <w:r>
              <w:rPr>
                <w:sz w:val="16"/>
              </w:rPr>
              <w:t>Drop 0 (GL accounts, item 0.4)</w:t>
            </w:r>
          </w:p>
        </w:tc>
        <w:tc>
          <w:tcPr>
            <w:tcW w:type="dxa" w:w="2040"/>
            <w:tcMar>
              <w:top w:w="50" w:type="dxa"/>
              <w:bottom w:w="50" w:type="dxa"/>
              <w:left w:w="90" w:type="dxa"/>
              <w:right w:w="90" w:type="dxa"/>
            </w:tcMar>
            <w:shd w:val="clear" w:color="auto" w:fill="E5F5FF"/>
          </w:tcPr>
          <w:p>
            <w:pPr>
              <w:pStyle w:val="BDOITable"/>
            </w:pPr>
            <w:r>
              <w:rPr>
                <w:sz w:val="16"/>
              </w:rPr>
              <w:t>Upstream 1.U8, downstream 1.D1, 1.D5, 1.D6</w:t>
            </w:r>
          </w:p>
        </w:tc>
      </w:tr>
      <w:tr>
        <w:trPr>
          <w:cantSplit w:val="true"/>
        </w:trPr>
        <w:tc>
          <w:tcPr>
            <w:tcW w:type="dxa" w:w="2380"/>
            <w:tcMar>
              <w:top w:w="50" w:type="dxa"/>
              <w:bottom w:w="50" w:type="dxa"/>
              <w:left w:w="90" w:type="dxa"/>
              <w:right w:w="90" w:type="dxa"/>
            </w:tcMar>
          </w:tcPr>
          <w:p>
            <w:pPr>
              <w:pStyle w:val="BDOITable"/>
            </w:pPr>
            <w:r>
              <w:rPr>
                <w:b/>
                <w:sz w:val="16"/>
              </w:rPr>
              <w:t>BRD-2 Operations</w:t>
            </w:r>
          </w:p>
        </w:tc>
        <w:tc>
          <w:tcPr>
            <w:tcW w:type="dxa" w:w="2040"/>
            <w:tcMar>
              <w:top w:w="50" w:type="dxa"/>
              <w:bottom w:w="50" w:type="dxa"/>
              <w:left w:w="90" w:type="dxa"/>
              <w:right w:w="90" w:type="dxa"/>
            </w:tcMar>
          </w:tcPr>
          <w:p>
            <w:pPr>
              <w:pStyle w:val="BDOITable"/>
            </w:pPr>
            <w:r>
              <w:rPr>
                <w:sz w:val="16"/>
              </w:rPr>
              <w:t>FRS, test plan</w:t>
            </w:r>
          </w:p>
        </w:tc>
        <w:tc>
          <w:tcPr>
            <w:tcW w:type="dxa" w:w="1246"/>
            <w:tcMar>
              <w:top w:w="50" w:type="dxa"/>
              <w:bottom w:w="50" w:type="dxa"/>
              <w:left w:w="90" w:type="dxa"/>
              <w:right w:w="90" w:type="dxa"/>
            </w:tcMar>
          </w:tcPr>
          <w:p>
            <w:pPr>
              <w:pStyle w:val="BDOITable"/>
            </w:pPr>
            <w:r>
              <w:rPr>
                <w:sz w:val="16"/>
              </w:rPr>
              <w:t>Drop 1</w:t>
            </w:r>
          </w:p>
        </w:tc>
        <w:tc>
          <w:tcPr>
            <w:tcW w:type="dxa" w:w="2266"/>
            <w:tcMar>
              <w:top w:w="50" w:type="dxa"/>
              <w:bottom w:w="50" w:type="dxa"/>
              <w:left w:w="90" w:type="dxa"/>
              <w:right w:w="90" w:type="dxa"/>
            </w:tcMar>
          </w:tcPr>
          <w:p>
            <w:pPr>
              <w:pStyle w:val="BDOITable"/>
            </w:pPr>
            <w:r>
              <w:rPr>
                <w:sz w:val="16"/>
              </w:rPr>
              <w:t>Drop 2 (Production Reconciliation chapter, 2.3)</w:t>
            </w:r>
          </w:p>
        </w:tc>
        <w:tc>
          <w:tcPr>
            <w:tcW w:type="dxa" w:w="2040"/>
            <w:tcMar>
              <w:top w:w="50" w:type="dxa"/>
              <w:bottom w:w="50" w:type="dxa"/>
              <w:left w:w="90" w:type="dxa"/>
              <w:right w:w="90" w:type="dxa"/>
            </w:tcMar>
          </w:tcPr>
          <w:p>
            <w:pPr>
              <w:pStyle w:val="BDOITable"/>
            </w:pPr>
            <w:r>
              <w:rPr>
                <w:sz w:val="16"/>
              </w:rPr>
              <w:t>Test plan sheets split by chapter</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BRD-4 Collections</w:t>
            </w:r>
          </w:p>
        </w:tc>
        <w:tc>
          <w:tcPr>
            <w:tcW w:type="dxa" w:w="2040"/>
            <w:tcMar>
              <w:top w:w="50" w:type="dxa"/>
              <w:bottom w:w="50" w:type="dxa"/>
              <w:left w:w="90" w:type="dxa"/>
              <w:right w:w="90" w:type="dxa"/>
            </w:tcMar>
            <w:shd w:val="clear" w:color="auto" w:fill="E5F5FF"/>
          </w:tcPr>
          <w:p>
            <w:pPr>
              <w:pStyle w:val="BDOITable"/>
            </w:pPr>
            <w:r>
              <w:rPr>
                <w:sz w:val="16"/>
              </w:rPr>
              <w:t>FRS, test plan</w:t>
            </w:r>
          </w:p>
        </w:tc>
        <w:tc>
          <w:tcPr>
            <w:tcW w:type="dxa" w:w="1246"/>
            <w:tcMar>
              <w:top w:w="50" w:type="dxa"/>
              <w:bottom w:w="50" w:type="dxa"/>
              <w:left w:w="90" w:type="dxa"/>
              <w:right w:w="90" w:type="dxa"/>
            </w:tcMar>
            <w:shd w:val="clear" w:color="auto" w:fill="E5F5FF"/>
          </w:tcPr>
          <w:p>
            <w:pPr>
              <w:pStyle w:val="BDOITable"/>
            </w:pPr>
            <w:r>
              <w:rPr>
                <w:sz w:val="16"/>
              </w:rPr>
              <w:t>Drop 1</w:t>
            </w:r>
          </w:p>
        </w:tc>
        <w:tc>
          <w:tcPr>
            <w:tcW w:type="dxa" w:w="2266"/>
            <w:tcMar>
              <w:top w:w="50" w:type="dxa"/>
              <w:bottom w:w="50" w:type="dxa"/>
              <w:left w:w="90" w:type="dxa"/>
              <w:right w:w="90" w:type="dxa"/>
            </w:tcMar>
            <w:shd w:val="clear" w:color="auto" w:fill="E5F5FF"/>
          </w:tcPr>
          <w:p>
            <w:pPr>
              <w:pStyle w:val="BDOITable"/>
            </w:pPr>
            <w:r>
              <w:rPr>
                <w:sz w:val="16"/>
              </w:rPr>
              <w:t>Drop 2 (Marketing Collection extraction, 2.1)</w:t>
            </w:r>
          </w:p>
        </w:tc>
        <w:tc>
          <w:tcPr>
            <w:tcW w:type="dxa" w:w="2040"/>
            <w:tcMar>
              <w:top w:w="50" w:type="dxa"/>
              <w:bottom w:w="50" w:type="dxa"/>
              <w:left w:w="90" w:type="dxa"/>
              <w:right w:w="90" w:type="dxa"/>
            </w:tcMar>
            <w:shd w:val="clear" w:color="auto" w:fill="E5F5FF"/>
          </w:tcPr>
          <w:p>
            <w:pPr>
              <w:pStyle w:val="BDOITable"/>
            </w:pPr>
            <w:r>
              <w:rPr>
                <w:sz w:val="16"/>
              </w:rPr>
              <w:t>DP rows BRCLXN.059-064 in Drop 1 (1.D7); rest per IQ21</w:t>
            </w:r>
          </w:p>
        </w:tc>
      </w:tr>
      <w:tr>
        <w:trPr>
          <w:cantSplit w:val="true"/>
        </w:trPr>
        <w:tc>
          <w:tcPr>
            <w:tcW w:type="dxa" w:w="2380"/>
            <w:tcMar>
              <w:top w:w="50" w:type="dxa"/>
              <w:bottom w:w="50" w:type="dxa"/>
              <w:left w:w="90" w:type="dxa"/>
              <w:right w:w="90" w:type="dxa"/>
            </w:tcMar>
          </w:tcPr>
          <w:p>
            <w:pPr>
              <w:pStyle w:val="BDOITable"/>
            </w:pPr>
            <w:r>
              <w:rPr>
                <w:b/>
                <w:sz w:val="16"/>
              </w:rPr>
              <w:t>BRD-7 Claims</w:t>
            </w:r>
          </w:p>
        </w:tc>
        <w:tc>
          <w:tcPr>
            <w:tcW w:type="dxa" w:w="2040"/>
            <w:tcMar>
              <w:top w:w="50" w:type="dxa"/>
              <w:bottom w:w="50" w:type="dxa"/>
              <w:left w:w="90" w:type="dxa"/>
              <w:right w:w="90" w:type="dxa"/>
            </w:tcMar>
          </w:tcPr>
          <w:p>
            <w:pPr>
              <w:pStyle w:val="BDOITable"/>
            </w:pPr>
            <w:r>
              <w:rPr>
                <w:sz w:val="16"/>
              </w:rPr>
              <w:t>FRS, test plan</w:t>
            </w:r>
          </w:p>
        </w:tc>
        <w:tc>
          <w:tcPr>
            <w:tcW w:type="dxa" w:w="1246"/>
            <w:tcMar>
              <w:top w:w="50" w:type="dxa"/>
              <w:bottom w:w="50" w:type="dxa"/>
              <w:left w:w="90" w:type="dxa"/>
              <w:right w:w="90" w:type="dxa"/>
            </w:tcMar>
          </w:tcPr>
          <w:p>
            <w:pPr>
              <w:pStyle w:val="BDOITable"/>
            </w:pPr>
            <w:r>
              <w:rPr>
                <w:sz w:val="16"/>
              </w:rPr>
              <w:t>Drop 2</w:t>
            </w:r>
          </w:p>
        </w:tc>
        <w:tc>
          <w:tcPr>
            <w:tcW w:type="dxa" w:w="2266"/>
            <w:tcMar>
              <w:top w:w="50" w:type="dxa"/>
              <w:bottom w:w="50" w:type="dxa"/>
              <w:left w:w="90" w:type="dxa"/>
              <w:right w:w="90" w:type="dxa"/>
            </w:tcMar>
          </w:tcPr>
          <w:p>
            <w:pPr>
              <w:pStyle w:val="BDOITable"/>
            </w:pPr>
            <w:r>
              <w:rPr>
                <w:sz w:val="16"/>
              </w:rPr>
              <w:t>-</w:t>
            </w:r>
          </w:p>
        </w:tc>
        <w:tc>
          <w:tcPr>
            <w:tcW w:type="dxa" w:w="2040"/>
            <w:tcMar>
              <w:top w:w="50" w:type="dxa"/>
              <w:bottom w:w="50" w:type="dxa"/>
              <w:left w:w="90" w:type="dxa"/>
              <w:right w:w="90" w:type="dxa"/>
            </w:tcMar>
          </w:tcPr>
          <w:p>
            <w:pPr>
              <w:pStyle w:val="BDOITable"/>
            </w:pPr>
            <w:r>
              <w:rPr>
                <w:sz w:val="16"/>
              </w:rPr>
              <w:t>2.2</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BRD-8 Employee Benefits</w:t>
            </w:r>
          </w:p>
        </w:tc>
        <w:tc>
          <w:tcPr>
            <w:tcW w:type="dxa" w:w="2040"/>
            <w:tcMar>
              <w:top w:w="50" w:type="dxa"/>
              <w:bottom w:w="50" w:type="dxa"/>
              <w:left w:w="90" w:type="dxa"/>
              <w:right w:w="90" w:type="dxa"/>
            </w:tcMar>
            <w:shd w:val="clear" w:color="auto" w:fill="E5F5FF"/>
          </w:tcPr>
          <w:p>
            <w:pPr>
              <w:pStyle w:val="BDOITable"/>
            </w:pPr>
            <w:r>
              <w:rPr>
                <w:sz w:val="16"/>
              </w:rPr>
              <w:t>FRS, test plan</w:t>
            </w:r>
          </w:p>
        </w:tc>
        <w:tc>
          <w:tcPr>
            <w:tcW w:type="dxa" w:w="1246"/>
            <w:tcMar>
              <w:top w:w="50" w:type="dxa"/>
              <w:bottom w:w="50" w:type="dxa"/>
              <w:left w:w="90" w:type="dxa"/>
              <w:right w:w="90" w:type="dxa"/>
            </w:tcMar>
            <w:shd w:val="clear" w:color="auto" w:fill="E5F5FF"/>
          </w:tcPr>
          <w:p>
            <w:pPr>
              <w:pStyle w:val="BDOITable"/>
            </w:pPr>
            <w:r>
              <w:rPr>
                <w:sz w:val="16"/>
              </w:rPr>
              <w:t>Drop 2</w:t>
            </w:r>
          </w:p>
        </w:tc>
        <w:tc>
          <w:tcPr>
            <w:tcW w:type="dxa" w:w="2266"/>
            <w:tcMar>
              <w:top w:w="50" w:type="dxa"/>
              <w:bottom w:w="50" w:type="dxa"/>
              <w:left w:w="90" w:type="dxa"/>
              <w:right w:w="90" w:type="dxa"/>
            </w:tcMar>
            <w:shd w:val="clear" w:color="auto" w:fill="E5F5FF"/>
          </w:tcPr>
          <w:p>
            <w:pPr>
              <w:pStyle w:val="BDOITable"/>
            </w:pPr>
            <w:r>
              <w:rPr>
                <w:sz w:val="16"/>
              </w:rPr>
              <w:t>Drop 1 (EB placement and reports, 1.U6, 1.U9)</w:t>
            </w:r>
          </w:p>
        </w:tc>
        <w:tc>
          <w:tcPr>
            <w:tcW w:type="dxa" w:w="2040"/>
            <w:tcMar>
              <w:top w:w="50" w:type="dxa"/>
              <w:bottom w:w="50" w:type="dxa"/>
              <w:left w:w="90" w:type="dxa"/>
              <w:right w:w="90" w:type="dxa"/>
            </w:tcMar>
            <w:shd w:val="clear" w:color="auto" w:fill="E5F5FF"/>
          </w:tcPr>
          <w:p>
            <w:pPr>
              <w:pStyle w:val="BDOITable"/>
            </w:pPr>
            <w:r>
              <w:rPr>
                <w:sz w:val="16"/>
              </w:rPr>
              <w:t>Portal requirements out (answer, IQ22)</w:t>
            </w:r>
          </w:p>
        </w:tc>
      </w:tr>
      <w:tr>
        <w:trPr>
          <w:cantSplit w:val="true"/>
        </w:trPr>
        <w:tc>
          <w:tcPr>
            <w:tcW w:type="dxa" w:w="2380"/>
            <w:tcMar>
              <w:top w:w="50" w:type="dxa"/>
              <w:bottom w:w="50" w:type="dxa"/>
              <w:left w:w="90" w:type="dxa"/>
              <w:right w:w="90" w:type="dxa"/>
            </w:tcMar>
          </w:tcPr>
          <w:p>
            <w:pPr>
              <w:pStyle w:val="BDOITable"/>
            </w:pPr>
            <w:r>
              <w:rPr>
                <w:b/>
                <w:sz w:val="16"/>
              </w:rPr>
              <w:t>Report List as of 27-Apr-2026</w:t>
            </w:r>
          </w:p>
        </w:tc>
        <w:tc>
          <w:tcPr>
            <w:tcW w:type="dxa" w:w="2040"/>
            <w:tcMar>
              <w:top w:w="50" w:type="dxa"/>
              <w:bottom w:w="50" w:type="dxa"/>
              <w:left w:w="90" w:type="dxa"/>
              <w:right w:w="90" w:type="dxa"/>
            </w:tcMar>
          </w:tcPr>
          <w:p>
            <w:pPr>
              <w:pStyle w:val="BDOITable"/>
            </w:pPr>
            <w:r>
              <w:rPr>
                <w:sz w:val="16"/>
              </w:rPr>
              <w:t>Report catalogue</w:t>
            </w:r>
          </w:p>
        </w:tc>
        <w:tc>
          <w:tcPr>
            <w:tcW w:type="dxa" w:w="1246"/>
            <w:tcMar>
              <w:top w:w="50" w:type="dxa"/>
              <w:bottom w:w="50" w:type="dxa"/>
              <w:left w:w="90" w:type="dxa"/>
              <w:right w:w="90" w:type="dxa"/>
            </w:tcMar>
          </w:tcPr>
          <w:p>
            <w:pPr>
              <w:pStyle w:val="BDOITable"/>
            </w:pPr>
            <w:r>
              <w:rPr>
                <w:sz w:val="16"/>
              </w:rPr>
              <w:t>Programme</w:t>
            </w:r>
          </w:p>
        </w:tc>
        <w:tc>
          <w:tcPr>
            <w:tcW w:type="dxa" w:w="2266"/>
            <w:tcMar>
              <w:top w:w="50" w:type="dxa"/>
              <w:bottom w:w="50" w:type="dxa"/>
              <w:left w:w="90" w:type="dxa"/>
              <w:right w:w="90" w:type="dxa"/>
            </w:tcMar>
          </w:tcPr>
          <w:p>
            <w:pPr>
              <w:pStyle w:val="BDOITable"/>
            </w:pPr>
            <w:r>
              <w:rPr>
                <w:sz w:val="16"/>
              </w:rPr>
              <w:t>Each report goes with the drop of its owning module</w:t>
            </w:r>
          </w:p>
        </w:tc>
        <w:tc>
          <w:tcPr>
            <w:tcW w:type="dxa" w:w="2040"/>
            <w:tcMar>
              <w:top w:w="50" w:type="dxa"/>
              <w:bottom w:w="50" w:type="dxa"/>
              <w:left w:w="90" w:type="dxa"/>
              <w:right w:w="90" w:type="dxa"/>
            </w:tcMar>
          </w:tcPr>
          <w:p>
            <w:pPr>
              <w:pStyle w:val="BDOITable"/>
            </w:pPr>
            <w:r>
              <w:rPr>
                <w:sz w:val="16"/>
              </w:rPr>
              <w:t>Split rule: 1.U9, 1.D6, 2.5</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Discrepancy and clarification register</w:t>
            </w:r>
          </w:p>
        </w:tc>
        <w:tc>
          <w:tcPr>
            <w:tcW w:type="dxa" w:w="2040"/>
            <w:tcMar>
              <w:top w:w="50" w:type="dxa"/>
              <w:bottom w:w="50" w:type="dxa"/>
              <w:left w:w="90" w:type="dxa"/>
              <w:right w:w="90" w:type="dxa"/>
            </w:tcMar>
            <w:shd w:val="clear" w:color="auto" w:fill="E5F5FF"/>
          </w:tcPr>
          <w:p>
            <w:pPr>
              <w:pStyle w:val="BDOITable"/>
            </w:pPr>
            <w:r>
              <w:rPr>
                <w:sz w:val="16"/>
              </w:rPr>
              <w:t>Register (Excel)</w:t>
            </w:r>
          </w:p>
        </w:tc>
        <w:tc>
          <w:tcPr>
            <w:tcW w:type="dxa" w:w="1246"/>
            <w:tcMar>
              <w:top w:w="50" w:type="dxa"/>
              <w:bottom w:w="50" w:type="dxa"/>
              <w:left w:w="90" w:type="dxa"/>
              <w:right w:w="90" w:type="dxa"/>
            </w:tcMar>
            <w:shd w:val="clear" w:color="auto" w:fill="E5F5FF"/>
          </w:tcPr>
          <w:p>
            <w:pPr>
              <w:pStyle w:val="BDOITable"/>
            </w:pPr>
            <w:r>
              <w:rPr>
                <w:sz w:val="16"/>
              </w:rPr>
              <w:t>Programme</w:t>
            </w:r>
          </w:p>
        </w:tc>
        <w:tc>
          <w:tcPr>
            <w:tcW w:type="dxa" w:w="2266"/>
            <w:tcMar>
              <w:top w:w="50" w:type="dxa"/>
              <w:bottom w:w="50" w:type="dxa"/>
              <w:left w:w="90" w:type="dxa"/>
              <w:right w:w="90" w:type="dxa"/>
            </w:tcMar>
            <w:shd w:val="clear" w:color="auto" w:fill="E5F5FF"/>
          </w:tcPr>
          <w:p>
            <w:pPr>
              <w:pStyle w:val="BDOITable"/>
            </w:pPr>
            <w:r>
              <w:rPr>
                <w:sz w:val="16"/>
              </w:rPr>
              <w:t>Filter column Drop to be added</w:t>
            </w:r>
          </w:p>
        </w:tc>
        <w:tc>
          <w:tcPr>
            <w:tcW w:type="dxa" w:w="2040"/>
            <w:tcMar>
              <w:top w:w="50" w:type="dxa"/>
              <w:bottom w:w="50" w:type="dxa"/>
              <w:left w:w="90" w:type="dxa"/>
              <w:right w:w="90" w:type="dxa"/>
            </w:tcMar>
            <w:shd w:val="clear" w:color="auto" w:fill="E5F5FF"/>
          </w:tcPr>
          <w:p>
            <w:pPr>
              <w:pStyle w:val="BDOITable"/>
            </w:pPr>
            <w:r>
              <w:rPr>
                <w:sz w:val="16"/>
              </w:rPr>
              <w:t>DCR-210 to DCR-235 from this document</w:t>
            </w:r>
          </w:p>
        </w:tc>
      </w:tr>
      <w:tr>
        <w:trPr>
          <w:cantSplit w:val="true"/>
        </w:trPr>
        <w:tc>
          <w:tcPr>
            <w:tcW w:type="dxa" w:w="2380"/>
            <w:tcMar>
              <w:top w:w="50" w:type="dxa"/>
              <w:bottom w:w="50" w:type="dxa"/>
              <w:left w:w="90" w:type="dxa"/>
              <w:right w:w="90" w:type="dxa"/>
            </w:tcMar>
          </w:tcPr>
          <w:p>
            <w:pPr>
              <w:pStyle w:val="BDOITable"/>
            </w:pPr>
            <w:r>
              <w:rPr>
                <w:b/>
                <w:sz w:val="16"/>
              </w:rPr>
              <w:t>Business process deck</w:t>
            </w:r>
          </w:p>
        </w:tc>
        <w:tc>
          <w:tcPr>
            <w:tcW w:type="dxa" w:w="2040"/>
            <w:tcMar>
              <w:top w:w="50" w:type="dxa"/>
              <w:bottom w:w="50" w:type="dxa"/>
              <w:left w:w="90" w:type="dxa"/>
              <w:right w:w="90" w:type="dxa"/>
            </w:tcMar>
          </w:tcPr>
          <w:p>
            <w:pPr>
              <w:pStyle w:val="BDOITable"/>
            </w:pPr>
            <w:r>
              <w:rPr>
                <w:sz w:val="16"/>
              </w:rPr>
              <w:t>PowerPoint</w:t>
            </w:r>
          </w:p>
        </w:tc>
        <w:tc>
          <w:tcPr>
            <w:tcW w:type="dxa" w:w="1246"/>
            <w:tcMar>
              <w:top w:w="50" w:type="dxa"/>
              <w:bottom w:w="50" w:type="dxa"/>
              <w:left w:w="90" w:type="dxa"/>
              <w:right w:w="90" w:type="dxa"/>
            </w:tcMar>
          </w:tcPr>
          <w:p>
            <w:pPr>
              <w:pStyle w:val="BDOITable"/>
            </w:pPr>
            <w:r>
              <w:rPr>
                <w:sz w:val="16"/>
              </w:rPr>
              <w:t>Programme</w:t>
            </w:r>
          </w:p>
        </w:tc>
        <w:tc>
          <w:tcPr>
            <w:tcW w:type="dxa" w:w="2266"/>
            <w:tcMar>
              <w:top w:w="50" w:type="dxa"/>
              <w:bottom w:w="50" w:type="dxa"/>
              <w:left w:w="90" w:type="dxa"/>
              <w:right w:w="90" w:type="dxa"/>
            </w:tcMar>
          </w:tcPr>
          <w:p>
            <w:pPr>
              <w:pStyle w:val="BDOITable"/>
            </w:pPr>
            <w:r>
              <w:rPr>
                <w:sz w:val="16"/>
              </w:rPr>
              <w:t>All drops</w:t>
            </w:r>
          </w:p>
        </w:tc>
        <w:tc>
          <w:tcPr>
            <w:tcW w:type="dxa" w:w="2040"/>
            <w:tcMar>
              <w:top w:w="50" w:type="dxa"/>
              <w:bottom w:w="50" w:type="dxa"/>
              <w:left w:w="90" w:type="dxa"/>
              <w:right w:w="90" w:type="dxa"/>
            </w:tcMar>
          </w:tcPr>
          <w:p>
            <w:pPr>
              <w:pStyle w:val="BDOITable"/>
            </w:pPr>
            <w:r>
              <w:rPr>
                <w:sz w:val="16"/>
              </w:rPr>
              <w:t>-</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Programme alignment and integration inventory (this document)</w:t>
            </w:r>
          </w:p>
        </w:tc>
        <w:tc>
          <w:tcPr>
            <w:tcW w:type="dxa" w:w="2040"/>
            <w:tcMar>
              <w:top w:w="50" w:type="dxa"/>
              <w:bottom w:w="50" w:type="dxa"/>
              <w:left w:w="90" w:type="dxa"/>
              <w:right w:w="90" w:type="dxa"/>
            </w:tcMar>
            <w:shd w:val="clear" w:color="auto" w:fill="E5F5FF"/>
          </w:tcPr>
          <w:p>
            <w:pPr>
              <w:pStyle w:val="BDOITable"/>
            </w:pPr>
            <w:r>
              <w:rPr>
                <w:sz w:val="16"/>
              </w:rPr>
              <w:t>Word, Excel</w:t>
            </w:r>
          </w:p>
        </w:tc>
        <w:tc>
          <w:tcPr>
            <w:tcW w:type="dxa" w:w="1246"/>
            <w:tcMar>
              <w:top w:w="50" w:type="dxa"/>
              <w:bottom w:w="50" w:type="dxa"/>
              <w:left w:w="90" w:type="dxa"/>
              <w:right w:w="90" w:type="dxa"/>
            </w:tcMar>
            <w:shd w:val="clear" w:color="auto" w:fill="E5F5FF"/>
          </w:tcPr>
          <w:p>
            <w:pPr>
              <w:pStyle w:val="BDOITable"/>
            </w:pPr>
            <w:r>
              <w:rPr>
                <w:sz w:val="16"/>
              </w:rPr>
              <w:t>Programme</w:t>
            </w:r>
          </w:p>
        </w:tc>
        <w:tc>
          <w:tcPr>
            <w:tcW w:type="dxa" w:w="2266"/>
            <w:tcMar>
              <w:top w:w="50" w:type="dxa"/>
              <w:bottom w:w="50" w:type="dxa"/>
              <w:left w:w="90" w:type="dxa"/>
              <w:right w:w="90" w:type="dxa"/>
            </w:tcMar>
            <w:shd w:val="clear" w:color="auto" w:fill="E5F5FF"/>
          </w:tcPr>
          <w:p>
            <w:pPr>
              <w:pStyle w:val="BDOITable"/>
            </w:pPr>
            <w:r>
              <w:rPr>
                <w:sz w:val="16"/>
              </w:rPr>
              <w:t>All drops</w:t>
            </w:r>
          </w:p>
        </w:tc>
        <w:tc>
          <w:tcPr>
            <w:tcW w:type="dxa" w:w="2040"/>
            <w:tcMar>
              <w:top w:w="50" w:type="dxa"/>
              <w:bottom w:w="50" w:type="dxa"/>
              <w:left w:w="90" w:type="dxa"/>
              <w:right w:w="90" w:type="dxa"/>
            </w:tcMar>
            <w:shd w:val="clear" w:color="auto" w:fill="E5F5FF"/>
          </w:tcPr>
          <w:p>
            <w:pPr>
              <w:pStyle w:val="BDOITable"/>
            </w:pPr>
            <w:r>
              <w:rPr>
                <w:sz w:val="16"/>
              </w:rPr>
              <w:t>Integration rows carry their drop</w:t>
            </w:r>
          </w:p>
        </w:tc>
      </w:tr>
      <w:tr>
        <w:trPr>
          <w:cantSplit w:val="true"/>
        </w:trPr>
        <w:tc>
          <w:tcPr>
            <w:tcW w:type="dxa" w:w="2380"/>
            <w:tcMar>
              <w:top w:w="50" w:type="dxa"/>
              <w:bottom w:w="50" w:type="dxa"/>
              <w:left w:w="90" w:type="dxa"/>
              <w:right w:w="90" w:type="dxa"/>
            </w:tcMar>
          </w:tcPr>
          <w:p>
            <w:pPr>
              <w:pStyle w:val="BDOITable"/>
            </w:pPr>
            <w:r>
              <w:rPr>
                <w:b/>
                <w:sz w:val="16"/>
              </w:rPr>
              <w:t>Bill of materials, technical and deployment architecture (items 4, 12)</w:t>
            </w:r>
          </w:p>
        </w:tc>
        <w:tc>
          <w:tcPr>
            <w:tcW w:type="dxa" w:w="2040"/>
            <w:tcMar>
              <w:top w:w="50" w:type="dxa"/>
              <w:bottom w:w="50" w:type="dxa"/>
              <w:left w:w="90" w:type="dxa"/>
              <w:right w:w="90" w:type="dxa"/>
            </w:tcMar>
          </w:tcPr>
          <w:p>
            <w:pPr>
              <w:pStyle w:val="BDOITable"/>
            </w:pPr>
            <w:r>
              <w:rPr>
                <w:sz w:val="16"/>
              </w:rPr>
              <w:t>Word, Excel (to write)</w:t>
            </w:r>
          </w:p>
        </w:tc>
        <w:tc>
          <w:tcPr>
            <w:tcW w:type="dxa" w:w="1246"/>
            <w:tcMar>
              <w:top w:w="50" w:type="dxa"/>
              <w:bottom w:w="50" w:type="dxa"/>
              <w:left w:w="90" w:type="dxa"/>
              <w:right w:w="90" w:type="dxa"/>
            </w:tcMar>
          </w:tcPr>
          <w:p>
            <w:pPr>
              <w:pStyle w:val="BDOITable"/>
            </w:pPr>
            <w:r>
              <w:rPr>
                <w:sz w:val="16"/>
              </w:rPr>
              <w:t>Drop 0</w:t>
            </w:r>
          </w:p>
        </w:tc>
        <w:tc>
          <w:tcPr>
            <w:tcW w:type="dxa" w:w="2266"/>
            <w:tcMar>
              <w:top w:w="50" w:type="dxa"/>
              <w:bottom w:w="50" w:type="dxa"/>
              <w:left w:w="90" w:type="dxa"/>
              <w:right w:w="90" w:type="dxa"/>
            </w:tcMar>
          </w:tcPr>
          <w:p>
            <w:pPr>
              <w:pStyle w:val="BDOITable"/>
            </w:pPr>
            <w:r>
              <w:rPr>
                <w:sz w:val="16"/>
              </w:rPr>
              <w:t>-</w:t>
            </w:r>
          </w:p>
        </w:tc>
        <w:tc>
          <w:tcPr>
            <w:tcW w:type="dxa" w:w="2040"/>
            <w:tcMar>
              <w:top w:w="50" w:type="dxa"/>
              <w:bottom w:w="50" w:type="dxa"/>
              <w:left w:w="90" w:type="dxa"/>
              <w:right w:w="90" w:type="dxa"/>
            </w:tcMar>
          </w:tcPr>
          <w:p>
            <w:pPr>
              <w:pStyle w:val="BDOITable"/>
            </w:pPr>
            <w:r>
              <w:rPr>
                <w:sz w:val="16"/>
              </w:rPr>
              <w:t>From section 6 and the IER</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Security and data-protection mapping (item 26)</w:t>
            </w:r>
          </w:p>
        </w:tc>
        <w:tc>
          <w:tcPr>
            <w:tcW w:type="dxa" w:w="2040"/>
            <w:tcMar>
              <w:top w:w="50" w:type="dxa"/>
              <w:bottom w:w="50" w:type="dxa"/>
              <w:left w:w="90" w:type="dxa"/>
              <w:right w:w="90" w:type="dxa"/>
            </w:tcMar>
            <w:shd w:val="clear" w:color="auto" w:fill="E5F5FF"/>
          </w:tcPr>
          <w:p>
            <w:pPr>
              <w:pStyle w:val="BDOITable"/>
            </w:pPr>
            <w:r>
              <w:rPr>
                <w:sz w:val="16"/>
              </w:rPr>
              <w:t>Word, Excel (to write)</w:t>
            </w:r>
          </w:p>
        </w:tc>
        <w:tc>
          <w:tcPr>
            <w:tcW w:type="dxa" w:w="1246"/>
            <w:tcMar>
              <w:top w:w="50" w:type="dxa"/>
              <w:bottom w:w="50" w:type="dxa"/>
              <w:left w:w="90" w:type="dxa"/>
              <w:right w:w="90" w:type="dxa"/>
            </w:tcMar>
            <w:shd w:val="clear" w:color="auto" w:fill="E5F5FF"/>
          </w:tcPr>
          <w:p>
            <w:pPr>
              <w:pStyle w:val="BDOITable"/>
            </w:pPr>
            <w:r>
              <w:rPr>
                <w:sz w:val="16"/>
              </w:rPr>
              <w:t>Drop 0</w:t>
            </w:r>
          </w:p>
        </w:tc>
        <w:tc>
          <w:tcPr>
            <w:tcW w:type="dxa" w:w="2266"/>
            <w:tcMar>
              <w:top w:w="50" w:type="dxa"/>
              <w:bottom w:w="50" w:type="dxa"/>
              <w:left w:w="90" w:type="dxa"/>
              <w:right w:w="90" w:type="dxa"/>
            </w:tcMar>
            <w:shd w:val="clear" w:color="auto" w:fill="E5F5FF"/>
          </w:tcPr>
          <w:p>
            <w:pPr>
              <w:pStyle w:val="BDOITable"/>
            </w:pPr>
            <w:r>
              <w:rPr>
                <w:sz w:val="16"/>
              </w:rPr>
              <w:t>-</w:t>
            </w:r>
          </w:p>
        </w:tc>
        <w:tc>
          <w:tcPr>
            <w:tcW w:type="dxa" w:w="2040"/>
            <w:tcMar>
              <w:top w:w="50" w:type="dxa"/>
              <w:bottom w:w="50" w:type="dxa"/>
              <w:left w:w="90" w:type="dxa"/>
              <w:right w:w="90" w:type="dxa"/>
            </w:tcMar>
            <w:shd w:val="clear" w:color="auto" w:fill="E5F5FF"/>
          </w:tcPr>
          <w:p>
            <w:pPr>
              <w:pStyle w:val="BDOITable"/>
            </w:pPr>
            <w:r>
              <w:rPr>
                <w:sz w:val="16"/>
              </w:rPr>
              <w:t>EIAM, UIDM-ISC, S3 encryption, masking</w:t>
            </w:r>
          </w:p>
        </w:tc>
      </w:tr>
      <w:tr>
        <w:trPr>
          <w:cantSplit w:val="true"/>
        </w:trPr>
        <w:tc>
          <w:tcPr>
            <w:tcW w:type="dxa" w:w="2380"/>
            <w:tcMar>
              <w:top w:w="50" w:type="dxa"/>
              <w:bottom w:w="50" w:type="dxa"/>
              <w:left w:w="90" w:type="dxa"/>
              <w:right w:w="90" w:type="dxa"/>
            </w:tcMar>
          </w:tcPr>
          <w:p>
            <w:pPr>
              <w:pStyle w:val="BDOITable"/>
            </w:pPr>
            <w:r>
              <w:rPr>
                <w:b/>
                <w:sz w:val="16"/>
              </w:rPr>
              <w:t>Interface specifications (one per integration)</w:t>
            </w:r>
          </w:p>
        </w:tc>
        <w:tc>
          <w:tcPr>
            <w:tcW w:type="dxa" w:w="2040"/>
            <w:tcMar>
              <w:top w:w="50" w:type="dxa"/>
              <w:bottom w:w="50" w:type="dxa"/>
              <w:left w:w="90" w:type="dxa"/>
              <w:right w:w="90" w:type="dxa"/>
            </w:tcMar>
          </w:tcPr>
          <w:p>
            <w:pPr>
              <w:pStyle w:val="BDOITable"/>
            </w:pPr>
            <w:r>
              <w:rPr>
                <w:sz w:val="16"/>
              </w:rPr>
              <w:t>Word (to write)</w:t>
            </w:r>
          </w:p>
        </w:tc>
        <w:tc>
          <w:tcPr>
            <w:tcW w:type="dxa" w:w="1246"/>
            <w:tcMar>
              <w:top w:w="50" w:type="dxa"/>
              <w:bottom w:w="50" w:type="dxa"/>
              <w:left w:w="90" w:type="dxa"/>
              <w:right w:w="90" w:type="dxa"/>
            </w:tcMar>
          </w:tcPr>
          <w:p>
            <w:pPr>
              <w:pStyle w:val="BDOITable"/>
            </w:pPr>
            <w:r>
              <w:rPr>
                <w:sz w:val="16"/>
              </w:rPr>
              <w:t>Drop of the integration</w:t>
            </w:r>
          </w:p>
        </w:tc>
        <w:tc>
          <w:tcPr>
            <w:tcW w:type="dxa" w:w="2266"/>
            <w:tcMar>
              <w:top w:w="50" w:type="dxa"/>
              <w:bottom w:w="50" w:type="dxa"/>
              <w:left w:w="90" w:type="dxa"/>
              <w:right w:w="90" w:type="dxa"/>
            </w:tcMar>
          </w:tcPr>
          <w:p>
            <w:pPr>
              <w:pStyle w:val="BDOITable"/>
            </w:pPr>
            <w:r>
              <w:rPr>
                <w:sz w:val="16"/>
              </w:rPr>
              <w:t>-</w:t>
            </w:r>
          </w:p>
        </w:tc>
        <w:tc>
          <w:tcPr>
            <w:tcW w:type="dxa" w:w="2040"/>
            <w:tcMar>
              <w:top w:w="50" w:type="dxa"/>
              <w:bottom w:w="50" w:type="dxa"/>
              <w:left w:w="90" w:type="dxa"/>
              <w:right w:w="90" w:type="dxa"/>
            </w:tcMar>
          </w:tcPr>
          <w:p>
            <w:pPr>
              <w:pStyle w:val="BDOITable"/>
            </w:pPr>
            <w:r>
              <w:rPr>
                <w:sz w:val="16"/>
              </w:rPr>
              <w:t>After BDOI IT answers the IQ questions</w:t>
            </w:r>
          </w:p>
        </w:tc>
      </w:tr>
      <w:tr>
        <w:trPr>
          <w:cantSplit w:val="true"/>
        </w:trPr>
        <w:tc>
          <w:tcPr>
            <w:tcW w:type="dxa" w:w="2380"/>
            <w:tcMar>
              <w:top w:w="50" w:type="dxa"/>
              <w:bottom w:w="50" w:type="dxa"/>
              <w:left w:w="90" w:type="dxa"/>
              <w:right w:w="90" w:type="dxa"/>
            </w:tcMar>
            <w:shd w:val="clear" w:color="auto" w:fill="E5F5FF"/>
          </w:tcPr>
          <w:p>
            <w:pPr>
              <w:pStyle w:val="BDOITable"/>
            </w:pPr>
            <w:r>
              <w:rPr>
                <w:b/>
                <w:sz w:val="16"/>
              </w:rPr>
              <w:t>UAT plans and sign-off forms (item 30)</w:t>
            </w:r>
          </w:p>
        </w:tc>
        <w:tc>
          <w:tcPr>
            <w:tcW w:type="dxa" w:w="2040"/>
            <w:tcMar>
              <w:top w:w="50" w:type="dxa"/>
              <w:bottom w:w="50" w:type="dxa"/>
              <w:left w:w="90" w:type="dxa"/>
              <w:right w:w="90" w:type="dxa"/>
            </w:tcMar>
            <w:shd w:val="clear" w:color="auto" w:fill="E5F5FF"/>
          </w:tcPr>
          <w:p>
            <w:pPr>
              <w:pStyle w:val="BDOITable"/>
            </w:pPr>
            <w:r>
              <w:rPr>
                <w:sz w:val="16"/>
              </w:rPr>
              <w:t>Word (to write)</w:t>
            </w:r>
          </w:p>
        </w:tc>
        <w:tc>
          <w:tcPr>
            <w:tcW w:type="dxa" w:w="1246"/>
            <w:tcMar>
              <w:top w:w="50" w:type="dxa"/>
              <w:bottom w:w="50" w:type="dxa"/>
              <w:left w:w="90" w:type="dxa"/>
              <w:right w:w="90" w:type="dxa"/>
            </w:tcMar>
            <w:shd w:val="clear" w:color="auto" w:fill="E5F5FF"/>
          </w:tcPr>
          <w:p>
            <w:pPr>
              <w:pStyle w:val="BDOITable"/>
            </w:pPr>
            <w:r>
              <w:rPr>
                <w:sz w:val="16"/>
              </w:rPr>
              <w:t>Per drop</w:t>
            </w:r>
          </w:p>
        </w:tc>
        <w:tc>
          <w:tcPr>
            <w:tcW w:type="dxa" w:w="2266"/>
            <w:tcMar>
              <w:top w:w="50" w:type="dxa"/>
              <w:bottom w:w="50" w:type="dxa"/>
              <w:left w:w="90" w:type="dxa"/>
              <w:right w:w="90" w:type="dxa"/>
            </w:tcMar>
            <w:shd w:val="clear" w:color="auto" w:fill="E5F5FF"/>
          </w:tcPr>
          <w:p>
            <w:pPr>
              <w:pStyle w:val="BDOITable"/>
            </w:pPr>
            <w:r>
              <w:rPr>
                <w:sz w:val="16"/>
              </w:rPr>
              <w:t>End-to-end UAT script is programme level</w:t>
            </w:r>
          </w:p>
        </w:tc>
        <w:tc>
          <w:tcPr>
            <w:tcW w:type="dxa" w:w="2040"/>
            <w:tcMar>
              <w:top w:w="50" w:type="dxa"/>
              <w:bottom w:w="50" w:type="dxa"/>
              <w:left w:w="90" w:type="dxa"/>
              <w:right w:w="90" w:type="dxa"/>
            </w:tcMar>
            <w:shd w:val="clear" w:color="auto" w:fill="E5F5FF"/>
          </w:tcPr>
          <w:p>
            <w:pPr>
              <w:pStyle w:val="BDOITable"/>
            </w:pPr>
            <w:r>
              <w:rPr>
                <w:sz w:val="16"/>
              </w:rPr>
              <w:t>UAT runs end to end (answer A1)</w:t>
            </w:r>
          </w:p>
        </w:tc>
      </w:tr>
      <w:tr>
        <w:trPr>
          <w:cantSplit w:val="true"/>
        </w:trPr>
        <w:tc>
          <w:tcPr>
            <w:tcW w:type="dxa" w:w="2380"/>
            <w:tcMar>
              <w:top w:w="50" w:type="dxa"/>
              <w:bottom w:w="50" w:type="dxa"/>
              <w:left w:w="90" w:type="dxa"/>
              <w:right w:w="90" w:type="dxa"/>
            </w:tcMar>
          </w:tcPr>
          <w:p>
            <w:pPr>
              <w:pStyle w:val="BDOITable"/>
            </w:pPr>
            <w:r>
              <w:rPr>
                <w:b/>
                <w:sz w:val="16"/>
              </w:rPr>
              <w:t>Performance, penetration test, ORR / PRR evidence (items 28, 37)</w:t>
            </w:r>
          </w:p>
        </w:tc>
        <w:tc>
          <w:tcPr>
            <w:tcW w:type="dxa" w:w="2040"/>
            <w:tcMar>
              <w:top w:w="50" w:type="dxa"/>
              <w:bottom w:w="50" w:type="dxa"/>
              <w:left w:w="90" w:type="dxa"/>
              <w:right w:w="90" w:type="dxa"/>
            </w:tcMar>
          </w:tcPr>
          <w:p>
            <w:pPr>
              <w:pStyle w:val="BDOITable"/>
            </w:pPr>
            <w:r>
              <w:rPr>
                <w:sz w:val="16"/>
              </w:rPr>
              <w:t>Word, Excel (to write)</w:t>
            </w:r>
          </w:p>
        </w:tc>
        <w:tc>
          <w:tcPr>
            <w:tcW w:type="dxa" w:w="1246"/>
            <w:tcMar>
              <w:top w:w="50" w:type="dxa"/>
              <w:bottom w:w="50" w:type="dxa"/>
              <w:left w:w="90" w:type="dxa"/>
              <w:right w:w="90" w:type="dxa"/>
            </w:tcMar>
          </w:tcPr>
          <w:p>
            <w:pPr>
              <w:pStyle w:val="BDOITable"/>
            </w:pPr>
            <w:r>
              <w:rPr>
                <w:sz w:val="16"/>
              </w:rPr>
              <w:t>Programme</w:t>
            </w:r>
          </w:p>
        </w:tc>
        <w:tc>
          <w:tcPr>
            <w:tcW w:type="dxa" w:w="2266"/>
            <w:tcMar>
              <w:top w:w="50" w:type="dxa"/>
              <w:bottom w:w="50" w:type="dxa"/>
              <w:left w:w="90" w:type="dxa"/>
              <w:right w:w="90" w:type="dxa"/>
            </w:tcMar>
          </w:tcPr>
          <w:p>
            <w:pPr>
              <w:pStyle w:val="BDOITable"/>
            </w:pPr>
            <w:r>
              <w:rPr>
                <w:sz w:val="16"/>
              </w:rPr>
              <w:t>-</w:t>
            </w:r>
          </w:p>
        </w:tc>
        <w:tc>
          <w:tcPr>
            <w:tcW w:type="dxa" w:w="2040"/>
            <w:tcMar>
              <w:top w:w="50" w:type="dxa"/>
              <w:bottom w:w="50" w:type="dxa"/>
              <w:left w:w="90" w:type="dxa"/>
              <w:right w:w="90" w:type="dxa"/>
            </w:tcMar>
          </w:tcPr>
          <w:p>
            <w:pPr>
              <w:pStyle w:val="BDOITable"/>
            </w:pPr>
            <w:r>
              <w:rPr>
                <w:sz w:val="16"/>
              </w:rPr>
              <w:t>Nov 2027 - Jan 2028</w:t>
            </w:r>
          </w:p>
        </w:tc>
      </w:tr>
    </w:tbl>
    <w:p>
      <w:pPr>
        <w:pStyle w:val="BDOISpacer"/>
      </w:pPr>
    </w:p>
    <w:p>
      <w:pPr>
        <w:pStyle w:val="Heading1"/>
        <w:pageBreakBefore/>
        <w:pBdr>
          <w:bottom w:val="single" w:sz="4" w:space="4" w:color="99C1E7"/>
        </w:pBdr>
      </w:pPr>
      <w:bookmarkStart w:id="111" w:name="_Toc000111"/>
      <w:r>
        <w:rPr/>
        <w:t>3 Early renewal concept paper</w:t>
      </w:r>
      <w:bookmarkEnd w:id="111"/>
    </w:p>
    <w:p>
      <w:pPr>
        <w:pStyle w:val="Heading2"/>
      </w:pPr>
      <w:bookmarkStart w:id="112" w:name="_Toc000112"/>
      <w:r>
        <w:rPr/>
        <w:t>3.1 What the paper proposed</w:t>
      </w:r>
      <w:bookmarkEnd w:id="112"/>
    </w:p>
    <w:p>
      <w:r>
        <w:rPr/>
        <w:t>The concept paper (S4), prepared by the Project Manager and reviewed by the BU Project Lead (signature dates 06/09/2026), proposed a pre-cut-over release of renewal processing by 15 August 2027, for policies expiring from January to May 2028. The date matches the renewal lead time: 140 days before 1 January 2028 is 14 August 2027. It included the renewal core (RMEL ingestion, sanitation, disposition, proposal, insurer approval, renewal advice, NAL and NRL), TSU Product / Package Maintenance and quotation, Submitted Policy and Free First Year renewal, and the early migration of the client master and renewal reference data. Placement, booking and the back-office functions were to wait for the January 2028 cut-over.</w:t>
      </w:r>
    </w:p>
    <w:p>
      <w:pPr>
        <w:pStyle w:val="Heading2"/>
      </w:pPr>
      <w:bookmarkStart w:id="113" w:name="_Toc000113"/>
      <w:r>
        <w:rPr/>
        <w:t>3.2 Status: superseded</w:t>
      </w:r>
      <w:bookmarkEnd w:id="113"/>
    </w:p>
    <w:p>
      <w:r>
        <w:rPr/>
        <w:t>BDOI answered that every module goes live together in January 2028 and that there is no early go-live (A1). The paper is therefore recorded as superseded as an operating model. Nothing is prepared for a separate early release: no pre-cut-over production environment, no early client migration, and no legacy-to-BIBS client synchronisation for August to December 2027.</w:t>
      </w:r>
    </w:p>
    <w:p>
      <w:r>
        <w:rPr/>
        <w:t>The capabilities the paper lists remain in scope for January 2028. The table below maps them to the FRS.</w:t>
      </w:r>
    </w:p>
    <w:p>
      <w:pPr>
        <w:pStyle w:val="Caption"/>
        <w:keepNext/>
        <w:spacing w:after="60"/>
      </w:pPr>
      <w:r>
        <w:rPr>
          <w:b/>
          <w:i w:val="0"/>
        </w:rPr>
        <w:t xml:space="preserve">Table 9: </w:t>
      </w:r>
      <w:r>
        <w:rPr/>
        <w:t>Concept paper capabilities against the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19"/>
        <w:gridCol w:w="4873"/>
        <w:gridCol w:w="2379"/>
      </w:tblGrid>
      <w:tr>
        <w:trPr>
          <w:tblHeader w:val="true"/>
          <w:cantSplit w:val="true"/>
        </w:trPr>
        <w:tc>
          <w:tcPr>
            <w:tcW w:type="dxa" w:w="2720"/>
            <w:shd w:val="clear" w:color="auto" w:fill="004EA8"/>
            <w:tcMar>
              <w:top w:w="50" w:type="dxa"/>
              <w:bottom w:w="50" w:type="dxa"/>
              <w:left w:w="90" w:type="dxa"/>
              <w:right w:w="90" w:type="dxa"/>
            </w:tcMar>
            <w:vAlign w:val="center"/>
          </w:tcPr>
          <w:p>
            <w:pPr>
              <w:pStyle w:val="BDOITableHeader"/>
            </w:pPr>
            <w:r>
              <w:rPr>
                <w:b/>
                <w:color w:val="FFFFFF"/>
                <w:sz w:val="16"/>
              </w:rPr>
              <w:t>Concept paper capability</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6"/>
              </w:rPr>
              <w:t>Where the FRS covers it</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6"/>
              </w:rPr>
              <w:t>Note</w:t>
            </w:r>
          </w:p>
        </w:tc>
      </w:tr>
      <w:tr>
        <w:trPr>
          <w:cantSplit w:val="true"/>
        </w:trPr>
        <w:tc>
          <w:tcPr>
            <w:tcW w:type="dxa" w:w="2720"/>
            <w:tcMar>
              <w:top w:w="50" w:type="dxa"/>
              <w:bottom w:w="50" w:type="dxa"/>
              <w:left w:w="90" w:type="dxa"/>
              <w:right w:w="90" w:type="dxa"/>
            </w:tcMar>
          </w:tcPr>
          <w:p>
            <w:pPr>
              <w:pStyle w:val="BDOITable"/>
            </w:pPr>
            <w:r>
              <w:rPr>
                <w:b/>
                <w:sz w:val="16"/>
              </w:rPr>
              <w:t>Renewal intake and pipeline tracking</w:t>
            </w:r>
          </w:p>
        </w:tc>
        <w:tc>
          <w:tcPr>
            <w:tcW w:type="dxa" w:w="4873"/>
            <w:tcMar>
              <w:top w:w="50" w:type="dxa"/>
              <w:bottom w:w="50" w:type="dxa"/>
              <w:left w:w="90" w:type="dxa"/>
              <w:right w:w="90" w:type="dxa"/>
            </w:tcMar>
          </w:tcPr>
          <w:p>
            <w:pPr>
              <w:pStyle w:val="BDOITable"/>
            </w:pPr>
            <w:r>
              <w:rPr>
                <w:sz w:val="16"/>
              </w:rPr>
              <w:t>FRS BRD-6: Renewal Home, Expiry List</w:t>
            </w:r>
          </w:p>
        </w:tc>
        <w:tc>
          <w:tcPr>
            <w:tcW w:type="dxa" w:w="2380"/>
            <w:tcMar>
              <w:top w:w="50" w:type="dxa"/>
              <w:bottom w:w="50" w:type="dxa"/>
              <w:left w:w="90" w:type="dxa"/>
              <w:right w:w="90" w:type="dxa"/>
            </w:tcMar>
          </w:tcPr>
          <w:p>
            <w:pPr>
              <w:pStyle w:val="BDOITable"/>
            </w:pPr>
            <w:r>
              <w:rPr>
                <w:sz w:val="16"/>
              </w:rPr>
              <w:t>-</w:t>
            </w:r>
          </w:p>
        </w:tc>
      </w:tr>
      <w:tr>
        <w:trPr>
          <w:cantSplit w:val="true"/>
        </w:trPr>
        <w:tc>
          <w:tcPr>
            <w:tcW w:type="dxa" w:w="2720"/>
            <w:tcMar>
              <w:top w:w="50" w:type="dxa"/>
              <w:bottom w:w="50" w:type="dxa"/>
              <w:left w:w="90" w:type="dxa"/>
              <w:right w:w="90" w:type="dxa"/>
            </w:tcMar>
            <w:shd w:val="clear" w:color="auto" w:fill="E5F5FF"/>
          </w:tcPr>
          <w:p>
            <w:pPr>
              <w:pStyle w:val="BDOITable"/>
            </w:pPr>
            <w:r>
              <w:rPr>
                <w:b/>
                <w:sz w:val="16"/>
              </w:rPr>
              <w:t>RMEL extract ingestion and validation</w:t>
            </w:r>
          </w:p>
        </w:tc>
        <w:tc>
          <w:tcPr>
            <w:tcW w:type="dxa" w:w="4873"/>
            <w:tcMar>
              <w:top w:w="50" w:type="dxa"/>
              <w:bottom w:w="50" w:type="dxa"/>
              <w:left w:w="90" w:type="dxa"/>
              <w:right w:w="90" w:type="dxa"/>
            </w:tcMar>
            <w:shd w:val="clear" w:color="auto" w:fill="E5F5FF"/>
          </w:tcPr>
          <w:p>
            <w:pPr>
              <w:pStyle w:val="BDOITable"/>
            </w:pPr>
            <w:r>
              <w:rPr>
                <w:sz w:val="16"/>
              </w:rPr>
              <w:t>FRS BRD-6: extraction from the ledger; renewals at go-live from the migrated policy headers (BRD-13, P03)</w:t>
            </w:r>
          </w:p>
        </w:tc>
        <w:tc>
          <w:tcPr>
            <w:tcW w:type="dxa" w:w="2380"/>
            <w:tcMar>
              <w:top w:w="50" w:type="dxa"/>
              <w:bottom w:w="50" w:type="dxa"/>
              <w:left w:w="90" w:type="dxa"/>
              <w:right w:w="90" w:type="dxa"/>
            </w:tcMar>
            <w:shd w:val="clear" w:color="auto" w:fill="E5F5FF"/>
          </w:tcPr>
          <w:p>
            <w:pPr>
              <w:pStyle w:val="BDOITable"/>
            </w:pPr>
            <w:r>
              <w:rPr>
                <w:sz w:val="16"/>
              </w:rPr>
              <w:t>P03 layout in the migration workbook</w:t>
            </w:r>
          </w:p>
        </w:tc>
      </w:tr>
      <w:tr>
        <w:trPr>
          <w:cantSplit w:val="true"/>
        </w:trPr>
        <w:tc>
          <w:tcPr>
            <w:tcW w:type="dxa" w:w="2720"/>
            <w:tcMar>
              <w:top w:w="50" w:type="dxa"/>
              <w:bottom w:w="50" w:type="dxa"/>
              <w:left w:w="90" w:type="dxa"/>
              <w:right w:w="90" w:type="dxa"/>
            </w:tcMar>
          </w:tcPr>
          <w:p>
            <w:pPr>
              <w:pStyle w:val="BDOITable"/>
            </w:pPr>
            <w:r>
              <w:rPr>
                <w:b/>
                <w:sz w:val="16"/>
              </w:rPr>
              <w:t>Data sanitation and enrichment</w:t>
            </w:r>
          </w:p>
        </w:tc>
        <w:tc>
          <w:tcPr>
            <w:tcW w:type="dxa" w:w="4873"/>
            <w:tcMar>
              <w:top w:w="50" w:type="dxa"/>
              <w:bottom w:w="50" w:type="dxa"/>
              <w:left w:w="90" w:type="dxa"/>
              <w:right w:w="90" w:type="dxa"/>
            </w:tcMar>
          </w:tcPr>
          <w:p>
            <w:pPr>
              <w:pStyle w:val="BDOITable"/>
            </w:pPr>
            <w:r>
              <w:rPr>
                <w:sz w:val="16"/>
              </w:rPr>
              <w:t>FRS BRD-6: checks and buckets Clean / Review / Exception (BRRN.020-023)</w:t>
            </w:r>
          </w:p>
        </w:tc>
        <w:tc>
          <w:tcPr>
            <w:tcW w:type="dxa" w:w="2380"/>
            <w:tcMar>
              <w:top w:w="50" w:type="dxa"/>
              <w:bottom w:w="50" w:type="dxa"/>
              <w:left w:w="90" w:type="dxa"/>
              <w:right w:w="90" w:type="dxa"/>
            </w:tcMar>
          </w:tcPr>
          <w:p>
            <w:pPr>
              <w:pStyle w:val="BDOITable"/>
            </w:pPr>
            <w:r>
              <w:rPr>
                <w:sz w:val="16"/>
              </w:rPr>
              <w:t>Check content still open (RQ01)</w:t>
            </w:r>
          </w:p>
        </w:tc>
      </w:tr>
      <w:tr>
        <w:trPr>
          <w:cantSplit w:val="true"/>
        </w:trPr>
        <w:tc>
          <w:tcPr>
            <w:tcW w:type="dxa" w:w="2720"/>
            <w:tcMar>
              <w:top w:w="50" w:type="dxa"/>
              <w:bottom w:w="50" w:type="dxa"/>
              <w:left w:w="90" w:type="dxa"/>
              <w:right w:w="90" w:type="dxa"/>
            </w:tcMar>
            <w:shd w:val="clear" w:color="auto" w:fill="E5F5FF"/>
          </w:tcPr>
          <w:p>
            <w:pPr>
              <w:pStyle w:val="BDOITable"/>
            </w:pPr>
            <w:r>
              <w:rPr>
                <w:b/>
                <w:sz w:val="16"/>
              </w:rPr>
              <w:t>Disposition management</w:t>
            </w:r>
          </w:p>
        </w:tc>
        <w:tc>
          <w:tcPr>
            <w:tcW w:type="dxa" w:w="4873"/>
            <w:tcMar>
              <w:top w:w="50" w:type="dxa"/>
              <w:bottom w:w="50" w:type="dxa"/>
              <w:left w:w="90" w:type="dxa"/>
              <w:right w:w="90" w:type="dxa"/>
            </w:tcMar>
            <w:shd w:val="clear" w:color="auto" w:fill="E5F5FF"/>
          </w:tcPr>
          <w:p>
            <w:pPr>
              <w:pStyle w:val="BDOITable"/>
            </w:pPr>
            <w:r>
              <w:rPr>
                <w:sz w:val="16"/>
              </w:rPr>
              <w:t>FRS BRD-6: assignment, disposition, TL review</w:t>
            </w:r>
          </w:p>
        </w:tc>
        <w:tc>
          <w:tcPr>
            <w:tcW w:type="dxa" w:w="238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720"/>
            <w:tcMar>
              <w:top w:w="50" w:type="dxa"/>
              <w:bottom w:w="50" w:type="dxa"/>
              <w:left w:w="90" w:type="dxa"/>
              <w:right w:w="90" w:type="dxa"/>
            </w:tcMar>
          </w:tcPr>
          <w:p>
            <w:pPr>
              <w:pStyle w:val="BDOITable"/>
            </w:pPr>
            <w:r>
              <w:rPr>
                <w:b/>
                <w:sz w:val="16"/>
              </w:rPr>
              <w:t>Proposal / quotation generation</w:t>
            </w:r>
          </w:p>
        </w:tc>
        <w:tc>
          <w:tcPr>
            <w:tcW w:type="dxa" w:w="4873"/>
            <w:tcMar>
              <w:top w:w="50" w:type="dxa"/>
              <w:bottom w:w="50" w:type="dxa"/>
              <w:left w:w="90" w:type="dxa"/>
              <w:right w:w="90" w:type="dxa"/>
            </w:tcMar>
          </w:tcPr>
          <w:p>
            <w:pPr>
              <w:pStyle w:val="BDOITable"/>
            </w:pPr>
            <w:r>
              <w:rPr>
                <w:sz w:val="16"/>
              </w:rPr>
              <w:t>FRS BRD-1 quotation and non-package, linked to the renewal reference</w:t>
            </w:r>
          </w:p>
        </w:tc>
        <w:tc>
          <w:tcPr>
            <w:tcW w:type="dxa" w:w="2380"/>
            <w:tcMar>
              <w:top w:w="50" w:type="dxa"/>
              <w:bottom w:w="50" w:type="dxa"/>
              <w:left w:w="90" w:type="dxa"/>
              <w:right w:w="90" w:type="dxa"/>
            </w:tcMar>
          </w:tcPr>
          <w:p>
            <w:pPr>
              <w:pStyle w:val="BDOITable"/>
            </w:pPr>
            <w:r>
              <w:rPr>
                <w:sz w:val="16"/>
              </w:rPr>
              <w:t>-</w:t>
            </w:r>
          </w:p>
        </w:tc>
      </w:tr>
      <w:tr>
        <w:trPr>
          <w:cantSplit w:val="true"/>
        </w:trPr>
        <w:tc>
          <w:tcPr>
            <w:tcW w:type="dxa" w:w="2720"/>
            <w:tcMar>
              <w:top w:w="50" w:type="dxa"/>
              <w:bottom w:w="50" w:type="dxa"/>
              <w:left w:w="90" w:type="dxa"/>
              <w:right w:w="90" w:type="dxa"/>
            </w:tcMar>
            <w:shd w:val="clear" w:color="auto" w:fill="E5F5FF"/>
          </w:tcPr>
          <w:p>
            <w:pPr>
              <w:pStyle w:val="BDOITable"/>
            </w:pPr>
            <w:r>
              <w:rPr>
                <w:b/>
                <w:sz w:val="16"/>
              </w:rPr>
              <w:t>Insurer engagement and approval tracking</w:t>
            </w:r>
          </w:p>
        </w:tc>
        <w:tc>
          <w:tcPr>
            <w:tcW w:type="dxa" w:w="4873"/>
            <w:tcMar>
              <w:top w:w="50" w:type="dxa"/>
              <w:bottom w:w="50" w:type="dxa"/>
              <w:left w:w="90" w:type="dxa"/>
              <w:right w:w="90" w:type="dxa"/>
            </w:tcMar>
            <w:shd w:val="clear" w:color="auto" w:fill="E5F5FF"/>
          </w:tcPr>
          <w:p>
            <w:pPr>
              <w:pStyle w:val="BDOITable"/>
            </w:pPr>
            <w:r>
              <w:rPr>
                <w:sz w:val="16"/>
              </w:rPr>
              <w:t>FRS BRD-6: insurer batches and responses</w:t>
            </w:r>
          </w:p>
        </w:tc>
        <w:tc>
          <w:tcPr>
            <w:tcW w:type="dxa" w:w="2380"/>
            <w:tcMar>
              <w:top w:w="50" w:type="dxa"/>
              <w:bottom w:w="50" w:type="dxa"/>
              <w:left w:w="90" w:type="dxa"/>
              <w:right w:w="90" w:type="dxa"/>
            </w:tcMar>
            <w:shd w:val="clear" w:color="auto" w:fill="E5F5FF"/>
          </w:tcPr>
          <w:p>
            <w:pPr>
              <w:pStyle w:val="BDOITable"/>
            </w:pPr>
            <w:r>
              <w:rPr>
                <w:sz w:val="16"/>
              </w:rPr>
              <w:t>Insurer channel is INT-19</w:t>
            </w:r>
          </w:p>
        </w:tc>
      </w:tr>
      <w:tr>
        <w:trPr>
          <w:cantSplit w:val="true"/>
        </w:trPr>
        <w:tc>
          <w:tcPr>
            <w:tcW w:type="dxa" w:w="2720"/>
            <w:tcMar>
              <w:top w:w="50" w:type="dxa"/>
              <w:bottom w:w="50" w:type="dxa"/>
              <w:left w:w="90" w:type="dxa"/>
              <w:right w:w="90" w:type="dxa"/>
            </w:tcMar>
          </w:tcPr>
          <w:p>
            <w:pPr>
              <w:pStyle w:val="BDOITable"/>
            </w:pPr>
            <w:r>
              <w:rPr>
                <w:b/>
                <w:sz w:val="16"/>
              </w:rPr>
              <w:t>Renewal advice, NAL, NRL</w:t>
            </w:r>
          </w:p>
        </w:tc>
        <w:tc>
          <w:tcPr>
            <w:tcW w:type="dxa" w:w="4873"/>
            <w:tcMar>
              <w:top w:w="50" w:type="dxa"/>
              <w:bottom w:w="50" w:type="dxa"/>
              <w:left w:w="90" w:type="dxa"/>
              <w:right w:w="90" w:type="dxa"/>
            </w:tcMar>
          </w:tcPr>
          <w:p>
            <w:pPr>
              <w:pStyle w:val="BDOITable"/>
            </w:pPr>
            <w:r>
              <w:rPr>
                <w:sz w:val="16"/>
              </w:rPr>
              <w:t>FRS BRD-6: letters, protected e-mail via CCM</w:t>
            </w:r>
          </w:p>
        </w:tc>
        <w:tc>
          <w:tcPr>
            <w:tcW w:type="dxa" w:w="2380"/>
            <w:tcMar>
              <w:top w:w="50" w:type="dxa"/>
              <w:bottom w:w="50" w:type="dxa"/>
              <w:left w:w="90" w:type="dxa"/>
              <w:right w:w="90" w:type="dxa"/>
            </w:tcMar>
          </w:tcPr>
          <w:p>
            <w:pPr>
              <w:pStyle w:val="BDOITable"/>
            </w:pPr>
            <w:r>
              <w:rPr>
                <w:sz w:val="16"/>
              </w:rPr>
              <w:t>-</w:t>
            </w:r>
          </w:p>
        </w:tc>
      </w:tr>
      <w:tr>
        <w:trPr>
          <w:cantSplit w:val="true"/>
        </w:trPr>
        <w:tc>
          <w:tcPr>
            <w:tcW w:type="dxa" w:w="2720"/>
            <w:tcMar>
              <w:top w:w="50" w:type="dxa"/>
              <w:bottom w:w="50" w:type="dxa"/>
              <w:left w:w="90" w:type="dxa"/>
              <w:right w:w="90" w:type="dxa"/>
            </w:tcMar>
            <w:shd w:val="clear" w:color="auto" w:fill="E5F5FF"/>
          </w:tcPr>
          <w:p>
            <w:pPr>
              <w:pStyle w:val="BDOITable"/>
            </w:pPr>
            <w:r>
              <w:rPr>
                <w:b/>
                <w:sz w:val="16"/>
              </w:rPr>
              <w:t>Pre-placement adjustments</w:t>
            </w:r>
          </w:p>
        </w:tc>
        <w:tc>
          <w:tcPr>
            <w:tcW w:type="dxa" w:w="4873"/>
            <w:tcMar>
              <w:top w:w="50" w:type="dxa"/>
              <w:bottom w:w="50" w:type="dxa"/>
              <w:left w:w="90" w:type="dxa"/>
              <w:right w:w="90" w:type="dxa"/>
            </w:tcMar>
            <w:shd w:val="clear" w:color="auto" w:fill="E5F5FF"/>
          </w:tcPr>
          <w:p>
            <w:pPr>
              <w:pStyle w:val="BDOITable"/>
            </w:pPr>
            <w:r>
              <w:rPr>
                <w:sz w:val="16"/>
              </w:rPr>
              <w:t>FRS BRD-1: account amendment before placement</w:t>
            </w:r>
          </w:p>
        </w:tc>
        <w:tc>
          <w:tcPr>
            <w:tcW w:type="dxa" w:w="2380"/>
            <w:tcMar>
              <w:top w:w="50" w:type="dxa"/>
              <w:bottom w:w="50" w:type="dxa"/>
              <w:left w:w="90" w:type="dxa"/>
              <w:right w:w="90" w:type="dxa"/>
            </w:tcMar>
            <w:shd w:val="clear" w:color="auto" w:fill="E5F5FF"/>
          </w:tcPr>
          <w:p>
            <w:pPr>
              <w:pStyle w:val="BDOITable"/>
            </w:pPr>
            <w:r>
              <w:rPr>
                <w:sz w:val="16"/>
              </w:rPr>
              <w:t>Meaning to confirm</w:t>
            </w:r>
          </w:p>
        </w:tc>
      </w:tr>
      <w:tr>
        <w:trPr>
          <w:cantSplit w:val="true"/>
        </w:trPr>
        <w:tc>
          <w:tcPr>
            <w:tcW w:type="dxa" w:w="2720"/>
            <w:tcMar>
              <w:top w:w="50" w:type="dxa"/>
              <w:bottom w:w="50" w:type="dxa"/>
              <w:left w:w="90" w:type="dxa"/>
              <w:right w:w="90" w:type="dxa"/>
            </w:tcMar>
          </w:tcPr>
          <w:p>
            <w:pPr>
              <w:pStyle w:val="BDOITable"/>
            </w:pPr>
            <w:r>
              <w:rPr>
                <w:b/>
                <w:sz w:val="16"/>
              </w:rPr>
              <w:t>Product / Package Maintenance (TSU)</w:t>
            </w:r>
          </w:p>
        </w:tc>
        <w:tc>
          <w:tcPr>
            <w:tcW w:type="dxa" w:w="4873"/>
            <w:tcMar>
              <w:top w:w="50" w:type="dxa"/>
              <w:bottom w:w="50" w:type="dxa"/>
              <w:left w:w="90" w:type="dxa"/>
              <w:right w:w="90" w:type="dxa"/>
            </w:tcMar>
          </w:tcPr>
          <w:p>
            <w:pPr>
              <w:pStyle w:val="BDOITable"/>
            </w:pPr>
            <w:r>
              <w:rPr>
                <w:sz w:val="16"/>
              </w:rPr>
              <w:t>FRS BRD-3</w:t>
            </w:r>
          </w:p>
        </w:tc>
        <w:tc>
          <w:tcPr>
            <w:tcW w:type="dxa" w:w="2380"/>
            <w:tcMar>
              <w:top w:w="50" w:type="dxa"/>
              <w:bottom w:w="50" w:type="dxa"/>
              <w:left w:w="90" w:type="dxa"/>
              <w:right w:w="90" w:type="dxa"/>
            </w:tcMar>
          </w:tcPr>
          <w:p>
            <w:pPr>
              <w:pStyle w:val="BDOITable"/>
            </w:pPr>
            <w:r>
              <w:rPr>
                <w:sz w:val="16"/>
              </w:rPr>
              <w:t>-</w:t>
            </w:r>
          </w:p>
        </w:tc>
      </w:tr>
      <w:tr>
        <w:trPr>
          <w:cantSplit w:val="true"/>
        </w:trPr>
        <w:tc>
          <w:tcPr>
            <w:tcW w:type="dxa" w:w="2720"/>
            <w:tcMar>
              <w:top w:w="50" w:type="dxa"/>
              <w:bottom w:w="50" w:type="dxa"/>
              <w:left w:w="90" w:type="dxa"/>
              <w:right w:w="90" w:type="dxa"/>
            </w:tcMar>
            <w:shd w:val="clear" w:color="auto" w:fill="E5F5FF"/>
          </w:tcPr>
          <w:p>
            <w:pPr>
              <w:pStyle w:val="BDOITable"/>
            </w:pPr>
            <w:r>
              <w:rPr>
                <w:b/>
                <w:sz w:val="16"/>
              </w:rPr>
              <w:t>Quotation capability for renewals</w:t>
            </w:r>
          </w:p>
        </w:tc>
        <w:tc>
          <w:tcPr>
            <w:tcW w:type="dxa" w:w="4873"/>
            <w:tcMar>
              <w:top w:w="50" w:type="dxa"/>
              <w:bottom w:w="50" w:type="dxa"/>
              <w:left w:w="90" w:type="dxa"/>
              <w:right w:w="90" w:type="dxa"/>
            </w:tcMar>
            <w:shd w:val="clear" w:color="auto" w:fill="E5F5FF"/>
          </w:tcPr>
          <w:p>
            <w:pPr>
              <w:pStyle w:val="BDOITable"/>
            </w:pPr>
            <w:r>
              <w:rPr>
                <w:sz w:val="16"/>
              </w:rPr>
              <w:t>FRS BRD-3 rating for renewals; business type BT0</w:t>
            </w:r>
          </w:p>
        </w:tc>
        <w:tc>
          <w:tcPr>
            <w:tcW w:type="dxa" w:w="238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720"/>
            <w:tcMar>
              <w:top w:w="50" w:type="dxa"/>
              <w:bottom w:w="50" w:type="dxa"/>
              <w:left w:w="90" w:type="dxa"/>
              <w:right w:w="90" w:type="dxa"/>
            </w:tcMar>
          </w:tcPr>
          <w:p>
            <w:pPr>
              <w:pStyle w:val="BDOITable"/>
            </w:pPr>
            <w:r>
              <w:rPr>
                <w:b/>
                <w:sz w:val="16"/>
              </w:rPr>
              <w:t>Submitted Policy renewal</w:t>
            </w:r>
          </w:p>
        </w:tc>
        <w:tc>
          <w:tcPr>
            <w:tcW w:type="dxa" w:w="4873"/>
            <w:tcMar>
              <w:top w:w="50" w:type="dxa"/>
              <w:bottom w:w="50" w:type="dxa"/>
              <w:left w:w="90" w:type="dxa"/>
              <w:right w:w="90" w:type="dxa"/>
            </w:tcMar>
          </w:tcPr>
          <w:p>
            <w:pPr>
              <w:pStyle w:val="BDOITable"/>
            </w:pPr>
            <w:r>
              <w:rPr>
                <w:sz w:val="16"/>
              </w:rPr>
              <w:t>FRS BRD-12 hand-off to Renewal (FRS BRD-6 FR-RN-090)</w:t>
            </w:r>
          </w:p>
        </w:tc>
        <w:tc>
          <w:tcPr>
            <w:tcW w:type="dxa" w:w="2380"/>
            <w:tcMar>
              <w:top w:w="50" w:type="dxa"/>
              <w:bottom w:w="50" w:type="dxa"/>
              <w:left w:w="90" w:type="dxa"/>
              <w:right w:w="90" w:type="dxa"/>
            </w:tcMar>
          </w:tcPr>
          <w:p>
            <w:pPr>
              <w:pStyle w:val="BDOITable"/>
            </w:pPr>
            <w:r>
              <w:rPr>
                <w:sz w:val="16"/>
              </w:rPr>
              <w:t>-</w:t>
            </w:r>
          </w:p>
        </w:tc>
      </w:tr>
      <w:tr>
        <w:trPr>
          <w:cantSplit w:val="true"/>
        </w:trPr>
        <w:tc>
          <w:tcPr>
            <w:tcW w:type="dxa" w:w="2720"/>
            <w:tcMar>
              <w:top w:w="50" w:type="dxa"/>
              <w:bottom w:w="50" w:type="dxa"/>
              <w:left w:w="90" w:type="dxa"/>
              <w:right w:w="90" w:type="dxa"/>
            </w:tcMar>
            <w:shd w:val="clear" w:color="auto" w:fill="E5F5FF"/>
          </w:tcPr>
          <w:p>
            <w:pPr>
              <w:pStyle w:val="BDOITable"/>
            </w:pPr>
            <w:r>
              <w:rPr>
                <w:b/>
                <w:sz w:val="16"/>
              </w:rPr>
              <w:t>Free First Year renewal</w:t>
            </w:r>
          </w:p>
        </w:tc>
        <w:tc>
          <w:tcPr>
            <w:tcW w:type="dxa" w:w="4873"/>
            <w:tcMar>
              <w:top w:w="50" w:type="dxa"/>
              <w:bottom w:w="50" w:type="dxa"/>
              <w:left w:w="90" w:type="dxa"/>
              <w:right w:w="90" w:type="dxa"/>
            </w:tcMar>
            <w:shd w:val="clear" w:color="auto" w:fill="E5F5FF"/>
          </w:tcPr>
          <w:p>
            <w:pPr>
              <w:pStyle w:val="BDOITable"/>
            </w:pPr>
            <w:r>
              <w:rPr>
                <w:sz w:val="16"/>
              </w:rPr>
              <w:t>FRS BRD-6 FFY Renewal Advice template; FRS BRD-12 FFY buckets</w:t>
            </w:r>
          </w:p>
        </w:tc>
        <w:tc>
          <w:tcPr>
            <w:tcW w:type="dxa" w:w="2380"/>
            <w:tcMar>
              <w:top w:w="50" w:type="dxa"/>
              <w:bottom w:w="50" w:type="dxa"/>
              <w:left w:w="90" w:type="dxa"/>
              <w:right w:w="90" w:type="dxa"/>
            </w:tcMar>
            <w:shd w:val="clear" w:color="auto" w:fill="E5F5FF"/>
          </w:tcPr>
          <w:p>
            <w:pPr>
              <w:pStyle w:val="BDOITable"/>
            </w:pPr>
            <w:r>
              <w:rPr>
                <w:sz w:val="16"/>
              </w:rPr>
              <w:t>Q36 payer open</w:t>
            </w:r>
          </w:p>
        </w:tc>
      </w:tr>
      <w:tr>
        <w:trPr>
          <w:cantSplit w:val="true"/>
        </w:trPr>
        <w:tc>
          <w:tcPr>
            <w:tcW w:type="dxa" w:w="2720"/>
            <w:tcMar>
              <w:top w:w="50" w:type="dxa"/>
              <w:bottom w:w="50" w:type="dxa"/>
              <w:left w:w="90" w:type="dxa"/>
              <w:right w:w="90" w:type="dxa"/>
            </w:tcMar>
          </w:tcPr>
          <w:p>
            <w:pPr>
              <w:pStyle w:val="BDOITable"/>
            </w:pPr>
            <w:r>
              <w:rPr>
                <w:b/>
                <w:sz w:val="16"/>
              </w:rPr>
              <w:t>Early migration of client master and reference data</w:t>
            </w:r>
          </w:p>
        </w:tc>
        <w:tc>
          <w:tcPr>
            <w:tcW w:type="dxa" w:w="4873"/>
            <w:tcMar>
              <w:top w:w="50" w:type="dxa"/>
              <w:bottom w:w="50" w:type="dxa"/>
              <w:left w:w="90" w:type="dxa"/>
              <w:right w:w="90" w:type="dxa"/>
            </w:tcMar>
          </w:tcPr>
          <w:p>
            <w:pPr>
              <w:pStyle w:val="BDOITable"/>
            </w:pPr>
            <w:r>
              <w:rPr>
                <w:sz w:val="16"/>
              </w:rPr>
              <w:t>FRS BRD-13: R01-R09, C01-C03 pre-loaded two weeks before go-live</w:t>
            </w:r>
          </w:p>
        </w:tc>
        <w:tc>
          <w:tcPr>
            <w:tcW w:type="dxa" w:w="2380"/>
            <w:tcMar>
              <w:top w:w="50" w:type="dxa"/>
              <w:bottom w:w="50" w:type="dxa"/>
              <w:left w:w="90" w:type="dxa"/>
              <w:right w:w="90" w:type="dxa"/>
            </w:tcMar>
          </w:tcPr>
          <w:p>
            <w:pPr>
              <w:pStyle w:val="BDOITable"/>
            </w:pPr>
            <w:r>
              <w:rPr>
                <w:sz w:val="16"/>
              </w:rPr>
              <w:t>No longer early (answer A1)</w:t>
            </w:r>
          </w:p>
        </w:tc>
      </w:tr>
    </w:tbl>
    <w:p>
      <w:pPr>
        <w:pStyle w:val="BDOISpacer"/>
      </w:pPr>
    </w:p>
    <w:p>
      <w:pPr>
        <w:pStyle w:val="Heading2"/>
      </w:pPr>
      <w:bookmarkStart w:id="114" w:name="_Toc000114"/>
      <w:r>
        <w:rPr/>
        <w:t>3.3 What remains from the paper</w:t>
      </w:r>
      <w:bookmarkEnd w:id="114"/>
    </w:p>
    <w:p>
      <w:r>
        <w:rPr>
          <w:b/>
        </w:rPr>
        <w:t>Renewals around the cut-over (IQ02).</w:t>
      </w:r>
      <w:r>
        <w:rPr/>
        <w:t xml:space="preserve"> Legacy keeps extracting, disposing, placing and booking renewals until the freeze. At go-live (T), the RMEL cohorts expiring from T to T + 140 days are already in disposition in legacy; they are carried forward into BIBS Renewal with their disposition, handler and status (migration object P03), and renew on the new-business path pre-filled from the migrated header. Later cohorts are extracted by BIBS. Renewals expiring between the freeze and T must be placed in legacy before the freeze or held by hold covers.</w:t>
      </w:r>
    </w:p>
    <w:p>
      <w:r>
        <w:rPr>
          <w:b/>
        </w:rPr>
        <w:t>Package remapping (IQ03).</w:t>
      </w:r>
      <w:r>
        <w:rPr/>
        <w:t xml:space="preserve"> The paper's first risk remains: legacy package names must map to the BIBS packages, for the migrated headers (P01), the carried-forward cohorts (P03) and the package versions (R06). Options:</w:t>
      </w:r>
    </w:p>
    <w:p>
      <w:pPr>
        <w:pStyle w:val="Caption"/>
        <w:keepNext/>
        <w:spacing w:after="60"/>
      </w:pPr>
      <w:r>
        <w:rPr>
          <w:b/>
          <w:i w:val="0"/>
        </w:rPr>
        <w:t xml:space="preserve">Table 10: </w:t>
      </w:r>
      <w:r>
        <w:rPr/>
        <w:t>Package remapping options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23"/>
        <w:gridCol w:w="3462"/>
        <w:gridCol w:w="2493"/>
        <w:gridCol w:w="2493"/>
      </w:tblGrid>
      <w:tr>
        <w:trPr>
          <w:tblHeader w:val="true"/>
          <w:cantSplit w:val="true"/>
        </w:trPr>
        <w:tc>
          <w:tcPr>
            <w:tcW w:type="dxa" w:w="1523"/>
            <w:shd w:val="clear" w:color="auto" w:fill="004EA8"/>
            <w:tcMar>
              <w:top w:w="50" w:type="dxa"/>
              <w:bottom w:w="50" w:type="dxa"/>
              <w:left w:w="90" w:type="dxa"/>
              <w:right w:w="90" w:type="dxa"/>
            </w:tcMar>
            <w:vAlign w:val="center"/>
          </w:tcPr>
          <w:p>
            <w:pPr>
              <w:pStyle w:val="BDOITableHeader"/>
            </w:pPr>
            <w:r>
              <w:rPr>
                <w:b/>
                <w:color w:val="FFFFFF"/>
                <w:sz w:val="17"/>
              </w:rPr>
              <w:t>Option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7"/>
              </w:rPr>
              <w:t>How</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7"/>
              </w:rPr>
              <w:t>For</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7"/>
              </w:rPr>
              <w:t>Against</w:t>
            </w:r>
          </w:p>
        </w:tc>
      </w:tr>
      <w:tr>
        <w:trPr>
          <w:cantSplit w:val="true"/>
        </w:trPr>
        <w:tc>
          <w:tcPr>
            <w:tcW w:type="dxa" w:w="1523"/>
            <w:tcMar>
              <w:top w:w="50" w:type="dxa"/>
              <w:bottom w:w="50" w:type="dxa"/>
              <w:left w:w="90" w:type="dxa"/>
              <w:right w:w="90" w:type="dxa"/>
            </w:tcMar>
          </w:tcPr>
          <w:p>
            <w:pPr>
              <w:pStyle w:val="BDOITable"/>
            </w:pPr>
            <w:r>
              <w:rPr>
                <w:b/>
                <w:sz w:val="17"/>
              </w:rPr>
              <w:t>1. At upload</w:t>
            </w:r>
          </w:p>
        </w:tc>
        <w:tc>
          <w:tcPr>
            <w:tcW w:type="dxa" w:w="3462"/>
            <w:tcMar>
              <w:top w:w="50" w:type="dxa"/>
              <w:bottom w:w="50" w:type="dxa"/>
              <w:left w:w="90" w:type="dxa"/>
              <w:right w:w="90" w:type="dxa"/>
            </w:tcMar>
          </w:tcPr>
          <w:p>
            <w:pPr>
              <w:pStyle w:val="BDOITable"/>
            </w:pPr>
            <w:r>
              <w:rPr>
                <w:sz w:val="17"/>
              </w:rPr>
              <w:t>A versioned PACKAGE code map applied at migration intake; unmapped codes stop the batch</w:t>
            </w:r>
          </w:p>
        </w:tc>
        <w:tc>
          <w:tcPr>
            <w:tcW w:type="dxa" w:w="2493"/>
            <w:tcMar>
              <w:top w:w="50" w:type="dxa"/>
              <w:bottom w:w="50" w:type="dxa"/>
              <w:left w:w="90" w:type="dxa"/>
              <w:right w:w="90" w:type="dxa"/>
            </w:tcMar>
          </w:tcPr>
          <w:p>
            <w:pPr>
              <w:pStyle w:val="BDOITable"/>
            </w:pPr>
            <w:r>
              <w:rPr>
                <w:sz w:val="17"/>
              </w:rPr>
              <w:t>One decision per legacy package, signed at gate G2, reconciled</w:t>
            </w:r>
          </w:p>
        </w:tc>
        <w:tc>
          <w:tcPr>
            <w:tcW w:type="dxa" w:w="2493"/>
            <w:tcMar>
              <w:top w:w="50" w:type="dxa"/>
              <w:bottom w:w="50" w:type="dxa"/>
              <w:left w:w="90" w:type="dxa"/>
              <w:right w:w="90" w:type="dxa"/>
            </w:tcMar>
          </w:tcPr>
          <w:p>
            <w:pPr>
              <w:pStyle w:val="BDOITable"/>
            </w:pPr>
            <w:r>
              <w:rPr>
                <w:sz w:val="17"/>
              </w:rPr>
              <w:t>A package that needs a per-policy decision (split packages) cannot be mapped one to one</w:t>
            </w:r>
          </w:p>
        </w:tc>
      </w:tr>
      <w:tr>
        <w:trPr>
          <w:cantSplit w:val="true"/>
        </w:trPr>
        <w:tc>
          <w:tcPr>
            <w:tcW w:type="dxa" w:w="1523"/>
            <w:tcMar>
              <w:top w:w="50" w:type="dxa"/>
              <w:bottom w:w="50" w:type="dxa"/>
              <w:left w:w="90" w:type="dxa"/>
              <w:right w:w="90" w:type="dxa"/>
            </w:tcMar>
            <w:shd w:val="clear" w:color="auto" w:fill="E5F5FF"/>
          </w:tcPr>
          <w:p>
            <w:pPr>
              <w:pStyle w:val="BDOITable"/>
            </w:pPr>
            <w:r>
              <w:rPr>
                <w:b/>
                <w:sz w:val="17"/>
              </w:rPr>
              <w:t>2. In sanitation</w:t>
            </w:r>
          </w:p>
        </w:tc>
        <w:tc>
          <w:tcPr>
            <w:tcW w:type="dxa" w:w="3462"/>
            <w:tcMar>
              <w:top w:w="50" w:type="dxa"/>
              <w:bottom w:w="50" w:type="dxa"/>
              <w:left w:w="90" w:type="dxa"/>
              <w:right w:w="90" w:type="dxa"/>
            </w:tcMar>
            <w:shd w:val="clear" w:color="auto" w:fill="E5F5FF"/>
          </w:tcPr>
          <w:p>
            <w:pPr>
              <w:pStyle w:val="BDOITable"/>
            </w:pPr>
            <w:r>
              <w:rPr>
                <w:sz w:val="17"/>
              </w:rPr>
              <w:t>A renewal check proposes the package per candidate; TSU confirms</w:t>
            </w:r>
          </w:p>
        </w:tc>
        <w:tc>
          <w:tcPr>
            <w:tcW w:type="dxa" w:w="2493"/>
            <w:tcMar>
              <w:top w:w="50" w:type="dxa"/>
              <w:bottom w:w="50" w:type="dxa"/>
              <w:left w:w="90" w:type="dxa"/>
              <w:right w:w="90" w:type="dxa"/>
            </w:tcMar>
            <w:shd w:val="clear" w:color="auto" w:fill="E5F5FF"/>
          </w:tcPr>
          <w:p>
            <w:pPr>
              <w:pStyle w:val="BDOITable"/>
            </w:pPr>
            <w:r>
              <w:rPr>
                <w:sz w:val="17"/>
              </w:rPr>
              <w:t>Handles per-policy cases</w:t>
            </w:r>
          </w:p>
        </w:tc>
        <w:tc>
          <w:tcPr>
            <w:tcW w:type="dxa" w:w="2493"/>
            <w:tcMar>
              <w:top w:w="50" w:type="dxa"/>
              <w:bottom w:w="50" w:type="dxa"/>
              <w:left w:w="90" w:type="dxa"/>
              <w:right w:w="90" w:type="dxa"/>
            </w:tcMar>
            <w:shd w:val="clear" w:color="auto" w:fill="E5F5FF"/>
          </w:tcPr>
          <w:p>
            <w:pPr>
              <w:pStyle w:val="BDOITable"/>
            </w:pPr>
            <w:r>
              <w:rPr>
                <w:sz w:val="17"/>
              </w:rPr>
              <w:t>Thousands of manual decisions; inconsistent results</w:t>
            </w:r>
          </w:p>
        </w:tc>
      </w:tr>
      <w:tr>
        <w:trPr>
          <w:cantSplit w:val="true"/>
        </w:trPr>
        <w:tc>
          <w:tcPr>
            <w:tcW w:type="dxa" w:w="1523"/>
            <w:tcMar>
              <w:top w:w="50" w:type="dxa"/>
              <w:bottom w:w="50" w:type="dxa"/>
              <w:left w:w="90" w:type="dxa"/>
              <w:right w:w="90" w:type="dxa"/>
            </w:tcMar>
          </w:tcPr>
          <w:p>
            <w:pPr>
              <w:pStyle w:val="BDOITable"/>
            </w:pPr>
            <w:r>
              <w:rPr>
                <w:b/>
                <w:sz w:val="17"/>
              </w:rPr>
              <w:t>3. Both (recommended)</w:t>
            </w:r>
          </w:p>
        </w:tc>
        <w:tc>
          <w:tcPr>
            <w:tcW w:type="dxa" w:w="3462"/>
            <w:tcMar>
              <w:top w:w="50" w:type="dxa"/>
              <w:bottom w:w="50" w:type="dxa"/>
              <w:left w:w="90" w:type="dxa"/>
              <w:right w:w="90" w:type="dxa"/>
            </w:tcMar>
          </w:tcPr>
          <w:p>
            <w:pPr>
              <w:pStyle w:val="BDOITable"/>
            </w:pPr>
            <w:r>
              <w:rPr>
                <w:sz w:val="17"/>
              </w:rPr>
              <w:t>Code map at intake for every one-to-one mapping; a renewal sanitation check sends candidates with an unmapped, retired or split package to the Review bucket for TSU; each TSU decision can add a code map version</w:t>
            </w:r>
          </w:p>
        </w:tc>
        <w:tc>
          <w:tcPr>
            <w:tcW w:type="dxa" w:w="2493"/>
            <w:tcMar>
              <w:top w:w="50" w:type="dxa"/>
              <w:bottom w:w="50" w:type="dxa"/>
              <w:left w:w="90" w:type="dxa"/>
              <w:right w:w="90" w:type="dxa"/>
            </w:tcMar>
          </w:tcPr>
          <w:p>
            <w:pPr>
              <w:pStyle w:val="BDOITable"/>
            </w:pPr>
            <w:r>
              <w:rPr>
                <w:sz w:val="17"/>
              </w:rPr>
              <w:t>Deterministic for the bulk, controlled for exceptions</w:t>
            </w:r>
          </w:p>
        </w:tc>
        <w:tc>
          <w:tcPr>
            <w:tcW w:type="dxa" w:w="2493"/>
            <w:tcMar>
              <w:top w:w="50" w:type="dxa"/>
              <w:bottom w:w="50" w:type="dxa"/>
              <w:left w:w="90" w:type="dxa"/>
              <w:right w:w="90" w:type="dxa"/>
            </w:tcMar>
          </w:tcPr>
          <w:p>
            <w:pPr>
              <w:pStyle w:val="BDOITable"/>
            </w:pPr>
            <w:r>
              <w:rPr>
                <w:sz w:val="17"/>
              </w:rPr>
              <w:t>Two places to explain in training</w:t>
            </w:r>
          </w:p>
        </w:tc>
      </w:tr>
    </w:tbl>
    <w:p>
      <w:pPr>
        <w:pStyle w:val="BDOISpacer"/>
      </w:pPr>
    </w:p>
    <w:p>
      <w:r>
        <w:rPr/>
        <w:t>Recommendation: option 3, owned by TSU (Product Maintenance) with the MBS data steward; the mapping rules are agreed before the first full extract (15 January 2027) and tested with sample RMEL files in Trial migration 1.</w:t>
      </w:r>
    </w:p>
    <w:p>
      <w:r>
        <w:rPr>
          <w:b/>
        </w:rPr>
        <w:t>The early renewal release.</w:t>
      </w:r>
      <w:r>
        <w:rPr/>
        <w:t xml:space="preserve"> Not planned (A1). Renewal follows the drops: it is delivered with Drop 1 (November 2026 to February 2027) and tested in SIT and UAT Drop 1.</w:t>
      </w:r>
    </w:p>
    <w:p>
      <w:pPr>
        <w:pStyle w:val="Heading1"/>
        <w:pageBreakBefore/>
        <w:pBdr>
          <w:bottom w:val="single" w:sz="4" w:space="4" w:color="99C1E7"/>
        </w:pBdr>
      </w:pPr>
      <w:bookmarkStart w:id="115" w:name="_Toc000115"/>
      <w:r>
        <w:rPr/>
        <w:t>4 Timeline alignment</w:t>
      </w:r>
      <w:bookmarkEnd w:id="115"/>
    </w:p>
    <w:p>
      <w:pPr>
        <w:pStyle w:val="Heading2"/>
      </w:pPr>
      <w:bookmarkStart w:id="116" w:name="_Toc000116"/>
      <w:r>
        <w:rPr/>
        <w:t>4.1 BDOI timeline against the BIBS plan</w:t>
      </w:r>
      <w:bookmarkEnd w:id="116"/>
    </w:p>
    <w:p>
      <w:r>
        <w:rPr/>
        <w:t>The slide (S2) runs requirements and development in three periods of about two months: first setup and upstream, then downstream, then the independent modules. Read from the bars, the requirements of Drop 1 run from September to November 2026 (the transcription says September to October) and those of Drop 2 from December 2026 to February 2027. Drop 0 has no bar of its own; it is part of the first period.</w:t>
      </w:r>
    </w:p>
    <w:p>
      <w:r>
        <w:rPr/>
        <w:t>The BDOI development windows cover the Drop 1 and Drop 2 BRDs, the integrations, the S3 document store and the changes that come out of the FRS sign-off.</w:t>
      </w:r>
    </w:p>
    <w:p>
      <w:pPr>
        <w:pStyle w:val="Caption"/>
        <w:keepNext/>
        <w:spacing w:after="60"/>
      </w:pPr>
      <w:r>
        <w:rPr>
          <w:b/>
          <w:i w:val="0"/>
        </w:rPr>
        <w:t xml:space="preserve">Table 11: </w:t>
      </w:r>
      <w:r>
        <w:rPr/>
        <w:t>BDOI timeline against the BIBS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33"/>
        <w:gridCol w:w="2035"/>
        <w:gridCol w:w="6004"/>
      </w:tblGrid>
      <w:tr>
        <w:trPr>
          <w:tblHeader w:val="true"/>
          <w:cantSplit w:val="true"/>
        </w:trPr>
        <w:tc>
          <w:tcPr>
            <w:tcW w:type="dxa" w:w="1933"/>
            <w:shd w:val="clear" w:color="auto" w:fill="004EA8"/>
            <w:tcMar>
              <w:top w:w="50" w:type="dxa"/>
              <w:bottom w:w="50" w:type="dxa"/>
              <w:left w:w="90" w:type="dxa"/>
              <w:right w:w="90" w:type="dxa"/>
            </w:tcMar>
            <w:vAlign w:val="center"/>
          </w:tcPr>
          <w:p>
            <w:pPr>
              <w:pStyle w:val="BDOITableHeader"/>
            </w:pPr>
            <w:r>
              <w:rPr>
                <w:b/>
                <w:color w:val="FFFFFF"/>
                <w:sz w:val="15"/>
              </w:rPr>
              <w:t>Stream</w:t>
            </w:r>
          </w:p>
        </w:tc>
        <w:tc>
          <w:tcPr>
            <w:tcW w:type="dxa" w:w="2035"/>
            <w:shd w:val="clear" w:color="auto" w:fill="004EA8"/>
            <w:tcMar>
              <w:top w:w="50" w:type="dxa"/>
              <w:bottom w:w="50" w:type="dxa"/>
              <w:left w:w="90" w:type="dxa"/>
              <w:right w:w="90" w:type="dxa"/>
            </w:tcMar>
            <w:vAlign w:val="center"/>
          </w:tcPr>
          <w:p>
            <w:pPr>
              <w:pStyle w:val="BDOITableHeader"/>
            </w:pPr>
            <w:r>
              <w:rPr>
                <w:b/>
                <w:color w:val="FFFFFF"/>
                <w:sz w:val="15"/>
              </w:rPr>
              <w:t>BDOI window</w:t>
            </w:r>
          </w:p>
        </w:tc>
        <w:tc>
          <w:tcPr>
            <w:tcW w:type="dxa" w:w="6004"/>
            <w:shd w:val="clear" w:color="auto" w:fill="004EA8"/>
            <w:tcMar>
              <w:top w:w="50" w:type="dxa"/>
              <w:bottom w:w="50" w:type="dxa"/>
              <w:left w:w="90" w:type="dxa"/>
              <w:right w:w="90" w:type="dxa"/>
            </w:tcMar>
            <w:vAlign w:val="center"/>
          </w:tcPr>
          <w:p>
            <w:pPr>
              <w:pStyle w:val="BDOITableHeader"/>
            </w:pPr>
            <w:r>
              <w:rPr>
                <w:b/>
                <w:color w:val="FFFFFF"/>
                <w:sz w:val="15"/>
              </w:rPr>
              <w:t>What we deliver, by when</w:t>
            </w:r>
          </w:p>
        </w:tc>
      </w:tr>
      <w:tr>
        <w:trPr>
          <w:cantSplit w:val="true"/>
        </w:trPr>
        <w:tc>
          <w:tcPr>
            <w:tcW w:type="dxa" w:w="1933"/>
            <w:tcMar>
              <w:top w:w="50" w:type="dxa"/>
              <w:bottom w:w="50" w:type="dxa"/>
              <w:left w:w="90" w:type="dxa"/>
              <w:right w:w="90" w:type="dxa"/>
            </w:tcMar>
          </w:tcPr>
          <w:p>
            <w:pPr>
              <w:pStyle w:val="BDOITable"/>
            </w:pPr>
            <w:r>
              <w:rPr>
                <w:b/>
                <w:sz w:val="15"/>
              </w:rPr>
              <w:t>Requirements Drop 1 (with Drop 0 setup)</w:t>
            </w:r>
          </w:p>
        </w:tc>
        <w:tc>
          <w:tcPr>
            <w:tcW w:type="dxa" w:w="2035"/>
            <w:tcMar>
              <w:top w:w="50" w:type="dxa"/>
              <w:bottom w:w="50" w:type="dxa"/>
              <w:left w:w="90" w:type="dxa"/>
              <w:right w:w="90" w:type="dxa"/>
            </w:tcMar>
          </w:tcPr>
          <w:p>
            <w:pPr>
              <w:pStyle w:val="BDOITable"/>
            </w:pPr>
            <w:r>
              <w:rPr>
                <w:sz w:val="15"/>
              </w:rPr>
              <w:t>Sep - Nov 2026 (slide bar; the transcription says Sep - Oct)</w:t>
            </w:r>
          </w:p>
        </w:tc>
        <w:tc>
          <w:tcPr>
            <w:tcW w:type="dxa" w:w="6004"/>
            <w:tcMar>
              <w:top w:w="50" w:type="dxa"/>
              <w:bottom w:w="50" w:type="dxa"/>
              <w:left w:w="90" w:type="dxa"/>
              <w:right w:w="90" w:type="dxa"/>
            </w:tcMar>
          </w:tcPr>
          <w:p>
            <w:pPr>
              <w:pStyle w:val="BDOITable"/>
            </w:pPr>
            <w:r>
              <w:rPr>
                <w:sz w:val="15"/>
              </w:rPr>
              <w:t>FRS v1.0 of BRD-00, 1, 2, 3, 5, 6, 9, 10, 11, 12, 13 and register v1.1 issued 25-26 Sep 2026; FRS v1.1 with BDOI comments by 13 Nov 2026; sign-off by 30 Nov 2026; answers to the priority-1 IQ / DCR items by 16 Oct 2026</w:t>
            </w:r>
          </w:p>
        </w:tc>
      </w:tr>
      <w:tr>
        <w:trPr>
          <w:cantSplit w:val="true"/>
        </w:trPr>
        <w:tc>
          <w:tcPr>
            <w:tcW w:type="dxa" w:w="1933"/>
            <w:tcMar>
              <w:top w:w="50" w:type="dxa"/>
              <w:bottom w:w="50" w:type="dxa"/>
              <w:left w:w="90" w:type="dxa"/>
              <w:right w:w="90" w:type="dxa"/>
            </w:tcMar>
            <w:shd w:val="clear" w:color="auto" w:fill="E5F5FF"/>
          </w:tcPr>
          <w:p>
            <w:pPr>
              <w:pStyle w:val="BDOITable"/>
            </w:pPr>
            <w:r>
              <w:rPr>
                <w:b/>
                <w:sz w:val="15"/>
              </w:rPr>
              <w:t>Requirements / mapping Migration</w:t>
            </w:r>
          </w:p>
        </w:tc>
        <w:tc>
          <w:tcPr>
            <w:tcW w:type="dxa" w:w="2035"/>
            <w:tcMar>
              <w:top w:w="50" w:type="dxa"/>
              <w:bottom w:w="50" w:type="dxa"/>
              <w:left w:w="90" w:type="dxa"/>
              <w:right w:w="90" w:type="dxa"/>
            </w:tcMar>
            <w:shd w:val="clear" w:color="auto" w:fill="E5F5FF"/>
          </w:tcPr>
          <w:p>
            <w:pPr>
              <w:pStyle w:val="BDOITable"/>
            </w:pPr>
            <w:r>
              <w:rPr>
                <w:sz w:val="15"/>
              </w:rPr>
              <w:t>Sep - Nov 2026</w:t>
            </w:r>
          </w:p>
        </w:tc>
        <w:tc>
          <w:tcPr>
            <w:tcW w:type="dxa" w:w="6004"/>
            <w:tcMar>
              <w:top w:w="50" w:type="dxa"/>
              <w:bottom w:w="50" w:type="dxa"/>
              <w:left w:w="90" w:type="dxa"/>
              <w:right w:w="90" w:type="dxa"/>
            </w:tcMar>
            <w:shd w:val="clear" w:color="auto" w:fill="E5F5FF"/>
          </w:tcPr>
          <w:p>
            <w:pPr>
              <w:pStyle w:val="BDOITable"/>
            </w:pPr>
            <w:r>
              <w:rPr>
                <w:sz w:val="15"/>
              </w:rPr>
              <w:t>Migration pack v1.0 issued 26 Sep 2026 (strategy, workbook, runbook, reconciliation); object decisions (G1) and layouts frozen by 30 Nov 2026; first full extracts by 15 Jan 2027</w:t>
            </w:r>
          </w:p>
        </w:tc>
      </w:tr>
      <w:tr>
        <w:trPr>
          <w:cantSplit w:val="true"/>
        </w:trPr>
        <w:tc>
          <w:tcPr>
            <w:tcW w:type="dxa" w:w="1933"/>
            <w:tcMar>
              <w:top w:w="50" w:type="dxa"/>
              <w:bottom w:w="50" w:type="dxa"/>
              <w:left w:w="90" w:type="dxa"/>
              <w:right w:w="90" w:type="dxa"/>
            </w:tcMar>
          </w:tcPr>
          <w:p>
            <w:pPr>
              <w:pStyle w:val="BDOITable"/>
            </w:pPr>
            <w:r>
              <w:rPr>
                <w:b/>
                <w:sz w:val="15"/>
              </w:rPr>
              <w:t>Requirements Drop 2</w:t>
            </w:r>
          </w:p>
        </w:tc>
        <w:tc>
          <w:tcPr>
            <w:tcW w:type="dxa" w:w="2035"/>
            <w:tcMar>
              <w:top w:w="50" w:type="dxa"/>
              <w:bottom w:w="50" w:type="dxa"/>
              <w:left w:w="90" w:type="dxa"/>
              <w:right w:w="90" w:type="dxa"/>
            </w:tcMar>
          </w:tcPr>
          <w:p>
            <w:pPr>
              <w:pStyle w:val="BDOITable"/>
            </w:pPr>
            <w:r>
              <w:rPr>
                <w:sz w:val="15"/>
              </w:rPr>
              <w:t>Dec 2026 - Feb 2027</w:t>
            </w:r>
          </w:p>
        </w:tc>
        <w:tc>
          <w:tcPr>
            <w:tcW w:type="dxa" w:w="6004"/>
            <w:tcMar>
              <w:top w:w="50" w:type="dxa"/>
              <w:bottom w:w="50" w:type="dxa"/>
              <w:left w:w="90" w:type="dxa"/>
              <w:right w:w="90" w:type="dxa"/>
            </w:tcMar>
          </w:tcPr>
          <w:p>
            <w:pPr>
              <w:pStyle w:val="BDOITable"/>
            </w:pPr>
            <w:r>
              <w:rPr>
                <w:sz w:val="15"/>
              </w:rPr>
              <w:t>FRS v1.0 of BRD-4, 7, 8 issued; EB FRS re-issued without the portal; sign-off by 26 Feb 2027; EGL, EDP, CARMS and insurer specifications from BDOI IT by 31 Jan 2027</w:t>
            </w:r>
          </w:p>
        </w:tc>
      </w:tr>
      <w:tr>
        <w:trPr>
          <w:cantSplit w:val="true"/>
        </w:trPr>
        <w:tc>
          <w:tcPr>
            <w:tcW w:type="dxa" w:w="1933"/>
            <w:tcMar>
              <w:top w:w="50" w:type="dxa"/>
              <w:bottom w:w="50" w:type="dxa"/>
              <w:left w:w="90" w:type="dxa"/>
              <w:right w:w="90" w:type="dxa"/>
            </w:tcMar>
            <w:shd w:val="clear" w:color="auto" w:fill="E5F5FF"/>
          </w:tcPr>
          <w:p>
            <w:pPr>
              <w:pStyle w:val="BDOITable"/>
            </w:pPr>
            <w:r>
              <w:rPr>
                <w:b/>
                <w:sz w:val="15"/>
              </w:rPr>
              <w:t>Development Drop 1</w:t>
            </w:r>
          </w:p>
        </w:tc>
        <w:tc>
          <w:tcPr>
            <w:tcW w:type="dxa" w:w="2035"/>
            <w:tcMar>
              <w:top w:w="50" w:type="dxa"/>
              <w:bottom w:w="50" w:type="dxa"/>
              <w:left w:w="90" w:type="dxa"/>
              <w:right w:w="90" w:type="dxa"/>
            </w:tcMar>
            <w:shd w:val="clear" w:color="auto" w:fill="E5F5FF"/>
          </w:tcPr>
          <w:p>
            <w:pPr>
              <w:pStyle w:val="BDOITable"/>
            </w:pPr>
            <w:r>
              <w:rPr>
                <w:sz w:val="15"/>
              </w:rPr>
              <w:t>Nov 2026 - Feb 2027</w:t>
            </w:r>
          </w:p>
        </w:tc>
        <w:tc>
          <w:tcPr>
            <w:tcW w:type="dxa" w:w="6004"/>
            <w:tcMar>
              <w:top w:w="50" w:type="dxa"/>
              <w:bottom w:w="50" w:type="dxa"/>
              <w:left w:w="90" w:type="dxa"/>
              <w:right w:w="90" w:type="dxa"/>
            </w:tcMar>
            <w:shd w:val="clear" w:color="auto" w:fill="E5F5FF"/>
          </w:tcPr>
          <w:p>
            <w:pPr>
              <w:pStyle w:val="BDOITable"/>
            </w:pPr>
            <w:r>
              <w:rPr>
                <w:sz w:val="15"/>
              </w:rPr>
              <w:t>Submitted Policies, Renewal, CSF account maintenance, EIAM, UIDM-ISC, the S3 document store, bank channel layouts and the changes from the signed FRS</w:t>
            </w:r>
          </w:p>
        </w:tc>
      </w:tr>
      <w:tr>
        <w:trPr>
          <w:cantSplit w:val="true"/>
        </w:trPr>
        <w:tc>
          <w:tcPr>
            <w:tcW w:type="dxa" w:w="1933"/>
            <w:tcMar>
              <w:top w:w="50" w:type="dxa"/>
              <w:bottom w:w="50" w:type="dxa"/>
              <w:left w:w="90" w:type="dxa"/>
              <w:right w:w="90" w:type="dxa"/>
            </w:tcMar>
          </w:tcPr>
          <w:p>
            <w:pPr>
              <w:pStyle w:val="BDOITable"/>
            </w:pPr>
            <w:r>
              <w:rPr>
                <w:b/>
                <w:sz w:val="15"/>
              </w:rPr>
              <w:t>Development Migration</w:t>
            </w:r>
          </w:p>
        </w:tc>
        <w:tc>
          <w:tcPr>
            <w:tcW w:type="dxa" w:w="2035"/>
            <w:tcMar>
              <w:top w:w="50" w:type="dxa"/>
              <w:bottom w:w="50" w:type="dxa"/>
              <w:left w:w="90" w:type="dxa"/>
              <w:right w:w="90" w:type="dxa"/>
            </w:tcMar>
          </w:tcPr>
          <w:p>
            <w:pPr>
              <w:pStyle w:val="BDOITable"/>
            </w:pPr>
            <w:r>
              <w:rPr>
                <w:sz w:val="15"/>
              </w:rPr>
              <w:t>Nov 2026 - Mar 2027</w:t>
            </w:r>
          </w:p>
        </w:tc>
        <w:tc>
          <w:tcPr>
            <w:tcW w:type="dxa" w:w="6004"/>
            <w:tcMar>
              <w:top w:w="50" w:type="dxa"/>
              <w:bottom w:w="50" w:type="dxa"/>
              <w:left w:w="90" w:type="dxa"/>
              <w:right w:w="90" w:type="dxa"/>
            </w:tcMar>
          </w:tcPr>
          <w:p>
            <w:pPr>
              <w:pStyle w:val="BDOITable"/>
            </w:pPr>
            <w:r>
              <w:rPr>
                <w:sz w:val="15"/>
              </w:rPr>
              <w:t>Migration Console and loaders by 31 Mar 2027</w:t>
            </w:r>
          </w:p>
        </w:tc>
      </w:tr>
      <w:tr>
        <w:trPr>
          <w:cantSplit w:val="true"/>
        </w:trPr>
        <w:tc>
          <w:tcPr>
            <w:tcW w:type="dxa" w:w="1933"/>
            <w:tcMar>
              <w:top w:w="50" w:type="dxa"/>
              <w:bottom w:w="50" w:type="dxa"/>
              <w:left w:w="90" w:type="dxa"/>
              <w:right w:w="90" w:type="dxa"/>
            </w:tcMar>
            <w:shd w:val="clear" w:color="auto" w:fill="E5F5FF"/>
          </w:tcPr>
          <w:p>
            <w:pPr>
              <w:pStyle w:val="BDOITable"/>
            </w:pPr>
            <w:r>
              <w:rPr>
                <w:b/>
                <w:sz w:val="15"/>
              </w:rPr>
              <w:t>Development Drop 2</w:t>
            </w:r>
          </w:p>
        </w:tc>
        <w:tc>
          <w:tcPr>
            <w:tcW w:type="dxa" w:w="2035"/>
            <w:tcMar>
              <w:top w:w="50" w:type="dxa"/>
              <w:bottom w:w="50" w:type="dxa"/>
              <w:left w:w="90" w:type="dxa"/>
              <w:right w:w="90" w:type="dxa"/>
            </w:tcMar>
            <w:shd w:val="clear" w:color="auto" w:fill="E5F5FF"/>
          </w:tcPr>
          <w:p>
            <w:pPr>
              <w:pStyle w:val="BDOITable"/>
            </w:pPr>
            <w:r>
              <w:rPr>
                <w:sz w:val="15"/>
              </w:rPr>
              <w:t>Mar - Apr 2027</w:t>
            </w:r>
          </w:p>
        </w:tc>
        <w:tc>
          <w:tcPr>
            <w:tcW w:type="dxa" w:w="6004"/>
            <w:tcMar>
              <w:top w:w="50" w:type="dxa"/>
              <w:bottom w:w="50" w:type="dxa"/>
              <w:left w:w="90" w:type="dxa"/>
              <w:right w:w="90" w:type="dxa"/>
            </w:tcMar>
            <w:shd w:val="clear" w:color="auto" w:fill="E5F5FF"/>
          </w:tcPr>
          <w:p>
            <w:pPr>
              <w:pStyle w:val="BDOITable"/>
            </w:pPr>
            <w:r>
              <w:rPr>
                <w:sz w:val="15"/>
              </w:rPr>
              <w:t>Claims, EB without portal, CSF, EGL / EDP / insurer interfaces and other reports by 30 Apr 2027</w:t>
            </w:r>
          </w:p>
        </w:tc>
      </w:tr>
      <w:tr>
        <w:trPr>
          <w:cantSplit w:val="true"/>
        </w:trPr>
        <w:tc>
          <w:tcPr>
            <w:tcW w:type="dxa" w:w="1933"/>
            <w:tcMar>
              <w:top w:w="50" w:type="dxa"/>
              <w:bottom w:w="50" w:type="dxa"/>
              <w:left w:w="90" w:type="dxa"/>
              <w:right w:w="90" w:type="dxa"/>
            </w:tcMar>
          </w:tcPr>
          <w:p>
            <w:pPr>
              <w:pStyle w:val="BDOITable"/>
            </w:pPr>
            <w:r>
              <w:rPr>
                <w:b/>
                <w:sz w:val="15"/>
              </w:rPr>
              <w:t>SIT Drop 1</w:t>
            </w:r>
          </w:p>
        </w:tc>
        <w:tc>
          <w:tcPr>
            <w:tcW w:type="dxa" w:w="2035"/>
            <w:tcMar>
              <w:top w:w="50" w:type="dxa"/>
              <w:bottom w:w="50" w:type="dxa"/>
              <w:left w:w="90" w:type="dxa"/>
              <w:right w:w="90" w:type="dxa"/>
            </w:tcMar>
          </w:tcPr>
          <w:p>
            <w:pPr>
              <w:pStyle w:val="BDOITable"/>
            </w:pPr>
            <w:r>
              <w:rPr>
                <w:sz w:val="15"/>
              </w:rPr>
              <w:t>Jan - Jul 2027</w:t>
            </w:r>
          </w:p>
        </w:tc>
        <w:tc>
          <w:tcPr>
            <w:tcW w:type="dxa" w:w="6004"/>
            <w:tcMar>
              <w:top w:w="50" w:type="dxa"/>
              <w:bottom w:w="50" w:type="dxa"/>
              <w:left w:w="90" w:type="dxa"/>
              <w:right w:w="90" w:type="dxa"/>
            </w:tcMar>
          </w:tcPr>
          <w:p>
            <w:pPr>
              <w:pStyle w:val="BDOITable"/>
            </w:pPr>
            <w:r>
              <w:rPr>
                <w:sz w:val="15"/>
              </w:rPr>
              <w:t>Test plans v1.0 for BRD-1 to BRD-13 issued; test plans approved by 18 Dec 2026; SIT environment with S3, MSK and ElastiCache by 4 Jan 2027</w:t>
            </w:r>
          </w:p>
        </w:tc>
      </w:tr>
      <w:tr>
        <w:trPr>
          <w:cantSplit w:val="true"/>
        </w:trPr>
        <w:tc>
          <w:tcPr>
            <w:tcW w:type="dxa" w:w="1933"/>
            <w:tcMar>
              <w:top w:w="50" w:type="dxa"/>
              <w:bottom w:w="50" w:type="dxa"/>
              <w:left w:w="90" w:type="dxa"/>
              <w:right w:w="90" w:type="dxa"/>
            </w:tcMar>
            <w:shd w:val="clear" w:color="auto" w:fill="E5F5FF"/>
          </w:tcPr>
          <w:p>
            <w:pPr>
              <w:pStyle w:val="BDOITable"/>
            </w:pPr>
            <w:r>
              <w:rPr>
                <w:b/>
                <w:sz w:val="15"/>
              </w:rPr>
              <w:t>SIT Migration</w:t>
            </w:r>
          </w:p>
        </w:tc>
        <w:tc>
          <w:tcPr>
            <w:tcW w:type="dxa" w:w="2035"/>
            <w:tcMar>
              <w:top w:w="50" w:type="dxa"/>
              <w:bottom w:w="50" w:type="dxa"/>
              <w:left w:w="90" w:type="dxa"/>
              <w:right w:w="90" w:type="dxa"/>
            </w:tcMar>
            <w:shd w:val="clear" w:color="auto" w:fill="E5F5FF"/>
          </w:tcPr>
          <w:p>
            <w:pPr>
              <w:pStyle w:val="BDOITable"/>
            </w:pPr>
            <w:r>
              <w:rPr>
                <w:sz w:val="15"/>
              </w:rPr>
              <w:t>Apr - Jul 2027</w:t>
            </w:r>
          </w:p>
        </w:tc>
        <w:tc>
          <w:tcPr>
            <w:tcW w:type="dxa" w:w="6004"/>
            <w:tcMar>
              <w:top w:w="50" w:type="dxa"/>
              <w:bottom w:w="50" w:type="dxa"/>
              <w:left w:w="90" w:type="dxa"/>
              <w:right w:w="90" w:type="dxa"/>
            </w:tcMar>
            <w:shd w:val="clear" w:color="auto" w:fill="E5F5FF"/>
          </w:tcPr>
          <w:p>
            <w:pPr>
              <w:pStyle w:val="BDOITable"/>
            </w:pPr>
            <w:r>
              <w:rPr>
                <w:sz w:val="15"/>
              </w:rPr>
              <w:t>Trial migration 1 Apr-May 2027 (reference, clients, headers); Trial migration 2 Jun-Jul 2027 (all objects, L1-L5)</w:t>
            </w:r>
          </w:p>
        </w:tc>
      </w:tr>
      <w:tr>
        <w:trPr>
          <w:cantSplit w:val="true"/>
        </w:trPr>
        <w:tc>
          <w:tcPr>
            <w:tcW w:type="dxa" w:w="1933"/>
            <w:tcMar>
              <w:top w:w="50" w:type="dxa"/>
              <w:bottom w:w="50" w:type="dxa"/>
              <w:left w:w="90" w:type="dxa"/>
              <w:right w:w="90" w:type="dxa"/>
            </w:tcMar>
          </w:tcPr>
          <w:p>
            <w:pPr>
              <w:pStyle w:val="BDOITable"/>
            </w:pPr>
            <w:r>
              <w:rPr>
                <w:b/>
                <w:sz w:val="15"/>
              </w:rPr>
              <w:t>SIT Drop 2</w:t>
            </w:r>
          </w:p>
        </w:tc>
        <w:tc>
          <w:tcPr>
            <w:tcW w:type="dxa" w:w="2035"/>
            <w:tcMar>
              <w:top w:w="50" w:type="dxa"/>
              <w:bottom w:w="50" w:type="dxa"/>
              <w:left w:w="90" w:type="dxa"/>
              <w:right w:w="90" w:type="dxa"/>
            </w:tcMar>
          </w:tcPr>
          <w:p>
            <w:pPr>
              <w:pStyle w:val="BDOITable"/>
            </w:pPr>
            <w:r>
              <w:rPr>
                <w:sz w:val="15"/>
              </w:rPr>
              <w:t>Jul - Sep 2027</w:t>
            </w:r>
          </w:p>
        </w:tc>
        <w:tc>
          <w:tcPr>
            <w:tcW w:type="dxa" w:w="6004"/>
            <w:tcMar>
              <w:top w:w="50" w:type="dxa"/>
              <w:bottom w:w="50" w:type="dxa"/>
              <w:left w:w="90" w:type="dxa"/>
              <w:right w:w="90" w:type="dxa"/>
            </w:tcMar>
          </w:tcPr>
          <w:p>
            <w:pPr>
              <w:pStyle w:val="BDOITable"/>
            </w:pPr>
            <w:r>
              <w:rPr>
                <w:sz w:val="15"/>
              </w:rPr>
              <w:t>Drop 2 test plans approved by 30 Jun 2027</w:t>
            </w:r>
          </w:p>
        </w:tc>
      </w:tr>
      <w:tr>
        <w:trPr>
          <w:cantSplit w:val="true"/>
        </w:trPr>
        <w:tc>
          <w:tcPr>
            <w:tcW w:type="dxa" w:w="1933"/>
            <w:tcMar>
              <w:top w:w="50" w:type="dxa"/>
              <w:bottom w:w="50" w:type="dxa"/>
              <w:left w:w="90" w:type="dxa"/>
              <w:right w:w="90" w:type="dxa"/>
            </w:tcMar>
            <w:shd w:val="clear" w:color="auto" w:fill="E5F5FF"/>
          </w:tcPr>
          <w:p>
            <w:pPr>
              <w:pStyle w:val="BDOITable"/>
            </w:pPr>
            <w:r>
              <w:rPr>
                <w:b/>
                <w:sz w:val="15"/>
              </w:rPr>
              <w:t>UAT Drop 1 (end to end)</w:t>
            </w:r>
          </w:p>
        </w:tc>
        <w:tc>
          <w:tcPr>
            <w:tcW w:type="dxa" w:w="2035"/>
            <w:tcMar>
              <w:top w:w="50" w:type="dxa"/>
              <w:bottom w:w="50" w:type="dxa"/>
              <w:left w:w="90" w:type="dxa"/>
              <w:right w:w="90" w:type="dxa"/>
            </w:tcMar>
            <w:shd w:val="clear" w:color="auto" w:fill="E5F5FF"/>
          </w:tcPr>
          <w:p>
            <w:pPr>
              <w:pStyle w:val="BDOITable"/>
            </w:pPr>
            <w:r>
              <w:rPr>
                <w:sz w:val="15"/>
              </w:rPr>
              <w:t>Aug - Dec 2027</w:t>
            </w:r>
          </w:p>
        </w:tc>
        <w:tc>
          <w:tcPr>
            <w:tcW w:type="dxa" w:w="6004"/>
            <w:tcMar>
              <w:top w:w="50" w:type="dxa"/>
              <w:bottom w:w="50" w:type="dxa"/>
              <w:left w:w="90" w:type="dxa"/>
              <w:right w:w="90" w:type="dxa"/>
            </w:tcMar>
            <w:shd w:val="clear" w:color="auto" w:fill="E5F5FF"/>
          </w:tcPr>
          <w:p>
            <w:pPr>
              <w:pStyle w:val="BDOITable"/>
            </w:pPr>
            <w:r>
              <w:rPr>
                <w:sz w:val="15"/>
              </w:rPr>
              <w:t>UAT readiness statement by 30 Jul 2027; UAT plans and sign-off forms by 16 Jul 2027; UAT runs on migrated, masked data (Trial migration 3)</w:t>
            </w:r>
          </w:p>
        </w:tc>
      </w:tr>
      <w:tr>
        <w:trPr>
          <w:cantSplit w:val="true"/>
        </w:trPr>
        <w:tc>
          <w:tcPr>
            <w:tcW w:type="dxa" w:w="1933"/>
            <w:tcMar>
              <w:top w:w="50" w:type="dxa"/>
              <w:bottom w:w="50" w:type="dxa"/>
              <w:left w:w="90" w:type="dxa"/>
              <w:right w:w="90" w:type="dxa"/>
            </w:tcMar>
          </w:tcPr>
          <w:p>
            <w:pPr>
              <w:pStyle w:val="BDOITable"/>
            </w:pPr>
            <w:r>
              <w:rPr>
                <w:b/>
                <w:sz w:val="15"/>
              </w:rPr>
              <w:t>UAT Migration</w:t>
            </w:r>
          </w:p>
        </w:tc>
        <w:tc>
          <w:tcPr>
            <w:tcW w:type="dxa" w:w="2035"/>
            <w:tcMar>
              <w:top w:w="50" w:type="dxa"/>
              <w:bottom w:w="50" w:type="dxa"/>
              <w:left w:w="90" w:type="dxa"/>
              <w:right w:w="90" w:type="dxa"/>
            </w:tcMar>
          </w:tcPr>
          <w:p>
            <w:pPr>
              <w:pStyle w:val="BDOITable"/>
            </w:pPr>
            <w:r>
              <w:rPr>
                <w:sz w:val="15"/>
              </w:rPr>
              <w:t>Aug - Oct 2027</w:t>
            </w:r>
          </w:p>
        </w:tc>
        <w:tc>
          <w:tcPr>
            <w:tcW w:type="dxa" w:w="6004"/>
            <w:tcMar>
              <w:top w:w="50" w:type="dxa"/>
              <w:bottom w:w="50" w:type="dxa"/>
              <w:left w:w="90" w:type="dxa"/>
              <w:right w:w="90" w:type="dxa"/>
            </w:tcMar>
          </w:tcPr>
          <w:p>
            <w:pPr>
              <w:pStyle w:val="BDOITable"/>
            </w:pPr>
            <w:r>
              <w:rPr>
                <w:sz w:val="15"/>
              </w:rPr>
              <w:t>Trial migration 3 = UAT load in Aug 2027; Trial migration 4 re-load in Oct 2027 after fixes</w:t>
            </w:r>
          </w:p>
        </w:tc>
      </w:tr>
      <w:tr>
        <w:trPr>
          <w:cantSplit w:val="true"/>
        </w:trPr>
        <w:tc>
          <w:tcPr>
            <w:tcW w:type="dxa" w:w="1933"/>
            <w:tcMar>
              <w:top w:w="50" w:type="dxa"/>
              <w:bottom w:w="50" w:type="dxa"/>
              <w:left w:w="90" w:type="dxa"/>
              <w:right w:w="90" w:type="dxa"/>
            </w:tcMar>
            <w:shd w:val="clear" w:color="auto" w:fill="E5F5FF"/>
          </w:tcPr>
          <w:p>
            <w:pPr>
              <w:pStyle w:val="BDOITable"/>
            </w:pPr>
            <w:r>
              <w:rPr>
                <w:b/>
                <w:sz w:val="15"/>
              </w:rPr>
              <w:t>UAT Drop 2</w:t>
            </w:r>
          </w:p>
        </w:tc>
        <w:tc>
          <w:tcPr>
            <w:tcW w:type="dxa" w:w="2035"/>
            <w:tcMar>
              <w:top w:w="50" w:type="dxa"/>
              <w:bottom w:w="50" w:type="dxa"/>
              <w:left w:w="90" w:type="dxa"/>
              <w:right w:w="90" w:type="dxa"/>
            </w:tcMar>
            <w:shd w:val="clear" w:color="auto" w:fill="E5F5FF"/>
          </w:tcPr>
          <w:p>
            <w:pPr>
              <w:pStyle w:val="BDOITable"/>
            </w:pPr>
            <w:r>
              <w:rPr>
                <w:sz w:val="15"/>
              </w:rPr>
              <w:t>Oct - Nov 2027</w:t>
            </w:r>
          </w:p>
        </w:tc>
        <w:tc>
          <w:tcPr>
            <w:tcW w:type="dxa" w:w="6004"/>
            <w:tcMar>
              <w:top w:w="50" w:type="dxa"/>
              <w:bottom w:w="50" w:type="dxa"/>
              <w:left w:w="90" w:type="dxa"/>
              <w:right w:w="90" w:type="dxa"/>
            </w:tcMar>
            <w:shd w:val="clear" w:color="auto" w:fill="E5F5FF"/>
          </w:tcPr>
          <w:p>
            <w:pPr>
              <w:pStyle w:val="BDOITable"/>
            </w:pPr>
            <w:r>
              <w:rPr>
                <w:sz w:val="15"/>
              </w:rPr>
              <w:t>Readiness statement for Drop 2 by 30 Sep 2027</w:t>
            </w:r>
          </w:p>
        </w:tc>
      </w:tr>
      <w:tr>
        <w:trPr>
          <w:cantSplit w:val="true"/>
        </w:trPr>
        <w:tc>
          <w:tcPr>
            <w:tcW w:type="dxa" w:w="1933"/>
            <w:tcMar>
              <w:top w:w="50" w:type="dxa"/>
              <w:bottom w:w="50" w:type="dxa"/>
              <w:left w:w="90" w:type="dxa"/>
              <w:right w:w="90" w:type="dxa"/>
            </w:tcMar>
          </w:tcPr>
          <w:p>
            <w:pPr>
              <w:pStyle w:val="BDOITable"/>
            </w:pPr>
            <w:r>
              <w:rPr>
                <w:b/>
                <w:sz w:val="15"/>
              </w:rPr>
              <w:t>Performance / penetration test</w:t>
            </w:r>
          </w:p>
        </w:tc>
        <w:tc>
          <w:tcPr>
            <w:tcW w:type="dxa" w:w="2035"/>
            <w:tcMar>
              <w:top w:w="50" w:type="dxa"/>
              <w:bottom w:w="50" w:type="dxa"/>
              <w:left w:w="90" w:type="dxa"/>
              <w:right w:w="90" w:type="dxa"/>
            </w:tcMar>
          </w:tcPr>
          <w:p>
            <w:pPr>
              <w:pStyle w:val="BDOITable"/>
            </w:pPr>
            <w:r>
              <w:rPr>
                <w:sz w:val="15"/>
              </w:rPr>
              <w:t>Nov - Dec 2027</w:t>
            </w:r>
          </w:p>
        </w:tc>
        <w:tc>
          <w:tcPr>
            <w:tcW w:type="dxa" w:w="6004"/>
            <w:tcMar>
              <w:top w:w="50" w:type="dxa"/>
              <w:bottom w:w="50" w:type="dxa"/>
              <w:left w:w="90" w:type="dxa"/>
              <w:right w:w="90" w:type="dxa"/>
            </w:tcMar>
          </w:tcPr>
          <w:p>
            <w:pPr>
              <w:pStyle w:val="BDOITable"/>
            </w:pPr>
            <w:r>
              <w:rPr>
                <w:sz w:val="15"/>
              </w:rPr>
              <w:t>Performance plan (item 28), peak 429 concurrent until DCR-166; Pre-Prod ready by 1 Oct 2027; an early security scan in SIT (Jun 2027) proposed so findings do not arrive in December</w:t>
            </w:r>
          </w:p>
        </w:tc>
      </w:tr>
      <w:tr>
        <w:trPr>
          <w:cantSplit w:val="true"/>
        </w:trPr>
        <w:tc>
          <w:tcPr>
            <w:tcW w:type="dxa" w:w="1933"/>
            <w:tcMar>
              <w:top w:w="50" w:type="dxa"/>
              <w:bottom w:w="50" w:type="dxa"/>
              <w:left w:w="90" w:type="dxa"/>
              <w:right w:w="90" w:type="dxa"/>
            </w:tcMar>
            <w:shd w:val="clear" w:color="auto" w:fill="E5F5FF"/>
          </w:tcPr>
          <w:p>
            <w:pPr>
              <w:pStyle w:val="BDOITable"/>
            </w:pPr>
            <w:r>
              <w:rPr>
                <w:b/>
                <w:sz w:val="15"/>
              </w:rPr>
              <w:t>Full migration and cut-over</w:t>
            </w:r>
          </w:p>
        </w:tc>
        <w:tc>
          <w:tcPr>
            <w:tcW w:type="dxa" w:w="2035"/>
            <w:tcMar>
              <w:top w:w="50" w:type="dxa"/>
              <w:bottom w:w="50" w:type="dxa"/>
              <w:left w:w="90" w:type="dxa"/>
              <w:right w:w="90" w:type="dxa"/>
            </w:tcMar>
            <w:shd w:val="clear" w:color="auto" w:fill="E5F5FF"/>
          </w:tcPr>
          <w:p>
            <w:pPr>
              <w:pStyle w:val="BDOITable"/>
            </w:pPr>
            <w:r>
              <w:rPr>
                <w:sz w:val="15"/>
              </w:rPr>
              <w:t>Nov 2027 - Jan 2028</w:t>
            </w:r>
          </w:p>
        </w:tc>
        <w:tc>
          <w:tcPr>
            <w:tcW w:type="dxa" w:w="6004"/>
            <w:tcMar>
              <w:top w:w="50" w:type="dxa"/>
              <w:bottom w:w="50" w:type="dxa"/>
              <w:left w:w="90" w:type="dxa"/>
              <w:right w:w="90" w:type="dxa"/>
            </w:tcMar>
            <w:shd w:val="clear" w:color="auto" w:fill="E5F5FF"/>
          </w:tcPr>
          <w:p>
            <w:pPr>
              <w:pStyle w:val="BDOITable"/>
            </w:pPr>
            <w:r>
              <w:rPr>
                <w:sz w:val="15"/>
              </w:rPr>
              <w:t>Cutover runbook v1.0 (T-30 to T+30); dress rehearsal on Pre-Prod in Nov - Dec 2027; go / no-go on T-1</w:t>
            </w:r>
          </w:p>
        </w:tc>
      </w:tr>
      <w:tr>
        <w:trPr>
          <w:cantSplit w:val="true"/>
        </w:trPr>
        <w:tc>
          <w:tcPr>
            <w:tcW w:type="dxa" w:w="1933"/>
            <w:tcMar>
              <w:top w:w="50" w:type="dxa"/>
              <w:bottom w:w="50" w:type="dxa"/>
              <w:left w:w="90" w:type="dxa"/>
              <w:right w:w="90" w:type="dxa"/>
            </w:tcMar>
          </w:tcPr>
          <w:p>
            <w:pPr>
              <w:pStyle w:val="BDOITable"/>
            </w:pPr>
            <w:r>
              <w:rPr>
                <w:b/>
                <w:sz w:val="15"/>
              </w:rPr>
              <w:t>ORR / PRR</w:t>
            </w:r>
          </w:p>
        </w:tc>
        <w:tc>
          <w:tcPr>
            <w:tcW w:type="dxa" w:w="2035"/>
            <w:tcMar>
              <w:top w:w="50" w:type="dxa"/>
              <w:bottom w:w="50" w:type="dxa"/>
              <w:left w:w="90" w:type="dxa"/>
              <w:right w:w="90" w:type="dxa"/>
            </w:tcMar>
          </w:tcPr>
          <w:p>
            <w:pPr>
              <w:pStyle w:val="BDOITable"/>
            </w:pPr>
            <w:r>
              <w:rPr>
                <w:sz w:val="15"/>
              </w:rPr>
              <w:t>Dec 2027 - Jan 2028</w:t>
            </w:r>
          </w:p>
        </w:tc>
        <w:tc>
          <w:tcPr>
            <w:tcW w:type="dxa" w:w="6004"/>
            <w:tcMar>
              <w:top w:w="50" w:type="dxa"/>
              <w:bottom w:w="50" w:type="dxa"/>
              <w:left w:w="90" w:type="dxa"/>
              <w:right w:w="90" w:type="dxa"/>
            </w:tcMar>
          </w:tcPr>
          <w:p>
            <w:pPr>
              <w:pStyle w:val="BDOITable"/>
            </w:pPr>
            <w:r>
              <w:rPr>
                <w:sz w:val="15"/>
              </w:rPr>
              <w:t>Runbook, observability, alerts and error catalogue (items 24, 35, 38); evidence pack by 15 Dec 2027</w:t>
            </w:r>
          </w:p>
        </w:tc>
      </w:tr>
      <w:tr>
        <w:trPr>
          <w:cantSplit w:val="true"/>
        </w:trPr>
        <w:tc>
          <w:tcPr>
            <w:tcW w:type="dxa" w:w="1933"/>
            <w:tcMar>
              <w:top w:w="50" w:type="dxa"/>
              <w:bottom w:w="50" w:type="dxa"/>
              <w:left w:w="90" w:type="dxa"/>
              <w:right w:w="90" w:type="dxa"/>
            </w:tcMar>
            <w:shd w:val="clear" w:color="auto" w:fill="E5F5FF"/>
          </w:tcPr>
          <w:p>
            <w:pPr>
              <w:pStyle w:val="BDOITable"/>
            </w:pPr>
            <w:r>
              <w:rPr>
                <w:b/>
                <w:sz w:val="15"/>
              </w:rPr>
              <w:t>Go-live</w:t>
            </w:r>
          </w:p>
        </w:tc>
        <w:tc>
          <w:tcPr>
            <w:tcW w:type="dxa" w:w="2035"/>
            <w:tcMar>
              <w:top w:w="50" w:type="dxa"/>
              <w:bottom w:w="50" w:type="dxa"/>
              <w:left w:w="90" w:type="dxa"/>
              <w:right w:w="90" w:type="dxa"/>
            </w:tcMar>
            <w:shd w:val="clear" w:color="auto" w:fill="E5F5FF"/>
          </w:tcPr>
          <w:p>
            <w:pPr>
              <w:pStyle w:val="BDOITable"/>
            </w:pPr>
            <w:r>
              <w:rPr>
                <w:sz w:val="15"/>
              </w:rPr>
              <w:t>January 2028 (answer A1: all modules together)</w:t>
            </w:r>
          </w:p>
        </w:tc>
        <w:tc>
          <w:tcPr>
            <w:tcW w:type="dxa" w:w="6004"/>
            <w:tcMar>
              <w:top w:w="50" w:type="dxa"/>
              <w:bottom w:w="50" w:type="dxa"/>
              <w:left w:w="90" w:type="dxa"/>
              <w:right w:w="90" w:type="dxa"/>
            </w:tcMar>
            <w:shd w:val="clear" w:color="auto" w:fill="E5F5FF"/>
          </w:tcPr>
          <w:p>
            <w:pPr>
              <w:pStyle w:val="BDOITable"/>
            </w:pPr>
            <w:r>
              <w:rPr>
                <w:sz w:val="15"/>
              </w:rPr>
              <w:t>T to be fixed (IQ01): proposed Mon 3 Jan 2028, legacy freeze after the EOD of Wed 29 Dec 2027</w:t>
            </w:r>
          </w:p>
        </w:tc>
      </w:tr>
    </w:tbl>
    <w:p>
      <w:pPr>
        <w:pStyle w:val="BDOISpacer"/>
      </w:pPr>
    </w:p>
    <w:p>
      <w:pPr>
        <w:pStyle w:val="Heading2"/>
      </w:pPr>
      <w:bookmarkStart w:id="117" w:name="_Toc000117"/>
      <w:r>
        <w:rPr/>
        <w:t>4.2 Go-live date</w:t>
      </w:r>
      <w:bookmarkEnd w:id="117"/>
    </w:p>
    <w:p>
      <w:r>
        <w:rPr/>
        <w:t xml:space="preserve">BDOI has fixed January 2028 but not the day (IQ01). The migration strategy takes T as the first business day of a month after a legacy month-end close. For January 2028 this gives </w:t>
      </w:r>
      <w:r>
        <w:rPr>
          <w:b/>
        </w:rPr>
        <w:t>Monday 3 January 2028</w:t>
      </w:r>
      <w:r>
        <w:rPr/>
        <w:t>: legacy freeze after the EOD of Wednesday 29 December 2027 (30 December, 31 December and 1 January are non-working days), final extracts and loads over the long weekend, go / no-go on Sunday 2 January. The legacy December and year-end close must then be complete in legacy before the final GL extract. The slide places the go-live marker at the end of January; a later date in January needs a short January period in the GL opening (DMQ18).</w:t>
      </w:r>
    </w:p>
    <w:p>
      <w:pPr>
        <w:pStyle w:val="Heading2"/>
      </w:pPr>
      <w:bookmarkStart w:id="118" w:name="_Toc000118"/>
      <w:r>
        <w:rPr/>
        <w:t>4.3 What each drop needs from us, and from BDOI</w:t>
      </w:r>
      <w:bookmarkEnd w:id="118"/>
    </w:p>
    <w:p>
      <w:pPr>
        <w:pStyle w:val="Caption"/>
        <w:keepNext/>
        <w:spacing w:after="60"/>
      </w:pPr>
      <w:r>
        <w:rPr>
          <w:b/>
          <w:i w:val="0"/>
        </w:rPr>
        <w:t xml:space="preserve">Table 12: </w:t>
      </w:r>
      <w:r>
        <w:rPr/>
        <w:t>What each drop needs, and by when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4205"/>
        <w:gridCol w:w="4205"/>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From iorta TechNXT</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From BDOI</w:t>
            </w:r>
          </w:p>
        </w:tc>
      </w:tr>
      <w:tr>
        <w:trPr>
          <w:cantSplit w:val="true"/>
        </w:trPr>
        <w:tc>
          <w:tcPr>
            <w:tcW w:type="dxa" w:w="1562"/>
            <w:tcMar>
              <w:top w:w="50" w:type="dxa"/>
              <w:bottom w:w="50" w:type="dxa"/>
              <w:left w:w="90" w:type="dxa"/>
              <w:right w:w="90" w:type="dxa"/>
            </w:tcMar>
          </w:tcPr>
          <w:p>
            <w:pPr>
              <w:pStyle w:val="BDOITable"/>
            </w:pPr>
            <w:r>
              <w:rPr>
                <w:b/>
                <w:sz w:val="17"/>
              </w:rPr>
              <w:t>By 16 Oct 2026</w:t>
            </w:r>
          </w:p>
        </w:tc>
        <w:tc>
          <w:tcPr>
            <w:tcW w:type="dxa" w:w="4205"/>
            <w:tcMar>
              <w:top w:w="50" w:type="dxa"/>
              <w:bottom w:w="50" w:type="dxa"/>
              <w:left w:w="90" w:type="dxa"/>
              <w:right w:w="90" w:type="dxa"/>
            </w:tcMar>
          </w:tcPr>
          <w:p>
            <w:pPr>
              <w:pStyle w:val="BDOITable"/>
            </w:pPr>
            <w:r>
              <w:rPr>
                <w:sz w:val="17"/>
              </w:rPr>
              <w:t>This document; register rows DCR-210 to DCR-235</w:t>
            </w:r>
          </w:p>
        </w:tc>
        <w:tc>
          <w:tcPr>
            <w:tcW w:type="dxa" w:w="4205"/>
            <w:tcMar>
              <w:top w:w="50" w:type="dxa"/>
              <w:bottom w:w="50" w:type="dxa"/>
              <w:left w:w="90" w:type="dxa"/>
              <w:right w:w="90" w:type="dxa"/>
            </w:tcMar>
          </w:tcPr>
          <w:p>
            <w:pPr>
              <w:pStyle w:val="BDOITable"/>
            </w:pPr>
            <w:r>
              <w:rPr>
                <w:sz w:val="17"/>
              </w:rPr>
              <w:t>Priority 1 answers (IQ01, IQ04, IQ05, IQ10, IQ15, IQ16, IQ20, IQ22, IQ25, IQ26, IQ31)</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By 30 Nov 2026</w:t>
            </w:r>
          </w:p>
        </w:tc>
        <w:tc>
          <w:tcPr>
            <w:tcW w:type="dxa" w:w="4205"/>
            <w:tcMar>
              <w:top w:w="50" w:type="dxa"/>
              <w:bottom w:w="50" w:type="dxa"/>
              <w:left w:w="90" w:type="dxa"/>
              <w:right w:w="90" w:type="dxa"/>
            </w:tcMar>
            <w:shd w:val="clear" w:color="auto" w:fill="E5F5FF"/>
          </w:tcPr>
          <w:p>
            <w:pPr>
              <w:pStyle w:val="BDOITable"/>
            </w:pPr>
            <w:r>
              <w:rPr>
                <w:sz w:val="17"/>
              </w:rPr>
              <w:t>FRS v1.1 of the Drop 0 and Drop 1 BRDs with BDOI comments answered</w:t>
            </w:r>
          </w:p>
        </w:tc>
        <w:tc>
          <w:tcPr>
            <w:tcW w:type="dxa" w:w="4205"/>
            <w:tcMar>
              <w:top w:w="50" w:type="dxa"/>
              <w:bottom w:w="50" w:type="dxa"/>
              <w:left w:w="90" w:type="dxa"/>
              <w:right w:w="90" w:type="dxa"/>
            </w:tcMar>
            <w:shd w:val="clear" w:color="auto" w:fill="E5F5FF"/>
          </w:tcPr>
          <w:p>
            <w:pPr>
              <w:pStyle w:val="BDOITable"/>
            </w:pPr>
            <w:r>
              <w:rPr>
                <w:sz w:val="17"/>
              </w:rPr>
              <w:t>FRS sign-off, Drop 0 and Drop 1; migration object decisions (G1)</w:t>
            </w:r>
          </w:p>
        </w:tc>
      </w:tr>
      <w:tr>
        <w:trPr>
          <w:cantSplit w:val="true"/>
        </w:trPr>
        <w:tc>
          <w:tcPr>
            <w:tcW w:type="dxa" w:w="1562"/>
            <w:tcMar>
              <w:top w:w="50" w:type="dxa"/>
              <w:bottom w:w="50" w:type="dxa"/>
              <w:left w:w="90" w:type="dxa"/>
              <w:right w:w="90" w:type="dxa"/>
            </w:tcMar>
          </w:tcPr>
          <w:p>
            <w:pPr>
              <w:pStyle w:val="BDOITable"/>
            </w:pPr>
            <w:r>
              <w:rPr>
                <w:b/>
                <w:sz w:val="17"/>
              </w:rPr>
              <w:t>By 18 Dec 2026</w:t>
            </w:r>
          </w:p>
        </w:tc>
        <w:tc>
          <w:tcPr>
            <w:tcW w:type="dxa" w:w="4205"/>
            <w:tcMar>
              <w:top w:w="50" w:type="dxa"/>
              <w:bottom w:w="50" w:type="dxa"/>
              <w:left w:w="90" w:type="dxa"/>
              <w:right w:w="90" w:type="dxa"/>
            </w:tcMar>
          </w:tcPr>
          <w:p>
            <w:pPr>
              <w:pStyle w:val="BDOITable"/>
            </w:pPr>
            <w:r>
              <w:rPr>
                <w:sz w:val="17"/>
              </w:rPr>
              <w:t>Test plans of Drop 0 and Drop 1 re-issued under the drops; SIT entry criteria</w:t>
            </w:r>
          </w:p>
        </w:tc>
        <w:tc>
          <w:tcPr>
            <w:tcW w:type="dxa" w:w="4205"/>
            <w:tcMar>
              <w:top w:w="50" w:type="dxa"/>
              <w:bottom w:w="50" w:type="dxa"/>
              <w:left w:w="90" w:type="dxa"/>
              <w:right w:w="90" w:type="dxa"/>
            </w:tcMar>
          </w:tcPr>
          <w:p>
            <w:pPr>
              <w:pStyle w:val="BDOITable"/>
            </w:pPr>
            <w:r>
              <w:rPr>
                <w:sz w:val="17"/>
              </w:rPr>
              <w:t>Test plan approval; SIT environment (EKS, RDS, ElastiCache, MSK, S3)</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By 15 Jan 2027</w:t>
            </w:r>
          </w:p>
        </w:tc>
        <w:tc>
          <w:tcPr>
            <w:tcW w:type="dxa" w:w="4205"/>
            <w:tcMar>
              <w:top w:w="50" w:type="dxa"/>
              <w:bottom w:w="50" w:type="dxa"/>
              <w:left w:w="90" w:type="dxa"/>
              <w:right w:w="90" w:type="dxa"/>
            </w:tcMar>
            <w:shd w:val="clear" w:color="auto" w:fill="E5F5FF"/>
          </w:tcPr>
          <w:p>
            <w:pPr>
              <w:pStyle w:val="BDOITable"/>
            </w:pPr>
            <w:r>
              <w:rPr>
                <w:sz w:val="17"/>
              </w:rPr>
              <w:t>Interface specifications drafted from the IQ answers</w:t>
            </w:r>
          </w:p>
        </w:tc>
        <w:tc>
          <w:tcPr>
            <w:tcW w:type="dxa" w:w="4205"/>
            <w:tcMar>
              <w:top w:w="50" w:type="dxa"/>
              <w:bottom w:w="50" w:type="dxa"/>
              <w:left w:w="90" w:type="dxa"/>
              <w:right w:w="90" w:type="dxa"/>
            </w:tcMar>
            <w:shd w:val="clear" w:color="auto" w:fill="E5F5FF"/>
          </w:tcPr>
          <w:p>
            <w:pPr>
              <w:pStyle w:val="BDOITable"/>
            </w:pPr>
            <w:r>
              <w:rPr>
                <w:sz w:val="17"/>
              </w:rPr>
              <w:t>First full migration extracts; interface layouts from BDOI IT</w:t>
            </w:r>
          </w:p>
        </w:tc>
      </w:tr>
      <w:tr>
        <w:trPr>
          <w:cantSplit w:val="true"/>
        </w:trPr>
        <w:tc>
          <w:tcPr>
            <w:tcW w:type="dxa" w:w="1562"/>
            <w:tcMar>
              <w:top w:w="50" w:type="dxa"/>
              <w:bottom w:w="50" w:type="dxa"/>
              <w:left w:w="90" w:type="dxa"/>
              <w:right w:w="90" w:type="dxa"/>
            </w:tcMar>
          </w:tcPr>
          <w:p>
            <w:pPr>
              <w:pStyle w:val="BDOITable"/>
            </w:pPr>
            <w:r>
              <w:rPr>
                <w:b/>
                <w:sz w:val="17"/>
              </w:rPr>
              <w:t>By 26 Feb 2027</w:t>
            </w:r>
          </w:p>
        </w:tc>
        <w:tc>
          <w:tcPr>
            <w:tcW w:type="dxa" w:w="4205"/>
            <w:tcMar>
              <w:top w:w="50" w:type="dxa"/>
              <w:bottom w:w="50" w:type="dxa"/>
              <w:left w:w="90" w:type="dxa"/>
              <w:right w:w="90" w:type="dxa"/>
            </w:tcMar>
          </w:tcPr>
          <w:p>
            <w:pPr>
              <w:pStyle w:val="BDOITable"/>
            </w:pPr>
            <w:r>
              <w:rPr>
                <w:sz w:val="17"/>
              </w:rPr>
              <w:t>Drop 1 ready for SIT; FRS v1.1 of Drop 2</w:t>
            </w:r>
          </w:p>
        </w:tc>
        <w:tc>
          <w:tcPr>
            <w:tcW w:type="dxa" w:w="4205"/>
            <w:tcMar>
              <w:top w:w="50" w:type="dxa"/>
              <w:bottom w:w="50" w:type="dxa"/>
              <w:left w:w="90" w:type="dxa"/>
              <w:right w:w="90" w:type="dxa"/>
            </w:tcMar>
          </w:tcPr>
          <w:p>
            <w:pPr>
              <w:pStyle w:val="BDOITable"/>
            </w:pPr>
            <w:r>
              <w:rPr>
                <w:sz w:val="17"/>
              </w:rPr>
              <w:t>FRS sign-off, Drop 2</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By 30 Apr 2027</w:t>
            </w:r>
          </w:p>
        </w:tc>
        <w:tc>
          <w:tcPr>
            <w:tcW w:type="dxa" w:w="4205"/>
            <w:tcMar>
              <w:top w:w="50" w:type="dxa"/>
              <w:bottom w:w="50" w:type="dxa"/>
              <w:left w:w="90" w:type="dxa"/>
              <w:right w:w="90" w:type="dxa"/>
            </w:tcMar>
            <w:shd w:val="clear" w:color="auto" w:fill="E5F5FF"/>
          </w:tcPr>
          <w:p>
            <w:pPr>
              <w:pStyle w:val="BDOITable"/>
            </w:pPr>
            <w:r>
              <w:rPr>
                <w:sz w:val="17"/>
              </w:rPr>
              <w:t>Drop 2 ready for SIT; Migration Console ready (31 Mar)</w:t>
            </w:r>
          </w:p>
        </w:tc>
        <w:tc>
          <w:tcPr>
            <w:tcW w:type="dxa" w:w="4205"/>
            <w:tcMar>
              <w:top w:w="50" w:type="dxa"/>
              <w:bottom w:w="50" w:type="dxa"/>
              <w:left w:w="90" w:type="dxa"/>
              <w:right w:w="90" w:type="dxa"/>
            </w:tcMar>
            <w:shd w:val="clear" w:color="auto" w:fill="E5F5FF"/>
          </w:tcPr>
          <w:p>
            <w:pPr>
              <w:pStyle w:val="BDOITable"/>
            </w:pPr>
            <w:r>
              <w:rPr>
                <w:sz w:val="17"/>
              </w:rPr>
              <w:t>Integration test connections for EGL, EDP, insurer channels</w:t>
            </w:r>
          </w:p>
        </w:tc>
      </w:tr>
      <w:tr>
        <w:trPr>
          <w:cantSplit w:val="true"/>
        </w:trPr>
        <w:tc>
          <w:tcPr>
            <w:tcW w:type="dxa" w:w="1562"/>
            <w:tcMar>
              <w:top w:w="50" w:type="dxa"/>
              <w:bottom w:w="50" w:type="dxa"/>
              <w:left w:w="90" w:type="dxa"/>
              <w:right w:w="90" w:type="dxa"/>
            </w:tcMar>
          </w:tcPr>
          <w:p>
            <w:pPr>
              <w:pStyle w:val="BDOITable"/>
            </w:pPr>
            <w:r>
              <w:rPr>
                <w:b/>
                <w:sz w:val="17"/>
              </w:rPr>
              <w:t>Apr - Jul 2027</w:t>
            </w:r>
          </w:p>
        </w:tc>
        <w:tc>
          <w:tcPr>
            <w:tcW w:type="dxa" w:w="4205"/>
            <w:tcMar>
              <w:top w:w="50" w:type="dxa"/>
              <w:bottom w:w="50" w:type="dxa"/>
              <w:left w:w="90" w:type="dxa"/>
              <w:right w:w="90" w:type="dxa"/>
            </w:tcMar>
          </w:tcPr>
          <w:p>
            <w:pPr>
              <w:pStyle w:val="BDOITable"/>
            </w:pPr>
            <w:r>
              <w:rPr>
                <w:sz w:val="17"/>
              </w:rPr>
              <w:t>Trial migration 1 and Trial migration 2 in SIT</w:t>
            </w:r>
          </w:p>
        </w:tc>
        <w:tc>
          <w:tcPr>
            <w:tcW w:type="dxa" w:w="4205"/>
            <w:tcMar>
              <w:top w:w="50" w:type="dxa"/>
              <w:bottom w:w="50" w:type="dxa"/>
              <w:left w:w="90" w:type="dxa"/>
              <w:right w:w="90" w:type="dxa"/>
            </w:tcMar>
          </w:tcPr>
          <w:p>
            <w:pPr>
              <w:pStyle w:val="BDOITable"/>
            </w:pPr>
            <w:r>
              <w:rPr>
                <w:sz w:val="17"/>
              </w:rPr>
              <w:t>Extracts per trial migration; data steward reviews</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By 30 Jul 2027</w:t>
            </w:r>
          </w:p>
        </w:tc>
        <w:tc>
          <w:tcPr>
            <w:tcW w:type="dxa" w:w="4205"/>
            <w:tcMar>
              <w:top w:w="50" w:type="dxa"/>
              <w:bottom w:w="50" w:type="dxa"/>
              <w:left w:w="90" w:type="dxa"/>
              <w:right w:w="90" w:type="dxa"/>
            </w:tcMar>
            <w:shd w:val="clear" w:color="auto" w:fill="E5F5FF"/>
          </w:tcPr>
          <w:p>
            <w:pPr>
              <w:pStyle w:val="BDOITable"/>
            </w:pPr>
            <w:r>
              <w:rPr>
                <w:sz w:val="17"/>
              </w:rPr>
              <w:t>UAT readiness statement, UAT plans and sign-off forms; security scan in SIT</w:t>
            </w:r>
          </w:p>
        </w:tc>
        <w:tc>
          <w:tcPr>
            <w:tcW w:type="dxa" w:w="4205"/>
            <w:tcMar>
              <w:top w:w="50" w:type="dxa"/>
              <w:bottom w:w="50" w:type="dxa"/>
              <w:left w:w="90" w:type="dxa"/>
              <w:right w:w="90" w:type="dxa"/>
            </w:tcMar>
            <w:shd w:val="clear" w:color="auto" w:fill="E5F5FF"/>
          </w:tcPr>
          <w:p>
            <w:pPr>
              <w:pStyle w:val="BDOITable"/>
            </w:pPr>
            <w:r>
              <w:rPr>
                <w:sz w:val="17"/>
              </w:rPr>
              <w:t>UAT users set up through EIAM and UIDM-ISC</w:t>
            </w:r>
          </w:p>
        </w:tc>
      </w:tr>
      <w:tr>
        <w:trPr>
          <w:cantSplit w:val="true"/>
        </w:trPr>
        <w:tc>
          <w:tcPr>
            <w:tcW w:type="dxa" w:w="1562"/>
            <w:tcMar>
              <w:top w:w="50" w:type="dxa"/>
              <w:bottom w:w="50" w:type="dxa"/>
              <w:left w:w="90" w:type="dxa"/>
              <w:right w:w="90" w:type="dxa"/>
            </w:tcMar>
          </w:tcPr>
          <w:p>
            <w:pPr>
              <w:pStyle w:val="BDOITable"/>
            </w:pPr>
            <w:r>
              <w:rPr>
                <w:b/>
                <w:sz w:val="17"/>
              </w:rPr>
              <w:t>Aug - Dec 2027</w:t>
            </w:r>
          </w:p>
        </w:tc>
        <w:tc>
          <w:tcPr>
            <w:tcW w:type="dxa" w:w="4205"/>
            <w:tcMar>
              <w:top w:w="50" w:type="dxa"/>
              <w:bottom w:w="50" w:type="dxa"/>
              <w:left w:w="90" w:type="dxa"/>
              <w:right w:w="90" w:type="dxa"/>
            </w:tcMar>
          </w:tcPr>
          <w:p>
            <w:pPr>
              <w:pStyle w:val="BDOITable"/>
            </w:pPr>
            <w:r>
              <w:rPr>
                <w:sz w:val="17"/>
              </w:rPr>
              <w:t>UAT support on migrated data (Trial migration 3 in August, re-load in October)</w:t>
            </w:r>
          </w:p>
        </w:tc>
        <w:tc>
          <w:tcPr>
            <w:tcW w:type="dxa" w:w="4205"/>
            <w:tcMar>
              <w:top w:w="50" w:type="dxa"/>
              <w:bottom w:w="50" w:type="dxa"/>
              <w:left w:w="90" w:type="dxa"/>
              <w:right w:w="90" w:type="dxa"/>
            </w:tcMar>
          </w:tcPr>
          <w:p>
            <w:pPr>
              <w:pStyle w:val="BDOITable"/>
            </w:pPr>
            <w:r>
              <w:rPr>
                <w:sz w:val="17"/>
              </w:rPr>
              <w:t>UAT execution and sign-off per drop</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By 1 Oct 2027</w:t>
            </w:r>
          </w:p>
        </w:tc>
        <w:tc>
          <w:tcPr>
            <w:tcW w:type="dxa" w:w="4205"/>
            <w:tcMar>
              <w:top w:w="50" w:type="dxa"/>
              <w:bottom w:w="50" w:type="dxa"/>
              <w:left w:w="90" w:type="dxa"/>
              <w:right w:w="90" w:type="dxa"/>
            </w:tcMar>
            <w:shd w:val="clear" w:color="auto" w:fill="E5F5FF"/>
          </w:tcPr>
          <w:p>
            <w:pPr>
              <w:pStyle w:val="BDOITable"/>
            </w:pPr>
            <w:r>
              <w:rPr>
                <w:sz w:val="17"/>
              </w:rPr>
              <w:t>Performance test plan and scripts</w:t>
            </w:r>
          </w:p>
        </w:tc>
        <w:tc>
          <w:tcPr>
            <w:tcW w:type="dxa" w:w="4205"/>
            <w:tcMar>
              <w:top w:w="50" w:type="dxa"/>
              <w:bottom w:w="50" w:type="dxa"/>
              <w:left w:w="90" w:type="dxa"/>
              <w:right w:w="90" w:type="dxa"/>
            </w:tcMar>
            <w:shd w:val="clear" w:color="auto" w:fill="E5F5FF"/>
          </w:tcPr>
          <w:p>
            <w:pPr>
              <w:pStyle w:val="BDOITable"/>
            </w:pPr>
            <w:r>
              <w:rPr>
                <w:sz w:val="17"/>
              </w:rPr>
              <w:t>Pre-Prod environment, production-sized</w:t>
            </w:r>
          </w:p>
        </w:tc>
      </w:tr>
      <w:tr>
        <w:trPr>
          <w:cantSplit w:val="true"/>
        </w:trPr>
        <w:tc>
          <w:tcPr>
            <w:tcW w:type="dxa" w:w="1562"/>
            <w:tcMar>
              <w:top w:w="50" w:type="dxa"/>
              <w:bottom w:w="50" w:type="dxa"/>
              <w:left w:w="90" w:type="dxa"/>
              <w:right w:w="90" w:type="dxa"/>
            </w:tcMar>
          </w:tcPr>
          <w:p>
            <w:pPr>
              <w:pStyle w:val="BDOITable"/>
            </w:pPr>
            <w:r>
              <w:rPr>
                <w:b/>
                <w:sz w:val="17"/>
              </w:rPr>
              <w:t>Nov 2027 - Jan 2028</w:t>
            </w:r>
          </w:p>
        </w:tc>
        <w:tc>
          <w:tcPr>
            <w:tcW w:type="dxa" w:w="4205"/>
            <w:tcMar>
              <w:top w:w="50" w:type="dxa"/>
              <w:bottom w:w="50" w:type="dxa"/>
              <w:left w:w="90" w:type="dxa"/>
              <w:right w:w="90" w:type="dxa"/>
            </w:tcMar>
          </w:tcPr>
          <w:p>
            <w:pPr>
              <w:pStyle w:val="BDOITable"/>
            </w:pPr>
            <w:r>
              <w:rPr>
                <w:sz w:val="17"/>
              </w:rPr>
              <w:t>Performance and penetration test fixes; dress rehearsal on Pre-Prod; ORR / PRR evidence by 15 Dec 2027</w:t>
            </w:r>
          </w:p>
        </w:tc>
        <w:tc>
          <w:tcPr>
            <w:tcW w:type="dxa" w:w="4205"/>
            <w:tcMar>
              <w:top w:w="50" w:type="dxa"/>
              <w:bottom w:w="50" w:type="dxa"/>
              <w:left w:w="90" w:type="dxa"/>
              <w:right w:w="90" w:type="dxa"/>
            </w:tcMar>
          </w:tcPr>
          <w:p>
            <w:pPr>
              <w:pStyle w:val="BDOITable"/>
            </w:pPr>
            <w:r>
              <w:rPr>
                <w:sz w:val="17"/>
              </w:rPr>
              <w:t>Penetration test, ORR / PRR, go / no-go</w:t>
            </w:r>
          </w:p>
        </w:tc>
      </w:tr>
    </w:tbl>
    <w:p>
      <w:pPr>
        <w:pStyle w:val="BDOISpacer"/>
      </w:pPr>
    </w:p>
    <w:p>
      <w:pPr>
        <w:pStyle w:val="Heading1"/>
        <w:pageBreakBefore/>
        <w:pBdr>
          <w:bottom w:val="single" w:sz="4" w:space="4" w:color="99C1E7"/>
        </w:pBdr>
      </w:pPr>
      <w:bookmarkStart w:id="119" w:name="_Toc000119"/>
      <w:r>
        <w:rPr/>
        <w:t>5 Integration inventory</w:t>
      </w:r>
      <w:bookmarkEnd w:id="119"/>
    </w:p>
    <w:p>
      <w:pPr>
        <w:pStyle w:val="Heading2"/>
      </w:pPr>
      <w:bookmarkStart w:id="120" w:name="_Toc000120"/>
      <w:r>
        <w:rPr/>
        <w:t>5.1 Context</w:t>
      </w:r>
      <w:bookmarkEnd w:id="120"/>
    </w:p>
    <w:p>
      <w:r>
        <w:rPr/>
        <w:t>Figure 2 shows BIBS and the systems BDOI named. All external touch-points are owned by BDOI IT (A2). The meanings are BDOI's; "our understanding" is the project team's reading and is confirmed through the IQ questions. The Integration Inventory workbook holds the same rows with every column.</w:t>
      </w:r>
    </w:p>
    <w:p>
      <w:pPr>
        <w:keepNext/>
        <w:spacing w:before="80" w:after="0"/>
        <w:jc w:val="center"/>
      </w:pPr>
      <w:r>
        <w:drawing>
          <wp:inline xmlns:a="http://schemas.openxmlformats.org/drawingml/2006/main" xmlns:pic="http://schemas.openxmlformats.org/drawingml/2006/picture">
            <wp:extent cx="5040000" cy="6443885"/>
            <wp:docPr id="4" name="Picture 4"/>
            <wp:cNvGraphicFramePr>
              <a:graphicFrameLocks noChangeAspect="1"/>
            </wp:cNvGraphicFramePr>
            <a:graphic>
              <a:graphicData uri="http://schemas.openxmlformats.org/drawingml/2006/picture">
                <pic:pic>
                  <pic:nvPicPr>
                    <pic:cNvPr id="0" name="al_integration_context_937.jpg"/>
                    <pic:cNvPicPr/>
                  </pic:nvPicPr>
                  <pic:blipFill>
                    <a:blip r:embed="rId24"/>
                    <a:stretch>
                      <a:fillRect/>
                    </a:stretch>
                  </pic:blipFill>
                  <pic:spPr>
                    <a:xfrm>
                      <a:off x="0" y="0"/>
                      <a:ext cx="5040000" cy="6443885"/>
                    </a:xfrm>
                    <a:prstGeom prst="rect"/>
                  </pic:spPr>
                </pic:pic>
              </a:graphicData>
            </a:graphic>
          </wp:inline>
        </w:drawing>
      </w:r>
    </w:p>
    <w:p>
      <w:pPr>
        <w:pStyle w:val="Caption"/>
        <w:jc w:val="center"/>
      </w:pPr>
      <w:r>
        <w:rPr>
          <w:b/>
          <w:i w:val="0"/>
        </w:rPr>
        <w:t xml:space="preserve">Figure 2: </w:t>
      </w:r>
      <w:r>
        <w:rPr/>
        <w:t>BIBS integration context (all touch-points owned by BDOI IT)</w:t>
      </w:r>
    </w:p>
    <w:p>
      <w:pPr>
        <w:sectPr>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pPr>
    </w:p>
    <w:p>
      <w:pPr>
        <w:pStyle w:val="Heading2"/>
      </w:pPr>
      <w:bookmarkStart w:id="121" w:name="_Toc000121"/>
      <w:r>
        <w:rPr/>
        <w:t>5.2 Inventory</w:t>
      </w:r>
      <w:bookmarkEnd w:id="121"/>
    </w:p>
    <w:p>
      <w:pPr>
        <w:pStyle w:val="Caption"/>
        <w:keepNext/>
        <w:spacing w:after="60"/>
      </w:pPr>
      <w:r>
        <w:rPr>
          <w:b/>
          <w:i w:val="0"/>
        </w:rPr>
        <w:t xml:space="preserve">Table 13: </w:t>
      </w:r>
      <w:r>
        <w:rPr/>
        <w:t>Integration inventory (summary)</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4"/>
        <w:gridCol w:w="2262"/>
        <w:gridCol w:w="1659"/>
        <w:gridCol w:w="4826"/>
        <w:gridCol w:w="2563"/>
        <w:gridCol w:w="1357"/>
      </w:tblGrid>
      <w:tr>
        <w:trPr>
          <w:tblHeader w:val="true"/>
          <w:cantSplit w:val="true"/>
        </w:trPr>
        <w:tc>
          <w:tcPr>
            <w:tcW w:type="dxa" w:w="905"/>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262"/>
            <w:shd w:val="clear" w:color="auto" w:fill="004EA8"/>
            <w:tcMar>
              <w:top w:w="50" w:type="dxa"/>
              <w:bottom w:w="50" w:type="dxa"/>
              <w:left w:w="90" w:type="dxa"/>
              <w:right w:w="90" w:type="dxa"/>
            </w:tcMar>
            <w:vAlign w:val="center"/>
          </w:tcPr>
          <w:p>
            <w:pPr>
              <w:pStyle w:val="BDOITableHeader"/>
            </w:pPr>
            <w:r>
              <w:rPr>
                <w:b/>
                <w:color w:val="FFFFFF"/>
                <w:sz w:val="15"/>
              </w:rPr>
              <w:t>Integration</w:t>
            </w:r>
          </w:p>
        </w:tc>
        <w:tc>
          <w:tcPr>
            <w:tcW w:type="dxa" w:w="1659"/>
            <w:shd w:val="clear" w:color="auto" w:fill="004EA8"/>
            <w:tcMar>
              <w:top w:w="50" w:type="dxa"/>
              <w:bottom w:w="50" w:type="dxa"/>
              <w:left w:w="90" w:type="dxa"/>
              <w:right w:w="90" w:type="dxa"/>
            </w:tcMar>
            <w:vAlign w:val="center"/>
          </w:tcPr>
          <w:p>
            <w:pPr>
              <w:pStyle w:val="BDOITableHeader"/>
            </w:pPr>
            <w:r>
              <w:rPr>
                <w:b/>
                <w:color w:val="FFFFFF"/>
                <w:sz w:val="15"/>
              </w:rPr>
              <w:t>Drop</w:t>
            </w:r>
          </w:p>
        </w:tc>
        <w:tc>
          <w:tcPr>
            <w:tcW w:type="dxa" w:w="4826"/>
            <w:shd w:val="clear" w:color="auto" w:fill="004EA8"/>
            <w:tcMar>
              <w:top w:w="50" w:type="dxa"/>
              <w:bottom w:w="50" w:type="dxa"/>
              <w:left w:w="90" w:type="dxa"/>
              <w:right w:w="90" w:type="dxa"/>
            </w:tcMar>
            <w:vAlign w:val="center"/>
          </w:tcPr>
          <w:p>
            <w:pPr>
              <w:pStyle w:val="BDOITableHeader"/>
            </w:pPr>
            <w:r>
              <w:rPr>
                <w:b/>
                <w:color w:val="FFFFFF"/>
                <w:sz w:val="15"/>
              </w:rPr>
              <w:t>BDOI meaning</w:t>
            </w:r>
          </w:p>
        </w:tc>
        <w:tc>
          <w:tcPr>
            <w:tcW w:type="dxa" w:w="2564"/>
            <w:shd w:val="clear" w:color="auto" w:fill="004EA8"/>
            <w:tcMar>
              <w:top w:w="50" w:type="dxa"/>
              <w:bottom w:w="50" w:type="dxa"/>
              <w:left w:w="90" w:type="dxa"/>
              <w:right w:w="90" w:type="dxa"/>
            </w:tcMar>
            <w:vAlign w:val="center"/>
          </w:tcPr>
          <w:p>
            <w:pPr>
              <w:pStyle w:val="BDOITableHeader"/>
            </w:pPr>
            <w:r>
              <w:rPr>
                <w:b/>
                <w:color w:val="FFFFFF"/>
                <w:sz w:val="15"/>
              </w:rPr>
              <w:t>Direction</w:t>
            </w:r>
          </w:p>
        </w:tc>
        <w:tc>
          <w:tcPr>
            <w:tcW w:type="dxa" w:w="1357"/>
            <w:shd w:val="clear" w:color="auto" w:fill="004EA8"/>
            <w:tcMar>
              <w:top w:w="50" w:type="dxa"/>
              <w:bottom w:w="50" w:type="dxa"/>
              <w:left w:w="90" w:type="dxa"/>
              <w:right w:w="90" w:type="dxa"/>
            </w:tcMar>
            <w:vAlign w:val="center"/>
          </w:tcPr>
          <w:p>
            <w:pPr>
              <w:pStyle w:val="BDOITableHeader"/>
            </w:pPr>
            <w:r>
              <w:rPr>
                <w:b/>
                <w:color w:val="FFFFFF"/>
                <w:sz w:val="15"/>
              </w:rPr>
              <w:t>Questions</w:t>
            </w:r>
          </w:p>
        </w:tc>
      </w:tr>
      <w:tr>
        <w:trPr>
          <w:cantSplit w:val="true"/>
        </w:trPr>
        <w:tc>
          <w:tcPr>
            <w:tcW w:type="dxa" w:w="905"/>
            <w:tcMar>
              <w:top w:w="50" w:type="dxa"/>
              <w:bottom w:w="50" w:type="dxa"/>
              <w:left w:w="90" w:type="dxa"/>
              <w:right w:w="90" w:type="dxa"/>
            </w:tcMar>
          </w:tcPr>
          <w:p>
            <w:pPr>
              <w:pStyle w:val="BDOITable"/>
            </w:pPr>
            <w:r>
              <w:rPr>
                <w:b/>
                <w:sz w:val="15"/>
              </w:rPr>
              <w:t>INT-01</w:t>
            </w:r>
          </w:p>
        </w:tc>
        <w:tc>
          <w:tcPr>
            <w:tcW w:type="dxa" w:w="2262"/>
            <w:tcMar>
              <w:top w:w="50" w:type="dxa"/>
              <w:bottom w:w="50" w:type="dxa"/>
              <w:left w:w="90" w:type="dxa"/>
              <w:right w:w="90" w:type="dxa"/>
            </w:tcMar>
          </w:tcPr>
          <w:p>
            <w:pPr>
              <w:pStyle w:val="BDOITable"/>
            </w:pPr>
            <w:r>
              <w:rPr>
                <w:sz w:val="15"/>
              </w:rPr>
              <w:t>EIAM (Entra ID)</w:t>
            </w:r>
          </w:p>
        </w:tc>
        <w:tc>
          <w:tcPr>
            <w:tcW w:type="dxa" w:w="1659"/>
            <w:tcMar>
              <w:top w:w="50" w:type="dxa"/>
              <w:bottom w:w="50" w:type="dxa"/>
              <w:left w:w="90" w:type="dxa"/>
              <w:right w:w="90" w:type="dxa"/>
            </w:tcMar>
          </w:tcPr>
          <w:p>
            <w:pPr>
              <w:pStyle w:val="BDOITable"/>
            </w:pPr>
            <w:r>
              <w:rPr>
                <w:sz w:val="15"/>
              </w:rPr>
              <w:t>Drop 0</w:t>
            </w:r>
          </w:p>
        </w:tc>
        <w:tc>
          <w:tcPr>
            <w:tcW w:type="dxa" w:w="4826"/>
            <w:tcMar>
              <w:top w:w="50" w:type="dxa"/>
              <w:bottom w:w="50" w:type="dxa"/>
              <w:left w:w="90" w:type="dxa"/>
              <w:right w:w="90" w:type="dxa"/>
            </w:tcMar>
          </w:tcPr>
          <w:p>
            <w:pPr>
              <w:pStyle w:val="BDOITable"/>
            </w:pPr>
            <w:r>
              <w:rPr>
                <w:sz w:val="15"/>
              </w:rPr>
              <w:t>Enterprise Identity Access Management, on Microsoft Entra ID</w:t>
            </w:r>
          </w:p>
        </w:tc>
        <w:tc>
          <w:tcPr>
            <w:tcW w:type="dxa" w:w="2564"/>
            <w:tcMar>
              <w:top w:w="50" w:type="dxa"/>
              <w:bottom w:w="50" w:type="dxa"/>
              <w:left w:w="90" w:type="dxa"/>
              <w:right w:w="90" w:type="dxa"/>
            </w:tcMar>
          </w:tcPr>
          <w:p>
            <w:pPr>
              <w:pStyle w:val="BDOITable"/>
            </w:pPr>
            <w:r>
              <w:rPr>
                <w:sz w:val="15"/>
              </w:rPr>
              <w:t>Both (browser redirect; tokens to BIBS)</w:t>
            </w:r>
          </w:p>
        </w:tc>
        <w:tc>
          <w:tcPr>
            <w:tcW w:type="dxa" w:w="1357"/>
            <w:tcMar>
              <w:top w:w="50" w:type="dxa"/>
              <w:bottom w:w="50" w:type="dxa"/>
              <w:left w:w="90" w:type="dxa"/>
              <w:right w:w="90" w:type="dxa"/>
            </w:tcMar>
          </w:tcPr>
          <w:p>
            <w:pPr>
              <w:pStyle w:val="BDOITable"/>
            </w:pPr>
            <w:r>
              <w:rPr>
                <w:sz w:val="15"/>
              </w:rPr>
              <w:t>IQ04</w:t>
            </w:r>
          </w:p>
        </w:tc>
      </w:tr>
      <w:tr>
        <w:trPr>
          <w:cantSplit w:val="true"/>
        </w:trPr>
        <w:tc>
          <w:tcPr>
            <w:tcW w:type="dxa" w:w="905"/>
            <w:tcMar>
              <w:top w:w="50" w:type="dxa"/>
              <w:bottom w:w="50" w:type="dxa"/>
              <w:left w:w="90" w:type="dxa"/>
              <w:right w:w="90" w:type="dxa"/>
            </w:tcMar>
            <w:shd w:val="clear" w:color="auto" w:fill="E5F5FF"/>
          </w:tcPr>
          <w:p>
            <w:pPr>
              <w:pStyle w:val="BDOITable"/>
            </w:pPr>
            <w:r>
              <w:rPr>
                <w:b/>
                <w:sz w:val="15"/>
              </w:rPr>
              <w:t>INT-02</w:t>
            </w:r>
          </w:p>
        </w:tc>
        <w:tc>
          <w:tcPr>
            <w:tcW w:type="dxa" w:w="2262"/>
            <w:tcMar>
              <w:top w:w="50" w:type="dxa"/>
              <w:bottom w:w="50" w:type="dxa"/>
              <w:left w:w="90" w:type="dxa"/>
              <w:right w:w="90" w:type="dxa"/>
            </w:tcMar>
            <w:shd w:val="clear" w:color="auto" w:fill="E5F5FF"/>
          </w:tcPr>
          <w:p>
            <w:pPr>
              <w:pStyle w:val="BDOITable"/>
            </w:pPr>
            <w:r>
              <w:rPr>
                <w:sz w:val="15"/>
              </w:rPr>
              <w:t>UIDM-ISC (IGA)</w:t>
            </w:r>
          </w:p>
        </w:tc>
        <w:tc>
          <w:tcPr>
            <w:tcW w:type="dxa" w:w="1659"/>
            <w:tcMar>
              <w:top w:w="50" w:type="dxa"/>
              <w:bottom w:w="50" w:type="dxa"/>
              <w:left w:w="90" w:type="dxa"/>
              <w:right w:w="90" w:type="dxa"/>
            </w:tcMar>
            <w:shd w:val="clear" w:color="auto" w:fill="E5F5FF"/>
          </w:tcPr>
          <w:p>
            <w:pPr>
              <w:pStyle w:val="BDOITable"/>
            </w:pPr>
            <w:r>
              <w:rPr>
                <w:sz w:val="15"/>
              </w:rPr>
              <w:t>Drop 0</w:t>
            </w:r>
          </w:p>
        </w:tc>
        <w:tc>
          <w:tcPr>
            <w:tcW w:type="dxa" w:w="4826"/>
            <w:tcMar>
              <w:top w:w="50" w:type="dxa"/>
              <w:bottom w:w="50" w:type="dxa"/>
              <w:left w:w="90" w:type="dxa"/>
              <w:right w:w="90" w:type="dxa"/>
            </w:tcMar>
            <w:shd w:val="clear" w:color="auto" w:fill="E5F5FF"/>
          </w:tcPr>
          <w:p>
            <w:pPr>
              <w:pStyle w:val="BDOITable"/>
            </w:pPr>
            <w:r>
              <w:rPr>
                <w:sz w:val="15"/>
              </w:rPr>
              <w:t>User ID Maintenance - Identity Security Cloud, the identity governance and administration (IGA) tool</w:t>
            </w:r>
          </w:p>
        </w:tc>
        <w:tc>
          <w:tcPr>
            <w:tcW w:type="dxa" w:w="2564"/>
            <w:tcMar>
              <w:top w:w="50" w:type="dxa"/>
              <w:bottom w:w="50" w:type="dxa"/>
              <w:left w:w="90" w:type="dxa"/>
              <w:right w:w="90" w:type="dxa"/>
            </w:tcMar>
            <w:shd w:val="clear" w:color="auto" w:fill="E5F5FF"/>
          </w:tcPr>
          <w:p>
            <w:pPr>
              <w:pStyle w:val="BDOITable"/>
            </w:pPr>
            <w:r>
              <w:rPr>
                <w:sz w:val="15"/>
              </w:rPr>
              <w:t>Inbound (provisioning) and outbound (account and entitlement aggregation)</w:t>
            </w:r>
          </w:p>
        </w:tc>
        <w:tc>
          <w:tcPr>
            <w:tcW w:type="dxa" w:w="1357"/>
            <w:tcMar>
              <w:top w:w="50" w:type="dxa"/>
              <w:bottom w:w="50" w:type="dxa"/>
              <w:left w:w="90" w:type="dxa"/>
              <w:right w:w="90" w:type="dxa"/>
            </w:tcMar>
            <w:shd w:val="clear" w:color="auto" w:fill="E5F5FF"/>
          </w:tcPr>
          <w:p>
            <w:pPr>
              <w:pStyle w:val="BDOITable"/>
            </w:pPr>
            <w:r>
              <w:rPr>
                <w:sz w:val="15"/>
              </w:rPr>
              <w:t>IQ05</w:t>
            </w:r>
          </w:p>
        </w:tc>
      </w:tr>
      <w:tr>
        <w:trPr>
          <w:cantSplit w:val="true"/>
        </w:trPr>
        <w:tc>
          <w:tcPr>
            <w:tcW w:type="dxa" w:w="905"/>
            <w:tcMar>
              <w:top w:w="50" w:type="dxa"/>
              <w:bottom w:w="50" w:type="dxa"/>
              <w:left w:w="90" w:type="dxa"/>
              <w:right w:w="90" w:type="dxa"/>
            </w:tcMar>
          </w:tcPr>
          <w:p>
            <w:pPr>
              <w:pStyle w:val="BDOITable"/>
            </w:pPr>
            <w:r>
              <w:rPr>
                <w:b/>
                <w:sz w:val="15"/>
              </w:rPr>
              <w:t>INT-03</w:t>
            </w:r>
          </w:p>
        </w:tc>
        <w:tc>
          <w:tcPr>
            <w:tcW w:type="dxa" w:w="2262"/>
            <w:tcMar>
              <w:top w:w="50" w:type="dxa"/>
              <w:bottom w:w="50" w:type="dxa"/>
              <w:left w:w="90" w:type="dxa"/>
              <w:right w:w="90" w:type="dxa"/>
            </w:tcMar>
          </w:tcPr>
          <w:p>
            <w:pPr>
              <w:pStyle w:val="BDOITable"/>
            </w:pPr>
            <w:r>
              <w:rPr>
                <w:sz w:val="15"/>
              </w:rPr>
              <w:t>LMS</w:t>
            </w:r>
          </w:p>
        </w:tc>
        <w:tc>
          <w:tcPr>
            <w:tcW w:type="dxa" w:w="1659"/>
            <w:tcMar>
              <w:top w:w="50" w:type="dxa"/>
              <w:bottom w:w="50" w:type="dxa"/>
              <w:left w:w="90" w:type="dxa"/>
              <w:right w:w="90" w:type="dxa"/>
            </w:tcMar>
          </w:tcPr>
          <w:p>
            <w:pPr>
              <w:pStyle w:val="BDOITable"/>
            </w:pPr>
            <w:r>
              <w:rPr>
                <w:sz w:val="15"/>
              </w:rPr>
              <w:t>Drop 0</w:t>
            </w:r>
          </w:p>
        </w:tc>
        <w:tc>
          <w:tcPr>
            <w:tcW w:type="dxa" w:w="4826"/>
            <w:tcMar>
              <w:top w:w="50" w:type="dxa"/>
              <w:bottom w:w="50" w:type="dxa"/>
              <w:left w:w="90" w:type="dxa"/>
              <w:right w:w="90" w:type="dxa"/>
            </w:tcMar>
          </w:tcPr>
          <w:p>
            <w:pPr>
              <w:pStyle w:val="BDOITable"/>
            </w:pPr>
            <w:r>
              <w:rPr>
                <w:sz w:val="15"/>
              </w:rPr>
              <w:t>Loans Management System</w:t>
            </w:r>
          </w:p>
        </w:tc>
        <w:tc>
          <w:tcPr>
            <w:tcW w:type="dxa" w:w="2564"/>
            <w:tcMar>
              <w:top w:w="50" w:type="dxa"/>
              <w:bottom w:w="50" w:type="dxa"/>
              <w:left w:w="90" w:type="dxa"/>
              <w:right w:w="90" w:type="dxa"/>
            </w:tcMar>
          </w:tcPr>
          <w:p>
            <w:pPr>
              <w:pStyle w:val="BDOITable"/>
            </w:pPr>
            <w:r>
              <w:rPr>
                <w:sz w:val="15"/>
              </w:rPr>
              <w:t>Inbound</w:t>
            </w:r>
          </w:p>
        </w:tc>
        <w:tc>
          <w:tcPr>
            <w:tcW w:type="dxa" w:w="1357"/>
            <w:tcMar>
              <w:top w:w="50" w:type="dxa"/>
              <w:bottom w:w="50" w:type="dxa"/>
              <w:left w:w="90" w:type="dxa"/>
              <w:right w:w="90" w:type="dxa"/>
            </w:tcMar>
          </w:tcPr>
          <w:p>
            <w:pPr>
              <w:pStyle w:val="BDOITable"/>
            </w:pPr>
            <w:r>
              <w:rPr>
                <w:sz w:val="15"/>
              </w:rPr>
              <w:t>IQ06</w:t>
            </w:r>
          </w:p>
        </w:tc>
      </w:tr>
      <w:tr>
        <w:trPr>
          <w:cantSplit w:val="true"/>
        </w:trPr>
        <w:tc>
          <w:tcPr>
            <w:tcW w:type="dxa" w:w="905"/>
            <w:tcMar>
              <w:top w:w="50" w:type="dxa"/>
              <w:bottom w:w="50" w:type="dxa"/>
              <w:left w:w="90" w:type="dxa"/>
              <w:right w:w="90" w:type="dxa"/>
            </w:tcMar>
            <w:shd w:val="clear" w:color="auto" w:fill="E5F5FF"/>
          </w:tcPr>
          <w:p>
            <w:pPr>
              <w:pStyle w:val="BDOITable"/>
            </w:pPr>
            <w:r>
              <w:rPr>
                <w:b/>
                <w:sz w:val="15"/>
              </w:rPr>
              <w:t>INT-04</w:t>
            </w:r>
          </w:p>
        </w:tc>
        <w:tc>
          <w:tcPr>
            <w:tcW w:type="dxa" w:w="2262"/>
            <w:tcMar>
              <w:top w:w="50" w:type="dxa"/>
              <w:bottom w:w="50" w:type="dxa"/>
              <w:left w:w="90" w:type="dxa"/>
              <w:right w:w="90" w:type="dxa"/>
            </w:tcMar>
            <w:shd w:val="clear" w:color="auto" w:fill="E5F5FF"/>
          </w:tcPr>
          <w:p>
            <w:pPr>
              <w:pStyle w:val="BDOITable"/>
            </w:pPr>
            <w:r>
              <w:rPr>
                <w:sz w:val="15"/>
              </w:rPr>
              <w:t>HL-LOAS (HLS / LOAS)</w:t>
            </w:r>
          </w:p>
        </w:tc>
        <w:tc>
          <w:tcPr>
            <w:tcW w:type="dxa" w:w="1659"/>
            <w:tcMar>
              <w:top w:w="50" w:type="dxa"/>
              <w:bottom w:w="50" w:type="dxa"/>
              <w:left w:w="90" w:type="dxa"/>
              <w:right w:w="90" w:type="dxa"/>
            </w:tcMar>
            <w:shd w:val="clear" w:color="auto" w:fill="E5F5FF"/>
          </w:tcPr>
          <w:p>
            <w:pPr>
              <w:pStyle w:val="BDOITable"/>
            </w:pPr>
            <w:r>
              <w:rPr>
                <w:sz w:val="15"/>
              </w:rPr>
              <w:t>Drop 0 (HLS) and Drop 2 (LOAS)</w:t>
            </w:r>
          </w:p>
        </w:tc>
        <w:tc>
          <w:tcPr>
            <w:tcW w:type="dxa" w:w="4826"/>
            <w:tcMar>
              <w:top w:w="50" w:type="dxa"/>
              <w:bottom w:w="50" w:type="dxa"/>
              <w:left w:w="90" w:type="dxa"/>
              <w:right w:w="90" w:type="dxa"/>
            </w:tcMar>
            <w:shd w:val="clear" w:color="auto" w:fill="E5F5FF"/>
          </w:tcPr>
          <w:p>
            <w:pPr>
              <w:pStyle w:val="BDOITable"/>
            </w:pPr>
            <w:r>
              <w:rPr>
                <w:sz w:val="15"/>
              </w:rPr>
              <w:t>Home Loan System (Loan Origination and Admin)</w:t>
            </w:r>
          </w:p>
        </w:tc>
        <w:tc>
          <w:tcPr>
            <w:tcW w:type="dxa" w:w="2564"/>
            <w:tcMar>
              <w:top w:w="50" w:type="dxa"/>
              <w:bottom w:w="50" w:type="dxa"/>
              <w:left w:w="90" w:type="dxa"/>
              <w:right w:w="90" w:type="dxa"/>
            </w:tcMar>
            <w:shd w:val="clear" w:color="auto" w:fill="E5F5FF"/>
          </w:tcPr>
          <w:p>
            <w:pPr>
              <w:pStyle w:val="BDOITable"/>
            </w:pPr>
            <w:r>
              <w:rPr>
                <w:sz w:val="15"/>
              </w:rPr>
              <w:t>Inbound</w:t>
            </w:r>
          </w:p>
        </w:tc>
        <w:tc>
          <w:tcPr>
            <w:tcW w:type="dxa" w:w="1357"/>
            <w:tcMar>
              <w:top w:w="50" w:type="dxa"/>
              <w:bottom w:w="50" w:type="dxa"/>
              <w:left w:w="90" w:type="dxa"/>
              <w:right w:w="90" w:type="dxa"/>
            </w:tcMar>
            <w:shd w:val="clear" w:color="auto" w:fill="E5F5FF"/>
          </w:tcPr>
          <w:p>
            <w:pPr>
              <w:pStyle w:val="BDOITable"/>
            </w:pPr>
            <w:r>
              <w:rPr>
                <w:sz w:val="15"/>
              </w:rPr>
              <w:t>IQ07</w:t>
            </w:r>
          </w:p>
        </w:tc>
      </w:tr>
      <w:tr>
        <w:trPr>
          <w:cantSplit w:val="true"/>
        </w:trPr>
        <w:tc>
          <w:tcPr>
            <w:tcW w:type="dxa" w:w="905"/>
            <w:tcMar>
              <w:top w:w="50" w:type="dxa"/>
              <w:bottom w:w="50" w:type="dxa"/>
              <w:left w:w="90" w:type="dxa"/>
              <w:right w:w="90" w:type="dxa"/>
            </w:tcMar>
          </w:tcPr>
          <w:p>
            <w:pPr>
              <w:pStyle w:val="BDOITable"/>
            </w:pPr>
            <w:r>
              <w:rPr>
                <w:b/>
                <w:sz w:val="15"/>
              </w:rPr>
              <w:t>INT-05</w:t>
            </w:r>
          </w:p>
        </w:tc>
        <w:tc>
          <w:tcPr>
            <w:tcW w:type="dxa" w:w="2262"/>
            <w:tcMar>
              <w:top w:w="50" w:type="dxa"/>
              <w:bottom w:w="50" w:type="dxa"/>
              <w:left w:w="90" w:type="dxa"/>
              <w:right w:w="90" w:type="dxa"/>
            </w:tcMar>
          </w:tcPr>
          <w:p>
            <w:pPr>
              <w:pStyle w:val="BDOITable"/>
            </w:pPr>
            <w:r>
              <w:rPr>
                <w:sz w:val="15"/>
              </w:rPr>
              <w:t>LFS SaaS</w:t>
            </w:r>
          </w:p>
        </w:tc>
        <w:tc>
          <w:tcPr>
            <w:tcW w:type="dxa" w:w="1659"/>
            <w:tcMar>
              <w:top w:w="50" w:type="dxa"/>
              <w:bottom w:w="50" w:type="dxa"/>
              <w:left w:w="90" w:type="dxa"/>
              <w:right w:w="90" w:type="dxa"/>
            </w:tcMar>
          </w:tcPr>
          <w:p>
            <w:pPr>
              <w:pStyle w:val="BDOITable"/>
            </w:pPr>
            <w:r>
              <w:rPr>
                <w:sz w:val="15"/>
              </w:rPr>
              <w:t>Not on the slide</w:t>
            </w:r>
          </w:p>
        </w:tc>
        <w:tc>
          <w:tcPr>
            <w:tcW w:type="dxa" w:w="4826"/>
            <w:tcMar>
              <w:top w:w="50" w:type="dxa"/>
              <w:bottom w:w="50" w:type="dxa"/>
              <w:left w:w="90" w:type="dxa"/>
              <w:right w:w="90" w:type="dxa"/>
            </w:tcMar>
          </w:tcPr>
          <w:p>
            <w:pPr>
              <w:pStyle w:val="BDOITable"/>
            </w:pPr>
            <w:r>
              <w:rPr>
                <w:sz w:val="15"/>
              </w:rPr>
              <w:t>Loan Front-End System (SaaS)</w:t>
            </w:r>
          </w:p>
        </w:tc>
        <w:tc>
          <w:tcPr>
            <w:tcW w:type="dxa" w:w="2564"/>
            <w:tcMar>
              <w:top w:w="50" w:type="dxa"/>
              <w:bottom w:w="50" w:type="dxa"/>
              <w:left w:w="90" w:type="dxa"/>
              <w:right w:w="90" w:type="dxa"/>
            </w:tcMar>
          </w:tcPr>
          <w:p>
            <w:pPr>
              <w:pStyle w:val="BDOITable"/>
            </w:pPr>
            <w:r>
              <w:rPr>
                <w:sz w:val="15"/>
              </w:rPr>
              <w:t>Inbound</w:t>
            </w:r>
          </w:p>
        </w:tc>
        <w:tc>
          <w:tcPr>
            <w:tcW w:type="dxa" w:w="1357"/>
            <w:tcMar>
              <w:top w:w="50" w:type="dxa"/>
              <w:bottom w:w="50" w:type="dxa"/>
              <w:left w:w="90" w:type="dxa"/>
              <w:right w:w="90" w:type="dxa"/>
            </w:tcMar>
          </w:tcPr>
          <w:p>
            <w:pPr>
              <w:pStyle w:val="BDOITable"/>
            </w:pPr>
            <w:r>
              <w:rPr>
                <w:sz w:val="15"/>
              </w:rPr>
              <w:t>IQ08</w:t>
            </w:r>
          </w:p>
        </w:tc>
      </w:tr>
      <w:tr>
        <w:trPr>
          <w:cantSplit w:val="true"/>
        </w:trPr>
        <w:tc>
          <w:tcPr>
            <w:tcW w:type="dxa" w:w="905"/>
            <w:tcMar>
              <w:top w:w="50" w:type="dxa"/>
              <w:bottom w:w="50" w:type="dxa"/>
              <w:left w:w="90" w:type="dxa"/>
              <w:right w:w="90" w:type="dxa"/>
            </w:tcMar>
            <w:shd w:val="clear" w:color="auto" w:fill="E5F5FF"/>
          </w:tcPr>
          <w:p>
            <w:pPr>
              <w:pStyle w:val="BDOITable"/>
            </w:pPr>
            <w:r>
              <w:rPr>
                <w:b/>
                <w:sz w:val="15"/>
              </w:rPr>
              <w:t>INT-06</w:t>
            </w:r>
          </w:p>
        </w:tc>
        <w:tc>
          <w:tcPr>
            <w:tcW w:type="dxa" w:w="2262"/>
            <w:tcMar>
              <w:top w:w="50" w:type="dxa"/>
              <w:bottom w:w="50" w:type="dxa"/>
              <w:left w:w="90" w:type="dxa"/>
              <w:right w:w="90" w:type="dxa"/>
            </w:tcMar>
            <w:shd w:val="clear" w:color="auto" w:fill="E5F5FF"/>
          </w:tcPr>
          <w:p>
            <w:pPr>
              <w:pStyle w:val="BDOITable"/>
            </w:pPr>
            <w:r>
              <w:rPr>
                <w:sz w:val="15"/>
              </w:rPr>
              <w:t>PMS</w:t>
            </w:r>
          </w:p>
        </w:tc>
        <w:tc>
          <w:tcPr>
            <w:tcW w:type="dxa" w:w="1659"/>
            <w:tcMar>
              <w:top w:w="50" w:type="dxa"/>
              <w:bottom w:w="50" w:type="dxa"/>
              <w:left w:w="90" w:type="dxa"/>
              <w:right w:w="90" w:type="dxa"/>
            </w:tcMar>
            <w:shd w:val="clear" w:color="auto" w:fill="E5F5FF"/>
          </w:tcPr>
          <w:p>
            <w:pPr>
              <w:pStyle w:val="BDOITable"/>
            </w:pPr>
            <w:r>
              <w:rPr>
                <w:sz w:val="15"/>
              </w:rPr>
              <w:t>Drop 0</w:t>
            </w:r>
          </w:p>
        </w:tc>
        <w:tc>
          <w:tcPr>
            <w:tcW w:type="dxa" w:w="4826"/>
            <w:tcMar>
              <w:top w:w="50" w:type="dxa"/>
              <w:bottom w:w="50" w:type="dxa"/>
              <w:left w:w="90" w:type="dxa"/>
              <w:right w:w="90" w:type="dxa"/>
            </w:tcMar>
            <w:shd w:val="clear" w:color="auto" w:fill="E5F5FF"/>
          </w:tcPr>
          <w:p>
            <w:pPr>
              <w:pStyle w:val="BDOITable"/>
            </w:pPr>
            <w:r>
              <w:rPr>
                <w:sz w:val="15"/>
              </w:rPr>
              <w:t>PDC Management System</w:t>
            </w:r>
          </w:p>
        </w:tc>
        <w:tc>
          <w:tcPr>
            <w:tcW w:type="dxa" w:w="2564"/>
            <w:tcMar>
              <w:top w:w="50" w:type="dxa"/>
              <w:bottom w:w="50" w:type="dxa"/>
              <w:left w:w="90" w:type="dxa"/>
              <w:right w:w="90" w:type="dxa"/>
            </w:tcMar>
            <w:shd w:val="clear" w:color="auto" w:fill="E5F5FF"/>
          </w:tcPr>
          <w:p>
            <w:pPr>
              <w:pStyle w:val="BDOITable"/>
            </w:pPr>
            <w:r>
              <w:rPr>
                <w:sz w:val="15"/>
              </w:rPr>
              <w:t>Inbound; outbound status to confirm</w:t>
            </w:r>
          </w:p>
        </w:tc>
        <w:tc>
          <w:tcPr>
            <w:tcW w:type="dxa" w:w="1357"/>
            <w:tcMar>
              <w:top w:w="50" w:type="dxa"/>
              <w:bottom w:w="50" w:type="dxa"/>
              <w:left w:w="90" w:type="dxa"/>
              <w:right w:w="90" w:type="dxa"/>
            </w:tcMar>
            <w:shd w:val="clear" w:color="auto" w:fill="E5F5FF"/>
          </w:tcPr>
          <w:p>
            <w:pPr>
              <w:pStyle w:val="BDOITable"/>
            </w:pPr>
            <w:r>
              <w:rPr>
                <w:sz w:val="15"/>
              </w:rPr>
              <w:t>IQ09</w:t>
            </w:r>
          </w:p>
        </w:tc>
      </w:tr>
      <w:tr>
        <w:trPr>
          <w:cantSplit w:val="true"/>
        </w:trPr>
        <w:tc>
          <w:tcPr>
            <w:tcW w:type="dxa" w:w="905"/>
            <w:tcMar>
              <w:top w:w="50" w:type="dxa"/>
              <w:bottom w:w="50" w:type="dxa"/>
              <w:left w:w="90" w:type="dxa"/>
              <w:right w:w="90" w:type="dxa"/>
            </w:tcMar>
          </w:tcPr>
          <w:p>
            <w:pPr>
              <w:pStyle w:val="BDOITable"/>
            </w:pPr>
            <w:r>
              <w:rPr>
                <w:b/>
                <w:sz w:val="15"/>
              </w:rPr>
              <w:t>INT-07</w:t>
            </w:r>
          </w:p>
        </w:tc>
        <w:tc>
          <w:tcPr>
            <w:tcW w:type="dxa" w:w="2262"/>
            <w:tcMar>
              <w:top w:w="50" w:type="dxa"/>
              <w:bottom w:w="50" w:type="dxa"/>
              <w:left w:w="90" w:type="dxa"/>
              <w:right w:w="90" w:type="dxa"/>
            </w:tcMar>
          </w:tcPr>
          <w:p>
            <w:pPr>
              <w:pStyle w:val="BDOITable"/>
            </w:pPr>
            <w:r>
              <w:rPr>
                <w:sz w:val="15"/>
              </w:rPr>
              <w:t>CMS / New BOB</w:t>
            </w:r>
          </w:p>
        </w:tc>
        <w:tc>
          <w:tcPr>
            <w:tcW w:type="dxa" w:w="1659"/>
            <w:tcMar>
              <w:top w:w="50" w:type="dxa"/>
              <w:bottom w:w="50" w:type="dxa"/>
              <w:left w:w="90" w:type="dxa"/>
              <w:right w:w="90" w:type="dxa"/>
            </w:tcMar>
          </w:tcPr>
          <w:p>
            <w:pPr>
              <w:pStyle w:val="BDOITable"/>
            </w:pPr>
            <w:r>
              <w:rPr>
                <w:sz w:val="15"/>
              </w:rPr>
              <w:t>Drop 0</w:t>
            </w:r>
          </w:p>
        </w:tc>
        <w:tc>
          <w:tcPr>
            <w:tcW w:type="dxa" w:w="4826"/>
            <w:tcMar>
              <w:top w:w="50" w:type="dxa"/>
              <w:bottom w:w="50" w:type="dxa"/>
              <w:left w:w="90" w:type="dxa"/>
              <w:right w:w="90" w:type="dxa"/>
            </w:tcMar>
          </w:tcPr>
          <w:p>
            <w:pPr>
              <w:pStyle w:val="BDOITable"/>
            </w:pPr>
            <w:r>
              <w:rPr>
                <w:sz w:val="15"/>
              </w:rPr>
              <w:t>Cash Management System, outward payments (also called New BOB)</w:t>
            </w:r>
          </w:p>
        </w:tc>
        <w:tc>
          <w:tcPr>
            <w:tcW w:type="dxa" w:w="2564"/>
            <w:tcMar>
              <w:top w:w="50" w:type="dxa"/>
              <w:bottom w:w="50" w:type="dxa"/>
              <w:left w:w="90" w:type="dxa"/>
              <w:right w:w="90" w:type="dxa"/>
            </w:tcMar>
          </w:tcPr>
          <w:p>
            <w:pPr>
              <w:pStyle w:val="BDOITable"/>
            </w:pPr>
            <w:r>
              <w:rPr>
                <w:sz w:val="15"/>
              </w:rPr>
              <w:t>Outbound (payment instructions); inbound (status, debit confirmation)</w:t>
            </w:r>
          </w:p>
        </w:tc>
        <w:tc>
          <w:tcPr>
            <w:tcW w:type="dxa" w:w="1357"/>
            <w:tcMar>
              <w:top w:w="50" w:type="dxa"/>
              <w:bottom w:w="50" w:type="dxa"/>
              <w:left w:w="90" w:type="dxa"/>
              <w:right w:w="90" w:type="dxa"/>
            </w:tcMar>
          </w:tcPr>
          <w:p>
            <w:pPr>
              <w:pStyle w:val="BDOITable"/>
            </w:pPr>
            <w:r>
              <w:rPr>
                <w:sz w:val="15"/>
              </w:rPr>
              <w:t>IQ10</w:t>
            </w:r>
          </w:p>
        </w:tc>
      </w:tr>
      <w:tr>
        <w:trPr>
          <w:cantSplit w:val="true"/>
        </w:trPr>
        <w:tc>
          <w:tcPr>
            <w:tcW w:type="dxa" w:w="905"/>
            <w:tcMar>
              <w:top w:w="50" w:type="dxa"/>
              <w:bottom w:w="50" w:type="dxa"/>
              <w:left w:w="90" w:type="dxa"/>
              <w:right w:w="90" w:type="dxa"/>
            </w:tcMar>
            <w:shd w:val="clear" w:color="auto" w:fill="E5F5FF"/>
          </w:tcPr>
          <w:p>
            <w:pPr>
              <w:pStyle w:val="BDOITable"/>
            </w:pPr>
            <w:r>
              <w:rPr>
                <w:b/>
                <w:sz w:val="15"/>
              </w:rPr>
              <w:t>INT-08</w:t>
            </w:r>
          </w:p>
        </w:tc>
        <w:tc>
          <w:tcPr>
            <w:tcW w:type="dxa" w:w="2262"/>
            <w:tcMar>
              <w:top w:w="50" w:type="dxa"/>
              <w:bottom w:w="50" w:type="dxa"/>
              <w:left w:w="90" w:type="dxa"/>
              <w:right w:w="90" w:type="dxa"/>
            </w:tcMar>
            <w:shd w:val="clear" w:color="auto" w:fill="E5F5FF"/>
          </w:tcPr>
          <w:p>
            <w:pPr>
              <w:pStyle w:val="BDOITable"/>
            </w:pPr>
            <w:r>
              <w:rPr>
                <w:sz w:val="15"/>
              </w:rPr>
              <w:t>OBPCS</w:t>
            </w:r>
          </w:p>
        </w:tc>
        <w:tc>
          <w:tcPr>
            <w:tcW w:type="dxa" w:w="1659"/>
            <w:tcMar>
              <w:top w:w="50" w:type="dxa"/>
              <w:bottom w:w="50" w:type="dxa"/>
              <w:left w:w="90" w:type="dxa"/>
              <w:right w:w="90" w:type="dxa"/>
            </w:tcMar>
            <w:shd w:val="clear" w:color="auto" w:fill="E5F5FF"/>
          </w:tcPr>
          <w:p>
            <w:pPr>
              <w:pStyle w:val="BDOITable"/>
            </w:pPr>
            <w:r>
              <w:rPr>
                <w:sz w:val="15"/>
              </w:rPr>
              <w:t>Drop 0</w:t>
            </w:r>
          </w:p>
        </w:tc>
        <w:tc>
          <w:tcPr>
            <w:tcW w:type="dxa" w:w="4826"/>
            <w:tcMar>
              <w:top w:w="50" w:type="dxa"/>
              <w:bottom w:w="50" w:type="dxa"/>
              <w:left w:w="90" w:type="dxa"/>
              <w:right w:w="90" w:type="dxa"/>
            </w:tcMar>
            <w:shd w:val="clear" w:color="auto" w:fill="E5F5FF"/>
          </w:tcPr>
          <w:p>
            <w:pPr>
              <w:pStyle w:val="BDOITable"/>
            </w:pPr>
            <w:r>
              <w:rPr>
                <w:sz w:val="15"/>
              </w:rPr>
              <w:t>Online Bills Payment Consolidation System</w:t>
            </w:r>
          </w:p>
        </w:tc>
        <w:tc>
          <w:tcPr>
            <w:tcW w:type="dxa" w:w="2564"/>
            <w:tcMar>
              <w:top w:w="50" w:type="dxa"/>
              <w:bottom w:w="50" w:type="dxa"/>
              <w:left w:w="90" w:type="dxa"/>
              <w:right w:w="90" w:type="dxa"/>
            </w:tcMar>
            <w:shd w:val="clear" w:color="auto" w:fill="E5F5FF"/>
          </w:tcPr>
          <w:p>
            <w:pPr>
              <w:pStyle w:val="BDOITable"/>
            </w:pPr>
            <w:r>
              <w:rPr>
                <w:sz w:val="15"/>
              </w:rPr>
              <w:t>Inbound</w:t>
            </w:r>
          </w:p>
        </w:tc>
        <w:tc>
          <w:tcPr>
            <w:tcW w:type="dxa" w:w="1357"/>
            <w:tcMar>
              <w:top w:w="50" w:type="dxa"/>
              <w:bottom w:w="50" w:type="dxa"/>
              <w:left w:w="90" w:type="dxa"/>
              <w:right w:w="90" w:type="dxa"/>
            </w:tcMar>
            <w:shd w:val="clear" w:color="auto" w:fill="E5F5FF"/>
          </w:tcPr>
          <w:p>
            <w:pPr>
              <w:pStyle w:val="BDOITable"/>
            </w:pPr>
            <w:r>
              <w:rPr>
                <w:sz w:val="15"/>
              </w:rPr>
              <w:t>IQ10</w:t>
            </w:r>
          </w:p>
        </w:tc>
      </w:tr>
      <w:tr>
        <w:trPr>
          <w:cantSplit w:val="true"/>
        </w:trPr>
        <w:tc>
          <w:tcPr>
            <w:tcW w:type="dxa" w:w="905"/>
            <w:tcMar>
              <w:top w:w="50" w:type="dxa"/>
              <w:bottom w:w="50" w:type="dxa"/>
              <w:left w:w="90" w:type="dxa"/>
              <w:right w:w="90" w:type="dxa"/>
            </w:tcMar>
          </w:tcPr>
          <w:p>
            <w:pPr>
              <w:pStyle w:val="BDOITable"/>
            </w:pPr>
            <w:r>
              <w:rPr>
                <w:b/>
                <w:sz w:val="15"/>
              </w:rPr>
              <w:t>INT-09</w:t>
            </w:r>
          </w:p>
        </w:tc>
        <w:tc>
          <w:tcPr>
            <w:tcW w:type="dxa" w:w="2262"/>
            <w:tcMar>
              <w:top w:w="50" w:type="dxa"/>
              <w:bottom w:w="50" w:type="dxa"/>
              <w:left w:w="90" w:type="dxa"/>
              <w:right w:w="90" w:type="dxa"/>
            </w:tcMar>
          </w:tcPr>
          <w:p>
            <w:pPr>
              <w:pStyle w:val="BDOITable"/>
            </w:pPr>
            <w:r>
              <w:rPr>
                <w:sz w:val="15"/>
              </w:rPr>
              <w:t>Old BOB</w:t>
            </w:r>
          </w:p>
        </w:tc>
        <w:tc>
          <w:tcPr>
            <w:tcW w:type="dxa" w:w="1659"/>
            <w:tcMar>
              <w:top w:w="50" w:type="dxa"/>
              <w:bottom w:w="50" w:type="dxa"/>
              <w:left w:w="90" w:type="dxa"/>
              <w:right w:w="90" w:type="dxa"/>
            </w:tcMar>
          </w:tcPr>
          <w:p>
            <w:pPr>
              <w:pStyle w:val="BDOITable"/>
            </w:pPr>
            <w:r>
              <w:rPr>
                <w:sz w:val="15"/>
              </w:rPr>
              <w:t>Drop 0</w:t>
            </w:r>
          </w:p>
        </w:tc>
        <w:tc>
          <w:tcPr>
            <w:tcW w:type="dxa" w:w="4826"/>
            <w:tcMar>
              <w:top w:w="50" w:type="dxa"/>
              <w:bottom w:w="50" w:type="dxa"/>
              <w:left w:w="90" w:type="dxa"/>
              <w:right w:w="90" w:type="dxa"/>
            </w:tcMar>
          </w:tcPr>
          <w:p>
            <w:pPr>
              <w:pStyle w:val="BDOITable"/>
            </w:pPr>
            <w:r>
              <w:rPr>
                <w:sz w:val="15"/>
              </w:rPr>
              <w:t>Old Business Online Banking Collection System; SOA bills payments via funds transfer</w:t>
            </w:r>
          </w:p>
        </w:tc>
        <w:tc>
          <w:tcPr>
            <w:tcW w:type="dxa" w:w="2564"/>
            <w:tcMar>
              <w:top w:w="50" w:type="dxa"/>
              <w:bottom w:w="50" w:type="dxa"/>
              <w:left w:w="90" w:type="dxa"/>
              <w:right w:w="90" w:type="dxa"/>
            </w:tcMar>
          </w:tcPr>
          <w:p>
            <w:pPr>
              <w:pStyle w:val="BDOITable"/>
            </w:pPr>
            <w:r>
              <w:rPr>
                <w:sz w:val="15"/>
              </w:rPr>
              <w:t>Inbound</w:t>
            </w:r>
          </w:p>
        </w:tc>
        <w:tc>
          <w:tcPr>
            <w:tcW w:type="dxa" w:w="1357"/>
            <w:tcMar>
              <w:top w:w="50" w:type="dxa"/>
              <w:bottom w:w="50" w:type="dxa"/>
              <w:left w:w="90" w:type="dxa"/>
              <w:right w:w="90" w:type="dxa"/>
            </w:tcMar>
          </w:tcPr>
          <w:p>
            <w:pPr>
              <w:pStyle w:val="BDOITable"/>
            </w:pPr>
            <w:r>
              <w:rPr>
                <w:sz w:val="15"/>
              </w:rPr>
              <w:t>IQ10</w:t>
            </w:r>
          </w:p>
        </w:tc>
      </w:tr>
      <w:tr>
        <w:trPr>
          <w:cantSplit w:val="true"/>
        </w:trPr>
        <w:tc>
          <w:tcPr>
            <w:tcW w:type="dxa" w:w="905"/>
            <w:tcMar>
              <w:top w:w="50" w:type="dxa"/>
              <w:bottom w:w="50" w:type="dxa"/>
              <w:left w:w="90" w:type="dxa"/>
              <w:right w:w="90" w:type="dxa"/>
            </w:tcMar>
            <w:shd w:val="clear" w:color="auto" w:fill="E5F5FF"/>
          </w:tcPr>
          <w:p>
            <w:pPr>
              <w:pStyle w:val="BDOITable"/>
            </w:pPr>
            <w:r>
              <w:rPr>
                <w:b/>
                <w:sz w:val="15"/>
              </w:rPr>
              <w:t>INT-10</w:t>
            </w:r>
          </w:p>
        </w:tc>
        <w:tc>
          <w:tcPr>
            <w:tcW w:type="dxa" w:w="2262"/>
            <w:tcMar>
              <w:top w:w="50" w:type="dxa"/>
              <w:bottom w:w="50" w:type="dxa"/>
              <w:left w:w="90" w:type="dxa"/>
              <w:right w:w="90" w:type="dxa"/>
            </w:tcMar>
            <w:shd w:val="clear" w:color="auto" w:fill="E5F5FF"/>
          </w:tcPr>
          <w:p>
            <w:pPr>
              <w:pStyle w:val="BDOITable"/>
            </w:pPr>
            <w:r>
              <w:rPr>
                <w:sz w:val="15"/>
              </w:rPr>
              <w:t>AFTS</w:t>
            </w:r>
          </w:p>
        </w:tc>
        <w:tc>
          <w:tcPr>
            <w:tcW w:type="dxa" w:w="1659"/>
            <w:tcMar>
              <w:top w:w="50" w:type="dxa"/>
              <w:bottom w:w="50" w:type="dxa"/>
              <w:left w:w="90" w:type="dxa"/>
              <w:right w:w="90" w:type="dxa"/>
            </w:tcMar>
            <w:shd w:val="clear" w:color="auto" w:fill="E5F5FF"/>
          </w:tcPr>
          <w:p>
            <w:pPr>
              <w:pStyle w:val="BDOITable"/>
            </w:pPr>
            <w:r>
              <w:rPr>
                <w:sz w:val="15"/>
              </w:rPr>
              <w:t>Drop 0</w:t>
            </w:r>
          </w:p>
        </w:tc>
        <w:tc>
          <w:tcPr>
            <w:tcW w:type="dxa" w:w="4826"/>
            <w:tcMar>
              <w:top w:w="50" w:type="dxa"/>
              <w:bottom w:w="50" w:type="dxa"/>
              <w:left w:w="90" w:type="dxa"/>
              <w:right w:w="90" w:type="dxa"/>
            </w:tcMar>
            <w:shd w:val="clear" w:color="auto" w:fill="E5F5FF"/>
          </w:tcPr>
          <w:p>
            <w:pPr>
              <w:pStyle w:val="BDOITable"/>
            </w:pPr>
            <w:r>
              <w:rPr>
                <w:sz w:val="15"/>
              </w:rPr>
              <w:t>Automatic Fund Transfer System (on the slide; not explained in the answers)</w:t>
            </w:r>
          </w:p>
        </w:tc>
        <w:tc>
          <w:tcPr>
            <w:tcW w:type="dxa" w:w="2564"/>
            <w:tcMar>
              <w:top w:w="50" w:type="dxa"/>
              <w:bottom w:w="50" w:type="dxa"/>
              <w:left w:w="90" w:type="dxa"/>
              <w:right w:w="90" w:type="dxa"/>
            </w:tcMar>
            <w:shd w:val="clear" w:color="auto" w:fill="E5F5FF"/>
          </w:tcPr>
          <w:p>
            <w:pPr>
              <w:pStyle w:val="BDOITable"/>
            </w:pPr>
            <w:r>
              <w:rPr>
                <w:sz w:val="15"/>
              </w:rPr>
              <w:t>To confirm</w:t>
            </w:r>
          </w:p>
        </w:tc>
        <w:tc>
          <w:tcPr>
            <w:tcW w:type="dxa" w:w="1357"/>
            <w:tcMar>
              <w:top w:w="50" w:type="dxa"/>
              <w:bottom w:w="50" w:type="dxa"/>
              <w:left w:w="90" w:type="dxa"/>
              <w:right w:w="90" w:type="dxa"/>
            </w:tcMar>
            <w:shd w:val="clear" w:color="auto" w:fill="E5F5FF"/>
          </w:tcPr>
          <w:p>
            <w:pPr>
              <w:pStyle w:val="BDOITable"/>
            </w:pPr>
            <w:r>
              <w:rPr>
                <w:sz w:val="15"/>
              </w:rPr>
              <w:t>IQ10</w:t>
            </w:r>
          </w:p>
        </w:tc>
      </w:tr>
      <w:tr>
        <w:trPr>
          <w:cantSplit w:val="true"/>
        </w:trPr>
        <w:tc>
          <w:tcPr>
            <w:tcW w:type="dxa" w:w="905"/>
            <w:tcMar>
              <w:top w:w="50" w:type="dxa"/>
              <w:bottom w:w="50" w:type="dxa"/>
              <w:left w:w="90" w:type="dxa"/>
              <w:right w:w="90" w:type="dxa"/>
            </w:tcMar>
          </w:tcPr>
          <w:p>
            <w:pPr>
              <w:pStyle w:val="BDOITable"/>
            </w:pPr>
            <w:r>
              <w:rPr>
                <w:b/>
                <w:sz w:val="15"/>
              </w:rPr>
              <w:t>INT-11</w:t>
            </w:r>
          </w:p>
        </w:tc>
        <w:tc>
          <w:tcPr>
            <w:tcW w:type="dxa" w:w="2262"/>
            <w:tcMar>
              <w:top w:w="50" w:type="dxa"/>
              <w:bottom w:w="50" w:type="dxa"/>
              <w:left w:w="90" w:type="dxa"/>
              <w:right w:w="90" w:type="dxa"/>
            </w:tcMar>
          </w:tcPr>
          <w:p>
            <w:pPr>
              <w:pStyle w:val="BDOITable"/>
            </w:pPr>
            <w:r>
              <w:rPr>
                <w:sz w:val="15"/>
              </w:rPr>
              <w:t>ICBS</w:t>
            </w:r>
          </w:p>
        </w:tc>
        <w:tc>
          <w:tcPr>
            <w:tcW w:type="dxa" w:w="1659"/>
            <w:tcMar>
              <w:top w:w="50" w:type="dxa"/>
              <w:bottom w:w="50" w:type="dxa"/>
              <w:left w:w="90" w:type="dxa"/>
              <w:right w:w="90" w:type="dxa"/>
            </w:tcMar>
          </w:tcPr>
          <w:p>
            <w:pPr>
              <w:pStyle w:val="BDOITable"/>
            </w:pPr>
            <w:r>
              <w:rPr>
                <w:sz w:val="15"/>
              </w:rPr>
              <w:t>Drop 0 (struck through)</w:t>
            </w:r>
          </w:p>
        </w:tc>
        <w:tc>
          <w:tcPr>
            <w:tcW w:type="dxa" w:w="4826"/>
            <w:tcMar>
              <w:top w:w="50" w:type="dxa"/>
              <w:bottom w:w="50" w:type="dxa"/>
              <w:left w:w="90" w:type="dxa"/>
              <w:right w:w="90" w:type="dxa"/>
            </w:tcMar>
          </w:tcPr>
          <w:p>
            <w:pPr>
              <w:pStyle w:val="BDOITable"/>
            </w:pPr>
            <w:r>
              <w:rPr>
                <w:sz w:val="15"/>
              </w:rPr>
              <w:t>Struck through on the slide</w:t>
            </w:r>
          </w:p>
        </w:tc>
        <w:tc>
          <w:tcPr>
            <w:tcW w:type="dxa" w:w="2564"/>
            <w:tcMar>
              <w:top w:w="50" w:type="dxa"/>
              <w:bottom w:w="50" w:type="dxa"/>
              <w:left w:w="90" w:type="dxa"/>
              <w:right w:w="90" w:type="dxa"/>
            </w:tcMar>
          </w:tcPr>
          <w:p>
            <w:pPr>
              <w:pStyle w:val="BDOITable"/>
            </w:pPr>
            <w:r>
              <w:rPr>
                <w:sz w:val="15"/>
              </w:rPr>
              <w:t>-</w:t>
            </w:r>
          </w:p>
        </w:tc>
        <w:tc>
          <w:tcPr>
            <w:tcW w:type="dxa" w:w="1357"/>
            <w:tcMar>
              <w:top w:w="50" w:type="dxa"/>
              <w:bottom w:w="50" w:type="dxa"/>
              <w:left w:w="90" w:type="dxa"/>
              <w:right w:w="90" w:type="dxa"/>
            </w:tcMar>
          </w:tcPr>
          <w:p>
            <w:pPr>
              <w:pStyle w:val="BDOITable"/>
            </w:pPr>
            <w:r>
              <w:rPr>
                <w:sz w:val="15"/>
              </w:rPr>
              <w:t>IQ10</w:t>
            </w:r>
          </w:p>
        </w:tc>
      </w:tr>
      <w:tr>
        <w:trPr>
          <w:cantSplit w:val="true"/>
        </w:trPr>
        <w:tc>
          <w:tcPr>
            <w:tcW w:type="dxa" w:w="905"/>
            <w:tcMar>
              <w:top w:w="50" w:type="dxa"/>
              <w:bottom w:w="50" w:type="dxa"/>
              <w:left w:w="90" w:type="dxa"/>
              <w:right w:w="90" w:type="dxa"/>
            </w:tcMar>
            <w:shd w:val="clear" w:color="auto" w:fill="E5F5FF"/>
          </w:tcPr>
          <w:p>
            <w:pPr>
              <w:pStyle w:val="BDOITable"/>
            </w:pPr>
            <w:r>
              <w:rPr>
                <w:b/>
                <w:sz w:val="15"/>
              </w:rPr>
              <w:t>INT-12</w:t>
            </w:r>
          </w:p>
        </w:tc>
        <w:tc>
          <w:tcPr>
            <w:tcW w:type="dxa" w:w="2262"/>
            <w:tcMar>
              <w:top w:w="50" w:type="dxa"/>
              <w:bottom w:w="50" w:type="dxa"/>
              <w:left w:w="90" w:type="dxa"/>
              <w:right w:w="90" w:type="dxa"/>
            </w:tcMar>
            <w:shd w:val="clear" w:color="auto" w:fill="E5F5FF"/>
          </w:tcPr>
          <w:p>
            <w:pPr>
              <w:pStyle w:val="BDOITable"/>
            </w:pPr>
            <w:r>
              <w:rPr>
                <w:sz w:val="15"/>
              </w:rPr>
              <w:t>ECM</w:t>
            </w:r>
          </w:p>
        </w:tc>
        <w:tc>
          <w:tcPr>
            <w:tcW w:type="dxa" w:w="1659"/>
            <w:tcMar>
              <w:top w:w="50" w:type="dxa"/>
              <w:bottom w:w="50" w:type="dxa"/>
              <w:left w:w="90" w:type="dxa"/>
              <w:right w:w="90" w:type="dxa"/>
            </w:tcMar>
            <w:shd w:val="clear" w:color="auto" w:fill="E5F5FF"/>
          </w:tcPr>
          <w:p>
            <w:pPr>
              <w:pStyle w:val="BDOITable"/>
            </w:pPr>
            <w:r>
              <w:rPr>
                <w:sz w:val="15"/>
              </w:rPr>
              <w:t>Drop 0</w:t>
            </w:r>
          </w:p>
        </w:tc>
        <w:tc>
          <w:tcPr>
            <w:tcW w:type="dxa" w:w="4826"/>
            <w:tcMar>
              <w:top w:w="50" w:type="dxa"/>
              <w:bottom w:w="50" w:type="dxa"/>
              <w:left w:w="90" w:type="dxa"/>
              <w:right w:w="90" w:type="dxa"/>
            </w:tcMar>
            <w:shd w:val="clear" w:color="auto" w:fill="E5F5FF"/>
          </w:tcPr>
          <w:p>
            <w:pPr>
              <w:pStyle w:val="BDOITable"/>
            </w:pPr>
            <w:r>
              <w:rPr>
                <w:sz w:val="15"/>
              </w:rPr>
              <w:t>Enterprise Content Management</w:t>
            </w:r>
          </w:p>
        </w:tc>
        <w:tc>
          <w:tcPr>
            <w:tcW w:type="dxa" w:w="2564"/>
            <w:tcMar>
              <w:top w:w="50" w:type="dxa"/>
              <w:bottom w:w="50" w:type="dxa"/>
              <w:left w:w="90" w:type="dxa"/>
              <w:right w:w="90" w:type="dxa"/>
            </w:tcMar>
            <w:shd w:val="clear" w:color="auto" w:fill="E5F5FF"/>
          </w:tcPr>
          <w:p>
            <w:pPr>
              <w:pStyle w:val="BDOITable"/>
            </w:pPr>
            <w:r>
              <w:rPr>
                <w:sz w:val="15"/>
              </w:rPr>
              <w:t>To confirm (possibly inbound legacy documents only)</w:t>
            </w:r>
          </w:p>
        </w:tc>
        <w:tc>
          <w:tcPr>
            <w:tcW w:type="dxa" w:w="1357"/>
            <w:tcMar>
              <w:top w:w="50" w:type="dxa"/>
              <w:bottom w:w="50" w:type="dxa"/>
              <w:left w:w="90" w:type="dxa"/>
              <w:right w:w="90" w:type="dxa"/>
            </w:tcMar>
            <w:shd w:val="clear" w:color="auto" w:fill="E5F5FF"/>
          </w:tcPr>
          <w:p>
            <w:pPr>
              <w:pStyle w:val="BDOITable"/>
            </w:pPr>
            <w:r>
              <w:rPr>
                <w:sz w:val="15"/>
              </w:rPr>
              <w:t>IQ13</w:t>
            </w:r>
          </w:p>
        </w:tc>
      </w:tr>
      <w:tr>
        <w:trPr>
          <w:cantSplit w:val="true"/>
        </w:trPr>
        <w:tc>
          <w:tcPr>
            <w:tcW w:type="dxa" w:w="905"/>
            <w:tcMar>
              <w:top w:w="50" w:type="dxa"/>
              <w:bottom w:w="50" w:type="dxa"/>
              <w:left w:w="90" w:type="dxa"/>
              <w:right w:w="90" w:type="dxa"/>
            </w:tcMar>
          </w:tcPr>
          <w:p>
            <w:pPr>
              <w:pStyle w:val="BDOITable"/>
            </w:pPr>
            <w:r>
              <w:rPr>
                <w:b/>
                <w:sz w:val="15"/>
              </w:rPr>
              <w:t>INT-13</w:t>
            </w:r>
          </w:p>
        </w:tc>
        <w:tc>
          <w:tcPr>
            <w:tcW w:type="dxa" w:w="2262"/>
            <w:tcMar>
              <w:top w:w="50" w:type="dxa"/>
              <w:bottom w:w="50" w:type="dxa"/>
              <w:left w:w="90" w:type="dxa"/>
              <w:right w:w="90" w:type="dxa"/>
            </w:tcMar>
          </w:tcPr>
          <w:p>
            <w:pPr>
              <w:pStyle w:val="BDOITable"/>
            </w:pPr>
            <w:r>
              <w:rPr>
                <w:sz w:val="15"/>
              </w:rPr>
              <w:t>CCM</w:t>
            </w:r>
          </w:p>
        </w:tc>
        <w:tc>
          <w:tcPr>
            <w:tcW w:type="dxa" w:w="1659"/>
            <w:tcMar>
              <w:top w:w="50" w:type="dxa"/>
              <w:bottom w:w="50" w:type="dxa"/>
              <w:left w:w="90" w:type="dxa"/>
              <w:right w:w="90" w:type="dxa"/>
            </w:tcMar>
          </w:tcPr>
          <w:p>
            <w:pPr>
              <w:pStyle w:val="BDOITable"/>
            </w:pPr>
            <w:r>
              <w:rPr>
                <w:sz w:val="15"/>
              </w:rPr>
              <w:t>Drop 0</w:t>
            </w:r>
          </w:p>
        </w:tc>
        <w:tc>
          <w:tcPr>
            <w:tcW w:type="dxa" w:w="4826"/>
            <w:tcMar>
              <w:top w:w="50" w:type="dxa"/>
              <w:bottom w:w="50" w:type="dxa"/>
              <w:left w:w="90" w:type="dxa"/>
              <w:right w:w="90" w:type="dxa"/>
            </w:tcMar>
          </w:tcPr>
          <w:p>
            <w:pPr>
              <w:pStyle w:val="BDOITable"/>
            </w:pPr>
            <w:r>
              <w:rPr>
                <w:sz w:val="15"/>
              </w:rPr>
              <w:t>Centralized Communications Management, e-mail sending</w:t>
            </w:r>
          </w:p>
        </w:tc>
        <w:tc>
          <w:tcPr>
            <w:tcW w:type="dxa" w:w="2564"/>
            <w:tcMar>
              <w:top w:w="50" w:type="dxa"/>
              <w:bottom w:w="50" w:type="dxa"/>
              <w:left w:w="90" w:type="dxa"/>
              <w:right w:w="90" w:type="dxa"/>
            </w:tcMar>
          </w:tcPr>
          <w:p>
            <w:pPr>
              <w:pStyle w:val="BDOITable"/>
            </w:pPr>
            <w:r>
              <w:rPr>
                <w:sz w:val="15"/>
              </w:rPr>
              <w:t>Outbound; delivery status inbound</w:t>
            </w:r>
          </w:p>
        </w:tc>
        <w:tc>
          <w:tcPr>
            <w:tcW w:type="dxa" w:w="1357"/>
            <w:tcMar>
              <w:top w:w="50" w:type="dxa"/>
              <w:bottom w:w="50" w:type="dxa"/>
              <w:left w:w="90" w:type="dxa"/>
              <w:right w:w="90" w:type="dxa"/>
            </w:tcMar>
          </w:tcPr>
          <w:p>
            <w:pPr>
              <w:pStyle w:val="BDOITable"/>
            </w:pPr>
            <w:r>
              <w:rPr>
                <w:sz w:val="15"/>
              </w:rPr>
              <w:t>IQ11</w:t>
            </w:r>
          </w:p>
        </w:tc>
      </w:tr>
      <w:tr>
        <w:trPr>
          <w:cantSplit w:val="true"/>
        </w:trPr>
        <w:tc>
          <w:tcPr>
            <w:tcW w:type="dxa" w:w="905"/>
            <w:tcMar>
              <w:top w:w="50" w:type="dxa"/>
              <w:bottom w:w="50" w:type="dxa"/>
              <w:left w:w="90" w:type="dxa"/>
              <w:right w:w="90" w:type="dxa"/>
            </w:tcMar>
            <w:shd w:val="clear" w:color="auto" w:fill="E5F5FF"/>
          </w:tcPr>
          <w:p>
            <w:pPr>
              <w:pStyle w:val="BDOITable"/>
            </w:pPr>
            <w:r>
              <w:rPr>
                <w:b/>
                <w:sz w:val="15"/>
              </w:rPr>
              <w:t>INT-14</w:t>
            </w:r>
          </w:p>
        </w:tc>
        <w:tc>
          <w:tcPr>
            <w:tcW w:type="dxa" w:w="2262"/>
            <w:tcMar>
              <w:top w:w="50" w:type="dxa"/>
              <w:bottom w:w="50" w:type="dxa"/>
              <w:left w:w="90" w:type="dxa"/>
              <w:right w:w="90" w:type="dxa"/>
            </w:tcMar>
            <w:shd w:val="clear" w:color="auto" w:fill="E5F5FF"/>
          </w:tcPr>
          <w:p>
            <w:pPr>
              <w:pStyle w:val="BDOITable"/>
            </w:pPr>
            <w:r>
              <w:rPr>
                <w:sz w:val="15"/>
              </w:rPr>
              <w:t>M365 Exchange</w:t>
            </w:r>
          </w:p>
        </w:tc>
        <w:tc>
          <w:tcPr>
            <w:tcW w:type="dxa" w:w="1659"/>
            <w:tcMar>
              <w:top w:w="50" w:type="dxa"/>
              <w:bottom w:w="50" w:type="dxa"/>
              <w:left w:w="90" w:type="dxa"/>
              <w:right w:w="90" w:type="dxa"/>
            </w:tcMar>
            <w:shd w:val="clear" w:color="auto" w:fill="E5F5FF"/>
          </w:tcPr>
          <w:p>
            <w:pPr>
              <w:pStyle w:val="BDOITable"/>
            </w:pPr>
            <w:r>
              <w:rPr>
                <w:sz w:val="15"/>
              </w:rPr>
              <w:t>Drop 0</w:t>
            </w:r>
          </w:p>
        </w:tc>
        <w:tc>
          <w:tcPr>
            <w:tcW w:type="dxa" w:w="4826"/>
            <w:tcMar>
              <w:top w:w="50" w:type="dxa"/>
              <w:bottom w:w="50" w:type="dxa"/>
              <w:left w:w="90" w:type="dxa"/>
              <w:right w:w="90" w:type="dxa"/>
            </w:tcMar>
            <w:shd w:val="clear" w:color="auto" w:fill="E5F5FF"/>
          </w:tcPr>
          <w:p>
            <w:pPr>
              <w:pStyle w:val="BDOITable"/>
            </w:pPr>
            <w:r>
              <w:rPr>
                <w:sz w:val="15"/>
              </w:rPr>
              <w:t>M365 Exchange</w:t>
            </w:r>
          </w:p>
        </w:tc>
        <w:tc>
          <w:tcPr>
            <w:tcW w:type="dxa" w:w="2564"/>
            <w:tcMar>
              <w:top w:w="50" w:type="dxa"/>
              <w:bottom w:w="50" w:type="dxa"/>
              <w:left w:w="90" w:type="dxa"/>
              <w:right w:w="90" w:type="dxa"/>
            </w:tcMar>
            <w:shd w:val="clear" w:color="auto" w:fill="E5F5FF"/>
          </w:tcPr>
          <w:p>
            <w:pPr>
              <w:pStyle w:val="BDOITable"/>
            </w:pPr>
            <w:r>
              <w:rPr>
                <w:sz w:val="15"/>
              </w:rPr>
              <w:t>Inbound (mailbox reading) and/or outbound</w:t>
            </w:r>
          </w:p>
        </w:tc>
        <w:tc>
          <w:tcPr>
            <w:tcW w:type="dxa" w:w="1357"/>
            <w:tcMar>
              <w:top w:w="50" w:type="dxa"/>
              <w:bottom w:w="50" w:type="dxa"/>
              <w:left w:w="90" w:type="dxa"/>
              <w:right w:w="90" w:type="dxa"/>
            </w:tcMar>
            <w:shd w:val="clear" w:color="auto" w:fill="E5F5FF"/>
          </w:tcPr>
          <w:p>
            <w:pPr>
              <w:pStyle w:val="BDOITable"/>
            </w:pPr>
            <w:r>
              <w:rPr>
                <w:sz w:val="15"/>
              </w:rPr>
              <w:t>IQ12</w:t>
            </w:r>
          </w:p>
        </w:tc>
      </w:tr>
      <w:tr>
        <w:trPr>
          <w:cantSplit w:val="true"/>
        </w:trPr>
        <w:tc>
          <w:tcPr>
            <w:tcW w:type="dxa" w:w="905"/>
            <w:tcMar>
              <w:top w:w="50" w:type="dxa"/>
              <w:bottom w:w="50" w:type="dxa"/>
              <w:left w:w="90" w:type="dxa"/>
              <w:right w:w="90" w:type="dxa"/>
            </w:tcMar>
          </w:tcPr>
          <w:p>
            <w:pPr>
              <w:pStyle w:val="BDOITable"/>
            </w:pPr>
            <w:r>
              <w:rPr>
                <w:b/>
                <w:sz w:val="15"/>
              </w:rPr>
              <w:t>INT-15</w:t>
            </w:r>
          </w:p>
        </w:tc>
        <w:tc>
          <w:tcPr>
            <w:tcW w:type="dxa" w:w="2262"/>
            <w:tcMar>
              <w:top w:w="50" w:type="dxa"/>
              <w:bottom w:w="50" w:type="dxa"/>
              <w:left w:w="90" w:type="dxa"/>
              <w:right w:w="90" w:type="dxa"/>
            </w:tcMar>
          </w:tcPr>
          <w:p>
            <w:pPr>
              <w:pStyle w:val="BDOITable"/>
            </w:pPr>
            <w:r>
              <w:rPr>
                <w:sz w:val="15"/>
              </w:rPr>
              <w:t>TFS (manual)</w:t>
            </w:r>
          </w:p>
        </w:tc>
        <w:tc>
          <w:tcPr>
            <w:tcW w:type="dxa" w:w="1659"/>
            <w:tcMar>
              <w:top w:w="50" w:type="dxa"/>
              <w:bottom w:w="50" w:type="dxa"/>
              <w:left w:w="90" w:type="dxa"/>
              <w:right w:w="90" w:type="dxa"/>
            </w:tcMar>
          </w:tcPr>
          <w:p>
            <w:pPr>
              <w:pStyle w:val="BDOITable"/>
            </w:pPr>
            <w:r>
              <w:rPr>
                <w:sz w:val="15"/>
              </w:rPr>
              <w:t>Drop 0</w:t>
            </w:r>
          </w:p>
        </w:tc>
        <w:tc>
          <w:tcPr>
            <w:tcW w:type="dxa" w:w="4826"/>
            <w:tcMar>
              <w:top w:w="50" w:type="dxa"/>
              <w:bottom w:w="50" w:type="dxa"/>
              <w:left w:w="90" w:type="dxa"/>
              <w:right w:w="90" w:type="dxa"/>
            </w:tcMar>
          </w:tcPr>
          <w:p>
            <w:pPr>
              <w:pStyle w:val="BDOITable"/>
            </w:pPr>
            <w:r>
              <w:rPr>
                <w:sz w:val="15"/>
              </w:rPr>
              <w:t>Trade Finance System - client onboarding and payment (manual)</w:t>
            </w:r>
          </w:p>
        </w:tc>
        <w:tc>
          <w:tcPr>
            <w:tcW w:type="dxa" w:w="2564"/>
            <w:tcMar>
              <w:top w:w="50" w:type="dxa"/>
              <w:bottom w:w="50" w:type="dxa"/>
              <w:left w:w="90" w:type="dxa"/>
              <w:right w:w="90" w:type="dxa"/>
            </w:tcMar>
          </w:tcPr>
          <w:p>
            <w:pPr>
              <w:pStyle w:val="BDOITable"/>
            </w:pPr>
            <w:r>
              <w:rPr>
                <w:sz w:val="15"/>
              </w:rPr>
              <w:t>Manual inbound</w:t>
            </w:r>
          </w:p>
        </w:tc>
        <w:tc>
          <w:tcPr>
            <w:tcW w:type="dxa" w:w="1357"/>
            <w:tcMar>
              <w:top w:w="50" w:type="dxa"/>
              <w:bottom w:w="50" w:type="dxa"/>
              <w:left w:w="90" w:type="dxa"/>
              <w:right w:w="90" w:type="dxa"/>
            </w:tcMar>
          </w:tcPr>
          <w:p>
            <w:pPr>
              <w:pStyle w:val="BDOITable"/>
            </w:pPr>
            <w:r>
              <w:rPr>
                <w:sz w:val="15"/>
              </w:rPr>
              <w:t>IQ14</w:t>
            </w:r>
          </w:p>
        </w:tc>
      </w:tr>
      <w:tr>
        <w:trPr>
          <w:cantSplit w:val="true"/>
        </w:trPr>
        <w:tc>
          <w:tcPr>
            <w:tcW w:type="dxa" w:w="905"/>
            <w:tcMar>
              <w:top w:w="50" w:type="dxa"/>
              <w:bottom w:w="50" w:type="dxa"/>
              <w:left w:w="90" w:type="dxa"/>
              <w:right w:w="90" w:type="dxa"/>
            </w:tcMar>
            <w:shd w:val="clear" w:color="auto" w:fill="E5F5FF"/>
          </w:tcPr>
          <w:p>
            <w:pPr>
              <w:pStyle w:val="BDOITable"/>
            </w:pPr>
            <w:r>
              <w:rPr>
                <w:b/>
                <w:sz w:val="15"/>
              </w:rPr>
              <w:t>INT-16</w:t>
            </w:r>
          </w:p>
        </w:tc>
        <w:tc>
          <w:tcPr>
            <w:tcW w:type="dxa" w:w="2262"/>
            <w:tcMar>
              <w:top w:w="50" w:type="dxa"/>
              <w:bottom w:w="50" w:type="dxa"/>
              <w:left w:w="90" w:type="dxa"/>
              <w:right w:w="90" w:type="dxa"/>
            </w:tcMar>
            <w:shd w:val="clear" w:color="auto" w:fill="E5F5FF"/>
          </w:tcPr>
          <w:p>
            <w:pPr>
              <w:pStyle w:val="BDOITable"/>
            </w:pPr>
            <w:r>
              <w:rPr>
                <w:sz w:val="15"/>
              </w:rPr>
              <w:t>EDP - Data Ingestion (SD 11)</w:t>
            </w:r>
          </w:p>
        </w:tc>
        <w:tc>
          <w:tcPr>
            <w:tcW w:type="dxa" w:w="1659"/>
            <w:tcMar>
              <w:top w:w="50" w:type="dxa"/>
              <w:bottom w:w="50" w:type="dxa"/>
              <w:left w:w="90" w:type="dxa"/>
              <w:right w:w="90" w:type="dxa"/>
            </w:tcMar>
            <w:shd w:val="clear" w:color="auto" w:fill="E5F5FF"/>
          </w:tcPr>
          <w:p>
            <w:pPr>
              <w:pStyle w:val="BDOITable"/>
            </w:pPr>
            <w:r>
              <w:rPr>
                <w:sz w:val="15"/>
              </w:rPr>
              <w:t>Drop 2</w:t>
            </w:r>
          </w:p>
        </w:tc>
        <w:tc>
          <w:tcPr>
            <w:tcW w:type="dxa" w:w="4826"/>
            <w:tcMar>
              <w:top w:w="50" w:type="dxa"/>
              <w:bottom w:w="50" w:type="dxa"/>
              <w:left w:w="90" w:type="dxa"/>
              <w:right w:w="90" w:type="dxa"/>
            </w:tcMar>
            <w:shd w:val="clear" w:color="auto" w:fill="E5F5FF"/>
          </w:tcPr>
          <w:p>
            <w:pPr>
              <w:pStyle w:val="BDOITable"/>
            </w:pPr>
            <w:r>
              <w:rPr>
                <w:sz w:val="15"/>
              </w:rPr>
              <w:t>Enterprise Data Platform</w:t>
            </w:r>
          </w:p>
        </w:tc>
        <w:tc>
          <w:tcPr>
            <w:tcW w:type="dxa" w:w="2564"/>
            <w:tcMar>
              <w:top w:w="50" w:type="dxa"/>
              <w:bottom w:w="50" w:type="dxa"/>
              <w:left w:w="90" w:type="dxa"/>
              <w:right w:w="90" w:type="dxa"/>
            </w:tcMar>
            <w:shd w:val="clear" w:color="auto" w:fill="E5F5FF"/>
          </w:tcPr>
          <w:p>
            <w:pPr>
              <w:pStyle w:val="BDOITable"/>
            </w:pPr>
            <w:r>
              <w:rPr>
                <w:sz w:val="15"/>
              </w:rPr>
              <w:t>Outbound</w:t>
            </w:r>
          </w:p>
        </w:tc>
        <w:tc>
          <w:tcPr>
            <w:tcW w:type="dxa" w:w="1357"/>
            <w:tcMar>
              <w:top w:w="50" w:type="dxa"/>
              <w:bottom w:w="50" w:type="dxa"/>
              <w:left w:w="90" w:type="dxa"/>
              <w:right w:w="90" w:type="dxa"/>
            </w:tcMar>
            <w:shd w:val="clear" w:color="auto" w:fill="E5F5FF"/>
          </w:tcPr>
          <w:p>
            <w:pPr>
              <w:pStyle w:val="BDOITable"/>
            </w:pPr>
            <w:r>
              <w:rPr>
                <w:sz w:val="15"/>
              </w:rPr>
              <w:t>IQ15</w:t>
            </w:r>
          </w:p>
        </w:tc>
      </w:tr>
      <w:tr>
        <w:trPr>
          <w:cantSplit w:val="true"/>
        </w:trPr>
        <w:tc>
          <w:tcPr>
            <w:tcW w:type="dxa" w:w="905"/>
            <w:tcMar>
              <w:top w:w="50" w:type="dxa"/>
              <w:bottom w:w="50" w:type="dxa"/>
              <w:left w:w="90" w:type="dxa"/>
              <w:right w:w="90" w:type="dxa"/>
            </w:tcMar>
          </w:tcPr>
          <w:p>
            <w:pPr>
              <w:pStyle w:val="BDOITable"/>
            </w:pPr>
            <w:r>
              <w:rPr>
                <w:b/>
                <w:sz w:val="15"/>
              </w:rPr>
              <w:t>INT-17</w:t>
            </w:r>
          </w:p>
        </w:tc>
        <w:tc>
          <w:tcPr>
            <w:tcW w:type="dxa" w:w="2262"/>
            <w:tcMar>
              <w:top w:w="50" w:type="dxa"/>
              <w:bottom w:w="50" w:type="dxa"/>
              <w:left w:w="90" w:type="dxa"/>
              <w:right w:w="90" w:type="dxa"/>
            </w:tcMar>
          </w:tcPr>
          <w:p>
            <w:pPr>
              <w:pStyle w:val="BDOITable"/>
            </w:pPr>
            <w:r>
              <w:rPr>
                <w:sz w:val="15"/>
              </w:rPr>
              <w:t>EGL</w:t>
            </w:r>
          </w:p>
        </w:tc>
        <w:tc>
          <w:tcPr>
            <w:tcW w:type="dxa" w:w="1659"/>
            <w:tcMar>
              <w:top w:w="50" w:type="dxa"/>
              <w:bottom w:w="50" w:type="dxa"/>
              <w:left w:w="90" w:type="dxa"/>
              <w:right w:w="90" w:type="dxa"/>
            </w:tcMar>
          </w:tcPr>
          <w:p>
            <w:pPr>
              <w:pStyle w:val="BDOITable"/>
            </w:pPr>
            <w:r>
              <w:rPr>
                <w:sz w:val="15"/>
              </w:rPr>
              <w:t>Drop 2</w:t>
            </w:r>
          </w:p>
        </w:tc>
        <w:tc>
          <w:tcPr>
            <w:tcW w:type="dxa" w:w="4826"/>
            <w:tcMar>
              <w:top w:w="50" w:type="dxa"/>
              <w:bottom w:w="50" w:type="dxa"/>
              <w:left w:w="90" w:type="dxa"/>
              <w:right w:w="90" w:type="dxa"/>
            </w:tcMar>
          </w:tcPr>
          <w:p>
            <w:pPr>
              <w:pStyle w:val="BDOITable"/>
            </w:pPr>
            <w:r>
              <w:rPr>
                <w:sz w:val="15"/>
              </w:rPr>
              <w:t>Enterprise General Ledger</w:t>
            </w:r>
          </w:p>
        </w:tc>
        <w:tc>
          <w:tcPr>
            <w:tcW w:type="dxa" w:w="2564"/>
            <w:tcMar>
              <w:top w:w="50" w:type="dxa"/>
              <w:bottom w:w="50" w:type="dxa"/>
              <w:left w:w="90" w:type="dxa"/>
              <w:right w:w="90" w:type="dxa"/>
            </w:tcMar>
          </w:tcPr>
          <w:p>
            <w:pPr>
              <w:pStyle w:val="BDOITable"/>
            </w:pPr>
            <w:r>
              <w:rPr>
                <w:sz w:val="15"/>
              </w:rPr>
              <w:t>Outbound</w:t>
            </w:r>
          </w:p>
        </w:tc>
        <w:tc>
          <w:tcPr>
            <w:tcW w:type="dxa" w:w="1357"/>
            <w:tcMar>
              <w:top w:w="50" w:type="dxa"/>
              <w:bottom w:w="50" w:type="dxa"/>
              <w:left w:w="90" w:type="dxa"/>
              <w:right w:w="90" w:type="dxa"/>
            </w:tcMar>
          </w:tcPr>
          <w:p>
            <w:pPr>
              <w:pStyle w:val="BDOITable"/>
            </w:pPr>
            <w:r>
              <w:rPr>
                <w:sz w:val="15"/>
              </w:rPr>
              <w:t>IQ16</w:t>
            </w:r>
          </w:p>
        </w:tc>
      </w:tr>
      <w:tr>
        <w:trPr>
          <w:cantSplit w:val="true"/>
        </w:trPr>
        <w:tc>
          <w:tcPr>
            <w:tcW w:type="dxa" w:w="905"/>
            <w:tcMar>
              <w:top w:w="50" w:type="dxa"/>
              <w:bottom w:w="50" w:type="dxa"/>
              <w:left w:w="90" w:type="dxa"/>
              <w:right w:w="90" w:type="dxa"/>
            </w:tcMar>
            <w:shd w:val="clear" w:color="auto" w:fill="E5F5FF"/>
          </w:tcPr>
          <w:p>
            <w:pPr>
              <w:pStyle w:val="BDOITable"/>
            </w:pPr>
            <w:r>
              <w:rPr>
                <w:b/>
                <w:sz w:val="15"/>
              </w:rPr>
              <w:t>INT-18</w:t>
            </w:r>
          </w:p>
        </w:tc>
        <w:tc>
          <w:tcPr>
            <w:tcW w:type="dxa" w:w="2262"/>
            <w:tcMar>
              <w:top w:w="50" w:type="dxa"/>
              <w:bottom w:w="50" w:type="dxa"/>
              <w:left w:w="90" w:type="dxa"/>
              <w:right w:w="90" w:type="dxa"/>
            </w:tcMar>
            <w:shd w:val="clear" w:color="auto" w:fill="E5F5FF"/>
          </w:tcPr>
          <w:p>
            <w:pPr>
              <w:pStyle w:val="BDOITable"/>
            </w:pPr>
            <w:r>
              <w:rPr>
                <w:sz w:val="15"/>
              </w:rPr>
              <w:t>CARMS</w:t>
            </w:r>
          </w:p>
        </w:tc>
        <w:tc>
          <w:tcPr>
            <w:tcW w:type="dxa" w:w="1659"/>
            <w:tcMar>
              <w:top w:w="50" w:type="dxa"/>
              <w:bottom w:w="50" w:type="dxa"/>
              <w:left w:w="90" w:type="dxa"/>
              <w:right w:w="90" w:type="dxa"/>
            </w:tcMar>
            <w:shd w:val="clear" w:color="auto" w:fill="E5F5FF"/>
          </w:tcPr>
          <w:p>
            <w:pPr>
              <w:pStyle w:val="BDOITable"/>
            </w:pPr>
            <w:r>
              <w:rPr>
                <w:sz w:val="15"/>
              </w:rPr>
              <w:t>Drop 2</w:t>
            </w:r>
          </w:p>
        </w:tc>
        <w:tc>
          <w:tcPr>
            <w:tcW w:type="dxa" w:w="4826"/>
            <w:tcMar>
              <w:top w:w="50" w:type="dxa"/>
              <w:bottom w:w="50" w:type="dxa"/>
              <w:left w:w="90" w:type="dxa"/>
              <w:right w:w="90" w:type="dxa"/>
            </w:tcMar>
            <w:shd w:val="clear" w:color="auto" w:fill="E5F5FF"/>
          </w:tcPr>
          <w:p>
            <w:pPr>
              <w:pStyle w:val="BDOITable"/>
            </w:pPr>
            <w:r>
              <w:rPr>
                <w:sz w:val="15"/>
              </w:rPr>
              <w:t>Not explained in the answers</w:t>
            </w:r>
          </w:p>
        </w:tc>
        <w:tc>
          <w:tcPr>
            <w:tcW w:type="dxa" w:w="2564"/>
            <w:tcMar>
              <w:top w:w="50" w:type="dxa"/>
              <w:bottom w:w="50" w:type="dxa"/>
              <w:left w:w="90" w:type="dxa"/>
              <w:right w:w="90" w:type="dxa"/>
            </w:tcMar>
            <w:shd w:val="clear" w:color="auto" w:fill="E5F5FF"/>
          </w:tcPr>
          <w:p>
            <w:pPr>
              <w:pStyle w:val="BDOITable"/>
            </w:pPr>
            <w:r>
              <w:rPr>
                <w:sz w:val="15"/>
              </w:rPr>
              <w:t>To confirm</w:t>
            </w:r>
          </w:p>
        </w:tc>
        <w:tc>
          <w:tcPr>
            <w:tcW w:type="dxa" w:w="1357"/>
            <w:tcMar>
              <w:top w:w="50" w:type="dxa"/>
              <w:bottom w:w="50" w:type="dxa"/>
              <w:left w:w="90" w:type="dxa"/>
              <w:right w:w="90" w:type="dxa"/>
            </w:tcMar>
            <w:shd w:val="clear" w:color="auto" w:fill="E5F5FF"/>
          </w:tcPr>
          <w:p>
            <w:pPr>
              <w:pStyle w:val="BDOITable"/>
            </w:pPr>
            <w:r>
              <w:rPr>
                <w:sz w:val="15"/>
              </w:rPr>
              <w:t>IQ17</w:t>
            </w:r>
          </w:p>
        </w:tc>
      </w:tr>
      <w:tr>
        <w:trPr>
          <w:cantSplit w:val="true"/>
        </w:trPr>
        <w:tc>
          <w:tcPr>
            <w:tcW w:type="dxa" w:w="905"/>
            <w:tcMar>
              <w:top w:w="50" w:type="dxa"/>
              <w:bottom w:w="50" w:type="dxa"/>
              <w:left w:w="90" w:type="dxa"/>
              <w:right w:w="90" w:type="dxa"/>
            </w:tcMar>
          </w:tcPr>
          <w:p>
            <w:pPr>
              <w:pStyle w:val="BDOITable"/>
            </w:pPr>
            <w:r>
              <w:rPr>
                <w:b/>
                <w:sz w:val="15"/>
              </w:rPr>
              <w:t>INT-19</w:t>
            </w:r>
          </w:p>
        </w:tc>
        <w:tc>
          <w:tcPr>
            <w:tcW w:type="dxa" w:w="2262"/>
            <w:tcMar>
              <w:top w:w="50" w:type="dxa"/>
              <w:bottom w:w="50" w:type="dxa"/>
              <w:left w:w="90" w:type="dxa"/>
              <w:right w:w="90" w:type="dxa"/>
            </w:tcMar>
          </w:tcPr>
          <w:p>
            <w:pPr>
              <w:pStyle w:val="BDOITable"/>
            </w:pPr>
            <w:r>
              <w:rPr>
                <w:sz w:val="15"/>
              </w:rPr>
              <w:t>Insurer System</w:t>
            </w:r>
          </w:p>
        </w:tc>
        <w:tc>
          <w:tcPr>
            <w:tcW w:type="dxa" w:w="1659"/>
            <w:tcMar>
              <w:top w:w="50" w:type="dxa"/>
              <w:bottom w:w="50" w:type="dxa"/>
              <w:left w:w="90" w:type="dxa"/>
              <w:right w:w="90" w:type="dxa"/>
            </w:tcMar>
          </w:tcPr>
          <w:p>
            <w:pPr>
              <w:pStyle w:val="BDOITable"/>
            </w:pPr>
            <w:r>
              <w:rPr>
                <w:sz w:val="15"/>
              </w:rPr>
              <w:t>Drop 2</w:t>
            </w:r>
          </w:p>
        </w:tc>
        <w:tc>
          <w:tcPr>
            <w:tcW w:type="dxa" w:w="4826"/>
            <w:tcMar>
              <w:top w:w="50" w:type="dxa"/>
              <w:bottom w:w="50" w:type="dxa"/>
              <w:left w:w="90" w:type="dxa"/>
              <w:right w:w="90" w:type="dxa"/>
            </w:tcMar>
          </w:tcPr>
          <w:p>
            <w:pPr>
              <w:pStyle w:val="BDOITable"/>
            </w:pPr>
            <w:r>
              <w:rPr>
                <w:sz w:val="15"/>
              </w:rPr>
              <w:t>Insurer systems (not detailed)</w:t>
            </w:r>
          </w:p>
        </w:tc>
        <w:tc>
          <w:tcPr>
            <w:tcW w:type="dxa" w:w="2564"/>
            <w:tcMar>
              <w:top w:w="50" w:type="dxa"/>
              <w:bottom w:w="50" w:type="dxa"/>
              <w:left w:w="90" w:type="dxa"/>
              <w:right w:w="90" w:type="dxa"/>
            </w:tcMar>
          </w:tcPr>
          <w:p>
            <w:pPr>
              <w:pStyle w:val="BDOITable"/>
            </w:pPr>
            <w:r>
              <w:rPr>
                <w:sz w:val="15"/>
              </w:rPr>
              <w:t>Both</w:t>
            </w:r>
          </w:p>
        </w:tc>
        <w:tc>
          <w:tcPr>
            <w:tcW w:type="dxa" w:w="1357"/>
            <w:tcMar>
              <w:top w:w="50" w:type="dxa"/>
              <w:bottom w:w="50" w:type="dxa"/>
              <w:left w:w="90" w:type="dxa"/>
              <w:right w:w="90" w:type="dxa"/>
            </w:tcMar>
          </w:tcPr>
          <w:p>
            <w:pPr>
              <w:pStyle w:val="BDOITable"/>
            </w:pPr>
            <w:r>
              <w:rPr>
                <w:sz w:val="15"/>
              </w:rPr>
              <w:t>IQ18</w:t>
            </w:r>
          </w:p>
        </w:tc>
      </w:tr>
      <w:tr>
        <w:trPr>
          <w:cantSplit w:val="true"/>
        </w:trPr>
        <w:tc>
          <w:tcPr>
            <w:tcW w:type="dxa" w:w="905"/>
            <w:tcMar>
              <w:top w:w="50" w:type="dxa"/>
              <w:bottom w:w="50" w:type="dxa"/>
              <w:left w:w="90" w:type="dxa"/>
              <w:right w:w="90" w:type="dxa"/>
            </w:tcMar>
            <w:shd w:val="clear" w:color="auto" w:fill="E5F5FF"/>
          </w:tcPr>
          <w:p>
            <w:pPr>
              <w:pStyle w:val="BDOITable"/>
            </w:pPr>
            <w:r>
              <w:rPr>
                <w:b/>
                <w:sz w:val="15"/>
              </w:rPr>
              <w:t>INT-20</w:t>
            </w:r>
          </w:p>
        </w:tc>
        <w:tc>
          <w:tcPr>
            <w:tcW w:type="dxa" w:w="2262"/>
            <w:tcMar>
              <w:top w:w="50" w:type="dxa"/>
              <w:bottom w:w="50" w:type="dxa"/>
              <w:left w:w="90" w:type="dxa"/>
              <w:right w:w="90" w:type="dxa"/>
            </w:tcMar>
            <w:shd w:val="clear" w:color="auto" w:fill="E5F5FF"/>
          </w:tcPr>
          <w:p>
            <w:pPr>
              <w:pStyle w:val="BDOITable"/>
            </w:pPr>
            <w:r>
              <w:rPr>
                <w:sz w:val="15"/>
              </w:rPr>
              <w:t>Bridger Insight XG (manual)</w:t>
            </w:r>
          </w:p>
        </w:tc>
        <w:tc>
          <w:tcPr>
            <w:tcW w:type="dxa" w:w="1659"/>
            <w:tcMar>
              <w:top w:w="50" w:type="dxa"/>
              <w:bottom w:w="50" w:type="dxa"/>
              <w:left w:w="90" w:type="dxa"/>
              <w:right w:w="90" w:type="dxa"/>
            </w:tcMar>
            <w:shd w:val="clear" w:color="auto" w:fill="E5F5FF"/>
          </w:tcPr>
          <w:p>
            <w:pPr>
              <w:pStyle w:val="BDOITable"/>
            </w:pPr>
            <w:r>
              <w:rPr>
                <w:sz w:val="15"/>
              </w:rPr>
              <w:t>Drop 2</w:t>
            </w:r>
          </w:p>
        </w:tc>
        <w:tc>
          <w:tcPr>
            <w:tcW w:type="dxa" w:w="4826"/>
            <w:tcMar>
              <w:top w:w="50" w:type="dxa"/>
              <w:bottom w:w="50" w:type="dxa"/>
              <w:left w:w="90" w:type="dxa"/>
              <w:right w:w="90" w:type="dxa"/>
            </w:tcMar>
            <w:shd w:val="clear" w:color="auto" w:fill="E5F5FF"/>
          </w:tcPr>
          <w:p>
            <w:pPr>
              <w:pStyle w:val="BDOITable"/>
            </w:pPr>
            <w:r>
              <w:rPr>
                <w:sz w:val="15"/>
              </w:rPr>
              <w:t>Bridger Insight XG (screening)</w:t>
            </w:r>
          </w:p>
        </w:tc>
        <w:tc>
          <w:tcPr>
            <w:tcW w:type="dxa" w:w="2564"/>
            <w:tcMar>
              <w:top w:w="50" w:type="dxa"/>
              <w:bottom w:w="50" w:type="dxa"/>
              <w:left w:w="90" w:type="dxa"/>
              <w:right w:w="90" w:type="dxa"/>
            </w:tcMar>
            <w:shd w:val="clear" w:color="auto" w:fill="E5F5FF"/>
          </w:tcPr>
          <w:p>
            <w:pPr>
              <w:pStyle w:val="BDOITable"/>
            </w:pPr>
            <w:r>
              <w:rPr>
                <w:sz w:val="15"/>
              </w:rPr>
              <w:t>Manual</w:t>
            </w:r>
          </w:p>
        </w:tc>
        <w:tc>
          <w:tcPr>
            <w:tcW w:type="dxa" w:w="1357"/>
            <w:tcMar>
              <w:top w:w="50" w:type="dxa"/>
              <w:bottom w:w="50" w:type="dxa"/>
              <w:left w:w="90" w:type="dxa"/>
              <w:right w:w="90" w:type="dxa"/>
            </w:tcMar>
            <w:shd w:val="clear" w:color="auto" w:fill="E5F5FF"/>
          </w:tcPr>
          <w:p>
            <w:pPr>
              <w:pStyle w:val="BDOITable"/>
            </w:pPr>
            <w:r>
              <w:rPr>
                <w:sz w:val="15"/>
              </w:rPr>
              <w:t>IQ19</w:t>
            </w:r>
          </w:p>
        </w:tc>
      </w:tr>
    </w:tbl>
    <w:p>
      <w:pPr>
        <w:pStyle w:val="BDOISpacer"/>
      </w:pPr>
    </w:p>
    <w:p>
      <w:pPr>
        <w:pStyle w:val="Caption"/>
        <w:keepNext/>
        <w:spacing w:after="60"/>
      </w:pPr>
      <w:r>
        <w:rPr>
          <w:b/>
          <w:i w:val="0"/>
        </w:rPr>
        <w:t xml:space="preserve">Table 14: </w:t>
      </w:r>
      <w:r>
        <w:rPr/>
        <w:t>Integration inventory (detail)</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57"/>
        <w:gridCol w:w="1515"/>
        <w:gridCol w:w="5098"/>
        <w:gridCol w:w="3445"/>
        <w:gridCol w:w="2756"/>
      </w:tblGrid>
      <w:tr>
        <w:trPr>
          <w:tblHeader w:val="true"/>
          <w:cantSplit w:val="true"/>
        </w:trPr>
        <w:tc>
          <w:tcPr>
            <w:tcW w:type="dxa" w:w="75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516"/>
            <w:shd w:val="clear" w:color="auto" w:fill="004EA8"/>
            <w:tcMar>
              <w:top w:w="50" w:type="dxa"/>
              <w:bottom w:w="50" w:type="dxa"/>
              <w:left w:w="90" w:type="dxa"/>
              <w:right w:w="90" w:type="dxa"/>
            </w:tcMar>
            <w:vAlign w:val="center"/>
          </w:tcPr>
          <w:p>
            <w:pPr>
              <w:pStyle w:val="BDOITableHeader"/>
            </w:pPr>
            <w:r>
              <w:rPr>
                <w:b/>
                <w:color w:val="FFFFFF"/>
                <w:sz w:val="14"/>
              </w:rPr>
              <w:t>Integration</w:t>
            </w:r>
          </w:p>
        </w:tc>
        <w:tc>
          <w:tcPr>
            <w:tcW w:type="dxa" w:w="5098"/>
            <w:shd w:val="clear" w:color="auto" w:fill="004EA8"/>
            <w:tcMar>
              <w:top w:w="50" w:type="dxa"/>
              <w:bottom w:w="50" w:type="dxa"/>
              <w:left w:w="90" w:type="dxa"/>
              <w:right w:w="90" w:type="dxa"/>
            </w:tcMar>
            <w:vAlign w:val="center"/>
          </w:tcPr>
          <w:p>
            <w:pPr>
              <w:pStyle w:val="BDOITableHeader"/>
            </w:pPr>
            <w:r>
              <w:rPr>
                <w:b/>
                <w:color w:val="FFFFFF"/>
                <w:sz w:val="14"/>
              </w:rPr>
              <w:t>Our understanding (to confirm)</w:t>
            </w:r>
          </w:p>
        </w:tc>
        <w:tc>
          <w:tcPr>
            <w:tcW w:type="dxa" w:w="3445"/>
            <w:shd w:val="clear" w:color="auto" w:fill="004EA8"/>
            <w:tcMar>
              <w:top w:w="50" w:type="dxa"/>
              <w:bottom w:w="50" w:type="dxa"/>
              <w:left w:w="90" w:type="dxa"/>
              <w:right w:w="90" w:type="dxa"/>
            </w:tcMar>
            <w:vAlign w:val="center"/>
          </w:tcPr>
          <w:p>
            <w:pPr>
              <w:pStyle w:val="BDOITableHeader"/>
            </w:pPr>
            <w:r>
              <w:rPr>
                <w:b/>
                <w:color w:val="FFFFFF"/>
                <w:sz w:val="14"/>
              </w:rPr>
              <w:t>Data</w:t>
            </w:r>
          </w:p>
        </w:tc>
        <w:tc>
          <w:tcPr>
            <w:tcW w:type="dxa" w:w="2756"/>
            <w:shd w:val="clear" w:color="auto" w:fill="004EA8"/>
            <w:tcMar>
              <w:top w:w="50" w:type="dxa"/>
              <w:bottom w:w="50" w:type="dxa"/>
              <w:left w:w="90" w:type="dxa"/>
              <w:right w:w="90" w:type="dxa"/>
            </w:tcMar>
            <w:vAlign w:val="center"/>
          </w:tcPr>
          <w:p>
            <w:pPr>
              <w:pStyle w:val="BDOITableHeader"/>
            </w:pPr>
            <w:r>
              <w:rPr>
                <w:b/>
                <w:color w:val="FFFFFF"/>
                <w:sz w:val="14"/>
              </w:rPr>
              <w:t>Open points</w:t>
            </w:r>
          </w:p>
        </w:tc>
      </w:tr>
      <w:tr>
        <w:trPr>
          <w:cantSplit w:val="true"/>
        </w:trPr>
        <w:tc>
          <w:tcPr>
            <w:tcW w:type="dxa" w:w="758"/>
            <w:tcMar>
              <w:top w:w="50" w:type="dxa"/>
              <w:bottom w:w="50" w:type="dxa"/>
              <w:left w:w="90" w:type="dxa"/>
              <w:right w:w="90" w:type="dxa"/>
            </w:tcMar>
          </w:tcPr>
          <w:p>
            <w:pPr>
              <w:pStyle w:val="BDOITable"/>
            </w:pPr>
            <w:r>
              <w:rPr>
                <w:b/>
                <w:sz w:val="14"/>
              </w:rPr>
              <w:t>INT-01</w:t>
            </w:r>
          </w:p>
        </w:tc>
        <w:tc>
          <w:tcPr>
            <w:tcW w:type="dxa" w:w="1516"/>
            <w:tcMar>
              <w:top w:w="50" w:type="dxa"/>
              <w:bottom w:w="50" w:type="dxa"/>
              <w:left w:w="90" w:type="dxa"/>
              <w:right w:w="90" w:type="dxa"/>
            </w:tcMar>
          </w:tcPr>
          <w:p>
            <w:pPr>
              <w:pStyle w:val="BDOITable"/>
            </w:pPr>
            <w:r>
              <w:rPr>
                <w:sz w:val="14"/>
              </w:rPr>
              <w:t>EIAM (Entra ID)</w:t>
            </w:r>
          </w:p>
        </w:tc>
        <w:tc>
          <w:tcPr>
            <w:tcW w:type="dxa" w:w="5098"/>
            <w:tcMar>
              <w:top w:w="50" w:type="dxa"/>
              <w:bottom w:w="50" w:type="dxa"/>
              <w:left w:w="90" w:type="dxa"/>
              <w:right w:w="90" w:type="dxa"/>
            </w:tcMar>
          </w:tcPr>
          <w:p>
            <w:pPr>
              <w:pStyle w:val="BDOITable"/>
            </w:pPr>
            <w:r>
              <w:rPr>
                <w:sz w:val="14"/>
              </w:rPr>
              <w:t>Single sign-on of BDO users. BIBS redirects to Entra ID (OpenID Connect, authorisation code with PKCE) and maps the returned identity to the BIBS user; roles stay in BIBS.</w:t>
            </w:r>
          </w:p>
        </w:tc>
        <w:tc>
          <w:tcPr>
            <w:tcW w:type="dxa" w:w="3445"/>
            <w:tcMar>
              <w:top w:w="50" w:type="dxa"/>
              <w:bottom w:w="50" w:type="dxa"/>
              <w:left w:w="90" w:type="dxa"/>
              <w:right w:w="90" w:type="dxa"/>
            </w:tcMar>
          </w:tcPr>
          <w:p>
            <w:pPr>
              <w:pStyle w:val="BDOITable"/>
            </w:pPr>
            <w:r>
              <w:rPr>
                <w:sz w:val="14"/>
              </w:rPr>
              <w:t>User identity (UPN or Windows ID, name, e-mail); optional group claims</w:t>
            </w:r>
          </w:p>
        </w:tc>
        <w:tc>
          <w:tcPr>
            <w:tcW w:type="dxa" w:w="2756"/>
            <w:tcMar>
              <w:top w:w="50" w:type="dxa"/>
              <w:bottom w:w="50" w:type="dxa"/>
              <w:left w:w="90" w:type="dxa"/>
              <w:right w:w="90" w:type="dxa"/>
            </w:tcMar>
          </w:tcPr>
          <w:p>
            <w:pPr>
              <w:pStyle w:val="BDOITable"/>
            </w:pPr>
            <w:r>
              <w:rPr>
                <w:sz w:val="14"/>
              </w:rPr>
              <w:t>Protocol and claims, MFA and conditional access, session life against the 30-minute inactivity rule, non-BDO users</w:t>
            </w:r>
          </w:p>
        </w:tc>
      </w:tr>
      <w:tr>
        <w:trPr>
          <w:cantSplit w:val="true"/>
        </w:trPr>
        <w:tc>
          <w:tcPr>
            <w:tcW w:type="dxa" w:w="758"/>
            <w:tcMar>
              <w:top w:w="50" w:type="dxa"/>
              <w:bottom w:w="50" w:type="dxa"/>
              <w:left w:w="90" w:type="dxa"/>
              <w:right w:w="90" w:type="dxa"/>
            </w:tcMar>
            <w:shd w:val="clear" w:color="auto" w:fill="E5F5FF"/>
          </w:tcPr>
          <w:p>
            <w:pPr>
              <w:pStyle w:val="BDOITable"/>
            </w:pPr>
            <w:r>
              <w:rPr>
                <w:b/>
                <w:sz w:val="14"/>
              </w:rPr>
              <w:t>INT-02</w:t>
            </w:r>
          </w:p>
        </w:tc>
        <w:tc>
          <w:tcPr>
            <w:tcW w:type="dxa" w:w="1516"/>
            <w:tcMar>
              <w:top w:w="50" w:type="dxa"/>
              <w:bottom w:w="50" w:type="dxa"/>
              <w:left w:w="90" w:type="dxa"/>
              <w:right w:w="90" w:type="dxa"/>
            </w:tcMar>
            <w:shd w:val="clear" w:color="auto" w:fill="E5F5FF"/>
          </w:tcPr>
          <w:p>
            <w:pPr>
              <w:pStyle w:val="BDOITable"/>
            </w:pPr>
            <w:r>
              <w:rPr>
                <w:sz w:val="14"/>
              </w:rPr>
              <w:t>UIDM-ISC (IGA)</w:t>
            </w:r>
          </w:p>
        </w:tc>
        <w:tc>
          <w:tcPr>
            <w:tcW w:type="dxa" w:w="5098"/>
            <w:tcMar>
              <w:top w:w="50" w:type="dxa"/>
              <w:bottom w:w="50" w:type="dxa"/>
              <w:left w:w="90" w:type="dxa"/>
              <w:right w:w="90" w:type="dxa"/>
            </w:tcMar>
            <w:shd w:val="clear" w:color="auto" w:fill="E5F5FF"/>
          </w:tcPr>
          <w:p>
            <w:pPr>
              <w:pStyle w:val="BDOITable"/>
            </w:pPr>
            <w:r>
              <w:rPr>
                <w:sz w:val="14"/>
              </w:rPr>
              <w:t>Joiner, mover and leaver provisioning and access certification from the IGA. We read "Identity Security Cloud" as the SailPoint product; to confirm.</w:t>
            </w:r>
          </w:p>
        </w:tc>
        <w:tc>
          <w:tcPr>
            <w:tcW w:type="dxa" w:w="3445"/>
            <w:tcMar>
              <w:top w:w="50" w:type="dxa"/>
              <w:bottom w:w="50" w:type="dxa"/>
              <w:left w:w="90" w:type="dxa"/>
              <w:right w:w="90" w:type="dxa"/>
            </w:tcMar>
            <w:shd w:val="clear" w:color="auto" w:fill="E5F5FF"/>
          </w:tcPr>
          <w:p>
            <w:pPr>
              <w:pStyle w:val="BDOITable"/>
            </w:pPr>
            <w:r>
              <w:rPr>
                <w:sz w:val="14"/>
              </w:rPr>
              <w:t>User accounts, enable / disable, group profiles (BIBS roles) as entitlements</w:t>
            </w:r>
          </w:p>
        </w:tc>
        <w:tc>
          <w:tcPr>
            <w:tcW w:type="dxa" w:w="2756"/>
            <w:tcMar>
              <w:top w:w="50" w:type="dxa"/>
              <w:bottom w:w="50" w:type="dxa"/>
              <w:left w:w="90" w:type="dxa"/>
              <w:right w:w="90" w:type="dxa"/>
            </w:tcMar>
            <w:shd w:val="clear" w:color="auto" w:fill="E5F5FF"/>
          </w:tcPr>
          <w:p>
            <w:pPr>
              <w:pStyle w:val="BDOITable"/>
            </w:pPr>
            <w:r>
              <w:rPr>
                <w:sz w:val="14"/>
              </w:rPr>
              <w:t>Who owns requests and approvals, connector type, entitlement level, certification</w:t>
            </w:r>
          </w:p>
        </w:tc>
      </w:tr>
      <w:tr>
        <w:trPr>
          <w:cantSplit w:val="true"/>
        </w:trPr>
        <w:tc>
          <w:tcPr>
            <w:tcW w:type="dxa" w:w="758"/>
            <w:tcMar>
              <w:top w:w="50" w:type="dxa"/>
              <w:bottom w:w="50" w:type="dxa"/>
              <w:left w:w="90" w:type="dxa"/>
              <w:right w:w="90" w:type="dxa"/>
            </w:tcMar>
          </w:tcPr>
          <w:p>
            <w:pPr>
              <w:pStyle w:val="BDOITable"/>
            </w:pPr>
            <w:r>
              <w:rPr>
                <w:b/>
                <w:sz w:val="14"/>
              </w:rPr>
              <w:t>INT-03</w:t>
            </w:r>
          </w:p>
        </w:tc>
        <w:tc>
          <w:tcPr>
            <w:tcW w:type="dxa" w:w="1516"/>
            <w:tcMar>
              <w:top w:w="50" w:type="dxa"/>
              <w:bottom w:w="50" w:type="dxa"/>
              <w:left w:w="90" w:type="dxa"/>
              <w:right w:w="90" w:type="dxa"/>
            </w:tcMar>
          </w:tcPr>
          <w:p>
            <w:pPr>
              <w:pStyle w:val="BDOITable"/>
            </w:pPr>
            <w:r>
              <w:rPr>
                <w:sz w:val="14"/>
              </w:rPr>
              <w:t>LMS</w:t>
            </w:r>
          </w:p>
        </w:tc>
        <w:tc>
          <w:tcPr>
            <w:tcW w:type="dxa" w:w="5098"/>
            <w:tcMar>
              <w:top w:w="50" w:type="dxa"/>
              <w:bottom w:w="50" w:type="dxa"/>
              <w:left w:w="90" w:type="dxa"/>
              <w:right w:w="90" w:type="dxa"/>
            </w:tcMar>
          </w:tcPr>
          <w:p>
            <w:pPr>
              <w:pStyle w:val="BDOITable"/>
            </w:pPr>
            <w:r>
              <w:rPr>
                <w:sz w:val="14"/>
              </w:rPr>
              <w:t>Bank loan data used by Renewal (paid-off and RMU loans, BRRN.029), Submitted Policies (loan snapshot, PN) and CLPC billing. Probably the source of the "LAMD reports".</w:t>
            </w:r>
          </w:p>
        </w:tc>
        <w:tc>
          <w:tcPr>
            <w:tcW w:type="dxa" w:w="3445"/>
            <w:tcMar>
              <w:top w:w="50" w:type="dxa"/>
              <w:bottom w:w="50" w:type="dxa"/>
              <w:left w:w="90" w:type="dxa"/>
              <w:right w:w="90" w:type="dxa"/>
            </w:tcMar>
          </w:tcPr>
          <w:p>
            <w:pPr>
              <w:pStyle w:val="BDOITable"/>
            </w:pPr>
            <w:r>
              <w:rPr>
                <w:sz w:val="14"/>
              </w:rPr>
              <w:t>PN number, loan status (paid-off, RMU), loan release and amortisation for CLPC</w:t>
            </w:r>
          </w:p>
        </w:tc>
        <w:tc>
          <w:tcPr>
            <w:tcW w:type="dxa" w:w="2756"/>
            <w:tcMar>
              <w:top w:w="50" w:type="dxa"/>
              <w:bottom w:w="50" w:type="dxa"/>
              <w:left w:w="90" w:type="dxa"/>
              <w:right w:w="90" w:type="dxa"/>
            </w:tcMar>
          </w:tcPr>
          <w:p>
            <w:pPr>
              <w:pStyle w:val="BDOITable"/>
            </w:pPr>
            <w:r>
              <w:rPr>
                <w:sz w:val="14"/>
              </w:rPr>
              <w:t>Which LMS extracts, layouts, frequency, transport</w:t>
            </w:r>
          </w:p>
        </w:tc>
      </w:tr>
      <w:tr>
        <w:trPr>
          <w:cantSplit w:val="true"/>
        </w:trPr>
        <w:tc>
          <w:tcPr>
            <w:tcW w:type="dxa" w:w="758"/>
            <w:tcMar>
              <w:top w:w="50" w:type="dxa"/>
              <w:bottom w:w="50" w:type="dxa"/>
              <w:left w:w="90" w:type="dxa"/>
              <w:right w:w="90" w:type="dxa"/>
            </w:tcMar>
            <w:shd w:val="clear" w:color="auto" w:fill="E5F5FF"/>
          </w:tcPr>
          <w:p>
            <w:pPr>
              <w:pStyle w:val="BDOITable"/>
            </w:pPr>
            <w:r>
              <w:rPr>
                <w:b/>
                <w:sz w:val="14"/>
              </w:rPr>
              <w:t>INT-04</w:t>
            </w:r>
          </w:p>
        </w:tc>
        <w:tc>
          <w:tcPr>
            <w:tcW w:type="dxa" w:w="1516"/>
            <w:tcMar>
              <w:top w:w="50" w:type="dxa"/>
              <w:bottom w:w="50" w:type="dxa"/>
              <w:left w:w="90" w:type="dxa"/>
              <w:right w:w="90" w:type="dxa"/>
            </w:tcMar>
            <w:shd w:val="clear" w:color="auto" w:fill="E5F5FF"/>
          </w:tcPr>
          <w:p>
            <w:pPr>
              <w:pStyle w:val="BDOITable"/>
            </w:pPr>
            <w:r>
              <w:rPr>
                <w:sz w:val="14"/>
              </w:rPr>
              <w:t>HL-LOAS (HLS / LOAS)</w:t>
            </w:r>
          </w:p>
        </w:tc>
        <w:tc>
          <w:tcPr>
            <w:tcW w:type="dxa" w:w="5098"/>
            <w:tcMar>
              <w:top w:w="50" w:type="dxa"/>
              <w:bottom w:w="50" w:type="dxa"/>
              <w:left w:w="90" w:type="dxa"/>
              <w:right w:w="90" w:type="dxa"/>
            </w:tcMar>
            <w:shd w:val="clear" w:color="auto" w:fill="E5F5FF"/>
          </w:tcPr>
          <w:p>
            <w:pPr>
              <w:pStyle w:val="BDOITable"/>
            </w:pPr>
            <w:r>
              <w:rPr>
                <w:sz w:val="14"/>
              </w:rPr>
              <w:t>One system shown twice on the slide. Origination side sends home-insurance quotation requests (BRNB.023) and the daily HLS insurance report (Submitted Policies, CBG Fire); admin side gives the HLS amortised loan data for CLPC billing.</w:t>
            </w:r>
          </w:p>
        </w:tc>
        <w:tc>
          <w:tcPr>
            <w:tcW w:type="dxa" w:w="3445"/>
            <w:tcMar>
              <w:top w:w="50" w:type="dxa"/>
              <w:bottom w:w="50" w:type="dxa"/>
              <w:left w:w="90" w:type="dxa"/>
              <w:right w:w="90" w:type="dxa"/>
            </w:tcMar>
            <w:shd w:val="clear" w:color="auto" w:fill="E5F5FF"/>
          </w:tcPr>
          <w:p>
            <w:pPr>
              <w:pStyle w:val="BDOITable"/>
            </w:pPr>
            <w:r>
              <w:rPr>
                <w:sz w:val="14"/>
              </w:rPr>
              <w:t>Quotation requests (borrower, property, sum insured, PN); HLS insurance report; amortised loan release</w:t>
            </w:r>
          </w:p>
        </w:tc>
        <w:tc>
          <w:tcPr>
            <w:tcW w:type="dxa" w:w="2756"/>
            <w:tcMar>
              <w:top w:w="50" w:type="dxa"/>
              <w:bottom w:w="50" w:type="dxa"/>
              <w:left w:w="90" w:type="dxa"/>
              <w:right w:w="90" w:type="dxa"/>
            </w:tcMar>
            <w:shd w:val="clear" w:color="auto" w:fill="E5F5FF"/>
          </w:tcPr>
          <w:p>
            <w:pPr>
              <w:pStyle w:val="BDOITable"/>
            </w:pPr>
            <w:r>
              <w:rPr>
                <w:sz w:val="14"/>
              </w:rPr>
              <w:t>One interface or two, formats, frequency, transport</w:t>
            </w:r>
          </w:p>
        </w:tc>
      </w:tr>
      <w:tr>
        <w:trPr>
          <w:cantSplit w:val="true"/>
        </w:trPr>
        <w:tc>
          <w:tcPr>
            <w:tcW w:type="dxa" w:w="758"/>
            <w:tcMar>
              <w:top w:w="50" w:type="dxa"/>
              <w:bottom w:w="50" w:type="dxa"/>
              <w:left w:w="90" w:type="dxa"/>
              <w:right w:w="90" w:type="dxa"/>
            </w:tcMar>
          </w:tcPr>
          <w:p>
            <w:pPr>
              <w:pStyle w:val="BDOITable"/>
            </w:pPr>
            <w:r>
              <w:rPr>
                <w:b/>
                <w:sz w:val="14"/>
              </w:rPr>
              <w:t>INT-05</w:t>
            </w:r>
          </w:p>
        </w:tc>
        <w:tc>
          <w:tcPr>
            <w:tcW w:type="dxa" w:w="1516"/>
            <w:tcMar>
              <w:top w:w="50" w:type="dxa"/>
              <w:bottom w:w="50" w:type="dxa"/>
              <w:left w:w="90" w:type="dxa"/>
              <w:right w:w="90" w:type="dxa"/>
            </w:tcMar>
          </w:tcPr>
          <w:p>
            <w:pPr>
              <w:pStyle w:val="BDOITable"/>
            </w:pPr>
            <w:r>
              <w:rPr>
                <w:sz w:val="14"/>
              </w:rPr>
              <w:t>LFS SaaS</w:t>
            </w:r>
          </w:p>
        </w:tc>
        <w:tc>
          <w:tcPr>
            <w:tcW w:type="dxa" w:w="5098"/>
            <w:tcMar>
              <w:top w:w="50" w:type="dxa"/>
              <w:bottom w:w="50" w:type="dxa"/>
              <w:left w:w="90" w:type="dxa"/>
              <w:right w:w="90" w:type="dxa"/>
            </w:tcMar>
          </w:tcPr>
          <w:p>
            <w:pPr>
              <w:pStyle w:val="BDOITable"/>
            </w:pPr>
            <w:r>
              <w:rPr>
                <w:sz w:val="14"/>
              </w:rPr>
              <w:t>Source of the LFS insurance report for Submitted Policies (BRD-12 p.4-5).</w:t>
            </w:r>
          </w:p>
        </w:tc>
        <w:tc>
          <w:tcPr>
            <w:tcW w:type="dxa" w:w="3445"/>
            <w:tcMar>
              <w:top w:w="50" w:type="dxa"/>
              <w:bottom w:w="50" w:type="dxa"/>
              <w:left w:w="90" w:type="dxa"/>
              <w:right w:w="90" w:type="dxa"/>
            </w:tcMar>
          </w:tcPr>
          <w:p>
            <w:pPr>
              <w:pStyle w:val="BDOITable"/>
            </w:pPr>
            <w:r>
              <w:rPr>
                <w:sz w:val="14"/>
              </w:rPr>
              <w:t>Loan-linked policies submitted by borrowers</w:t>
            </w:r>
          </w:p>
        </w:tc>
        <w:tc>
          <w:tcPr>
            <w:tcW w:type="dxa" w:w="2756"/>
            <w:tcMar>
              <w:top w:w="50" w:type="dxa"/>
              <w:bottom w:w="50" w:type="dxa"/>
              <w:left w:w="90" w:type="dxa"/>
              <w:right w:w="90" w:type="dxa"/>
            </w:tcMar>
          </w:tcPr>
          <w:p>
            <w:pPr>
              <w:pStyle w:val="BDOITable"/>
            </w:pPr>
            <w:r>
              <w:rPr>
                <w:sz w:val="14"/>
              </w:rPr>
              <w:t>Drop, layout, transport</w:t>
            </w:r>
          </w:p>
        </w:tc>
      </w:tr>
      <w:tr>
        <w:trPr>
          <w:cantSplit w:val="true"/>
        </w:trPr>
        <w:tc>
          <w:tcPr>
            <w:tcW w:type="dxa" w:w="758"/>
            <w:tcMar>
              <w:top w:w="50" w:type="dxa"/>
              <w:bottom w:w="50" w:type="dxa"/>
              <w:left w:w="90" w:type="dxa"/>
              <w:right w:w="90" w:type="dxa"/>
            </w:tcMar>
            <w:shd w:val="clear" w:color="auto" w:fill="E5F5FF"/>
          </w:tcPr>
          <w:p>
            <w:pPr>
              <w:pStyle w:val="BDOITable"/>
            </w:pPr>
            <w:r>
              <w:rPr>
                <w:b/>
                <w:sz w:val="14"/>
              </w:rPr>
              <w:t>INT-06</w:t>
            </w:r>
          </w:p>
        </w:tc>
        <w:tc>
          <w:tcPr>
            <w:tcW w:type="dxa" w:w="1516"/>
            <w:tcMar>
              <w:top w:w="50" w:type="dxa"/>
              <w:bottom w:w="50" w:type="dxa"/>
              <w:left w:w="90" w:type="dxa"/>
              <w:right w:w="90" w:type="dxa"/>
            </w:tcMar>
            <w:shd w:val="clear" w:color="auto" w:fill="E5F5FF"/>
          </w:tcPr>
          <w:p>
            <w:pPr>
              <w:pStyle w:val="BDOITable"/>
            </w:pPr>
            <w:r>
              <w:rPr>
                <w:sz w:val="14"/>
              </w:rPr>
              <w:t>PMS</w:t>
            </w:r>
          </w:p>
        </w:tc>
        <w:tc>
          <w:tcPr>
            <w:tcW w:type="dxa" w:w="5098"/>
            <w:tcMar>
              <w:top w:w="50" w:type="dxa"/>
              <w:bottom w:w="50" w:type="dxa"/>
              <w:left w:w="90" w:type="dxa"/>
              <w:right w:w="90" w:type="dxa"/>
            </w:tcMar>
            <w:shd w:val="clear" w:color="auto" w:fill="E5F5FF"/>
          </w:tcPr>
          <w:p>
            <w:pPr>
              <w:pStyle w:val="BDOITable"/>
            </w:pPr>
            <w:r>
              <w:rPr>
                <w:sz w:val="14"/>
              </w:rPr>
              <w:t>Holds the post-dated checks in the warehouse. BIBS Cashiering receives the daily PDC list and matures PDCs on their date (CSHID.008 item 4).</w:t>
            </w:r>
          </w:p>
        </w:tc>
        <w:tc>
          <w:tcPr>
            <w:tcW w:type="dxa" w:w="3445"/>
            <w:tcMar>
              <w:top w:w="50" w:type="dxa"/>
              <w:bottom w:w="50" w:type="dxa"/>
              <w:left w:w="90" w:type="dxa"/>
              <w:right w:w="90" w:type="dxa"/>
            </w:tcMar>
            <w:shd w:val="clear" w:color="auto" w:fill="E5F5FF"/>
          </w:tcPr>
          <w:p>
            <w:pPr>
              <w:pStyle w:val="BDOITable"/>
            </w:pPr>
            <w:r>
              <w:rPr>
                <w:sz w:val="14"/>
              </w:rPr>
              <w:t>PDC number, bank, date, amount, payor, account / invoice reference; possibly deposit, return and pull-out status</w:t>
            </w:r>
          </w:p>
        </w:tc>
        <w:tc>
          <w:tcPr>
            <w:tcW w:type="dxa" w:w="2756"/>
            <w:tcMar>
              <w:top w:w="50" w:type="dxa"/>
              <w:bottom w:w="50" w:type="dxa"/>
              <w:left w:w="90" w:type="dxa"/>
              <w:right w:w="90" w:type="dxa"/>
            </w:tcMar>
            <w:shd w:val="clear" w:color="auto" w:fill="E5F5FF"/>
          </w:tcPr>
          <w:p>
            <w:pPr>
              <w:pStyle w:val="BDOITable"/>
            </w:pPr>
            <w:r>
              <w:rPr>
                <w:sz w:val="14"/>
              </w:rPr>
              <w:t>Layout (OQ03), direction, frequency</w:t>
            </w:r>
          </w:p>
        </w:tc>
      </w:tr>
      <w:tr>
        <w:trPr>
          <w:cantSplit w:val="true"/>
        </w:trPr>
        <w:tc>
          <w:tcPr>
            <w:tcW w:type="dxa" w:w="758"/>
            <w:tcMar>
              <w:top w:w="50" w:type="dxa"/>
              <w:bottom w:w="50" w:type="dxa"/>
              <w:left w:w="90" w:type="dxa"/>
              <w:right w:w="90" w:type="dxa"/>
            </w:tcMar>
          </w:tcPr>
          <w:p>
            <w:pPr>
              <w:pStyle w:val="BDOITable"/>
            </w:pPr>
            <w:r>
              <w:rPr>
                <w:b/>
                <w:sz w:val="14"/>
              </w:rPr>
              <w:t>INT-07</w:t>
            </w:r>
          </w:p>
        </w:tc>
        <w:tc>
          <w:tcPr>
            <w:tcW w:type="dxa" w:w="1516"/>
            <w:tcMar>
              <w:top w:w="50" w:type="dxa"/>
              <w:bottom w:w="50" w:type="dxa"/>
              <w:left w:w="90" w:type="dxa"/>
              <w:right w:w="90" w:type="dxa"/>
            </w:tcMar>
          </w:tcPr>
          <w:p>
            <w:pPr>
              <w:pStyle w:val="BDOITable"/>
            </w:pPr>
            <w:r>
              <w:rPr>
                <w:sz w:val="14"/>
              </w:rPr>
              <w:t>CMS / New BOB</w:t>
            </w:r>
          </w:p>
        </w:tc>
        <w:tc>
          <w:tcPr>
            <w:tcW w:type="dxa" w:w="5098"/>
            <w:tcMar>
              <w:top w:w="50" w:type="dxa"/>
              <w:bottom w:w="50" w:type="dxa"/>
              <w:left w:w="90" w:type="dxa"/>
              <w:right w:w="90" w:type="dxa"/>
            </w:tcMar>
          </w:tcPr>
          <w:p>
            <w:pPr>
              <w:pStyle w:val="BDOITable"/>
            </w:pPr>
            <w:r>
              <w:rPr>
                <w:sz w:val="14"/>
              </w:rPr>
              <w:t>Bank channel for BDOI's outgoing payments (insurer remittances, refunds, supplier and commission payments) from Disbursement; the bank returns the debit status.</w:t>
            </w:r>
          </w:p>
        </w:tc>
        <w:tc>
          <w:tcPr>
            <w:tcW w:type="dxa" w:w="3445"/>
            <w:tcMar>
              <w:top w:w="50" w:type="dxa"/>
              <w:bottom w:w="50" w:type="dxa"/>
              <w:left w:w="90" w:type="dxa"/>
              <w:right w:w="90" w:type="dxa"/>
            </w:tcMar>
          </w:tcPr>
          <w:p>
            <w:pPr>
              <w:pStyle w:val="BDOITable"/>
            </w:pPr>
            <w:r>
              <w:rPr>
                <w:sz w:val="14"/>
              </w:rPr>
              <w:t>Payee, account, amount, currency, value date, voucher reference; status per transaction</w:t>
            </w:r>
          </w:p>
        </w:tc>
        <w:tc>
          <w:tcPr>
            <w:tcW w:type="dxa" w:w="2756"/>
            <w:tcMar>
              <w:top w:w="50" w:type="dxa"/>
              <w:bottom w:w="50" w:type="dxa"/>
              <w:left w:w="90" w:type="dxa"/>
              <w:right w:w="90" w:type="dxa"/>
            </w:tcMar>
          </w:tcPr>
          <w:p>
            <w:pPr>
              <w:pStyle w:val="BDOITable"/>
            </w:pPr>
            <w:r>
              <w:rPr>
                <w:sz w:val="14"/>
              </w:rPr>
              <w:t>Layout, host-to-host or upload, cut-off times, approvals in CMS</w:t>
            </w:r>
          </w:p>
        </w:tc>
      </w:tr>
      <w:tr>
        <w:trPr>
          <w:cantSplit w:val="true"/>
        </w:trPr>
        <w:tc>
          <w:tcPr>
            <w:tcW w:type="dxa" w:w="758"/>
            <w:tcMar>
              <w:top w:w="50" w:type="dxa"/>
              <w:bottom w:w="50" w:type="dxa"/>
              <w:left w:w="90" w:type="dxa"/>
              <w:right w:w="90" w:type="dxa"/>
            </w:tcMar>
            <w:shd w:val="clear" w:color="auto" w:fill="E5F5FF"/>
          </w:tcPr>
          <w:p>
            <w:pPr>
              <w:pStyle w:val="BDOITable"/>
            </w:pPr>
            <w:r>
              <w:rPr>
                <w:b/>
                <w:sz w:val="14"/>
              </w:rPr>
              <w:t>INT-08</w:t>
            </w:r>
          </w:p>
        </w:tc>
        <w:tc>
          <w:tcPr>
            <w:tcW w:type="dxa" w:w="1516"/>
            <w:tcMar>
              <w:top w:w="50" w:type="dxa"/>
              <w:bottom w:w="50" w:type="dxa"/>
              <w:left w:w="90" w:type="dxa"/>
              <w:right w:w="90" w:type="dxa"/>
            </w:tcMar>
            <w:shd w:val="clear" w:color="auto" w:fill="E5F5FF"/>
          </w:tcPr>
          <w:p>
            <w:pPr>
              <w:pStyle w:val="BDOITable"/>
            </w:pPr>
            <w:r>
              <w:rPr>
                <w:sz w:val="14"/>
              </w:rPr>
              <w:t>OBPCS</w:t>
            </w:r>
          </w:p>
        </w:tc>
        <w:tc>
          <w:tcPr>
            <w:tcW w:type="dxa" w:w="5098"/>
            <w:tcMar>
              <w:top w:w="50" w:type="dxa"/>
              <w:bottom w:w="50" w:type="dxa"/>
              <w:left w:w="90" w:type="dxa"/>
              <w:right w:w="90" w:type="dxa"/>
            </w:tcMar>
            <w:shd w:val="clear" w:color="auto" w:fill="E5F5FF"/>
          </w:tcPr>
          <w:p>
            <w:pPr>
              <w:pStyle w:val="BDOITable"/>
            </w:pPr>
            <w:r>
              <w:rPr>
                <w:sz w:val="14"/>
              </w:rPr>
              <w:t>The consolidated bills-payment collections file (today "Bills Payment FS01") that Cashiering uploads and automatches.</w:t>
            </w:r>
          </w:p>
        </w:tc>
        <w:tc>
          <w:tcPr>
            <w:tcW w:type="dxa" w:w="3445"/>
            <w:tcMar>
              <w:top w:w="50" w:type="dxa"/>
              <w:bottom w:w="50" w:type="dxa"/>
              <w:left w:w="90" w:type="dxa"/>
              <w:right w:w="90" w:type="dxa"/>
            </w:tcMar>
            <w:shd w:val="clear" w:color="auto" w:fill="E5F5FF"/>
          </w:tcPr>
          <w:p>
            <w:pPr>
              <w:pStyle w:val="BDOITable"/>
            </w:pPr>
            <w:r>
              <w:rPr>
                <w:sz w:val="14"/>
              </w:rPr>
              <w:t>Payment date, reference (ARN, invoice, PN), payor, amount, channel</w:t>
            </w:r>
          </w:p>
        </w:tc>
        <w:tc>
          <w:tcPr>
            <w:tcW w:type="dxa" w:w="2756"/>
            <w:tcMar>
              <w:top w:w="50" w:type="dxa"/>
              <w:bottom w:w="50" w:type="dxa"/>
              <w:left w:w="90" w:type="dxa"/>
              <w:right w:w="90" w:type="dxa"/>
            </w:tcMar>
            <w:shd w:val="clear" w:color="auto" w:fill="E5F5FF"/>
          </w:tcPr>
          <w:p>
            <w:pPr>
              <w:pStyle w:val="BDOITable"/>
            </w:pPr>
            <w:r>
              <w:rPr>
                <w:sz w:val="14"/>
              </w:rPr>
              <w:t>Layout, frequency, transport</w:t>
            </w:r>
          </w:p>
        </w:tc>
      </w:tr>
      <w:tr>
        <w:trPr>
          <w:cantSplit w:val="true"/>
        </w:trPr>
        <w:tc>
          <w:tcPr>
            <w:tcW w:type="dxa" w:w="758"/>
            <w:tcMar>
              <w:top w:w="50" w:type="dxa"/>
              <w:bottom w:w="50" w:type="dxa"/>
              <w:left w:w="90" w:type="dxa"/>
              <w:right w:w="90" w:type="dxa"/>
            </w:tcMar>
          </w:tcPr>
          <w:p>
            <w:pPr>
              <w:pStyle w:val="BDOITable"/>
            </w:pPr>
            <w:r>
              <w:rPr>
                <w:b/>
                <w:sz w:val="14"/>
              </w:rPr>
              <w:t>INT-09</w:t>
            </w:r>
          </w:p>
        </w:tc>
        <w:tc>
          <w:tcPr>
            <w:tcW w:type="dxa" w:w="1516"/>
            <w:tcMar>
              <w:top w:w="50" w:type="dxa"/>
              <w:bottom w:w="50" w:type="dxa"/>
              <w:left w:w="90" w:type="dxa"/>
              <w:right w:w="90" w:type="dxa"/>
            </w:tcMar>
          </w:tcPr>
          <w:p>
            <w:pPr>
              <w:pStyle w:val="BDOITable"/>
            </w:pPr>
            <w:r>
              <w:rPr>
                <w:sz w:val="14"/>
              </w:rPr>
              <w:t>Old BOB</w:t>
            </w:r>
          </w:p>
        </w:tc>
        <w:tc>
          <w:tcPr>
            <w:tcW w:type="dxa" w:w="5098"/>
            <w:tcMar>
              <w:top w:w="50" w:type="dxa"/>
              <w:bottom w:w="50" w:type="dxa"/>
              <w:left w:w="90" w:type="dxa"/>
              <w:right w:w="90" w:type="dxa"/>
            </w:tcMar>
          </w:tcPr>
          <w:p>
            <w:pPr>
              <w:pStyle w:val="BDOITable"/>
            </w:pPr>
            <w:r>
              <w:rPr>
                <w:sz w:val="14"/>
              </w:rPr>
              <w:t>Corporate clients pay statements of account by funds transfer; the collection file is applied in Cashiering.</w:t>
            </w:r>
          </w:p>
        </w:tc>
        <w:tc>
          <w:tcPr>
            <w:tcW w:type="dxa" w:w="3445"/>
            <w:tcMar>
              <w:top w:w="50" w:type="dxa"/>
              <w:bottom w:w="50" w:type="dxa"/>
              <w:left w:w="90" w:type="dxa"/>
              <w:right w:w="90" w:type="dxa"/>
            </w:tcMar>
          </w:tcPr>
          <w:p>
            <w:pPr>
              <w:pStyle w:val="BDOITable"/>
            </w:pPr>
            <w:r>
              <w:rPr>
                <w:sz w:val="14"/>
              </w:rPr>
              <w:t>Funds-transfer credits with SOA or invoice reference</w:t>
            </w:r>
          </w:p>
        </w:tc>
        <w:tc>
          <w:tcPr>
            <w:tcW w:type="dxa" w:w="2756"/>
            <w:tcMar>
              <w:top w:w="50" w:type="dxa"/>
              <w:bottom w:w="50" w:type="dxa"/>
              <w:left w:w="90" w:type="dxa"/>
              <w:right w:w="90" w:type="dxa"/>
            </w:tcMar>
          </w:tcPr>
          <w:p>
            <w:pPr>
              <w:pStyle w:val="BDOITable"/>
            </w:pPr>
            <w:r>
              <w:rPr>
                <w:sz w:val="14"/>
              </w:rPr>
              <w:t>Layout, SOA reference, frequency</w:t>
            </w:r>
          </w:p>
        </w:tc>
      </w:tr>
      <w:tr>
        <w:trPr>
          <w:cantSplit w:val="true"/>
        </w:trPr>
        <w:tc>
          <w:tcPr>
            <w:tcW w:type="dxa" w:w="758"/>
            <w:tcMar>
              <w:top w:w="50" w:type="dxa"/>
              <w:bottom w:w="50" w:type="dxa"/>
              <w:left w:w="90" w:type="dxa"/>
              <w:right w:w="90" w:type="dxa"/>
            </w:tcMar>
            <w:shd w:val="clear" w:color="auto" w:fill="E5F5FF"/>
          </w:tcPr>
          <w:p>
            <w:pPr>
              <w:pStyle w:val="BDOITable"/>
            </w:pPr>
            <w:r>
              <w:rPr>
                <w:b/>
                <w:sz w:val="14"/>
              </w:rPr>
              <w:t>INT-10</w:t>
            </w:r>
          </w:p>
        </w:tc>
        <w:tc>
          <w:tcPr>
            <w:tcW w:type="dxa" w:w="1516"/>
            <w:tcMar>
              <w:top w:w="50" w:type="dxa"/>
              <w:bottom w:w="50" w:type="dxa"/>
              <w:left w:w="90" w:type="dxa"/>
              <w:right w:w="90" w:type="dxa"/>
            </w:tcMar>
            <w:shd w:val="clear" w:color="auto" w:fill="E5F5FF"/>
          </w:tcPr>
          <w:p>
            <w:pPr>
              <w:pStyle w:val="BDOITable"/>
            </w:pPr>
            <w:r>
              <w:rPr>
                <w:sz w:val="14"/>
              </w:rPr>
              <w:t>AFTS</w:t>
            </w:r>
          </w:p>
        </w:tc>
        <w:tc>
          <w:tcPr>
            <w:tcW w:type="dxa" w:w="5098"/>
            <w:tcMar>
              <w:top w:w="50" w:type="dxa"/>
              <w:bottom w:w="50" w:type="dxa"/>
              <w:left w:w="90" w:type="dxa"/>
              <w:right w:w="90" w:type="dxa"/>
            </w:tcMar>
            <w:shd w:val="clear" w:color="auto" w:fill="E5F5FF"/>
          </w:tcPr>
          <w:p>
            <w:pPr>
              <w:pStyle w:val="BDOITable"/>
            </w:pPr>
            <w:r>
              <w:rPr>
                <w:sz w:val="14"/>
              </w:rPr>
              <w:t>Unknown. Possibly auto-debit of client accounts for premium, or automatic transfers for disbursement.</w:t>
            </w:r>
          </w:p>
        </w:tc>
        <w:tc>
          <w:tcPr>
            <w:tcW w:type="dxa" w:w="3445"/>
            <w:tcMar>
              <w:top w:w="50" w:type="dxa"/>
              <w:bottom w:w="50" w:type="dxa"/>
              <w:left w:w="90" w:type="dxa"/>
              <w:right w:w="90" w:type="dxa"/>
            </w:tcMar>
            <w:shd w:val="clear" w:color="auto" w:fill="E5F5FF"/>
          </w:tcPr>
          <w:p>
            <w:pPr>
              <w:pStyle w:val="BDOITable"/>
            </w:pPr>
            <w:r>
              <w:rPr>
                <w:sz w:val="14"/>
              </w:rPr>
              <w:t>To confirm</w:t>
            </w:r>
          </w:p>
        </w:tc>
        <w:tc>
          <w:tcPr>
            <w:tcW w:type="dxa" w:w="2756"/>
            <w:tcMar>
              <w:top w:w="50" w:type="dxa"/>
              <w:bottom w:w="50" w:type="dxa"/>
              <w:left w:w="90" w:type="dxa"/>
              <w:right w:w="90" w:type="dxa"/>
            </w:tcMar>
            <w:shd w:val="clear" w:color="auto" w:fill="E5F5FF"/>
          </w:tcPr>
          <w:p>
            <w:pPr>
              <w:pStyle w:val="BDOITable"/>
            </w:pPr>
            <w:r>
              <w:rPr>
                <w:sz w:val="14"/>
              </w:rPr>
              <w:t>Purpose, direction, layout</w:t>
            </w:r>
          </w:p>
        </w:tc>
      </w:tr>
      <w:tr>
        <w:trPr>
          <w:cantSplit w:val="true"/>
        </w:trPr>
        <w:tc>
          <w:tcPr>
            <w:tcW w:type="dxa" w:w="758"/>
            <w:tcMar>
              <w:top w:w="50" w:type="dxa"/>
              <w:bottom w:w="50" w:type="dxa"/>
              <w:left w:w="90" w:type="dxa"/>
              <w:right w:w="90" w:type="dxa"/>
            </w:tcMar>
          </w:tcPr>
          <w:p>
            <w:pPr>
              <w:pStyle w:val="BDOITable"/>
            </w:pPr>
            <w:r>
              <w:rPr>
                <w:b/>
                <w:sz w:val="14"/>
              </w:rPr>
              <w:t>INT-11</w:t>
            </w:r>
          </w:p>
        </w:tc>
        <w:tc>
          <w:tcPr>
            <w:tcW w:type="dxa" w:w="1516"/>
            <w:tcMar>
              <w:top w:w="50" w:type="dxa"/>
              <w:bottom w:w="50" w:type="dxa"/>
              <w:left w:w="90" w:type="dxa"/>
              <w:right w:w="90" w:type="dxa"/>
            </w:tcMar>
          </w:tcPr>
          <w:p>
            <w:pPr>
              <w:pStyle w:val="BDOITable"/>
            </w:pPr>
            <w:r>
              <w:rPr>
                <w:sz w:val="14"/>
              </w:rPr>
              <w:t>ICBS</w:t>
            </w:r>
          </w:p>
        </w:tc>
        <w:tc>
          <w:tcPr>
            <w:tcW w:type="dxa" w:w="5098"/>
            <w:tcMar>
              <w:top w:w="50" w:type="dxa"/>
              <w:bottom w:w="50" w:type="dxa"/>
              <w:left w:w="90" w:type="dxa"/>
              <w:right w:w="90" w:type="dxa"/>
            </w:tcMar>
          </w:tcPr>
          <w:p>
            <w:pPr>
              <w:pStyle w:val="BDOITable"/>
            </w:pPr>
            <w:r>
              <w:rPr>
                <w:sz w:val="14"/>
              </w:rPr>
              <w:t>Out of scope (core banking system replaced by the channels above).</w:t>
            </w:r>
          </w:p>
        </w:tc>
        <w:tc>
          <w:tcPr>
            <w:tcW w:type="dxa" w:w="3445"/>
            <w:tcMar>
              <w:top w:w="50" w:type="dxa"/>
              <w:bottom w:w="50" w:type="dxa"/>
              <w:left w:w="90" w:type="dxa"/>
              <w:right w:w="90" w:type="dxa"/>
            </w:tcMar>
          </w:tcPr>
          <w:p>
            <w:pPr>
              <w:pStyle w:val="BDOITable"/>
            </w:pPr>
            <w:r>
              <w:rPr>
                <w:sz w:val="14"/>
              </w:rPr>
              <w:t>-</w:t>
            </w:r>
          </w:p>
        </w:tc>
        <w:tc>
          <w:tcPr>
            <w:tcW w:type="dxa" w:w="2756"/>
            <w:tcMar>
              <w:top w:w="50" w:type="dxa"/>
              <w:bottom w:w="50" w:type="dxa"/>
              <w:left w:w="90" w:type="dxa"/>
              <w:right w:w="90" w:type="dxa"/>
            </w:tcMar>
          </w:tcPr>
          <w:p>
            <w:pPr>
              <w:pStyle w:val="BDOITable"/>
            </w:pPr>
            <w:r>
              <w:rPr>
                <w:sz w:val="14"/>
              </w:rPr>
              <w:t>Confirm out of scope</w:t>
            </w:r>
          </w:p>
        </w:tc>
      </w:tr>
      <w:tr>
        <w:trPr>
          <w:cantSplit w:val="true"/>
        </w:trPr>
        <w:tc>
          <w:tcPr>
            <w:tcW w:type="dxa" w:w="758"/>
            <w:tcMar>
              <w:top w:w="50" w:type="dxa"/>
              <w:bottom w:w="50" w:type="dxa"/>
              <w:left w:w="90" w:type="dxa"/>
              <w:right w:w="90" w:type="dxa"/>
            </w:tcMar>
            <w:shd w:val="clear" w:color="auto" w:fill="E5F5FF"/>
          </w:tcPr>
          <w:p>
            <w:pPr>
              <w:pStyle w:val="BDOITable"/>
            </w:pPr>
            <w:r>
              <w:rPr>
                <w:b/>
                <w:sz w:val="14"/>
              </w:rPr>
              <w:t>INT-12</w:t>
            </w:r>
          </w:p>
        </w:tc>
        <w:tc>
          <w:tcPr>
            <w:tcW w:type="dxa" w:w="1516"/>
            <w:tcMar>
              <w:top w:w="50" w:type="dxa"/>
              <w:bottom w:w="50" w:type="dxa"/>
              <w:left w:w="90" w:type="dxa"/>
              <w:right w:w="90" w:type="dxa"/>
            </w:tcMar>
            <w:shd w:val="clear" w:color="auto" w:fill="E5F5FF"/>
          </w:tcPr>
          <w:p>
            <w:pPr>
              <w:pStyle w:val="BDOITable"/>
            </w:pPr>
            <w:r>
              <w:rPr>
                <w:sz w:val="14"/>
              </w:rPr>
              <w:t>ECM</w:t>
            </w:r>
          </w:p>
        </w:tc>
        <w:tc>
          <w:tcPr>
            <w:tcW w:type="dxa" w:w="5098"/>
            <w:tcMar>
              <w:top w:w="50" w:type="dxa"/>
              <w:bottom w:w="50" w:type="dxa"/>
              <w:left w:w="90" w:type="dxa"/>
              <w:right w:w="90" w:type="dxa"/>
            </w:tcMar>
            <w:shd w:val="clear" w:color="auto" w:fill="E5F5FF"/>
          </w:tcPr>
          <w:p>
            <w:pPr>
              <w:pStyle w:val="BDOITable"/>
            </w:pPr>
            <w:r>
              <w:rPr>
                <w:sz w:val="14"/>
              </w:rPr>
              <w:t>Answer A4 places every BIBS document and attachment in Amazon S3, not in ECM. A remaining ECM role is not stated (source of legacy documents for the archive, or records transfer at end of retention).</w:t>
            </w:r>
          </w:p>
        </w:tc>
        <w:tc>
          <w:tcPr>
            <w:tcW w:type="dxa" w:w="3445"/>
            <w:tcMar>
              <w:top w:w="50" w:type="dxa"/>
              <w:bottom w:w="50" w:type="dxa"/>
              <w:left w:w="90" w:type="dxa"/>
              <w:right w:w="90" w:type="dxa"/>
            </w:tcMar>
            <w:shd w:val="clear" w:color="auto" w:fill="E5F5FF"/>
          </w:tcPr>
          <w:p>
            <w:pPr>
              <w:pStyle w:val="BDOITable"/>
            </w:pPr>
            <w:r>
              <w:rPr>
                <w:sz w:val="14"/>
              </w:rPr>
              <w:t>Legacy documents (H02) if ECM holds them</w:t>
            </w:r>
          </w:p>
        </w:tc>
        <w:tc>
          <w:tcPr>
            <w:tcW w:type="dxa" w:w="2756"/>
            <w:tcMar>
              <w:top w:w="50" w:type="dxa"/>
              <w:bottom w:w="50" w:type="dxa"/>
              <w:left w:w="90" w:type="dxa"/>
              <w:right w:w="90" w:type="dxa"/>
            </w:tcMar>
            <w:shd w:val="clear" w:color="auto" w:fill="E5F5FF"/>
          </w:tcPr>
          <w:p>
            <w:pPr>
              <w:pStyle w:val="BDOITable"/>
            </w:pPr>
            <w:r>
              <w:rPr>
                <w:sz w:val="14"/>
              </w:rPr>
              <w:t>Any ECM touch-point left</w:t>
            </w:r>
          </w:p>
        </w:tc>
      </w:tr>
      <w:tr>
        <w:trPr>
          <w:cantSplit w:val="true"/>
        </w:trPr>
        <w:tc>
          <w:tcPr>
            <w:tcW w:type="dxa" w:w="758"/>
            <w:tcMar>
              <w:top w:w="50" w:type="dxa"/>
              <w:bottom w:w="50" w:type="dxa"/>
              <w:left w:w="90" w:type="dxa"/>
              <w:right w:w="90" w:type="dxa"/>
            </w:tcMar>
          </w:tcPr>
          <w:p>
            <w:pPr>
              <w:pStyle w:val="BDOITable"/>
            </w:pPr>
            <w:r>
              <w:rPr>
                <w:b/>
                <w:sz w:val="14"/>
              </w:rPr>
              <w:t>INT-13</w:t>
            </w:r>
          </w:p>
        </w:tc>
        <w:tc>
          <w:tcPr>
            <w:tcW w:type="dxa" w:w="1516"/>
            <w:tcMar>
              <w:top w:w="50" w:type="dxa"/>
              <w:bottom w:w="50" w:type="dxa"/>
              <w:left w:w="90" w:type="dxa"/>
              <w:right w:w="90" w:type="dxa"/>
            </w:tcMar>
          </w:tcPr>
          <w:p>
            <w:pPr>
              <w:pStyle w:val="BDOITable"/>
            </w:pPr>
            <w:r>
              <w:rPr>
                <w:sz w:val="14"/>
              </w:rPr>
              <w:t>CCM</w:t>
            </w:r>
          </w:p>
        </w:tc>
        <w:tc>
          <w:tcPr>
            <w:tcW w:type="dxa" w:w="5098"/>
            <w:tcMar>
              <w:top w:w="50" w:type="dxa"/>
              <w:bottom w:w="50" w:type="dxa"/>
              <w:left w:w="90" w:type="dxa"/>
              <w:right w:w="90" w:type="dxa"/>
            </w:tcMar>
          </w:tcPr>
          <w:p>
            <w:pPr>
              <w:pStyle w:val="BDOITable"/>
            </w:pPr>
            <w:r>
              <w:rPr>
                <w:sz w:val="14"/>
              </w:rPr>
              <w:t>All outbound BIBS e-mail (renewal advices, protected PDFs, notifications, job-failure mails) goes through CCM.</w:t>
            </w:r>
          </w:p>
        </w:tc>
        <w:tc>
          <w:tcPr>
            <w:tcW w:type="dxa" w:w="3445"/>
            <w:tcMar>
              <w:top w:w="50" w:type="dxa"/>
              <w:bottom w:w="50" w:type="dxa"/>
              <w:left w:w="90" w:type="dxa"/>
              <w:right w:w="90" w:type="dxa"/>
            </w:tcMar>
          </w:tcPr>
          <w:p>
            <w:pPr>
              <w:pStyle w:val="BDOITable"/>
            </w:pPr>
            <w:r>
              <w:rPr>
                <w:sz w:val="14"/>
              </w:rPr>
              <w:t>Recipient, subject, body, attachments (password-protected PDFs), template id</w:t>
            </w:r>
          </w:p>
        </w:tc>
        <w:tc>
          <w:tcPr>
            <w:tcW w:type="dxa" w:w="2756"/>
            <w:tcMar>
              <w:top w:w="50" w:type="dxa"/>
              <w:bottom w:w="50" w:type="dxa"/>
              <w:left w:w="90" w:type="dxa"/>
              <w:right w:w="90" w:type="dxa"/>
            </w:tcMar>
          </w:tcPr>
          <w:p>
            <w:pPr>
              <w:pStyle w:val="BDOITable"/>
            </w:pPr>
            <w:r>
              <w:rPr>
                <w:sz w:val="14"/>
              </w:rPr>
              <w:t>SMTP or API, attachment limits, volume, bounce feedback, sender domains</w:t>
            </w:r>
          </w:p>
        </w:tc>
      </w:tr>
      <w:tr>
        <w:trPr>
          <w:cantSplit w:val="true"/>
        </w:trPr>
        <w:tc>
          <w:tcPr>
            <w:tcW w:type="dxa" w:w="758"/>
            <w:tcMar>
              <w:top w:w="50" w:type="dxa"/>
              <w:bottom w:w="50" w:type="dxa"/>
              <w:left w:w="90" w:type="dxa"/>
              <w:right w:w="90" w:type="dxa"/>
            </w:tcMar>
            <w:shd w:val="clear" w:color="auto" w:fill="E5F5FF"/>
          </w:tcPr>
          <w:p>
            <w:pPr>
              <w:pStyle w:val="BDOITable"/>
            </w:pPr>
            <w:r>
              <w:rPr>
                <w:b/>
                <w:sz w:val="14"/>
              </w:rPr>
              <w:t>INT-14</w:t>
            </w:r>
          </w:p>
        </w:tc>
        <w:tc>
          <w:tcPr>
            <w:tcW w:type="dxa" w:w="1516"/>
            <w:tcMar>
              <w:top w:w="50" w:type="dxa"/>
              <w:bottom w:w="50" w:type="dxa"/>
              <w:left w:w="90" w:type="dxa"/>
              <w:right w:w="90" w:type="dxa"/>
            </w:tcMar>
            <w:shd w:val="clear" w:color="auto" w:fill="E5F5FF"/>
          </w:tcPr>
          <w:p>
            <w:pPr>
              <w:pStyle w:val="BDOITable"/>
            </w:pPr>
            <w:r>
              <w:rPr>
                <w:sz w:val="14"/>
              </w:rPr>
              <w:t>M365 Exchange</w:t>
            </w:r>
          </w:p>
        </w:tc>
        <w:tc>
          <w:tcPr>
            <w:tcW w:type="dxa" w:w="5098"/>
            <w:tcMar>
              <w:top w:w="50" w:type="dxa"/>
              <w:bottom w:w="50" w:type="dxa"/>
              <w:left w:w="90" w:type="dxa"/>
              <w:right w:w="90" w:type="dxa"/>
            </w:tcMar>
            <w:shd w:val="clear" w:color="auto" w:fill="E5F5FF"/>
          </w:tcPr>
          <w:p>
            <w:pPr>
              <w:pStyle w:val="BDOITable"/>
            </w:pPr>
            <w:r>
              <w:rPr>
                <w:sz w:val="14"/>
              </w:rPr>
              <w:t>Mailboxes. Candidate uses are reading e-mailed quotation requests (BRNB.041, Q12 on hold) and insurer replies, or relaying mail if CCM does not cover a case.</w:t>
            </w:r>
          </w:p>
        </w:tc>
        <w:tc>
          <w:tcPr>
            <w:tcW w:type="dxa" w:w="3445"/>
            <w:tcMar>
              <w:top w:w="50" w:type="dxa"/>
              <w:bottom w:w="50" w:type="dxa"/>
              <w:left w:w="90" w:type="dxa"/>
              <w:right w:w="90" w:type="dxa"/>
            </w:tcMar>
            <w:shd w:val="clear" w:color="auto" w:fill="E5F5FF"/>
          </w:tcPr>
          <w:p>
            <w:pPr>
              <w:pStyle w:val="BDOITable"/>
            </w:pPr>
            <w:r>
              <w:rPr>
                <w:sz w:val="14"/>
              </w:rPr>
              <w:t>E-mails and attachments</w:t>
            </w:r>
          </w:p>
        </w:tc>
        <w:tc>
          <w:tcPr>
            <w:tcW w:type="dxa" w:w="2756"/>
            <w:tcMar>
              <w:top w:w="50" w:type="dxa"/>
              <w:bottom w:w="50" w:type="dxa"/>
              <w:left w:w="90" w:type="dxa"/>
              <w:right w:w="90" w:type="dxa"/>
            </w:tcMar>
            <w:shd w:val="clear" w:color="auto" w:fill="E5F5FF"/>
          </w:tcPr>
          <w:p>
            <w:pPr>
              <w:pStyle w:val="BDOITable"/>
            </w:pPr>
            <w:r>
              <w:rPr>
                <w:sz w:val="14"/>
              </w:rPr>
              <w:t>Role against CCM, mailboxes, permissions</w:t>
            </w:r>
          </w:p>
        </w:tc>
      </w:tr>
      <w:tr>
        <w:trPr>
          <w:cantSplit w:val="true"/>
        </w:trPr>
        <w:tc>
          <w:tcPr>
            <w:tcW w:type="dxa" w:w="758"/>
            <w:tcMar>
              <w:top w:w="50" w:type="dxa"/>
              <w:bottom w:w="50" w:type="dxa"/>
              <w:left w:w="90" w:type="dxa"/>
              <w:right w:w="90" w:type="dxa"/>
            </w:tcMar>
          </w:tcPr>
          <w:p>
            <w:pPr>
              <w:pStyle w:val="BDOITable"/>
            </w:pPr>
            <w:r>
              <w:rPr>
                <w:b/>
                <w:sz w:val="14"/>
              </w:rPr>
              <w:t>INT-15</w:t>
            </w:r>
          </w:p>
        </w:tc>
        <w:tc>
          <w:tcPr>
            <w:tcW w:type="dxa" w:w="1516"/>
            <w:tcMar>
              <w:top w:w="50" w:type="dxa"/>
              <w:bottom w:w="50" w:type="dxa"/>
              <w:left w:w="90" w:type="dxa"/>
              <w:right w:w="90" w:type="dxa"/>
            </w:tcMar>
          </w:tcPr>
          <w:p>
            <w:pPr>
              <w:pStyle w:val="BDOITable"/>
            </w:pPr>
            <w:r>
              <w:rPr>
                <w:sz w:val="14"/>
              </w:rPr>
              <w:t>TFS (manual)</w:t>
            </w:r>
          </w:p>
        </w:tc>
        <w:tc>
          <w:tcPr>
            <w:tcW w:type="dxa" w:w="5098"/>
            <w:tcMar>
              <w:top w:w="50" w:type="dxa"/>
              <w:bottom w:w="50" w:type="dxa"/>
              <w:left w:w="90" w:type="dxa"/>
              <w:right w:w="90" w:type="dxa"/>
            </w:tcMar>
          </w:tcPr>
          <w:p>
            <w:pPr>
              <w:pStyle w:val="BDOITable"/>
            </w:pPr>
            <w:r>
              <w:rPr>
                <w:sz w:val="14"/>
              </w:rPr>
              <w:t>Trade (CIB) clients and their payments; no system interface. Users key the client in BIBS and upload the Trade payment file.</w:t>
            </w:r>
          </w:p>
        </w:tc>
        <w:tc>
          <w:tcPr>
            <w:tcW w:type="dxa" w:w="3445"/>
            <w:tcMar>
              <w:top w:w="50" w:type="dxa"/>
              <w:bottom w:w="50" w:type="dxa"/>
              <w:left w:w="90" w:type="dxa"/>
              <w:right w:w="90" w:type="dxa"/>
            </w:tcMar>
          </w:tcPr>
          <w:p>
            <w:pPr>
              <w:pStyle w:val="BDOITable"/>
            </w:pPr>
            <w:r>
              <w:rPr>
                <w:sz w:val="14"/>
              </w:rPr>
              <w:t>Trade client details; Trade payment file</w:t>
            </w:r>
          </w:p>
        </w:tc>
        <w:tc>
          <w:tcPr>
            <w:tcW w:type="dxa" w:w="2756"/>
            <w:tcMar>
              <w:top w:w="50" w:type="dxa"/>
              <w:bottom w:w="50" w:type="dxa"/>
              <w:left w:w="90" w:type="dxa"/>
              <w:right w:w="90" w:type="dxa"/>
            </w:tcMar>
          </w:tcPr>
          <w:p>
            <w:pPr>
              <w:pStyle w:val="BDOITable"/>
            </w:pPr>
            <w:r>
              <w:rPr>
                <w:sz w:val="14"/>
              </w:rPr>
              <w:t>Which onboarding data, layout of the Trade file</w:t>
            </w:r>
          </w:p>
        </w:tc>
      </w:tr>
      <w:tr>
        <w:trPr>
          <w:cantSplit w:val="true"/>
        </w:trPr>
        <w:tc>
          <w:tcPr>
            <w:tcW w:type="dxa" w:w="758"/>
            <w:tcMar>
              <w:top w:w="50" w:type="dxa"/>
              <w:bottom w:w="50" w:type="dxa"/>
              <w:left w:w="90" w:type="dxa"/>
              <w:right w:w="90" w:type="dxa"/>
            </w:tcMar>
            <w:shd w:val="clear" w:color="auto" w:fill="E5F5FF"/>
          </w:tcPr>
          <w:p>
            <w:pPr>
              <w:pStyle w:val="BDOITable"/>
            </w:pPr>
            <w:r>
              <w:rPr>
                <w:b/>
                <w:sz w:val="14"/>
              </w:rPr>
              <w:t>INT-16</w:t>
            </w:r>
          </w:p>
        </w:tc>
        <w:tc>
          <w:tcPr>
            <w:tcW w:type="dxa" w:w="1516"/>
            <w:tcMar>
              <w:top w:w="50" w:type="dxa"/>
              <w:bottom w:w="50" w:type="dxa"/>
              <w:left w:w="90" w:type="dxa"/>
              <w:right w:w="90" w:type="dxa"/>
            </w:tcMar>
            <w:shd w:val="clear" w:color="auto" w:fill="E5F5FF"/>
          </w:tcPr>
          <w:p>
            <w:pPr>
              <w:pStyle w:val="BDOITable"/>
            </w:pPr>
            <w:r>
              <w:rPr>
                <w:sz w:val="14"/>
              </w:rPr>
              <w:t>EDP - Data Ingestion (SD 11)</w:t>
            </w:r>
          </w:p>
        </w:tc>
        <w:tc>
          <w:tcPr>
            <w:tcW w:type="dxa" w:w="5098"/>
            <w:tcMar>
              <w:top w:w="50" w:type="dxa"/>
              <w:bottom w:w="50" w:type="dxa"/>
              <w:left w:w="90" w:type="dxa"/>
              <w:right w:w="90" w:type="dxa"/>
            </w:tcMar>
            <w:shd w:val="clear" w:color="auto" w:fill="E5F5FF"/>
          </w:tcPr>
          <w:p>
            <w:pPr>
              <w:pStyle w:val="BDOITable"/>
            </w:pPr>
            <w:r>
              <w:rPr>
                <w:sz w:val="14"/>
              </w:rPr>
              <w:t>BIBS data delivered to the BDO data platform for analytics. "SD 11" is not explained (a data standard or source-delivery specification).</w:t>
            </w:r>
          </w:p>
        </w:tc>
        <w:tc>
          <w:tcPr>
            <w:tcW w:type="dxa" w:w="3445"/>
            <w:tcMar>
              <w:top w:w="50" w:type="dxa"/>
              <w:bottom w:w="50" w:type="dxa"/>
              <w:left w:w="90" w:type="dxa"/>
              <w:right w:w="90" w:type="dxa"/>
            </w:tcMar>
            <w:shd w:val="clear" w:color="auto" w:fill="E5F5FF"/>
          </w:tcPr>
          <w:p>
            <w:pPr>
              <w:pStyle w:val="BDOITable"/>
            </w:pPr>
            <w:r>
              <w:rPr>
                <w:sz w:val="14"/>
              </w:rPr>
              <w:t>To agree (clients, accounts, invoices, receipts, remittances, GL; history and daily changes)</w:t>
            </w:r>
          </w:p>
        </w:tc>
        <w:tc>
          <w:tcPr>
            <w:tcW w:type="dxa" w:w="2756"/>
            <w:tcMar>
              <w:top w:w="50" w:type="dxa"/>
              <w:bottom w:w="50" w:type="dxa"/>
              <w:left w:w="90" w:type="dxa"/>
              <w:right w:w="90" w:type="dxa"/>
            </w:tcMar>
            <w:shd w:val="clear" w:color="auto" w:fill="E5F5FF"/>
          </w:tcPr>
          <w:p>
            <w:pPr>
              <w:pStyle w:val="BDOITable"/>
            </w:pPr>
            <w:r>
              <w:rPr>
                <w:sz w:val="14"/>
              </w:rPr>
              <w:t>What SD 11 is, objects, format, frequency, push or pull</w:t>
            </w:r>
          </w:p>
        </w:tc>
      </w:tr>
      <w:tr>
        <w:trPr>
          <w:cantSplit w:val="true"/>
        </w:trPr>
        <w:tc>
          <w:tcPr>
            <w:tcW w:type="dxa" w:w="758"/>
            <w:tcMar>
              <w:top w:w="50" w:type="dxa"/>
              <w:bottom w:w="50" w:type="dxa"/>
              <w:left w:w="90" w:type="dxa"/>
              <w:right w:w="90" w:type="dxa"/>
            </w:tcMar>
          </w:tcPr>
          <w:p>
            <w:pPr>
              <w:pStyle w:val="BDOITable"/>
            </w:pPr>
            <w:r>
              <w:rPr>
                <w:b/>
                <w:sz w:val="14"/>
              </w:rPr>
              <w:t>INT-17</w:t>
            </w:r>
          </w:p>
        </w:tc>
        <w:tc>
          <w:tcPr>
            <w:tcW w:type="dxa" w:w="1516"/>
            <w:tcMar>
              <w:top w:w="50" w:type="dxa"/>
              <w:bottom w:w="50" w:type="dxa"/>
              <w:left w:w="90" w:type="dxa"/>
              <w:right w:w="90" w:type="dxa"/>
            </w:tcMar>
          </w:tcPr>
          <w:p>
            <w:pPr>
              <w:pStyle w:val="BDOITable"/>
            </w:pPr>
            <w:r>
              <w:rPr>
                <w:sz w:val="14"/>
              </w:rPr>
              <w:t>EGL</w:t>
            </w:r>
          </w:p>
        </w:tc>
        <w:tc>
          <w:tcPr>
            <w:tcW w:type="dxa" w:w="5098"/>
            <w:tcMar>
              <w:top w:w="50" w:type="dxa"/>
              <w:bottom w:w="50" w:type="dxa"/>
              <w:left w:w="90" w:type="dxa"/>
              <w:right w:w="90" w:type="dxa"/>
            </w:tcMar>
          </w:tcPr>
          <w:p>
            <w:pPr>
              <w:pStyle w:val="BDOITable"/>
            </w:pPr>
            <w:r>
              <w:rPr>
                <w:sz w:val="14"/>
              </w:rPr>
              <w:t>The BDO group ledger receives BDOI accounting from the BIBS GL (journal detail or balances) for consolidation.</w:t>
            </w:r>
          </w:p>
        </w:tc>
        <w:tc>
          <w:tcPr>
            <w:tcW w:type="dxa" w:w="3445"/>
            <w:tcMar>
              <w:top w:w="50" w:type="dxa"/>
              <w:bottom w:w="50" w:type="dxa"/>
              <w:left w:w="90" w:type="dxa"/>
              <w:right w:w="90" w:type="dxa"/>
            </w:tcMar>
          </w:tcPr>
          <w:p>
            <w:pPr>
              <w:pStyle w:val="BDOITable"/>
            </w:pPr>
            <w:r>
              <w:rPr>
                <w:sz w:val="14"/>
              </w:rPr>
              <w:t>Journals or trial balance by account, branch, cost centre, currency; mapping to EGL accounts</w:t>
            </w:r>
          </w:p>
        </w:tc>
        <w:tc>
          <w:tcPr>
            <w:tcW w:type="dxa" w:w="2756"/>
            <w:tcMar>
              <w:top w:w="50" w:type="dxa"/>
              <w:bottom w:w="50" w:type="dxa"/>
              <w:left w:w="90" w:type="dxa"/>
              <w:right w:w="90" w:type="dxa"/>
            </w:tcMar>
          </w:tcPr>
          <w:p>
            <w:pPr>
              <w:pStyle w:val="BDOITable"/>
            </w:pPr>
            <w:r>
              <w:rPr>
                <w:sz w:val="14"/>
              </w:rPr>
              <w:t>Level of detail, frequency, mapping, layout, transport</w:t>
            </w:r>
          </w:p>
        </w:tc>
      </w:tr>
      <w:tr>
        <w:trPr>
          <w:cantSplit w:val="true"/>
        </w:trPr>
        <w:tc>
          <w:tcPr>
            <w:tcW w:type="dxa" w:w="758"/>
            <w:tcMar>
              <w:top w:w="50" w:type="dxa"/>
              <w:bottom w:w="50" w:type="dxa"/>
              <w:left w:w="90" w:type="dxa"/>
              <w:right w:w="90" w:type="dxa"/>
            </w:tcMar>
            <w:shd w:val="clear" w:color="auto" w:fill="E5F5FF"/>
          </w:tcPr>
          <w:p>
            <w:pPr>
              <w:pStyle w:val="BDOITable"/>
            </w:pPr>
            <w:r>
              <w:rPr>
                <w:b/>
                <w:sz w:val="14"/>
              </w:rPr>
              <w:t>INT-18</w:t>
            </w:r>
          </w:p>
        </w:tc>
        <w:tc>
          <w:tcPr>
            <w:tcW w:type="dxa" w:w="1516"/>
            <w:tcMar>
              <w:top w:w="50" w:type="dxa"/>
              <w:bottom w:w="50" w:type="dxa"/>
              <w:left w:w="90" w:type="dxa"/>
              <w:right w:w="90" w:type="dxa"/>
            </w:tcMar>
            <w:shd w:val="clear" w:color="auto" w:fill="E5F5FF"/>
          </w:tcPr>
          <w:p>
            <w:pPr>
              <w:pStyle w:val="BDOITable"/>
            </w:pPr>
            <w:r>
              <w:rPr>
                <w:sz w:val="14"/>
              </w:rPr>
              <w:t>CARMS</w:t>
            </w:r>
          </w:p>
        </w:tc>
        <w:tc>
          <w:tcPr>
            <w:tcW w:type="dxa" w:w="5098"/>
            <w:tcMar>
              <w:top w:w="50" w:type="dxa"/>
              <w:bottom w:w="50" w:type="dxa"/>
              <w:left w:w="90" w:type="dxa"/>
              <w:right w:w="90" w:type="dxa"/>
            </w:tcMar>
            <w:shd w:val="clear" w:color="auto" w:fill="E5F5FF"/>
          </w:tcPr>
          <w:p>
            <w:pPr>
              <w:pStyle w:val="BDOITable"/>
            </w:pPr>
            <w:r>
              <w:rPr>
                <w:sz w:val="14"/>
              </w:rPr>
              <w:t>Unknown.</w:t>
            </w:r>
          </w:p>
        </w:tc>
        <w:tc>
          <w:tcPr>
            <w:tcW w:type="dxa" w:w="3445"/>
            <w:tcMar>
              <w:top w:w="50" w:type="dxa"/>
              <w:bottom w:w="50" w:type="dxa"/>
              <w:left w:w="90" w:type="dxa"/>
              <w:right w:w="90" w:type="dxa"/>
            </w:tcMar>
            <w:shd w:val="clear" w:color="auto" w:fill="E5F5FF"/>
          </w:tcPr>
          <w:p>
            <w:pPr>
              <w:pStyle w:val="BDOITable"/>
            </w:pPr>
            <w:r>
              <w:rPr>
                <w:sz w:val="14"/>
              </w:rPr>
              <w:t>To confirm</w:t>
            </w:r>
          </w:p>
        </w:tc>
        <w:tc>
          <w:tcPr>
            <w:tcW w:type="dxa" w:w="2756"/>
            <w:tcMar>
              <w:top w:w="50" w:type="dxa"/>
              <w:bottom w:w="50" w:type="dxa"/>
              <w:left w:w="90" w:type="dxa"/>
              <w:right w:w="90" w:type="dxa"/>
            </w:tcMar>
            <w:shd w:val="clear" w:color="auto" w:fill="E5F5FF"/>
          </w:tcPr>
          <w:p>
            <w:pPr>
              <w:pStyle w:val="BDOITable"/>
            </w:pPr>
            <w:r>
              <w:rPr>
                <w:sz w:val="14"/>
              </w:rPr>
              <w:t>Purpose, data, direction</w:t>
            </w:r>
          </w:p>
        </w:tc>
      </w:tr>
      <w:tr>
        <w:trPr>
          <w:cantSplit w:val="true"/>
        </w:trPr>
        <w:tc>
          <w:tcPr>
            <w:tcW w:type="dxa" w:w="758"/>
            <w:tcMar>
              <w:top w:w="50" w:type="dxa"/>
              <w:bottom w:w="50" w:type="dxa"/>
              <w:left w:w="90" w:type="dxa"/>
              <w:right w:w="90" w:type="dxa"/>
            </w:tcMar>
          </w:tcPr>
          <w:p>
            <w:pPr>
              <w:pStyle w:val="BDOITable"/>
            </w:pPr>
            <w:r>
              <w:rPr>
                <w:b/>
                <w:sz w:val="14"/>
              </w:rPr>
              <w:t>INT-19</w:t>
            </w:r>
          </w:p>
        </w:tc>
        <w:tc>
          <w:tcPr>
            <w:tcW w:type="dxa" w:w="1516"/>
            <w:tcMar>
              <w:top w:w="50" w:type="dxa"/>
              <w:bottom w:w="50" w:type="dxa"/>
              <w:left w:w="90" w:type="dxa"/>
              <w:right w:w="90" w:type="dxa"/>
            </w:tcMar>
          </w:tcPr>
          <w:p>
            <w:pPr>
              <w:pStyle w:val="BDOITable"/>
            </w:pPr>
            <w:r>
              <w:rPr>
                <w:sz w:val="14"/>
              </w:rPr>
              <w:t>Insurer System</w:t>
            </w:r>
          </w:p>
        </w:tc>
        <w:tc>
          <w:tcPr>
            <w:tcW w:type="dxa" w:w="5098"/>
            <w:tcMar>
              <w:top w:w="50" w:type="dxa"/>
              <w:bottom w:w="50" w:type="dxa"/>
              <w:left w:w="90" w:type="dxa"/>
              <w:right w:w="90" w:type="dxa"/>
            </w:tcMar>
          </w:tcPr>
          <w:p>
            <w:pPr>
              <w:pStyle w:val="BDOITable"/>
            </w:pPr>
            <w:r>
              <w:rPr>
                <w:sz w:val="14"/>
              </w:rPr>
              <w:t>Files exchanged with each insurer today by e-mail: production reports and feedback (PRCID.009), remittance schedules and ORs (RMTID.012), DP billing responses (CMRID.009), renewal responses, SOAs (ACSL 2.2.1), e-policies, claims.</w:t>
            </w:r>
          </w:p>
        </w:tc>
        <w:tc>
          <w:tcPr>
            <w:tcW w:type="dxa" w:w="3445"/>
            <w:tcMar>
              <w:top w:w="50" w:type="dxa"/>
              <w:bottom w:w="50" w:type="dxa"/>
              <w:left w:w="90" w:type="dxa"/>
              <w:right w:w="90" w:type="dxa"/>
            </w:tcMar>
          </w:tcPr>
          <w:p>
            <w:pPr>
              <w:pStyle w:val="BDOITable"/>
            </w:pPr>
            <w:r>
              <w:rPr>
                <w:sz w:val="14"/>
              </w:rPr>
              <w:t>Per process</w:t>
            </w:r>
          </w:p>
        </w:tc>
        <w:tc>
          <w:tcPr>
            <w:tcW w:type="dxa" w:w="2756"/>
            <w:tcMar>
              <w:top w:w="50" w:type="dxa"/>
              <w:bottom w:w="50" w:type="dxa"/>
              <w:left w:w="90" w:type="dxa"/>
              <w:right w:w="90" w:type="dxa"/>
            </w:tcMar>
          </w:tcPr>
          <w:p>
            <w:pPr>
              <w:pStyle w:val="BDOITable"/>
            </w:pPr>
            <w:r>
              <w:rPr>
                <w:sz w:val="14"/>
              </w:rPr>
              <w:t>Insurers, processes, channel, layouts</w:t>
            </w:r>
          </w:p>
        </w:tc>
      </w:tr>
      <w:tr>
        <w:trPr>
          <w:cantSplit w:val="true"/>
        </w:trPr>
        <w:tc>
          <w:tcPr>
            <w:tcW w:type="dxa" w:w="758"/>
            <w:tcMar>
              <w:top w:w="50" w:type="dxa"/>
              <w:bottom w:w="50" w:type="dxa"/>
              <w:left w:w="90" w:type="dxa"/>
              <w:right w:w="90" w:type="dxa"/>
            </w:tcMar>
            <w:shd w:val="clear" w:color="auto" w:fill="E5F5FF"/>
          </w:tcPr>
          <w:p>
            <w:pPr>
              <w:pStyle w:val="BDOITable"/>
            </w:pPr>
            <w:r>
              <w:rPr>
                <w:b/>
                <w:sz w:val="14"/>
              </w:rPr>
              <w:t>INT-20</w:t>
            </w:r>
          </w:p>
        </w:tc>
        <w:tc>
          <w:tcPr>
            <w:tcW w:type="dxa" w:w="1516"/>
            <w:tcMar>
              <w:top w:w="50" w:type="dxa"/>
              <w:bottom w:w="50" w:type="dxa"/>
              <w:left w:w="90" w:type="dxa"/>
              <w:right w:w="90" w:type="dxa"/>
            </w:tcMar>
            <w:shd w:val="clear" w:color="auto" w:fill="E5F5FF"/>
          </w:tcPr>
          <w:p>
            <w:pPr>
              <w:pStyle w:val="BDOITable"/>
            </w:pPr>
            <w:r>
              <w:rPr>
                <w:sz w:val="14"/>
              </w:rPr>
              <w:t>Bridger Insight XG (manual)</w:t>
            </w:r>
          </w:p>
        </w:tc>
        <w:tc>
          <w:tcPr>
            <w:tcW w:type="dxa" w:w="5098"/>
            <w:tcMar>
              <w:top w:w="50" w:type="dxa"/>
              <w:bottom w:w="50" w:type="dxa"/>
              <w:left w:w="90" w:type="dxa"/>
              <w:right w:w="90" w:type="dxa"/>
            </w:tcMar>
            <w:shd w:val="clear" w:color="auto" w:fill="E5F5FF"/>
          </w:tcPr>
          <w:p>
            <w:pPr>
              <w:pStyle w:val="BDOITable"/>
            </w:pPr>
            <w:r>
              <w:rPr>
                <w:sz w:val="14"/>
              </w:rPr>
              <w:t>Compliance screens names in Bridger Insight XG by hand and records the result in the BIBS screening case.</w:t>
            </w:r>
          </w:p>
        </w:tc>
        <w:tc>
          <w:tcPr>
            <w:tcW w:type="dxa" w:w="3445"/>
            <w:tcMar>
              <w:top w:w="50" w:type="dxa"/>
              <w:bottom w:w="50" w:type="dxa"/>
              <w:left w:w="90" w:type="dxa"/>
              <w:right w:w="90" w:type="dxa"/>
            </w:tcMar>
            <w:shd w:val="clear" w:color="auto" w:fill="E5F5FF"/>
          </w:tcPr>
          <w:p>
            <w:pPr>
              <w:pStyle w:val="BDOITable"/>
            </w:pPr>
            <w:r>
              <w:rPr>
                <w:sz w:val="14"/>
              </w:rPr>
              <w:t>Screening result and evidence</w:t>
            </w:r>
          </w:p>
        </w:tc>
        <w:tc>
          <w:tcPr>
            <w:tcW w:type="dxa" w:w="2756"/>
            <w:tcMar>
              <w:top w:w="50" w:type="dxa"/>
              <w:bottom w:w="50" w:type="dxa"/>
              <w:left w:w="90" w:type="dxa"/>
              <w:right w:w="90" w:type="dxa"/>
            </w:tcMar>
            <w:shd w:val="clear" w:color="auto" w:fill="E5F5FF"/>
          </w:tcPr>
          <w:p>
            <w:pPr>
              <w:pStyle w:val="BDOITable"/>
            </w:pPr>
            <w:r>
              <w:rPr>
                <w:sz w:val="14"/>
              </w:rPr>
              <w:t>Does Bridger replace or complement BIBS list matching</w:t>
            </w:r>
          </w:p>
        </w:tc>
      </w:tr>
    </w:tbl>
    <w:p>
      <w:pPr>
        <w:pStyle w:val="BDOISpacer"/>
      </w:pPr>
    </w:p>
    <w:p>
      <w:pPr>
        <w:sectPr>
          <w:headerReference w:type="default" r:id="rId25"/>
          <w:footerReference w:type="default" r:id="rId26"/>
          <w:headerReference w:type="first" r:id="rId27"/>
          <w:footerReference w:type="first" r:id="rId28"/>
          <w:pgSz w:w="15840" w:h="12240" w:orient="landscape"/>
          <w:pgMar w:top="1417" w:right="1134" w:bottom="1247" w:left="1134" w:header="567" w:footer="510" w:gutter="0"/>
          <w:cols w:space="720"/>
          <w:docGrid w:linePitch="360"/>
        </w:sectPr>
      </w:pPr>
    </w:p>
    <w:p>
      <w:pPr>
        <w:pStyle w:val="Heading2"/>
      </w:pPr>
      <w:bookmarkStart w:id="122" w:name="_Toc000122"/>
      <w:r>
        <w:rPr/>
        <w:t>5.3 Interfaces named in the BRDs but not on the slide</w:t>
      </w:r>
      <w:bookmarkEnd w:id="122"/>
    </w:p>
    <w:p>
      <w:pPr>
        <w:pStyle w:val="Caption"/>
        <w:keepNext/>
        <w:spacing w:after="60"/>
      </w:pPr>
      <w:r>
        <w:rPr>
          <w:b/>
          <w:i w:val="0"/>
        </w:rPr>
        <w:t xml:space="preserve">Table 15: </w:t>
      </w:r>
      <w:r>
        <w:rPr/>
        <w:t>Interfaces named in the BRDs but not on the slide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99"/>
        <w:gridCol w:w="3173"/>
        <w:gridCol w:w="3399"/>
      </w:tblGrid>
      <w:tr>
        <w:trPr>
          <w:tblHeader w:val="true"/>
          <w:cantSplit w:val="true"/>
        </w:trPr>
        <w:tc>
          <w:tcPr>
            <w:tcW w:type="dxa" w:w="3400"/>
            <w:shd w:val="clear" w:color="auto" w:fill="004EA8"/>
            <w:tcMar>
              <w:top w:w="50" w:type="dxa"/>
              <w:bottom w:w="50" w:type="dxa"/>
              <w:left w:w="90" w:type="dxa"/>
              <w:right w:w="90" w:type="dxa"/>
            </w:tcMar>
            <w:vAlign w:val="center"/>
          </w:tcPr>
          <w:p>
            <w:pPr>
              <w:pStyle w:val="BDOITableHeader"/>
            </w:pPr>
            <w:r>
              <w:rPr>
                <w:b/>
                <w:color w:val="FFFFFF"/>
                <w:sz w:val="16"/>
              </w:rPr>
              <w:t>Interface</w:t>
            </w:r>
          </w:p>
        </w:tc>
        <w:tc>
          <w:tcPr>
            <w:tcW w:type="dxa" w:w="3173"/>
            <w:shd w:val="clear" w:color="auto" w:fill="004EA8"/>
            <w:tcMar>
              <w:top w:w="50" w:type="dxa"/>
              <w:bottom w:w="50" w:type="dxa"/>
              <w:left w:w="90" w:type="dxa"/>
              <w:right w:w="90" w:type="dxa"/>
            </w:tcMar>
            <w:vAlign w:val="center"/>
          </w:tcPr>
          <w:p>
            <w:pPr>
              <w:pStyle w:val="BDOITableHeader"/>
            </w:pPr>
            <w:r>
              <w:rPr>
                <w:b/>
                <w:color w:val="FFFFFF"/>
                <w:sz w:val="16"/>
              </w:rPr>
              <w:t>Named in</w:t>
            </w:r>
          </w:p>
        </w:tc>
        <w:tc>
          <w:tcPr>
            <w:tcW w:type="dxa" w:w="3400"/>
            <w:shd w:val="clear" w:color="auto" w:fill="004EA8"/>
            <w:tcMar>
              <w:top w:w="50" w:type="dxa"/>
              <w:bottom w:w="50" w:type="dxa"/>
              <w:left w:w="90" w:type="dxa"/>
              <w:right w:w="90" w:type="dxa"/>
            </w:tcMar>
            <w:vAlign w:val="center"/>
          </w:tcPr>
          <w:p>
            <w:pPr>
              <w:pStyle w:val="BDOITableHeader"/>
            </w:pPr>
            <w:r>
              <w:rPr>
                <w:b/>
                <w:color w:val="FFFFFF"/>
                <w:sz w:val="16"/>
              </w:rPr>
              <w:t>To confirm</w:t>
            </w:r>
          </w:p>
        </w:tc>
      </w:tr>
      <w:tr>
        <w:trPr>
          <w:cantSplit w:val="true"/>
        </w:trPr>
        <w:tc>
          <w:tcPr>
            <w:tcW w:type="dxa" w:w="3400"/>
            <w:tcMar>
              <w:top w:w="50" w:type="dxa"/>
              <w:bottom w:w="50" w:type="dxa"/>
              <w:left w:w="90" w:type="dxa"/>
              <w:right w:w="90" w:type="dxa"/>
            </w:tcMar>
          </w:tcPr>
          <w:p>
            <w:pPr>
              <w:pStyle w:val="BDOITable"/>
            </w:pPr>
            <w:r>
              <w:rPr>
                <w:b/>
                <w:sz w:val="16"/>
              </w:rPr>
              <w:t>LAMD reports (paid-off, RMU)</w:t>
            </w:r>
          </w:p>
        </w:tc>
        <w:tc>
          <w:tcPr>
            <w:tcW w:type="dxa" w:w="3173"/>
            <w:tcMar>
              <w:top w:w="50" w:type="dxa"/>
              <w:bottom w:w="50" w:type="dxa"/>
              <w:left w:w="90" w:type="dxa"/>
              <w:right w:w="90" w:type="dxa"/>
            </w:tcMar>
          </w:tcPr>
          <w:p>
            <w:pPr>
              <w:pStyle w:val="BDOITable"/>
            </w:pPr>
            <w:r>
              <w:rPr>
                <w:sz w:val="16"/>
              </w:rPr>
              <w:t>BRD-6 BRRN.029; BRD-12</w:t>
            </w:r>
          </w:p>
        </w:tc>
        <w:tc>
          <w:tcPr>
            <w:tcW w:type="dxa" w:w="3400"/>
            <w:tcMar>
              <w:top w:w="50" w:type="dxa"/>
              <w:bottom w:w="50" w:type="dxa"/>
              <w:left w:w="90" w:type="dxa"/>
              <w:right w:w="90" w:type="dxa"/>
            </w:tcMar>
          </w:tcPr>
          <w:p>
            <w:pPr>
              <w:pStyle w:val="BDOITable"/>
            </w:pPr>
            <w:r>
              <w:rPr>
                <w:sz w:val="16"/>
              </w:rPr>
              <w:t>Covered by LMS (INT-03)?</w:t>
            </w:r>
          </w:p>
        </w:tc>
      </w:tr>
      <w:tr>
        <w:trPr>
          <w:cantSplit w:val="true"/>
        </w:trPr>
        <w:tc>
          <w:tcPr>
            <w:tcW w:type="dxa" w:w="3400"/>
            <w:tcMar>
              <w:top w:w="50" w:type="dxa"/>
              <w:bottom w:w="50" w:type="dxa"/>
              <w:left w:w="90" w:type="dxa"/>
              <w:right w:w="90" w:type="dxa"/>
            </w:tcMar>
            <w:shd w:val="clear" w:color="auto" w:fill="E5F5FF"/>
          </w:tcPr>
          <w:p>
            <w:pPr>
              <w:pStyle w:val="BDOITable"/>
            </w:pPr>
            <w:r>
              <w:rPr>
                <w:b/>
                <w:sz w:val="16"/>
              </w:rPr>
              <w:t>CLPC loan credits and billing</w:t>
            </w:r>
          </w:p>
        </w:tc>
        <w:tc>
          <w:tcPr>
            <w:tcW w:type="dxa" w:w="3173"/>
            <w:tcMar>
              <w:top w:w="50" w:type="dxa"/>
              <w:bottom w:w="50" w:type="dxa"/>
              <w:left w:w="90" w:type="dxa"/>
              <w:right w:w="90" w:type="dxa"/>
            </w:tcMar>
            <w:shd w:val="clear" w:color="auto" w:fill="E5F5FF"/>
          </w:tcPr>
          <w:p>
            <w:pPr>
              <w:pStyle w:val="BDOITable"/>
            </w:pPr>
            <w:r>
              <w:rPr>
                <w:sz w:val="16"/>
              </w:rPr>
              <w:t>BRD-1 BRNB.067; Report List #65-67</w:t>
            </w:r>
          </w:p>
        </w:tc>
        <w:tc>
          <w:tcPr>
            <w:tcW w:type="dxa" w:w="3400"/>
            <w:tcMar>
              <w:top w:w="50" w:type="dxa"/>
              <w:bottom w:w="50" w:type="dxa"/>
              <w:left w:w="90" w:type="dxa"/>
              <w:right w:w="90" w:type="dxa"/>
            </w:tcMar>
            <w:shd w:val="clear" w:color="auto" w:fill="E5F5FF"/>
          </w:tcPr>
          <w:p>
            <w:pPr>
              <w:pStyle w:val="BDOITable"/>
            </w:pPr>
            <w:r>
              <w:rPr>
                <w:sz w:val="16"/>
              </w:rPr>
              <w:t>Covered by LMS / HL-LOAS?</w:t>
            </w:r>
          </w:p>
        </w:tc>
      </w:tr>
      <w:tr>
        <w:trPr>
          <w:cantSplit w:val="true"/>
        </w:trPr>
        <w:tc>
          <w:tcPr>
            <w:tcW w:type="dxa" w:w="3400"/>
            <w:tcMar>
              <w:top w:w="50" w:type="dxa"/>
              <w:bottom w:w="50" w:type="dxa"/>
              <w:left w:w="90" w:type="dxa"/>
              <w:right w:w="90" w:type="dxa"/>
            </w:tcMar>
          </w:tcPr>
          <w:p>
            <w:pPr>
              <w:pStyle w:val="BDOITable"/>
            </w:pPr>
            <w:r>
              <w:rPr>
                <w:b/>
                <w:sz w:val="16"/>
              </w:rPr>
              <w:t>NLDS PEP list and AML advisory</w:t>
            </w:r>
          </w:p>
        </w:tc>
        <w:tc>
          <w:tcPr>
            <w:tcW w:type="dxa" w:w="3173"/>
            <w:tcMar>
              <w:top w:w="50" w:type="dxa"/>
              <w:bottom w:w="50" w:type="dxa"/>
              <w:left w:w="90" w:type="dxa"/>
              <w:right w:w="90" w:type="dxa"/>
            </w:tcMar>
          </w:tcPr>
          <w:p>
            <w:pPr>
              <w:pStyle w:val="BDOITable"/>
            </w:pPr>
            <w:r>
              <w:rPr>
                <w:sz w:val="16"/>
              </w:rPr>
              <w:t>BRD-10 SNSRP-201, p.7</w:t>
            </w:r>
          </w:p>
        </w:tc>
        <w:tc>
          <w:tcPr>
            <w:tcW w:type="dxa" w:w="3400"/>
            <w:tcMar>
              <w:top w:w="50" w:type="dxa"/>
              <w:bottom w:w="50" w:type="dxa"/>
              <w:left w:w="90" w:type="dxa"/>
              <w:right w:w="90" w:type="dxa"/>
            </w:tcMar>
          </w:tcPr>
          <w:p>
            <w:pPr>
              <w:pStyle w:val="BDOITable"/>
            </w:pPr>
            <w:r>
              <w:rPr>
                <w:sz w:val="16"/>
              </w:rPr>
              <w:t>Transport (SQ01)</w:t>
            </w:r>
          </w:p>
        </w:tc>
      </w:tr>
      <w:tr>
        <w:trPr>
          <w:cantSplit w:val="true"/>
        </w:trPr>
        <w:tc>
          <w:tcPr>
            <w:tcW w:type="dxa" w:w="3400"/>
            <w:tcMar>
              <w:top w:w="50" w:type="dxa"/>
              <w:bottom w:w="50" w:type="dxa"/>
              <w:left w:w="90" w:type="dxa"/>
              <w:right w:w="90" w:type="dxa"/>
            </w:tcMar>
            <w:shd w:val="clear" w:color="auto" w:fill="E5F5FF"/>
          </w:tcPr>
          <w:p>
            <w:pPr>
              <w:pStyle w:val="BDOITable"/>
            </w:pPr>
            <w:r>
              <w:rPr>
                <w:b/>
                <w:sz w:val="16"/>
              </w:rPr>
              <w:t>Mail house (printed letters)</w:t>
            </w:r>
          </w:p>
        </w:tc>
        <w:tc>
          <w:tcPr>
            <w:tcW w:type="dxa" w:w="3173"/>
            <w:tcMar>
              <w:top w:w="50" w:type="dxa"/>
              <w:bottom w:w="50" w:type="dxa"/>
              <w:left w:w="90" w:type="dxa"/>
              <w:right w:w="90" w:type="dxa"/>
            </w:tcMar>
            <w:shd w:val="clear" w:color="auto" w:fill="E5F5FF"/>
          </w:tcPr>
          <w:p>
            <w:pPr>
              <w:pStyle w:val="BDOITable"/>
            </w:pPr>
            <w:r>
              <w:rPr>
                <w:sz w:val="16"/>
              </w:rPr>
              <w:t>BRD-12; BRD-6 letters</w:t>
            </w:r>
          </w:p>
        </w:tc>
        <w:tc>
          <w:tcPr>
            <w:tcW w:type="dxa" w:w="3400"/>
            <w:tcMar>
              <w:top w:w="50" w:type="dxa"/>
              <w:bottom w:w="50" w:type="dxa"/>
              <w:left w:w="90" w:type="dxa"/>
              <w:right w:w="90" w:type="dxa"/>
            </w:tcMar>
            <w:shd w:val="clear" w:color="auto" w:fill="E5F5FF"/>
          </w:tcPr>
          <w:p>
            <w:pPr>
              <w:pStyle w:val="BDOITable"/>
            </w:pPr>
            <w:r>
              <w:rPr>
                <w:sz w:val="16"/>
              </w:rPr>
              <w:t>Channel and layout</w:t>
            </w:r>
          </w:p>
        </w:tc>
      </w:tr>
      <w:tr>
        <w:trPr>
          <w:cantSplit w:val="true"/>
        </w:trPr>
        <w:tc>
          <w:tcPr>
            <w:tcW w:type="dxa" w:w="3400"/>
            <w:tcMar>
              <w:top w:w="50" w:type="dxa"/>
              <w:bottom w:w="50" w:type="dxa"/>
              <w:left w:w="90" w:type="dxa"/>
              <w:right w:w="90" w:type="dxa"/>
            </w:tcMar>
          </w:tcPr>
          <w:p>
            <w:pPr>
              <w:pStyle w:val="BDOITable"/>
            </w:pPr>
            <w:r>
              <w:rPr>
                <w:b/>
                <w:sz w:val="16"/>
              </w:rPr>
              <w:t>BIR eFPS / eBIRForms, CAS books</w:t>
            </w:r>
          </w:p>
        </w:tc>
        <w:tc>
          <w:tcPr>
            <w:tcW w:type="dxa" w:w="3173"/>
            <w:tcMar>
              <w:top w:w="50" w:type="dxa"/>
              <w:bottom w:w="50" w:type="dxa"/>
              <w:left w:w="90" w:type="dxa"/>
              <w:right w:w="90" w:type="dxa"/>
            </w:tcMar>
          </w:tcPr>
          <w:p>
            <w:pPr>
              <w:pStyle w:val="BDOITable"/>
            </w:pPr>
            <w:r>
              <w:rPr>
                <w:sz w:val="16"/>
              </w:rPr>
              <w:t>BRD-5 Appendix A VII</w:t>
            </w:r>
          </w:p>
        </w:tc>
        <w:tc>
          <w:tcPr>
            <w:tcW w:type="dxa" w:w="3400"/>
            <w:tcMar>
              <w:top w:w="50" w:type="dxa"/>
              <w:bottom w:w="50" w:type="dxa"/>
              <w:left w:w="90" w:type="dxa"/>
              <w:right w:w="90" w:type="dxa"/>
            </w:tcMar>
          </w:tcPr>
          <w:p>
            <w:pPr>
              <w:pStyle w:val="BDOITable"/>
            </w:pPr>
            <w:r>
              <w:rPr>
                <w:sz w:val="16"/>
              </w:rPr>
              <w:t>Manual upload by Comptrollership</w:t>
            </w:r>
          </w:p>
        </w:tc>
      </w:tr>
      <w:tr>
        <w:trPr>
          <w:cantSplit w:val="true"/>
        </w:trPr>
        <w:tc>
          <w:tcPr>
            <w:tcW w:type="dxa" w:w="3400"/>
            <w:tcMar>
              <w:top w:w="50" w:type="dxa"/>
              <w:bottom w:w="50" w:type="dxa"/>
              <w:left w:w="90" w:type="dxa"/>
              <w:right w:w="90" w:type="dxa"/>
            </w:tcMar>
            <w:shd w:val="clear" w:color="auto" w:fill="E5F5FF"/>
          </w:tcPr>
          <w:p>
            <w:pPr>
              <w:pStyle w:val="BDOITable"/>
            </w:pPr>
            <w:r>
              <w:rPr>
                <w:b/>
                <w:sz w:val="16"/>
              </w:rPr>
              <w:t>BDO Unibank GARD submission</w:t>
            </w:r>
          </w:p>
        </w:tc>
        <w:tc>
          <w:tcPr>
            <w:tcW w:type="dxa" w:w="3173"/>
            <w:tcMar>
              <w:top w:w="50" w:type="dxa"/>
              <w:bottom w:w="50" w:type="dxa"/>
              <w:left w:w="90" w:type="dxa"/>
              <w:right w:w="90" w:type="dxa"/>
            </w:tcMar>
            <w:shd w:val="clear" w:color="auto" w:fill="E5F5FF"/>
          </w:tcPr>
          <w:p>
            <w:pPr>
              <w:pStyle w:val="BDOITable"/>
            </w:pPr>
            <w:r>
              <w:rPr>
                <w:sz w:val="16"/>
              </w:rPr>
              <w:t>BRD-5 Appendix A II</w:t>
            </w:r>
          </w:p>
        </w:tc>
        <w:tc>
          <w:tcPr>
            <w:tcW w:type="dxa" w:w="3400"/>
            <w:tcMar>
              <w:top w:w="50" w:type="dxa"/>
              <w:bottom w:w="50" w:type="dxa"/>
              <w:left w:w="90" w:type="dxa"/>
              <w:right w:w="90" w:type="dxa"/>
            </w:tcMar>
            <w:shd w:val="clear" w:color="auto" w:fill="E5F5FF"/>
          </w:tcPr>
          <w:p>
            <w:pPr>
              <w:pStyle w:val="BDOITable"/>
            </w:pPr>
            <w:r>
              <w:rPr>
                <w:sz w:val="16"/>
              </w:rPr>
              <w:t>AQ31; relation to EGL</w:t>
            </w:r>
          </w:p>
        </w:tc>
      </w:tr>
      <w:tr>
        <w:trPr>
          <w:cantSplit w:val="true"/>
        </w:trPr>
        <w:tc>
          <w:tcPr>
            <w:tcW w:type="dxa" w:w="3400"/>
            <w:tcMar>
              <w:top w:w="50" w:type="dxa"/>
              <w:bottom w:w="50" w:type="dxa"/>
              <w:left w:w="90" w:type="dxa"/>
              <w:right w:w="90" w:type="dxa"/>
            </w:tcMar>
          </w:tcPr>
          <w:p>
            <w:pPr>
              <w:pStyle w:val="BDOITable"/>
            </w:pPr>
            <w:r>
              <w:rPr>
                <w:b/>
                <w:sz w:val="16"/>
              </w:rPr>
              <w:t>Legacy EBIX, QPS, ISYS, Collection Management System (migration sources)</w:t>
            </w:r>
          </w:p>
        </w:tc>
        <w:tc>
          <w:tcPr>
            <w:tcW w:type="dxa" w:w="3173"/>
            <w:tcMar>
              <w:top w:w="50" w:type="dxa"/>
              <w:bottom w:w="50" w:type="dxa"/>
              <w:left w:w="90" w:type="dxa"/>
              <w:right w:w="90" w:type="dxa"/>
            </w:tcMar>
          </w:tcPr>
          <w:p>
            <w:pPr>
              <w:pStyle w:val="BDOITable"/>
            </w:pPr>
            <w:r>
              <w:rPr>
                <w:sz w:val="16"/>
              </w:rPr>
              <w:t>BRD-13</w:t>
            </w:r>
          </w:p>
        </w:tc>
        <w:tc>
          <w:tcPr>
            <w:tcW w:type="dxa" w:w="3400"/>
            <w:tcMar>
              <w:top w:w="50" w:type="dxa"/>
              <w:bottom w:w="50" w:type="dxa"/>
              <w:left w:w="90" w:type="dxa"/>
              <w:right w:w="90" w:type="dxa"/>
            </w:tcMar>
          </w:tcPr>
          <w:p>
            <w:pPr>
              <w:pStyle w:val="BDOITable"/>
            </w:pPr>
            <w:r>
              <w:rPr>
                <w:sz w:val="16"/>
              </w:rPr>
              <w:t>Extract transport (DMQ28)</w:t>
            </w:r>
          </w:p>
        </w:tc>
      </w:tr>
    </w:tbl>
    <w:p>
      <w:pPr>
        <w:pStyle w:val="BDOISpacer"/>
      </w:pPr>
    </w:p>
    <w:p>
      <w:pPr>
        <w:pStyle w:val="Heading2"/>
      </w:pPr>
      <w:bookmarkStart w:id="123" w:name="_Toc000123"/>
      <w:r>
        <w:rPr/>
        <w:t>5.4 Integration summary</w:t>
      </w:r>
      <w:bookmarkEnd w:id="123"/>
    </w:p>
    <w:p>
      <w:pPr>
        <w:tabs>
          <w:tab w:pos="312" w:val="left"/>
        </w:tabs>
        <w:spacing w:after="40"/>
        <w:ind w:left="312" w:hanging="283"/>
      </w:pPr>
      <w:r>
        <w:rPr>
          <w:color w:val="004EA8"/>
        </w:rPr>
        <w:t>•</w:t>
        <w:tab/>
      </w:r>
      <w:r>
        <w:rPr>
          <w:b/>
        </w:rPr>
        <w:t>Drop 0:</w:t>
      </w:r>
      <w:r>
        <w:rPr/>
        <w:t xml:space="preserve"> EIAM sign-in (OIDC), UIDM-ISC provisioning, CCM (configuration if SMTP), bank and PDC file layouts (configuration of the payment-file uploads), CMS / New BOB outward payment file, HL-LOAS quotation requests.</w:t>
      </w:r>
    </w:p>
    <w:p>
      <w:pPr>
        <w:tabs>
          <w:tab w:pos="312" w:val="left"/>
        </w:tabs>
        <w:spacing w:after="40"/>
        <w:ind w:left="312" w:hanging="283"/>
      </w:pPr>
      <w:r>
        <w:rPr>
          <w:color w:val="004EA8"/>
        </w:rPr>
        <w:t>•</w:t>
        <w:tab/>
      </w:r>
      <w:r>
        <w:rPr>
          <w:b/>
        </w:rPr>
        <w:t>Drop 1:</w:t>
      </w:r>
      <w:r>
        <w:rPr/>
        <w:t xml:space="preserve"> LMS and LFS intakes with Submitted Policies and Renewal.</w:t>
      </w:r>
    </w:p>
    <w:p>
      <w:pPr>
        <w:tabs>
          <w:tab w:pos="312" w:val="left"/>
        </w:tabs>
        <w:spacing w:after="40"/>
        <w:ind w:left="312" w:hanging="283"/>
      </w:pPr>
      <w:r>
        <w:rPr>
          <w:color w:val="004EA8"/>
        </w:rPr>
        <w:t>•</w:t>
        <w:tab/>
      </w:r>
      <w:r>
        <w:rPr>
          <w:b/>
        </w:rPr>
        <w:t>Drop 2:</w:t>
      </w:r>
      <w:r>
        <w:rPr/>
        <w:t xml:space="preserve"> EGL extract, EDP ingestion per SD 11, insurer channels, CARMS (unknown), Bridger evidence set-up.</w:t>
      </w:r>
    </w:p>
    <w:p>
      <w:pPr>
        <w:tabs>
          <w:tab w:pos="312" w:val="left"/>
        </w:tabs>
        <w:spacing w:after="120"/>
        <w:ind w:left="312" w:hanging="283"/>
      </w:pPr>
      <w:r>
        <w:rPr>
          <w:color w:val="004EA8"/>
        </w:rPr>
        <w:t>•</w:t>
        <w:tab/>
      </w:r>
      <w:r>
        <w:rPr>
          <w:b/>
        </w:rPr>
        <w:t>Not in scope:</w:t>
      </w:r>
      <w:r>
        <w:rPr/>
        <w:t xml:space="preserve"> ECM storage (A4), ICBS (struck through).</w:t>
      </w:r>
    </w:p>
    <w:p>
      <w:pPr>
        <w:pStyle w:val="Heading1"/>
        <w:pageBreakBefore/>
        <w:pBdr>
          <w:bottom w:val="single" w:sz="4" w:space="4" w:color="99C1E7"/>
        </w:pBdr>
      </w:pPr>
      <w:bookmarkStart w:id="124" w:name="_Toc000124"/>
      <w:r>
        <w:rPr/>
        <w:t>6 Infrastructure alignment</w:t>
      </w:r>
      <w:bookmarkEnd w:id="124"/>
    </w:p>
    <w:p>
      <w:pPr>
        <w:pStyle w:val="Heading2"/>
      </w:pPr>
      <w:bookmarkStart w:id="125" w:name="_Toc000125"/>
      <w:r>
        <w:rPr/>
        <w:t>6.1 What the IER says</w:t>
      </w:r>
      <w:bookmarkEnd w:id="125"/>
    </w:p>
    <w:p>
      <w:r>
        <w:rPr/>
        <w:t>The IER (S3) sets RPO 15 minutes and RTO 4 hours; RDS PostgreSQL 16 (Single-AZ in DEV, SIT, UAT; Multi-AZ in Pre-Prod and PROD, 2,000 GB in PROD), ElastiCache Redis 7 and Amazon MSK (Kafka 3.6, three brokers in Pre-Prod, PROD and DR), a GitLab runner and SSM bastion, S3 as document store and EFS as shared volume; a DR standby with asynchronous replication; 15 VDI users; 12 x 5 hours for non-production; 15 % growth a year over 60 months. It matches the BIBS technology baseline for the database and event streaming. For the cache, BIBS uses Valkey 8 (Amazon ElastiCache for Valkey) in place of Redis 7, and Kafka 3.9 in place of 3.6 (component baseline below).</w:t>
      </w:r>
    </w:p>
    <w:p>
      <w:r>
        <w:rPr/>
        <w:t>It does not match BIBS on the application: the diagram in the "Architecture Diagram" sheet and the Kubernetes sheets describe ten microservices, three tenants, Aurora and MongoDB, Apigee, Istio and EventBridge. BIBS is one modular monolith whose business record, journal and ledger rows commit in one database transaction; splitting it would break that guarantee. The IER should describe the BIBS architecture (IQ25). Figures 3 and 4 are the diagrams for the two "Architecture Diagram" sheets (A6).</w:t>
      </w:r>
    </w:p>
    <w:p>
      <w:pPr>
        <w:sectPr>
          <w:headerReference w:type="default" r:id="rId29"/>
          <w:footerReference w:type="default" r:id="rId30"/>
          <w:headerReference w:type="first" r:id="rId31"/>
          <w:footerReference w:type="first" r:id="rId3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40000" cy="4551333"/>
            <wp:docPr id="5" name="Picture 5"/>
            <wp:cNvGraphicFramePr>
              <a:graphicFrameLocks noChangeAspect="1"/>
            </wp:cNvGraphicFramePr>
            <a:graphic>
              <a:graphicData uri="http://schemas.openxmlformats.org/drawingml/2006/picture">
                <pic:pic>
                  <pic:nvPicPr>
                    <pic:cNvPr id="0" name="al_application_architecture_1606.jpg"/>
                    <pic:cNvPicPr/>
                  </pic:nvPicPr>
                  <pic:blipFill>
                    <a:blip r:embed="rId37"/>
                    <a:stretch>
                      <a:fillRect/>
                    </a:stretch>
                  </pic:blipFill>
                  <pic:spPr>
                    <a:xfrm>
                      <a:off x="0" y="0"/>
                      <a:ext cx="8640000" cy="4551333"/>
                    </a:xfrm>
                    <a:prstGeom prst="rect"/>
                  </pic:spPr>
                </pic:pic>
              </a:graphicData>
            </a:graphic>
          </wp:inline>
        </w:drawing>
      </w:r>
    </w:p>
    <w:p>
      <w:pPr>
        <w:pStyle w:val="Caption"/>
        <w:jc w:val="center"/>
      </w:pPr>
      <w:r>
        <w:rPr>
          <w:b/>
          <w:i w:val="0"/>
        </w:rPr>
        <w:t xml:space="preserve">Figure 3: </w:t>
      </w:r>
      <w:r>
        <w:rPr/>
        <w:t>BIBS application architecture (for the IER "Architecture Diagram" sheet)</w:t>
      </w:r>
    </w:p>
    <w:p>
      <w:pPr>
        <w:keepNext/>
        <w:spacing w:before="80" w:after="0"/>
        <w:jc w:val="center"/>
      </w:pPr>
      <w:r>
        <w:drawing>
          <wp:inline xmlns:a="http://schemas.openxmlformats.org/drawingml/2006/main" xmlns:pic="http://schemas.openxmlformats.org/drawingml/2006/picture">
            <wp:extent cx="8640000" cy="4325380"/>
            <wp:docPr id="6" name="Picture 6"/>
            <wp:cNvGraphicFramePr>
              <a:graphicFrameLocks noChangeAspect="1"/>
            </wp:cNvGraphicFramePr>
            <a:graphic>
              <a:graphicData uri="http://schemas.openxmlformats.org/drawingml/2006/picture">
                <pic:pic>
                  <pic:nvPicPr>
                    <pic:cNvPr id="0" name="al_deployment_1606.jpg"/>
                    <pic:cNvPicPr/>
                  </pic:nvPicPr>
                  <pic:blipFill>
                    <a:blip r:embed="rId38"/>
                    <a:stretch>
                      <a:fillRect/>
                    </a:stretch>
                  </pic:blipFill>
                  <pic:spPr>
                    <a:xfrm>
                      <a:off x="0" y="0"/>
                      <a:ext cx="8640000" cy="4325380"/>
                    </a:xfrm>
                    <a:prstGeom prst="rect"/>
                  </pic:spPr>
                </pic:pic>
              </a:graphicData>
            </a:graphic>
          </wp:inline>
        </w:drawing>
      </w:r>
    </w:p>
    <w:p>
      <w:pPr>
        <w:pStyle w:val="Caption"/>
        <w:jc w:val="center"/>
      </w:pPr>
      <w:r>
        <w:rPr>
          <w:b/>
          <w:i w:val="0"/>
        </w:rPr>
        <w:t xml:space="preserve">Figure 4: </w:t>
      </w:r>
      <w:r>
        <w:rPr/>
        <w:t>BIBS infrastructure and deployment (for the IER "Architecture Diagram (Infra)" sheet)</w:t>
      </w:r>
    </w:p>
    <w:p>
      <w:pPr>
        <w:pStyle w:val="Heading2"/>
      </w:pPr>
      <w:bookmarkStart w:id="126" w:name="_Toc000126"/>
      <w:r>
        <w:rPr/>
        <w:t>6.2 IER against BIBS</w:t>
      </w:r>
      <w:bookmarkEnd w:id="126"/>
    </w:p>
    <w:p>
      <w:pPr>
        <w:pStyle w:val="Caption"/>
        <w:keepNext/>
        <w:spacing w:after="60"/>
      </w:pPr>
      <w:r>
        <w:rPr>
          <w:b/>
          <w:i w:val="0"/>
        </w:rPr>
        <w:t xml:space="preserve">Table 16: </w:t>
      </w:r>
      <w:r>
        <w:rPr/>
        <w:t>IER against BIBS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9"/>
        <w:gridCol w:w="3572"/>
        <w:gridCol w:w="3333"/>
        <w:gridCol w:w="1071"/>
        <w:gridCol w:w="3214"/>
        <w:gridCol w:w="1071"/>
      </w:tblGrid>
      <w:tr>
        <w:trPr>
          <w:tblHeader w:val="true"/>
          <w:cantSplit w:val="true"/>
        </w:trPr>
        <w:tc>
          <w:tcPr>
            <w:tcW w:type="dxa" w:w="1310"/>
            <w:shd w:val="clear" w:color="auto" w:fill="004EA8"/>
            <w:tcMar>
              <w:top w:w="50" w:type="dxa"/>
              <w:bottom w:w="50" w:type="dxa"/>
              <w:left w:w="90" w:type="dxa"/>
              <w:right w:w="90" w:type="dxa"/>
            </w:tcMar>
            <w:vAlign w:val="center"/>
          </w:tcPr>
          <w:p>
            <w:pPr>
              <w:pStyle w:val="BDOITableHeader"/>
            </w:pPr>
            <w:r>
              <w:rPr>
                <w:b/>
                <w:color w:val="FFFFFF"/>
                <w:sz w:val="14"/>
              </w:rPr>
              <w:t>Topic</w:t>
            </w:r>
          </w:p>
        </w:tc>
        <w:tc>
          <w:tcPr>
            <w:tcW w:type="dxa" w:w="3572"/>
            <w:shd w:val="clear" w:color="auto" w:fill="004EA8"/>
            <w:tcMar>
              <w:top w:w="50" w:type="dxa"/>
              <w:bottom w:w="50" w:type="dxa"/>
              <w:left w:w="90" w:type="dxa"/>
              <w:right w:w="90" w:type="dxa"/>
            </w:tcMar>
            <w:vAlign w:val="center"/>
          </w:tcPr>
          <w:p>
            <w:pPr>
              <w:pStyle w:val="BDOITableHeader"/>
            </w:pPr>
            <w:r>
              <w:rPr>
                <w:b/>
                <w:color w:val="FFFFFF"/>
                <w:sz w:val="14"/>
              </w:rPr>
              <w:t>IER (BDOI IT)</w:t>
            </w:r>
          </w:p>
        </w:tc>
        <w:tc>
          <w:tcPr>
            <w:tcW w:type="dxa" w:w="3333"/>
            <w:shd w:val="clear" w:color="auto" w:fill="004EA8"/>
            <w:tcMar>
              <w:top w:w="50" w:type="dxa"/>
              <w:bottom w:w="50" w:type="dxa"/>
              <w:left w:w="90" w:type="dxa"/>
              <w:right w:w="90" w:type="dxa"/>
            </w:tcMar>
            <w:vAlign w:val="center"/>
          </w:tcPr>
          <w:p>
            <w:pPr>
              <w:pStyle w:val="BDOITableHeader"/>
            </w:pPr>
            <w:r>
              <w:rPr>
                <w:b/>
                <w:color w:val="FFFFFF"/>
                <w:sz w:val="14"/>
              </w:rPr>
              <w:t>BIBS</w:t>
            </w:r>
          </w:p>
        </w:tc>
        <w:tc>
          <w:tcPr>
            <w:tcW w:type="dxa" w:w="1071"/>
            <w:shd w:val="clear" w:color="auto" w:fill="004EA8"/>
            <w:tcMar>
              <w:top w:w="50" w:type="dxa"/>
              <w:bottom w:w="50" w:type="dxa"/>
              <w:left w:w="90" w:type="dxa"/>
              <w:right w:w="90" w:type="dxa"/>
            </w:tcMar>
            <w:vAlign w:val="center"/>
          </w:tcPr>
          <w:p>
            <w:pPr>
              <w:pStyle w:val="BDOITableHeader"/>
            </w:pPr>
            <w:r>
              <w:rPr>
                <w:b/>
                <w:color w:val="FFFFFF"/>
                <w:sz w:val="14"/>
              </w:rPr>
              <w:t>Assessment</w:t>
            </w:r>
          </w:p>
        </w:tc>
        <w:tc>
          <w:tcPr>
            <w:tcW w:type="dxa" w:w="3214"/>
            <w:shd w:val="clear" w:color="auto" w:fill="004EA8"/>
            <w:tcMar>
              <w:top w:w="50" w:type="dxa"/>
              <w:bottom w:w="50" w:type="dxa"/>
              <w:left w:w="90" w:type="dxa"/>
              <w:right w:w="90" w:type="dxa"/>
            </w:tcMar>
            <w:vAlign w:val="center"/>
          </w:tcPr>
          <w:p>
            <w:pPr>
              <w:pStyle w:val="BDOITableHeader"/>
            </w:pPr>
            <w:r>
              <w:rPr>
                <w:b/>
                <w:color w:val="FFFFFF"/>
                <w:sz w:val="14"/>
              </w:rPr>
              <w:t>Change needed</w:t>
            </w:r>
          </w:p>
        </w:tc>
        <w:tc>
          <w:tcPr>
            <w:tcW w:type="dxa" w:w="1071"/>
            <w:shd w:val="clear" w:color="auto" w:fill="004EA8"/>
            <w:tcMar>
              <w:top w:w="50" w:type="dxa"/>
              <w:bottom w:w="50" w:type="dxa"/>
              <w:left w:w="90" w:type="dxa"/>
              <w:right w:w="90" w:type="dxa"/>
            </w:tcMar>
            <w:vAlign w:val="center"/>
          </w:tcPr>
          <w:p>
            <w:pPr>
              <w:pStyle w:val="BDOITableHeader"/>
            </w:pPr>
            <w:r>
              <w:rPr>
                <w:b/>
                <w:color w:val="FFFFFF"/>
                <w:sz w:val="14"/>
              </w:rPr>
              <w:t>Ref</w:t>
            </w:r>
          </w:p>
        </w:tc>
      </w:tr>
      <w:tr>
        <w:trPr>
          <w:cantSplit w:val="true"/>
        </w:trPr>
        <w:tc>
          <w:tcPr>
            <w:tcW w:type="dxa" w:w="1310"/>
            <w:tcMar>
              <w:top w:w="50" w:type="dxa"/>
              <w:bottom w:w="50" w:type="dxa"/>
              <w:left w:w="90" w:type="dxa"/>
              <w:right w:w="90" w:type="dxa"/>
            </w:tcMar>
          </w:tcPr>
          <w:p>
            <w:pPr>
              <w:pStyle w:val="BDOITable"/>
            </w:pPr>
            <w:r>
              <w:rPr>
                <w:b/>
                <w:sz w:val="14"/>
              </w:rPr>
              <w:t>Application architecture</w:t>
            </w:r>
          </w:p>
        </w:tc>
        <w:tc>
          <w:tcPr>
            <w:tcW w:type="dxa" w:w="3572"/>
            <w:tcMar>
              <w:top w:w="50" w:type="dxa"/>
              <w:bottom w:w="50" w:type="dxa"/>
              <w:left w:w="90" w:type="dxa"/>
              <w:right w:w="90" w:type="dxa"/>
            </w:tcMar>
          </w:tcPr>
          <w:p>
            <w:pPr>
              <w:pStyle w:val="BDOITable"/>
            </w:pPr>
            <w:r>
              <w:rPr>
                <w:sz w:val="14"/>
              </w:rPr>
              <w:t>Diagram sheet: multi-tenant microservices (identity, audit, workflow, document, notification, reference, tenant; client, policy, quotation, cashiering, billing, accounting, product; nb, sp, acc, clxn, rn, clm, ops, pm, eb, rl), Istio + OPA per pod, "no cross-DB transactions"</w:t>
            </w:r>
          </w:p>
        </w:tc>
        <w:tc>
          <w:tcPr>
            <w:tcW w:type="dxa" w:w="3333"/>
            <w:tcMar>
              <w:top w:w="50" w:type="dxa"/>
              <w:bottom w:w="50" w:type="dxa"/>
              <w:left w:w="90" w:type="dxa"/>
              <w:right w:w="90" w:type="dxa"/>
            </w:tcMar>
          </w:tcPr>
          <w:p>
            <w:pPr>
              <w:pStyle w:val="BDOITable"/>
            </w:pPr>
            <w:r>
              <w:rPr>
                <w:sz w:val="14"/>
              </w:rPr>
              <w:t>One Spring Boot 3.5 modular monolith (backend) and one React SPA served by nginx (frontend); a business record, its journal, ledger and sub-ledger rows commit in one PostgreSQL transaction</w:t>
            </w:r>
          </w:p>
        </w:tc>
        <w:tc>
          <w:tcPr>
            <w:tcW w:type="dxa" w:w="1071"/>
            <w:tcMar>
              <w:top w:w="50" w:type="dxa"/>
              <w:bottom w:w="50" w:type="dxa"/>
              <w:left w:w="90" w:type="dxa"/>
              <w:right w:w="90" w:type="dxa"/>
            </w:tcMar>
          </w:tcPr>
          <w:p>
            <w:pPr>
              <w:pStyle w:val="BDOITable"/>
            </w:pPr>
            <w:r>
              <w:rPr>
                <w:sz w:val="14"/>
              </w:rPr>
              <w:t>Mismatch</w:t>
            </w:r>
          </w:p>
        </w:tc>
        <w:tc>
          <w:tcPr>
            <w:tcW w:type="dxa" w:w="3214"/>
            <w:tcMar>
              <w:top w:w="50" w:type="dxa"/>
              <w:bottom w:w="50" w:type="dxa"/>
              <w:left w:w="90" w:type="dxa"/>
              <w:right w:w="90" w:type="dxa"/>
            </w:tcMar>
          </w:tcPr>
          <w:p>
            <w:pPr>
              <w:pStyle w:val="BDOITable"/>
            </w:pPr>
            <w:r>
              <w:rPr>
                <w:sz w:val="14"/>
              </w:rPr>
              <w:t>Replace the diagram with the BIBS diagrams of this document; state the modular monolith in the IER</w:t>
            </w:r>
          </w:p>
        </w:tc>
        <w:tc>
          <w:tcPr>
            <w:tcW w:type="dxa" w:w="1071"/>
            <w:tcMar>
              <w:top w:w="50" w:type="dxa"/>
              <w:bottom w:w="50" w:type="dxa"/>
              <w:left w:w="90" w:type="dxa"/>
              <w:right w:w="90" w:type="dxa"/>
            </w:tcMar>
          </w:tcPr>
          <w:p>
            <w:pPr>
              <w:pStyle w:val="BDOITable"/>
            </w:pPr>
            <w:r>
              <w:rPr>
                <w:sz w:val="14"/>
              </w:rPr>
              <w:t>DCR-222; IQ25</w:t>
            </w:r>
          </w:p>
        </w:tc>
      </w:tr>
      <w:tr>
        <w:trPr>
          <w:cantSplit w:val="true"/>
        </w:trPr>
        <w:tc>
          <w:tcPr>
            <w:tcW w:type="dxa" w:w="1310"/>
            <w:tcMar>
              <w:top w:w="50" w:type="dxa"/>
              <w:bottom w:w="50" w:type="dxa"/>
              <w:left w:w="90" w:type="dxa"/>
              <w:right w:w="90" w:type="dxa"/>
            </w:tcMar>
            <w:shd w:val="clear" w:color="auto" w:fill="E5F5FF"/>
          </w:tcPr>
          <w:p>
            <w:pPr>
              <w:pStyle w:val="BDOITable"/>
            </w:pPr>
            <w:r>
              <w:rPr>
                <w:b/>
                <w:sz w:val="14"/>
              </w:rPr>
              <w:t>Tenancy</w:t>
            </w:r>
          </w:p>
        </w:tc>
        <w:tc>
          <w:tcPr>
            <w:tcW w:type="dxa" w:w="3572"/>
            <w:tcMar>
              <w:top w:w="50" w:type="dxa"/>
              <w:bottom w:w="50" w:type="dxa"/>
              <w:left w:w="90" w:type="dxa"/>
              <w:right w:w="90" w:type="dxa"/>
            </w:tcMar>
            <w:shd w:val="clear" w:color="auto" w:fill="E5F5FF"/>
          </w:tcPr>
          <w:p>
            <w:pPr>
              <w:pStyle w:val="BDOITable"/>
            </w:pPr>
            <w:r>
              <w:rPr>
                <w:sz w:val="14"/>
              </w:rPr>
              <w:t>Three tenants: BDOI internal ~1,200 users, EB insurer portal ~50 partners, broker / RI network ~200 accounts; a tenant key and row-level security per data layer</w:t>
            </w:r>
          </w:p>
        </w:tc>
        <w:tc>
          <w:tcPr>
            <w:tcW w:type="dxa" w:w="3333"/>
            <w:tcMar>
              <w:top w:w="50" w:type="dxa"/>
              <w:bottom w:w="50" w:type="dxa"/>
              <w:left w:w="90" w:type="dxa"/>
              <w:right w:w="90" w:type="dxa"/>
            </w:tcMar>
            <w:shd w:val="clear" w:color="auto" w:fill="E5F5FF"/>
          </w:tcPr>
          <w:p>
            <w:pPr>
              <w:pStyle w:val="BDOITable"/>
            </w:pPr>
            <w:r>
              <w:rPr>
                <w:sz w:val="14"/>
              </w:rPr>
              <w:t>Single tenant (company, branch scope, role scope); no portal (EB portal dropped by answer); RI network is phase 2</w:t>
            </w:r>
          </w:p>
        </w:tc>
        <w:tc>
          <w:tcPr>
            <w:tcW w:type="dxa" w:w="1071"/>
            <w:tcMar>
              <w:top w:w="50" w:type="dxa"/>
              <w:bottom w:w="50" w:type="dxa"/>
              <w:left w:w="90" w:type="dxa"/>
              <w:right w:w="90" w:type="dxa"/>
            </w:tcMar>
            <w:shd w:val="clear" w:color="auto" w:fill="E5F5FF"/>
          </w:tcPr>
          <w:p>
            <w:pPr>
              <w:pStyle w:val="BDOITable"/>
            </w:pPr>
            <w:r>
              <w:rPr>
                <w:sz w:val="14"/>
              </w:rPr>
              <w:t>Mismatch</w:t>
            </w:r>
          </w:p>
        </w:tc>
        <w:tc>
          <w:tcPr>
            <w:tcW w:type="dxa" w:w="3214"/>
            <w:tcMar>
              <w:top w:w="50" w:type="dxa"/>
              <w:bottom w:w="50" w:type="dxa"/>
              <w:left w:w="90" w:type="dxa"/>
              <w:right w:w="90" w:type="dxa"/>
            </w:tcMar>
            <w:shd w:val="clear" w:color="auto" w:fill="E5F5FF"/>
          </w:tcPr>
          <w:p>
            <w:pPr>
              <w:pStyle w:val="BDOITable"/>
            </w:pPr>
            <w:r>
              <w:rPr>
                <w:sz w:val="14"/>
              </w:rPr>
              <w:t>Remove tenants 2 and 3; size for internal users</w:t>
            </w:r>
          </w:p>
        </w:tc>
        <w:tc>
          <w:tcPr>
            <w:tcW w:type="dxa" w:w="1071"/>
            <w:tcMar>
              <w:top w:w="50" w:type="dxa"/>
              <w:bottom w:w="50" w:type="dxa"/>
              <w:left w:w="90" w:type="dxa"/>
              <w:right w:w="90" w:type="dxa"/>
            </w:tcMar>
            <w:shd w:val="clear" w:color="auto" w:fill="E5F5FF"/>
          </w:tcPr>
          <w:p>
            <w:pPr>
              <w:pStyle w:val="BDOITable"/>
            </w:pPr>
            <w:r>
              <w:rPr>
                <w:sz w:val="14"/>
              </w:rPr>
              <w:t>DCR-222, DCR-232</w:t>
            </w:r>
          </w:p>
        </w:tc>
      </w:tr>
      <w:tr>
        <w:trPr>
          <w:cantSplit w:val="true"/>
        </w:trPr>
        <w:tc>
          <w:tcPr>
            <w:tcW w:type="dxa" w:w="1310"/>
            <w:tcMar>
              <w:top w:w="50" w:type="dxa"/>
              <w:bottom w:w="50" w:type="dxa"/>
              <w:left w:w="90" w:type="dxa"/>
              <w:right w:w="90" w:type="dxa"/>
            </w:tcMar>
          </w:tcPr>
          <w:p>
            <w:pPr>
              <w:pStyle w:val="BDOITable"/>
            </w:pPr>
            <w:r>
              <w:rPr>
                <w:b/>
                <w:sz w:val="14"/>
              </w:rPr>
              <w:t>Kubernetes workloads</w:t>
            </w:r>
          </w:p>
        </w:tc>
        <w:tc>
          <w:tcPr>
            <w:tcW w:type="dxa" w:w="3572"/>
            <w:tcMar>
              <w:top w:w="50" w:type="dxa"/>
              <w:bottom w:w="50" w:type="dxa"/>
              <w:left w:w="90" w:type="dxa"/>
              <w:right w:w="90" w:type="dxa"/>
            </w:tcMar>
          </w:tcPr>
          <w:p>
            <w:pPr>
              <w:pStyle w:val="BDOITable"/>
            </w:pPr>
            <w:r>
              <w:rPr>
                <w:sz w:val="14"/>
              </w:rPr>
              <w:t>Ten services bv-policy-admin-svc, bv-claims-svc, bv-billing-collections-svc, bv-distribution-svc, bv-web-portal, bv-api-gateway, bv-iam-svc, bv-integration-svc, bv-document-svc, bv-batch-notification-svc in namespaces brokerverse-core / -platform</w:t>
            </w:r>
          </w:p>
        </w:tc>
        <w:tc>
          <w:tcPr>
            <w:tcW w:type="dxa" w:w="3333"/>
            <w:tcMar>
              <w:top w:w="50" w:type="dxa"/>
              <w:bottom w:w="50" w:type="dxa"/>
              <w:left w:w="90" w:type="dxa"/>
              <w:right w:w="90" w:type="dxa"/>
            </w:tcMar>
          </w:tcPr>
          <w:p>
            <w:pPr>
              <w:pStyle w:val="BDOITable"/>
            </w:pPr>
            <w:r>
              <w:rPr>
                <w:sz w:val="14"/>
              </w:rPr>
              <w:t>Two deployments: brokerverse-backend (2 replicas, 500m / 1 Gi requests, 2 CPU / 2 Gi limits) and brokerverse-frontend (2 replicas); one namespace</w:t>
            </w:r>
          </w:p>
        </w:tc>
        <w:tc>
          <w:tcPr>
            <w:tcW w:type="dxa" w:w="1071"/>
            <w:tcMar>
              <w:top w:w="50" w:type="dxa"/>
              <w:bottom w:w="50" w:type="dxa"/>
              <w:left w:w="90" w:type="dxa"/>
              <w:right w:w="90" w:type="dxa"/>
            </w:tcMar>
          </w:tcPr>
          <w:p>
            <w:pPr>
              <w:pStyle w:val="BDOITable"/>
            </w:pPr>
            <w:r>
              <w:rPr>
                <w:sz w:val="14"/>
              </w:rPr>
              <w:t>Mismatch</w:t>
            </w:r>
          </w:p>
        </w:tc>
        <w:tc>
          <w:tcPr>
            <w:tcW w:type="dxa" w:w="3214"/>
            <w:tcMar>
              <w:top w:w="50" w:type="dxa"/>
              <w:bottom w:w="50" w:type="dxa"/>
              <w:left w:w="90" w:type="dxa"/>
              <w:right w:w="90" w:type="dxa"/>
            </w:tcMar>
          </w:tcPr>
          <w:p>
            <w:pPr>
              <w:pStyle w:val="BDOITable"/>
            </w:pPr>
            <w:r>
              <w:rPr>
                <w:sz w:val="14"/>
              </w:rPr>
              <w:t>Re-state the K8s sheets with the sizing of section 6.4</w:t>
            </w:r>
          </w:p>
        </w:tc>
        <w:tc>
          <w:tcPr>
            <w:tcW w:type="dxa" w:w="1071"/>
            <w:tcMar>
              <w:top w:w="50" w:type="dxa"/>
              <w:bottom w:w="50" w:type="dxa"/>
              <w:left w:w="90" w:type="dxa"/>
              <w:right w:w="90" w:type="dxa"/>
            </w:tcMar>
          </w:tcPr>
          <w:p>
            <w:pPr>
              <w:pStyle w:val="BDOITable"/>
            </w:pPr>
            <w:r>
              <w:rPr>
                <w:sz w:val="14"/>
              </w:rPr>
              <w:t>DCR-223</w:t>
            </w:r>
          </w:p>
        </w:tc>
      </w:tr>
      <w:tr>
        <w:trPr>
          <w:cantSplit w:val="true"/>
        </w:trPr>
        <w:tc>
          <w:tcPr>
            <w:tcW w:type="dxa" w:w="1310"/>
            <w:tcMar>
              <w:top w:w="50" w:type="dxa"/>
              <w:bottom w:w="50" w:type="dxa"/>
              <w:left w:w="90" w:type="dxa"/>
              <w:right w:w="90" w:type="dxa"/>
            </w:tcMar>
            <w:shd w:val="clear" w:color="auto" w:fill="E5F5FF"/>
          </w:tcPr>
          <w:p>
            <w:pPr>
              <w:pStyle w:val="BDOITable"/>
            </w:pPr>
            <w:r>
              <w:rPr>
                <w:b/>
                <w:sz w:val="14"/>
              </w:rPr>
              <w:t>Database</w:t>
            </w:r>
          </w:p>
        </w:tc>
        <w:tc>
          <w:tcPr>
            <w:tcW w:type="dxa" w:w="3572"/>
            <w:tcMar>
              <w:top w:w="50" w:type="dxa"/>
              <w:bottom w:w="50" w:type="dxa"/>
              <w:left w:w="90" w:type="dxa"/>
              <w:right w:w="90" w:type="dxa"/>
            </w:tcMar>
            <w:shd w:val="clear" w:color="auto" w:fill="E5F5FF"/>
          </w:tcPr>
          <w:p>
            <w:pPr>
              <w:pStyle w:val="BDOITable"/>
            </w:pPr>
            <w:r>
              <w:rPr>
                <w:sz w:val="14"/>
              </w:rPr>
              <w:t>HW sheet: "RHEL 9.x + PostgreSQL 16 (Amazon RDS)", Single-AZ DEV / SIT / UAT, Multi-AZ Pre-Prod / PROD; diagram: Aurora and MongoDB per tenant</w:t>
            </w:r>
          </w:p>
        </w:tc>
        <w:tc>
          <w:tcPr>
            <w:tcW w:type="dxa" w:w="3333"/>
            <w:tcMar>
              <w:top w:w="50" w:type="dxa"/>
              <w:bottom w:w="50" w:type="dxa"/>
              <w:left w:w="90" w:type="dxa"/>
              <w:right w:w="90" w:type="dxa"/>
            </w:tcMar>
            <w:shd w:val="clear" w:color="auto" w:fill="E5F5FF"/>
          </w:tcPr>
          <w:p>
            <w:pPr>
              <w:pStyle w:val="BDOITable"/>
            </w:pPr>
            <w:r>
              <w:rPr>
                <w:sz w:val="14"/>
              </w:rPr>
              <w:t>PostgreSQL 16 with versioned schema scripts, JSONB where needed; Amazon RDS Multi-AZ in production (deploy notes); no MongoDB</w:t>
            </w:r>
          </w:p>
        </w:tc>
        <w:tc>
          <w:tcPr>
            <w:tcW w:type="dxa" w:w="1071"/>
            <w:tcMar>
              <w:top w:w="50" w:type="dxa"/>
              <w:bottom w:w="50" w:type="dxa"/>
              <w:left w:w="90" w:type="dxa"/>
              <w:right w:w="90" w:type="dxa"/>
            </w:tcMar>
            <w:shd w:val="clear" w:color="auto" w:fill="E5F5FF"/>
          </w:tcPr>
          <w:p>
            <w:pPr>
              <w:pStyle w:val="BDOITable"/>
            </w:pPr>
            <w:r>
              <w:rPr>
                <w:sz w:val="14"/>
              </w:rPr>
              <w:t>Aligned (RDS); Mismatch (Aurora, Mongo, "RHEL 9")</w:t>
            </w:r>
          </w:p>
        </w:tc>
        <w:tc>
          <w:tcPr>
            <w:tcW w:type="dxa" w:w="3214"/>
            <w:tcMar>
              <w:top w:w="50" w:type="dxa"/>
              <w:bottom w:w="50" w:type="dxa"/>
              <w:left w:w="90" w:type="dxa"/>
              <w:right w:w="90" w:type="dxa"/>
            </w:tcMar>
            <w:shd w:val="clear" w:color="auto" w:fill="E5F5FF"/>
          </w:tcPr>
          <w:p>
            <w:pPr>
              <w:pStyle w:val="BDOITable"/>
            </w:pPr>
            <w:r>
              <w:rPr>
                <w:sz w:val="14"/>
              </w:rPr>
              <w:t>Drop "RHEL 9.x" from RDS rows (managed engine); remove Mongo; RDS PostgreSQL 16 or Aurora PostgreSQL both work</w:t>
            </w:r>
          </w:p>
        </w:tc>
        <w:tc>
          <w:tcPr>
            <w:tcW w:type="dxa" w:w="1071"/>
            <w:tcMar>
              <w:top w:w="50" w:type="dxa"/>
              <w:bottom w:w="50" w:type="dxa"/>
              <w:left w:w="90" w:type="dxa"/>
              <w:right w:w="90" w:type="dxa"/>
            </w:tcMar>
            <w:shd w:val="clear" w:color="auto" w:fill="E5F5FF"/>
          </w:tcPr>
          <w:p>
            <w:pPr>
              <w:pStyle w:val="BDOITable"/>
            </w:pPr>
            <w:r>
              <w:rPr>
                <w:sz w:val="14"/>
              </w:rPr>
              <w:t>DCR-224</w:t>
            </w:r>
          </w:p>
        </w:tc>
      </w:tr>
      <w:tr>
        <w:trPr>
          <w:cantSplit w:val="true"/>
        </w:trPr>
        <w:tc>
          <w:tcPr>
            <w:tcW w:type="dxa" w:w="1310"/>
            <w:tcMar>
              <w:top w:w="50" w:type="dxa"/>
              <w:bottom w:w="50" w:type="dxa"/>
              <w:left w:w="90" w:type="dxa"/>
              <w:right w:w="90" w:type="dxa"/>
            </w:tcMar>
          </w:tcPr>
          <w:p>
            <w:pPr>
              <w:pStyle w:val="BDOITable"/>
            </w:pPr>
            <w:r>
              <w:rPr>
                <w:b/>
                <w:sz w:val="14"/>
              </w:rPr>
              <w:t>Cache</w:t>
            </w:r>
          </w:p>
        </w:tc>
        <w:tc>
          <w:tcPr>
            <w:tcW w:type="dxa" w:w="3572"/>
            <w:tcMar>
              <w:top w:w="50" w:type="dxa"/>
              <w:bottom w:w="50" w:type="dxa"/>
              <w:left w:w="90" w:type="dxa"/>
              <w:right w:w="90" w:type="dxa"/>
            </w:tcMar>
          </w:tcPr>
          <w:p>
            <w:pPr>
              <w:pStyle w:val="BDOITable"/>
            </w:pPr>
            <w:r>
              <w:rPr>
                <w:sz w:val="14"/>
              </w:rPr>
              <w:t>ElastiCache for Redis 7.x; "(cluster)" in Pre-Prod, PROD</w:t>
            </w:r>
          </w:p>
        </w:tc>
        <w:tc>
          <w:tcPr>
            <w:tcW w:type="dxa" w:w="3333"/>
            <w:tcMar>
              <w:top w:w="50" w:type="dxa"/>
              <w:bottom w:w="50" w:type="dxa"/>
              <w:left w:w="90" w:type="dxa"/>
              <w:right w:w="90" w:type="dxa"/>
            </w:tcMar>
          </w:tcPr>
          <w:p>
            <w:pPr>
              <w:pStyle w:val="BDOITable"/>
            </w:pPr>
            <w:r>
              <w:rPr>
                <w:sz w:val="14"/>
              </w:rPr>
              <w:t>Valkey 8 (BSD-3-Clause, same protocol as Redis; Amazon ElastiCache for Valkey) with cluster mode disabled (one shard, primary + replica, TLS, AUTH); the cache clear uses SCAN and the job lock uses scripts on single keys</w:t>
            </w:r>
          </w:p>
        </w:tc>
        <w:tc>
          <w:tcPr>
            <w:tcW w:type="dxa" w:w="1071"/>
            <w:tcMar>
              <w:top w:w="50" w:type="dxa"/>
              <w:bottom w:w="50" w:type="dxa"/>
              <w:left w:w="90" w:type="dxa"/>
              <w:right w:w="90" w:type="dxa"/>
            </w:tcMar>
          </w:tcPr>
          <w:p>
            <w:pPr>
              <w:pStyle w:val="BDOITable"/>
            </w:pPr>
            <w:r>
              <w:rPr>
                <w:sz w:val="14"/>
              </w:rPr>
              <w:t>Mismatch (engine, wording)</w:t>
            </w:r>
          </w:p>
        </w:tc>
        <w:tc>
          <w:tcPr>
            <w:tcW w:type="dxa" w:w="3214"/>
            <w:tcMar>
              <w:top w:w="50" w:type="dxa"/>
              <w:bottom w:w="50" w:type="dxa"/>
              <w:left w:w="90" w:type="dxa"/>
              <w:right w:w="90" w:type="dxa"/>
            </w:tcMar>
          </w:tcPr>
          <w:p>
            <w:pPr>
              <w:pStyle w:val="BDOITable"/>
            </w:pPr>
            <w:r>
              <w:rPr>
                <w:sz w:val="14"/>
              </w:rPr>
              <w:t>IER: ElastiCache for Valkey 8 in place of Redis 7.x (client decision of 08-Oct-2026: Redis 7.4 and later are no longer under the BSD licence); cluster mode disabled, Multi-AZ replica. A change in BIBS only if cluster mode enabled is imposed</w:t>
            </w:r>
          </w:p>
        </w:tc>
        <w:tc>
          <w:tcPr>
            <w:tcW w:type="dxa" w:w="1071"/>
            <w:tcMar>
              <w:top w:w="50" w:type="dxa"/>
              <w:bottom w:w="50" w:type="dxa"/>
              <w:left w:w="90" w:type="dxa"/>
              <w:right w:w="90" w:type="dxa"/>
            </w:tcMar>
          </w:tcPr>
          <w:p>
            <w:pPr>
              <w:pStyle w:val="BDOITable"/>
            </w:pPr>
            <w:r>
              <w:rPr>
                <w:sz w:val="14"/>
              </w:rPr>
              <w:t>DCR-228; IQ34</w:t>
            </w:r>
          </w:p>
        </w:tc>
      </w:tr>
      <w:tr>
        <w:trPr>
          <w:cantSplit w:val="true"/>
        </w:trPr>
        <w:tc>
          <w:tcPr>
            <w:tcW w:type="dxa" w:w="1310"/>
            <w:tcMar>
              <w:top w:w="50" w:type="dxa"/>
              <w:bottom w:w="50" w:type="dxa"/>
              <w:left w:w="90" w:type="dxa"/>
              <w:right w:w="90" w:type="dxa"/>
            </w:tcMar>
            <w:shd w:val="clear" w:color="auto" w:fill="E5F5FF"/>
          </w:tcPr>
          <w:p>
            <w:pPr>
              <w:pStyle w:val="BDOITable"/>
            </w:pPr>
            <w:r>
              <w:rPr>
                <w:b/>
                <w:sz w:val="14"/>
              </w:rPr>
              <w:t>Event streaming</w:t>
            </w:r>
          </w:p>
        </w:tc>
        <w:tc>
          <w:tcPr>
            <w:tcW w:type="dxa" w:w="3572"/>
            <w:tcMar>
              <w:top w:w="50" w:type="dxa"/>
              <w:bottom w:w="50" w:type="dxa"/>
              <w:left w:w="90" w:type="dxa"/>
              <w:right w:w="90" w:type="dxa"/>
            </w:tcMar>
            <w:shd w:val="clear" w:color="auto" w:fill="E5F5FF"/>
          </w:tcPr>
          <w:p>
            <w:pPr>
              <w:pStyle w:val="BDOITable"/>
            </w:pPr>
            <w:r>
              <w:rPr>
                <w:sz w:val="14"/>
              </w:rPr>
              <w:t>Amazon MSK (Kafka 3.6), 3 brokers in Pre-Prod / PROD / DR; diagram: MSK + EventBridge, Glue Schema Registry, ~80 topics</w:t>
            </w:r>
          </w:p>
        </w:tc>
        <w:tc>
          <w:tcPr>
            <w:tcW w:type="dxa" w:w="3333"/>
            <w:tcMar>
              <w:top w:w="50" w:type="dxa"/>
              <w:bottom w:w="50" w:type="dxa"/>
              <w:left w:w="90" w:type="dxa"/>
              <w:right w:w="90" w:type="dxa"/>
            </w:tcMar>
            <w:shd w:val="clear" w:color="auto" w:fill="E5F5FF"/>
          </w:tcPr>
          <w:p>
            <w:pPr>
              <w:pStyle w:val="BDOITable"/>
            </w:pPr>
            <w:r>
              <w:rPr>
                <w:sz w:val="14"/>
              </w:rPr>
              <w:t>MSK Kafka 3.9 (KRaft) with SASL/SCRAM + TLS, 9 topics plus dead-letter topics, transactional outbox; no EventBridge, no schema registry</w:t>
            </w:r>
          </w:p>
        </w:tc>
        <w:tc>
          <w:tcPr>
            <w:tcW w:type="dxa" w:w="1071"/>
            <w:tcMar>
              <w:top w:w="50" w:type="dxa"/>
              <w:bottom w:w="50" w:type="dxa"/>
              <w:left w:w="90" w:type="dxa"/>
              <w:right w:w="90" w:type="dxa"/>
            </w:tcMar>
            <w:shd w:val="clear" w:color="auto" w:fill="E5F5FF"/>
          </w:tcPr>
          <w:p>
            <w:pPr>
              <w:pStyle w:val="BDOITable"/>
            </w:pPr>
            <w:r>
              <w:rPr>
                <w:sz w:val="14"/>
              </w:rPr>
              <w:t>Aligned (MSK); Mismatch (version, EventBridge, 80 topics)</w:t>
            </w:r>
          </w:p>
        </w:tc>
        <w:tc>
          <w:tcPr>
            <w:tcW w:type="dxa" w:w="3214"/>
            <w:tcMar>
              <w:top w:w="50" w:type="dxa"/>
              <w:bottom w:w="50" w:type="dxa"/>
              <w:left w:w="90" w:type="dxa"/>
              <w:right w:w="90" w:type="dxa"/>
            </w:tcMar>
            <w:shd w:val="clear" w:color="auto" w:fill="E5F5FF"/>
          </w:tcPr>
          <w:p>
            <w:pPr>
              <w:pStyle w:val="BDOITable"/>
            </w:pPr>
            <w:r>
              <w:rPr>
                <w:sz w:val="14"/>
              </w:rPr>
              <w:t>IER: Kafka 3.9 (KRaft), 3 brokers kafka.m5.large class, 9 topics x 3 partitions; DEV / SIT with 2 brokers need a replication factor of 2</w:t>
            </w:r>
          </w:p>
        </w:tc>
        <w:tc>
          <w:tcPr>
            <w:tcW w:type="dxa" w:w="1071"/>
            <w:tcMar>
              <w:top w:w="50" w:type="dxa"/>
              <w:bottom w:w="50" w:type="dxa"/>
              <w:left w:w="90" w:type="dxa"/>
              <w:right w:w="90" w:type="dxa"/>
            </w:tcMar>
            <w:shd w:val="clear" w:color="auto" w:fill="E5F5FF"/>
          </w:tcPr>
          <w:p>
            <w:pPr>
              <w:pStyle w:val="BDOITable"/>
            </w:pPr>
            <w:r>
              <w:rPr>
                <w:sz w:val="14"/>
              </w:rPr>
              <w:t>IQ25</w:t>
            </w:r>
          </w:p>
        </w:tc>
      </w:tr>
      <w:tr>
        <w:trPr>
          <w:cantSplit w:val="true"/>
        </w:trPr>
        <w:tc>
          <w:tcPr>
            <w:tcW w:type="dxa" w:w="1310"/>
            <w:tcMar>
              <w:top w:w="50" w:type="dxa"/>
              <w:bottom w:w="50" w:type="dxa"/>
              <w:left w:w="90" w:type="dxa"/>
              <w:right w:w="90" w:type="dxa"/>
            </w:tcMar>
          </w:tcPr>
          <w:p>
            <w:pPr>
              <w:pStyle w:val="BDOITable"/>
            </w:pPr>
            <w:r>
              <w:rPr>
                <w:b/>
                <w:sz w:val="14"/>
              </w:rPr>
              <w:t>Documents and files</w:t>
            </w:r>
          </w:p>
        </w:tc>
        <w:tc>
          <w:tcPr>
            <w:tcW w:type="dxa" w:w="3572"/>
            <w:tcMar>
              <w:top w:w="50" w:type="dxa"/>
              <w:bottom w:w="50" w:type="dxa"/>
              <w:left w:w="90" w:type="dxa"/>
              <w:right w:w="90" w:type="dxa"/>
            </w:tcMar>
          </w:tcPr>
          <w:p>
            <w:pPr>
              <w:pStyle w:val="BDOITable"/>
            </w:pPr>
            <w:r>
              <w:rPr>
                <w:sz w:val="14"/>
              </w:rPr>
              <w:t>Amazon S3 (document store) + Amazon EFS (shared K8s PV); K8s sheets: "Total PV (GB) EFS" of 21,800 GB (DEV), 32,760 GB (UAT) and 43,600 to 87,200 GB (PROD Y1 to Y5)</w:t>
            </w:r>
          </w:p>
        </w:tc>
        <w:tc>
          <w:tcPr>
            <w:tcW w:type="dxa" w:w="3333"/>
            <w:tcMar>
              <w:top w:w="50" w:type="dxa"/>
              <w:bottom w:w="50" w:type="dxa"/>
              <w:left w:w="90" w:type="dxa"/>
              <w:right w:w="90" w:type="dxa"/>
            </w:tcMar>
          </w:tcPr>
          <w:p>
            <w:pPr>
              <w:pStyle w:val="BDOITable"/>
            </w:pPr>
            <w:r>
              <w:rPr>
                <w:sz w:val="14"/>
              </w:rPr>
              <w:t>File content in PostgreSQL; no volume on the pods</w:t>
            </w:r>
          </w:p>
        </w:tc>
        <w:tc>
          <w:tcPr>
            <w:tcW w:type="dxa" w:w="1071"/>
            <w:tcMar>
              <w:top w:w="50" w:type="dxa"/>
              <w:bottom w:w="50" w:type="dxa"/>
              <w:left w:w="90" w:type="dxa"/>
              <w:right w:w="90" w:type="dxa"/>
            </w:tcMar>
          </w:tcPr>
          <w:p>
            <w:pPr>
              <w:pStyle w:val="BDOITable"/>
            </w:pPr>
            <w:r>
              <w:rPr>
                <w:sz w:val="14"/>
              </w:rPr>
              <w:t>Mismatch</w:t>
            </w:r>
          </w:p>
        </w:tc>
        <w:tc>
          <w:tcPr>
            <w:tcW w:type="dxa" w:w="3214"/>
            <w:tcMar>
              <w:top w:w="50" w:type="dxa"/>
              <w:bottom w:w="50" w:type="dxa"/>
              <w:left w:w="90" w:type="dxa"/>
              <w:right w:w="90" w:type="dxa"/>
            </w:tcMar>
          </w:tcPr>
          <w:p>
            <w:pPr>
              <w:pStyle w:val="BDOITable"/>
            </w:pPr>
            <w:r>
              <w:rPr>
                <w:sz w:val="14"/>
              </w:rPr>
              <w:t>Answer A4 and the document storage decision (option C): S3 for the file content, PostgreSQL for metadata; no EFS for BIBS. The EFS totals are a formula error (Total PV = max replicas x CPU limit)</w:t>
            </w:r>
          </w:p>
        </w:tc>
        <w:tc>
          <w:tcPr>
            <w:tcW w:type="dxa" w:w="1071"/>
            <w:tcMar>
              <w:top w:w="50" w:type="dxa"/>
              <w:bottom w:w="50" w:type="dxa"/>
              <w:left w:w="90" w:type="dxa"/>
              <w:right w:w="90" w:type="dxa"/>
            </w:tcMar>
          </w:tcPr>
          <w:p>
            <w:pPr>
              <w:pStyle w:val="BDOITable"/>
            </w:pPr>
            <w:r>
              <w:rPr>
                <w:sz w:val="14"/>
              </w:rPr>
              <w:t>DCR-227, DCR-223; IQ31</w:t>
            </w:r>
          </w:p>
        </w:tc>
      </w:tr>
      <w:tr>
        <w:trPr>
          <w:cantSplit w:val="true"/>
        </w:trPr>
        <w:tc>
          <w:tcPr>
            <w:tcW w:type="dxa" w:w="1310"/>
            <w:tcMar>
              <w:top w:w="50" w:type="dxa"/>
              <w:bottom w:w="50" w:type="dxa"/>
              <w:left w:w="90" w:type="dxa"/>
              <w:right w:w="90" w:type="dxa"/>
            </w:tcMar>
            <w:shd w:val="clear" w:color="auto" w:fill="E5F5FF"/>
          </w:tcPr>
          <w:p>
            <w:pPr>
              <w:pStyle w:val="BDOITable"/>
            </w:pPr>
            <w:r>
              <w:rPr>
                <w:b/>
                <w:sz w:val="14"/>
              </w:rPr>
              <w:t>Edge and ingress</w:t>
            </w:r>
          </w:p>
        </w:tc>
        <w:tc>
          <w:tcPr>
            <w:tcW w:type="dxa" w:w="3572"/>
            <w:tcMar>
              <w:top w:w="50" w:type="dxa"/>
              <w:bottom w:w="50" w:type="dxa"/>
              <w:left w:w="90" w:type="dxa"/>
              <w:right w:w="90" w:type="dxa"/>
            </w:tcMar>
            <w:shd w:val="clear" w:color="auto" w:fill="E5F5FF"/>
          </w:tcPr>
          <w:p>
            <w:pPr>
              <w:pStyle w:val="BDOITable"/>
            </w:pPr>
            <w:r>
              <w:rPr>
                <w:sz w:val="14"/>
              </w:rPr>
              <w:t>Diagram: CloudFront + WAF, Apigee X (OIDC validation, quotas), Istio ingress mTLS; infra diagram: Route 53 + ALB; K8s sheets: ingress-nginx</w:t>
            </w:r>
          </w:p>
        </w:tc>
        <w:tc>
          <w:tcPr>
            <w:tcW w:type="dxa" w:w="3333"/>
            <w:tcMar>
              <w:top w:w="50" w:type="dxa"/>
              <w:bottom w:w="50" w:type="dxa"/>
              <w:left w:w="90" w:type="dxa"/>
              <w:right w:w="90" w:type="dxa"/>
            </w:tcMar>
            <w:shd w:val="clear" w:color="auto" w:fill="E5F5FF"/>
          </w:tcPr>
          <w:p>
            <w:pPr>
              <w:pStyle w:val="BDOITable"/>
            </w:pPr>
            <w:r>
              <w:rPr>
                <w:sz w:val="14"/>
              </w:rPr>
              <w:t>Kubernetes Gateway API: Route 53 + AWS WAF + internal ALB (AWS Load Balancer Controller) for users, Apigee X for the system APIs; HTTPS to the pods; JWT issued by BIBS; login rate limit in the application</w:t>
            </w:r>
          </w:p>
        </w:tc>
        <w:tc>
          <w:tcPr>
            <w:tcW w:type="dxa" w:w="1071"/>
            <w:tcMar>
              <w:top w:w="50" w:type="dxa"/>
              <w:bottom w:w="50" w:type="dxa"/>
              <w:left w:w="90" w:type="dxa"/>
              <w:right w:w="90" w:type="dxa"/>
            </w:tcMar>
            <w:shd w:val="clear" w:color="auto" w:fill="E5F5FF"/>
          </w:tcPr>
          <w:p>
            <w:pPr>
              <w:pStyle w:val="BDOITable"/>
            </w:pPr>
            <w:r>
              <w:rPr>
                <w:sz w:val="14"/>
              </w:rPr>
              <w:t>Mismatch</w:t>
            </w:r>
          </w:p>
        </w:tc>
        <w:tc>
          <w:tcPr>
            <w:tcW w:type="dxa" w:w="3214"/>
            <w:tcMar>
              <w:top w:w="50" w:type="dxa"/>
              <w:bottom w:w="50" w:type="dxa"/>
              <w:left w:w="90" w:type="dxa"/>
              <w:right w:w="90" w:type="dxa"/>
            </w:tcMar>
            <w:shd w:val="clear" w:color="auto" w:fill="E5F5FF"/>
          </w:tcPr>
          <w:p>
            <w:pPr>
              <w:pStyle w:val="BDOITable"/>
            </w:pPr>
            <w:r>
              <w:rPr>
                <w:sz w:val="14"/>
              </w:rPr>
              <w:t>IER: a Gateway API controller in place of ingress-nginx (retired by the Kubernetes project in March 2026): the AWS Load Balancer Controller, or Envoy Gateway where an environment needs it; no CloudFront, no Istio</w:t>
            </w:r>
          </w:p>
        </w:tc>
        <w:tc>
          <w:tcPr>
            <w:tcW w:type="dxa" w:w="1071"/>
            <w:tcMar>
              <w:top w:w="50" w:type="dxa"/>
              <w:bottom w:w="50" w:type="dxa"/>
              <w:left w:w="90" w:type="dxa"/>
              <w:right w:w="90" w:type="dxa"/>
            </w:tcMar>
            <w:shd w:val="clear" w:color="auto" w:fill="E5F5FF"/>
          </w:tcPr>
          <w:p>
            <w:pPr>
              <w:pStyle w:val="BDOITable"/>
            </w:pPr>
            <w:r>
              <w:rPr>
                <w:sz w:val="14"/>
              </w:rPr>
              <w:t>IQ25</w:t>
            </w:r>
          </w:p>
        </w:tc>
      </w:tr>
      <w:tr>
        <w:trPr>
          <w:cantSplit w:val="true"/>
        </w:trPr>
        <w:tc>
          <w:tcPr>
            <w:tcW w:type="dxa" w:w="1310"/>
            <w:tcMar>
              <w:top w:w="50" w:type="dxa"/>
              <w:bottom w:w="50" w:type="dxa"/>
              <w:left w:w="90" w:type="dxa"/>
              <w:right w:w="90" w:type="dxa"/>
            </w:tcMar>
          </w:tcPr>
          <w:p>
            <w:pPr>
              <w:pStyle w:val="BDOITable"/>
            </w:pPr>
            <w:r>
              <w:rPr>
                <w:b/>
                <w:sz w:val="14"/>
              </w:rPr>
              <w:t>Runtime and images</w:t>
            </w:r>
          </w:p>
        </w:tc>
        <w:tc>
          <w:tcPr>
            <w:tcW w:type="dxa" w:w="3572"/>
            <w:tcMar>
              <w:top w:w="50" w:type="dxa"/>
              <w:bottom w:w="50" w:type="dxa"/>
              <w:left w:w="90" w:type="dxa"/>
              <w:right w:w="90" w:type="dxa"/>
            </w:tcMar>
          </w:tcPr>
          <w:p>
            <w:pPr>
              <w:pStyle w:val="BDOITable"/>
            </w:pPr>
            <w:r>
              <w:rPr>
                <w:sz w:val="14"/>
              </w:rPr>
              <w:t>VDI: OpenJDK Temurin 17 for the BrokerVerse services, Node 20, Angular SPA</w:t>
            </w:r>
          </w:p>
        </w:tc>
        <w:tc>
          <w:tcPr>
            <w:tcW w:type="dxa" w:w="3333"/>
            <w:tcMar>
              <w:top w:w="50" w:type="dxa"/>
              <w:bottom w:w="50" w:type="dxa"/>
              <w:left w:w="90" w:type="dxa"/>
              <w:right w:w="90" w:type="dxa"/>
            </w:tcMar>
          </w:tcPr>
          <w:p>
            <w:pPr>
              <w:pStyle w:val="BDOITable"/>
            </w:pPr>
            <w:r>
              <w:rPr>
                <w:sz w:val="14"/>
              </w:rPr>
              <w:t>Java 21 (Temurin 21 JRE Alpine image), Spring Boot 3.5, Node 22, React 19, Vite 8</w:t>
            </w:r>
          </w:p>
        </w:tc>
        <w:tc>
          <w:tcPr>
            <w:tcW w:type="dxa" w:w="1071"/>
            <w:tcMar>
              <w:top w:w="50" w:type="dxa"/>
              <w:bottom w:w="50" w:type="dxa"/>
              <w:left w:w="90" w:type="dxa"/>
              <w:right w:w="90" w:type="dxa"/>
            </w:tcMar>
          </w:tcPr>
          <w:p>
            <w:pPr>
              <w:pStyle w:val="BDOITable"/>
            </w:pPr>
            <w:r>
              <w:rPr>
                <w:sz w:val="14"/>
              </w:rPr>
              <w:t>Mismatch</w:t>
            </w:r>
          </w:p>
        </w:tc>
        <w:tc>
          <w:tcPr>
            <w:tcW w:type="dxa" w:w="3214"/>
            <w:tcMar>
              <w:top w:w="50" w:type="dxa"/>
              <w:bottom w:w="50" w:type="dxa"/>
              <w:left w:w="90" w:type="dxa"/>
              <w:right w:w="90" w:type="dxa"/>
            </w:tcMar>
          </w:tcPr>
          <w:p>
            <w:pPr>
              <w:pStyle w:val="BDOITable"/>
            </w:pPr>
            <w:r>
              <w:rPr>
                <w:sz w:val="14"/>
              </w:rPr>
              <w:t>VDI list: Temurin 21, Maven 3.9, Node 22 LTS; no Angular. Base images RHEL UBI 9 only if BDO requires</w:t>
            </w:r>
          </w:p>
        </w:tc>
        <w:tc>
          <w:tcPr>
            <w:tcW w:type="dxa" w:w="1071"/>
            <w:tcMar>
              <w:top w:w="50" w:type="dxa"/>
              <w:bottom w:w="50" w:type="dxa"/>
              <w:left w:w="90" w:type="dxa"/>
              <w:right w:w="90" w:type="dxa"/>
            </w:tcMar>
          </w:tcPr>
          <w:p>
            <w:pPr>
              <w:pStyle w:val="BDOITable"/>
            </w:pPr>
            <w:r>
              <w:rPr>
                <w:sz w:val="14"/>
              </w:rPr>
              <w:t>DCR-224; IQ28, IQ29</w:t>
            </w:r>
          </w:p>
        </w:tc>
      </w:tr>
      <w:tr>
        <w:trPr>
          <w:cantSplit w:val="true"/>
        </w:trPr>
        <w:tc>
          <w:tcPr>
            <w:tcW w:type="dxa" w:w="1310"/>
            <w:tcMar>
              <w:top w:w="50" w:type="dxa"/>
              <w:bottom w:w="50" w:type="dxa"/>
              <w:left w:w="90" w:type="dxa"/>
              <w:right w:w="90" w:type="dxa"/>
            </w:tcMar>
            <w:shd w:val="clear" w:color="auto" w:fill="E5F5FF"/>
          </w:tcPr>
          <w:p>
            <w:pPr>
              <w:pStyle w:val="BDOITable"/>
            </w:pPr>
            <w:r>
              <w:rPr>
                <w:b/>
                <w:sz w:val="14"/>
              </w:rPr>
              <w:t>CI / CD</w:t>
            </w:r>
          </w:p>
        </w:tc>
        <w:tc>
          <w:tcPr>
            <w:tcW w:type="dxa" w:w="3572"/>
            <w:tcMar>
              <w:top w:w="50" w:type="dxa"/>
              <w:bottom w:w="50" w:type="dxa"/>
              <w:left w:w="90" w:type="dxa"/>
              <w:right w:w="90" w:type="dxa"/>
            </w:tcMar>
            <w:shd w:val="clear" w:color="auto" w:fill="E5F5FF"/>
          </w:tcPr>
          <w:p>
            <w:pPr>
              <w:pStyle w:val="BDOITable"/>
            </w:pPr>
            <w:r>
              <w:rPr>
                <w:sz w:val="14"/>
              </w:rPr>
              <w:t>HW sheet: GitLab Runner, AWS SSM, kubectl / helm on a bastion; infra diagram: a second CI toolchain named in the IER; diagram: ArgoCD GitOps + Helm, Terraform + Crossplane</w:t>
            </w:r>
          </w:p>
        </w:tc>
        <w:tc>
          <w:tcPr>
            <w:tcW w:type="dxa" w:w="3333"/>
            <w:tcMar>
              <w:top w:w="50" w:type="dxa"/>
              <w:bottom w:w="50" w:type="dxa"/>
              <w:left w:w="90" w:type="dxa"/>
              <w:right w:w="90" w:type="dxa"/>
            </w:tcMar>
            <w:shd w:val="clear" w:color="auto" w:fill="E5F5FF"/>
          </w:tcPr>
          <w:p>
            <w:pPr>
              <w:pStyle w:val="BDOITable"/>
            </w:pPr>
            <w:r>
              <w:rPr>
                <w:sz w:val="14"/>
              </w:rPr>
              <w:t>One delivery pipeline with SonarQube analysis; plain Kubernetes manifests; no Helm chart</w:t>
            </w:r>
          </w:p>
        </w:tc>
        <w:tc>
          <w:tcPr>
            <w:tcW w:type="dxa" w:w="1071"/>
            <w:tcMar>
              <w:top w:w="50" w:type="dxa"/>
              <w:bottom w:w="50" w:type="dxa"/>
              <w:left w:w="90" w:type="dxa"/>
              <w:right w:w="90" w:type="dxa"/>
            </w:tcMar>
            <w:shd w:val="clear" w:color="auto" w:fill="FDECEA"/>
          </w:tcPr>
          <w:p>
            <w:pPr>
              <w:pStyle w:val="BDOITable"/>
            </w:pPr>
            <w:r>
              <w:rPr>
                <w:b/>
                <w:color w:val="C62828"/>
                <w:sz w:val="14"/>
              </w:rPr>
              <w:t>Gap</w:t>
            </w:r>
          </w:p>
        </w:tc>
        <w:tc>
          <w:tcPr>
            <w:tcW w:type="dxa" w:w="3214"/>
            <w:tcMar>
              <w:top w:w="50" w:type="dxa"/>
              <w:bottom w:w="50" w:type="dxa"/>
              <w:left w:w="90" w:type="dxa"/>
              <w:right w:w="90" w:type="dxa"/>
            </w:tcMar>
            <w:shd w:val="clear" w:color="auto" w:fill="E5F5FF"/>
          </w:tcPr>
          <w:p>
            <w:pPr>
              <w:pStyle w:val="BDOITable"/>
            </w:pPr>
            <w:r>
              <w:rPr>
                <w:sz w:val="14"/>
              </w:rPr>
              <w:t>Helm chart (or Kustomize overlays) per environment; pipeline on the BDO toolchain once named</w:t>
            </w:r>
          </w:p>
        </w:tc>
        <w:tc>
          <w:tcPr>
            <w:tcW w:type="dxa" w:w="1071"/>
            <w:tcMar>
              <w:top w:w="50" w:type="dxa"/>
              <w:bottom w:w="50" w:type="dxa"/>
              <w:left w:w="90" w:type="dxa"/>
              <w:right w:w="90" w:type="dxa"/>
            </w:tcMar>
            <w:shd w:val="clear" w:color="auto" w:fill="E5F5FF"/>
          </w:tcPr>
          <w:p>
            <w:pPr>
              <w:pStyle w:val="BDOITable"/>
            </w:pPr>
            <w:r>
              <w:rPr>
                <w:sz w:val="14"/>
              </w:rPr>
              <w:t>IQ29</w:t>
            </w:r>
          </w:p>
        </w:tc>
      </w:tr>
      <w:tr>
        <w:trPr>
          <w:cantSplit w:val="true"/>
        </w:trPr>
        <w:tc>
          <w:tcPr>
            <w:tcW w:type="dxa" w:w="1310"/>
            <w:tcMar>
              <w:top w:w="50" w:type="dxa"/>
              <w:bottom w:w="50" w:type="dxa"/>
              <w:left w:w="90" w:type="dxa"/>
              <w:right w:w="90" w:type="dxa"/>
            </w:tcMar>
          </w:tcPr>
          <w:p>
            <w:pPr>
              <w:pStyle w:val="BDOITable"/>
            </w:pPr>
            <w:r>
              <w:rPr>
                <w:b/>
                <w:sz w:val="14"/>
              </w:rPr>
              <w:t>Observability</w:t>
            </w:r>
          </w:p>
        </w:tc>
        <w:tc>
          <w:tcPr>
            <w:tcW w:type="dxa" w:w="3572"/>
            <w:tcMar>
              <w:top w:w="50" w:type="dxa"/>
              <w:bottom w:w="50" w:type="dxa"/>
              <w:left w:w="90" w:type="dxa"/>
              <w:right w:w="90" w:type="dxa"/>
            </w:tcMar>
          </w:tcPr>
          <w:p>
            <w:pPr>
              <w:pStyle w:val="BDOITable"/>
            </w:pPr>
            <w:r>
              <w:rPr>
                <w:sz w:val="14"/>
              </w:rPr>
              <w:t>VDI and K8s sheets: Dynatrace (ActiveGate, OneAgent); diagram: CloudWatch, X-Ray, Prometheus, Node Exporter, Loki, Grafana</w:t>
            </w:r>
          </w:p>
        </w:tc>
        <w:tc>
          <w:tcPr>
            <w:tcW w:type="dxa" w:w="3333"/>
            <w:tcMar>
              <w:top w:w="50" w:type="dxa"/>
              <w:bottom w:w="50" w:type="dxa"/>
              <w:left w:w="90" w:type="dxa"/>
              <w:right w:w="90" w:type="dxa"/>
            </w:tcMar>
          </w:tcPr>
          <w:p>
            <w:pPr>
              <w:pStyle w:val="BDOITable"/>
            </w:pPr>
            <w:r>
              <w:rPr>
                <w:sz w:val="14"/>
              </w:rPr>
              <w:t>Health checks and Prometheus metrics; structured logs with CR/LF neutralised; alert catalogue planned (deliverable 38)</w:t>
            </w:r>
          </w:p>
        </w:tc>
        <w:tc>
          <w:tcPr>
            <w:tcW w:type="dxa" w:w="1071"/>
            <w:tcMar>
              <w:top w:w="50" w:type="dxa"/>
              <w:bottom w:w="50" w:type="dxa"/>
              <w:left w:w="90" w:type="dxa"/>
              <w:right w:w="90" w:type="dxa"/>
            </w:tcMar>
            <w:shd w:val="clear" w:color="auto" w:fill="FDECEA"/>
          </w:tcPr>
          <w:p>
            <w:pPr>
              <w:pStyle w:val="BDOITable"/>
            </w:pPr>
            <w:r>
              <w:rPr>
                <w:b/>
                <w:color w:val="C62828"/>
                <w:sz w:val="14"/>
              </w:rPr>
              <w:t>Gap</w:t>
            </w:r>
          </w:p>
        </w:tc>
        <w:tc>
          <w:tcPr>
            <w:tcW w:type="dxa" w:w="3214"/>
            <w:tcMar>
              <w:top w:w="50" w:type="dxa"/>
              <w:bottom w:w="50" w:type="dxa"/>
              <w:left w:w="90" w:type="dxa"/>
              <w:right w:w="90" w:type="dxa"/>
            </w:tcMar>
          </w:tcPr>
          <w:p>
            <w:pPr>
              <w:pStyle w:val="BDOITable"/>
            </w:pPr>
            <w:r>
              <w:rPr>
                <w:sz w:val="14"/>
              </w:rPr>
              <w:t>Choose Dynatrace or Prometheus / Grafana; ship logs to the BDO log platform</w:t>
            </w:r>
          </w:p>
        </w:tc>
        <w:tc>
          <w:tcPr>
            <w:tcW w:type="dxa" w:w="1071"/>
            <w:tcMar>
              <w:top w:w="50" w:type="dxa"/>
              <w:bottom w:w="50" w:type="dxa"/>
              <w:left w:w="90" w:type="dxa"/>
              <w:right w:w="90" w:type="dxa"/>
            </w:tcMar>
          </w:tcPr>
          <w:p>
            <w:pPr>
              <w:pStyle w:val="BDOITable"/>
            </w:pPr>
            <w:r>
              <w:rPr>
                <w:sz w:val="14"/>
              </w:rPr>
              <w:t>IQ30</w:t>
            </w:r>
          </w:p>
        </w:tc>
      </w:tr>
      <w:tr>
        <w:trPr>
          <w:cantSplit w:val="true"/>
        </w:trPr>
        <w:tc>
          <w:tcPr>
            <w:tcW w:type="dxa" w:w="1310"/>
            <w:tcMar>
              <w:top w:w="50" w:type="dxa"/>
              <w:bottom w:w="50" w:type="dxa"/>
              <w:left w:w="90" w:type="dxa"/>
              <w:right w:w="90" w:type="dxa"/>
            </w:tcMar>
            <w:shd w:val="clear" w:color="auto" w:fill="E5F5FF"/>
          </w:tcPr>
          <w:p>
            <w:pPr>
              <w:pStyle w:val="BDOITable"/>
            </w:pPr>
            <w:r>
              <w:rPr>
                <w:b/>
                <w:sz w:val="14"/>
              </w:rPr>
              <w:t>Recovery objectives</w:t>
            </w:r>
          </w:p>
        </w:tc>
        <w:tc>
          <w:tcPr>
            <w:tcW w:type="dxa" w:w="3572"/>
            <w:tcMar>
              <w:top w:w="50" w:type="dxa"/>
              <w:bottom w:w="50" w:type="dxa"/>
              <w:left w:w="90" w:type="dxa"/>
              <w:right w:w="90" w:type="dxa"/>
            </w:tcMar>
            <w:shd w:val="clear" w:color="auto" w:fill="E5F5FF"/>
          </w:tcPr>
          <w:p>
            <w:pPr>
              <w:pStyle w:val="BDOITable"/>
            </w:pPr>
            <w:r>
              <w:rPr>
                <w:sz w:val="14"/>
              </w:rPr>
              <w:t>RPO 15 minutes, RTO 4 hours (both diagram sheets); DR standby with async replication, RPO &lt;= 15 min</w:t>
            </w:r>
          </w:p>
        </w:tc>
        <w:tc>
          <w:tcPr>
            <w:tcW w:type="dxa" w:w="3333"/>
            <w:tcMar>
              <w:top w:w="50" w:type="dxa"/>
              <w:bottom w:w="50" w:type="dxa"/>
              <w:left w:w="90" w:type="dxa"/>
              <w:right w:w="90" w:type="dxa"/>
            </w:tcMar>
            <w:shd w:val="clear" w:color="auto" w:fill="E5F5FF"/>
          </w:tcPr>
          <w:p>
            <w:pPr>
              <w:pStyle w:val="BDOITable"/>
            </w:pPr>
            <w:r>
              <w:rPr>
                <w:sz w:val="14"/>
              </w:rPr>
              <w:t>Register proposal DCR-135: RPO 15 min (continuous WAL archiving), RTO 4 h; RUNBOOK: daily full backup + WAL archiving, quarterly restore test</w:t>
            </w:r>
          </w:p>
        </w:tc>
        <w:tc>
          <w:tcPr>
            <w:tcW w:type="dxa" w:w="1071"/>
            <w:tcMar>
              <w:top w:w="50" w:type="dxa"/>
              <w:bottom w:w="50" w:type="dxa"/>
              <w:left w:w="90" w:type="dxa"/>
              <w:right w:w="90" w:type="dxa"/>
            </w:tcMar>
            <w:shd w:val="clear" w:color="auto" w:fill="E5F5FF"/>
          </w:tcPr>
          <w:p>
            <w:pPr>
              <w:pStyle w:val="BDOITable"/>
            </w:pPr>
            <w:r>
              <w:rPr>
                <w:sz w:val="14"/>
              </w:rPr>
              <w:t>Aligned</w:t>
            </w:r>
          </w:p>
        </w:tc>
        <w:tc>
          <w:tcPr>
            <w:tcW w:type="dxa" w:w="3214"/>
            <w:tcMar>
              <w:top w:w="50" w:type="dxa"/>
              <w:bottom w:w="50" w:type="dxa"/>
              <w:left w:w="90" w:type="dxa"/>
              <w:right w:w="90" w:type="dxa"/>
            </w:tcMar>
            <w:shd w:val="clear" w:color="auto" w:fill="E5F5FF"/>
          </w:tcPr>
          <w:p>
            <w:pPr>
              <w:pStyle w:val="BDOITable"/>
            </w:pPr>
            <w:r>
              <w:rPr>
                <w:sz w:val="14"/>
              </w:rPr>
              <w:t>Record the IER as the BDOI answer to DCR-135 (to confirm by the BRD owners)</w:t>
            </w:r>
          </w:p>
        </w:tc>
        <w:tc>
          <w:tcPr>
            <w:tcW w:type="dxa" w:w="1071"/>
            <w:tcMar>
              <w:top w:w="50" w:type="dxa"/>
              <w:bottom w:w="50" w:type="dxa"/>
              <w:left w:w="90" w:type="dxa"/>
              <w:right w:w="90" w:type="dxa"/>
            </w:tcMar>
            <w:shd w:val="clear" w:color="auto" w:fill="E5F5FF"/>
          </w:tcPr>
          <w:p>
            <w:pPr>
              <w:pStyle w:val="BDOITable"/>
            </w:pPr>
            <w:r>
              <w:rPr>
                <w:sz w:val="14"/>
              </w:rPr>
              <w:t>DCR-135, DCR-225</w:t>
            </w:r>
          </w:p>
        </w:tc>
      </w:tr>
      <w:tr>
        <w:trPr>
          <w:cantSplit w:val="true"/>
        </w:trPr>
        <w:tc>
          <w:tcPr>
            <w:tcW w:type="dxa" w:w="1310"/>
            <w:tcMar>
              <w:top w:w="50" w:type="dxa"/>
              <w:bottom w:w="50" w:type="dxa"/>
              <w:left w:w="90" w:type="dxa"/>
              <w:right w:w="90" w:type="dxa"/>
            </w:tcMar>
          </w:tcPr>
          <w:p>
            <w:pPr>
              <w:pStyle w:val="BDOITable"/>
            </w:pPr>
            <w:r>
              <w:rPr>
                <w:b/>
                <w:sz w:val="14"/>
              </w:rPr>
              <w:t>Disaster recovery</w:t>
            </w:r>
          </w:p>
        </w:tc>
        <w:tc>
          <w:tcPr>
            <w:tcW w:type="dxa" w:w="3572"/>
            <w:tcMar>
              <w:top w:w="50" w:type="dxa"/>
              <w:bottom w:w="50" w:type="dxa"/>
              <w:left w:w="90" w:type="dxa"/>
              <w:right w:w="90" w:type="dxa"/>
            </w:tcMar>
          </w:tcPr>
          <w:p>
            <w:pPr>
              <w:pStyle w:val="BDOITable"/>
            </w:pPr>
            <w:r>
              <w:rPr>
                <w:sz w:val="14"/>
              </w:rPr>
              <w:t>PROD DR: "cross-region read replica" (HW sheet); diagram: "ap-southeast-1 primary + DR warm-standby"; DR environment at 12 x 7 hours</w:t>
            </w:r>
          </w:p>
        </w:tc>
        <w:tc>
          <w:tcPr>
            <w:tcW w:type="dxa" w:w="3333"/>
            <w:tcMar>
              <w:top w:w="50" w:type="dxa"/>
              <w:bottom w:w="50" w:type="dxa"/>
              <w:left w:w="90" w:type="dxa"/>
              <w:right w:w="90" w:type="dxa"/>
            </w:tcMar>
          </w:tcPr>
          <w:p>
            <w:pPr>
              <w:pStyle w:val="BDOITable"/>
            </w:pPr>
            <w:r>
              <w:rPr>
                <w:sz w:val="14"/>
              </w:rPr>
              <w:t>Hosting appendix: AWS ap-southeast-1; access restricted to personnel in the Philippines</w:t>
            </w:r>
          </w:p>
        </w:tc>
        <w:tc>
          <w:tcPr>
            <w:tcW w:type="dxa" w:w="1071"/>
            <w:tcMar>
              <w:top w:w="50" w:type="dxa"/>
              <w:bottom w:w="50" w:type="dxa"/>
              <w:left w:w="90" w:type="dxa"/>
              <w:right w:w="90" w:type="dxa"/>
            </w:tcMar>
            <w:shd w:val="clear" w:color="auto" w:fill="FDECEA"/>
          </w:tcPr>
          <w:p>
            <w:pPr>
              <w:pStyle w:val="BDOITable"/>
            </w:pPr>
            <w:r>
              <w:rPr>
                <w:b/>
                <w:color w:val="C62828"/>
                <w:sz w:val="14"/>
              </w:rPr>
              <w:t>Gap</w:t>
            </w:r>
          </w:p>
        </w:tc>
        <w:tc>
          <w:tcPr>
            <w:tcW w:type="dxa" w:w="3214"/>
            <w:tcMar>
              <w:top w:w="50" w:type="dxa"/>
              <w:bottom w:w="50" w:type="dxa"/>
              <w:left w:w="90" w:type="dxa"/>
              <w:right w:w="90" w:type="dxa"/>
            </w:tcMar>
          </w:tcPr>
          <w:p>
            <w:pPr>
              <w:pStyle w:val="BDOITable"/>
            </w:pPr>
            <w:r>
              <w:rPr>
                <w:sz w:val="14"/>
              </w:rPr>
              <w:t>Name the DR region and confirm data residency; S3 cross-region replication and MSK / ElastiCache re-created in DR; DR runbook</w:t>
            </w:r>
          </w:p>
        </w:tc>
        <w:tc>
          <w:tcPr>
            <w:tcW w:type="dxa" w:w="1071"/>
            <w:tcMar>
              <w:top w:w="50" w:type="dxa"/>
              <w:bottom w:w="50" w:type="dxa"/>
              <w:left w:w="90" w:type="dxa"/>
              <w:right w:w="90" w:type="dxa"/>
            </w:tcMar>
          </w:tcPr>
          <w:p>
            <w:pPr>
              <w:pStyle w:val="BDOITable"/>
            </w:pPr>
            <w:r>
              <w:rPr>
                <w:sz w:val="14"/>
              </w:rPr>
              <w:t>DCR-225; IQ26</w:t>
            </w:r>
          </w:p>
        </w:tc>
      </w:tr>
      <w:tr>
        <w:trPr>
          <w:cantSplit w:val="true"/>
        </w:trPr>
        <w:tc>
          <w:tcPr>
            <w:tcW w:type="dxa" w:w="1310"/>
            <w:tcMar>
              <w:top w:w="50" w:type="dxa"/>
              <w:bottom w:w="50" w:type="dxa"/>
              <w:left w:w="90" w:type="dxa"/>
              <w:right w:w="90" w:type="dxa"/>
            </w:tcMar>
            <w:shd w:val="clear" w:color="auto" w:fill="E5F5FF"/>
          </w:tcPr>
          <w:p>
            <w:pPr>
              <w:pStyle w:val="BDOITable"/>
            </w:pPr>
            <w:r>
              <w:rPr>
                <w:b/>
                <w:sz w:val="14"/>
              </w:rPr>
              <w:t>Environments</w:t>
            </w:r>
          </w:p>
        </w:tc>
        <w:tc>
          <w:tcPr>
            <w:tcW w:type="dxa" w:w="3572"/>
            <w:tcMar>
              <w:top w:w="50" w:type="dxa"/>
              <w:bottom w:w="50" w:type="dxa"/>
              <w:left w:w="90" w:type="dxa"/>
              <w:right w:w="90" w:type="dxa"/>
            </w:tcMar>
            <w:shd w:val="clear" w:color="auto" w:fill="E5F5FF"/>
          </w:tcPr>
          <w:p>
            <w:pPr>
              <w:pStyle w:val="BDOITable"/>
            </w:pPr>
            <w:r>
              <w:rPr>
                <w:sz w:val="14"/>
              </w:rPr>
              <w:t>DEV, SIT, UAT, Pre-Prod, PROD, DR; K8s sheets only for DEV, SIT, UAT, PROD Y1-Y5; the Pre-Prod sheet is titled "UAT ENVIRONMENT"; environment cost sheets hold template rows (Windows Server, EXACC, ON PREM, 0 CPU)</w:t>
            </w:r>
          </w:p>
        </w:tc>
        <w:tc>
          <w:tcPr>
            <w:tcW w:type="dxa" w:w="3333"/>
            <w:tcMar>
              <w:top w:w="50" w:type="dxa"/>
              <w:bottom w:w="50" w:type="dxa"/>
              <w:left w:w="90" w:type="dxa"/>
              <w:right w:w="90" w:type="dxa"/>
            </w:tcMar>
            <w:shd w:val="clear" w:color="auto" w:fill="E5F5FF"/>
          </w:tcPr>
          <w:p>
            <w:pPr>
              <w:pStyle w:val="BDOITable"/>
            </w:pPr>
            <w:r>
              <w:rPr>
                <w:sz w:val="14"/>
              </w:rPr>
              <w:t>Needs all six; Pre-Prod for the dress rehearsal and performance tests; DR for the failover test</w:t>
            </w:r>
          </w:p>
        </w:tc>
        <w:tc>
          <w:tcPr>
            <w:tcW w:type="dxa" w:w="1071"/>
            <w:tcMar>
              <w:top w:w="50" w:type="dxa"/>
              <w:bottom w:w="50" w:type="dxa"/>
              <w:left w:w="90" w:type="dxa"/>
              <w:right w:w="90" w:type="dxa"/>
            </w:tcMar>
            <w:shd w:val="clear" w:color="auto" w:fill="FDECEA"/>
          </w:tcPr>
          <w:p>
            <w:pPr>
              <w:pStyle w:val="BDOITable"/>
            </w:pPr>
            <w:r>
              <w:rPr>
                <w:b/>
                <w:color w:val="C62828"/>
                <w:sz w:val="14"/>
              </w:rPr>
              <w:t>Gap</w:t>
            </w:r>
          </w:p>
        </w:tc>
        <w:tc>
          <w:tcPr>
            <w:tcW w:type="dxa" w:w="3214"/>
            <w:tcMar>
              <w:top w:w="50" w:type="dxa"/>
              <w:bottom w:w="50" w:type="dxa"/>
              <w:left w:w="90" w:type="dxa"/>
              <w:right w:w="90" w:type="dxa"/>
            </w:tcMar>
            <w:shd w:val="clear" w:color="auto" w:fill="E5F5FF"/>
          </w:tcPr>
          <w:p>
            <w:pPr>
              <w:pStyle w:val="BDOITable"/>
            </w:pPr>
            <w:r>
              <w:rPr>
                <w:sz w:val="14"/>
              </w:rPr>
              <w:t>Add Pre-Prod and DR cluster sheets; replace template rows; re-cost</w:t>
            </w:r>
          </w:p>
        </w:tc>
        <w:tc>
          <w:tcPr>
            <w:tcW w:type="dxa" w:w="1071"/>
            <w:tcMar>
              <w:top w:w="50" w:type="dxa"/>
              <w:bottom w:w="50" w:type="dxa"/>
              <w:left w:w="90" w:type="dxa"/>
              <w:right w:w="90" w:type="dxa"/>
            </w:tcMar>
            <w:shd w:val="clear" w:color="auto" w:fill="E5F5FF"/>
          </w:tcPr>
          <w:p>
            <w:pPr>
              <w:pStyle w:val="BDOITable"/>
            </w:pPr>
            <w:r>
              <w:rPr>
                <w:sz w:val="14"/>
              </w:rPr>
              <w:t>DCR-223; IQ33</w:t>
            </w:r>
          </w:p>
        </w:tc>
      </w:tr>
      <w:tr>
        <w:trPr>
          <w:cantSplit w:val="true"/>
        </w:trPr>
        <w:tc>
          <w:tcPr>
            <w:tcW w:type="dxa" w:w="1310"/>
            <w:tcMar>
              <w:top w:w="50" w:type="dxa"/>
              <w:bottom w:w="50" w:type="dxa"/>
              <w:left w:w="90" w:type="dxa"/>
              <w:right w:w="90" w:type="dxa"/>
            </w:tcMar>
          </w:tcPr>
          <w:p>
            <w:pPr>
              <w:pStyle w:val="BDOITable"/>
            </w:pPr>
            <w:r>
              <w:rPr>
                <w:b/>
                <w:sz w:val="14"/>
              </w:rPr>
              <w:t>Operating hours</w:t>
            </w:r>
          </w:p>
        </w:tc>
        <w:tc>
          <w:tcPr>
            <w:tcW w:type="dxa" w:w="3572"/>
            <w:tcMar>
              <w:top w:w="50" w:type="dxa"/>
              <w:bottom w:w="50" w:type="dxa"/>
              <w:left w:w="90" w:type="dxa"/>
              <w:right w:w="90" w:type="dxa"/>
            </w:tcMar>
          </w:tcPr>
          <w:p>
            <w:pPr>
              <w:pStyle w:val="BDOITable"/>
            </w:pPr>
            <w:r>
              <w:rPr>
                <w:sz w:val="14"/>
              </w:rPr>
              <w:t>Non-production 12 x 5 (260.7 h / month); PROD 24 x 7; DR 12 x 7</w:t>
            </w:r>
          </w:p>
        </w:tc>
        <w:tc>
          <w:tcPr>
            <w:tcW w:type="dxa" w:w="3333"/>
            <w:tcMar>
              <w:top w:w="50" w:type="dxa"/>
              <w:bottom w:w="50" w:type="dxa"/>
              <w:left w:w="90" w:type="dxa"/>
              <w:right w:w="90" w:type="dxa"/>
            </w:tcMar>
          </w:tcPr>
          <w:p>
            <w:pPr>
              <w:pStyle w:val="BDOITable"/>
            </w:pPr>
            <w:r>
              <w:rPr>
                <w:sz w:val="14"/>
              </w:rPr>
              <w:t>Night jobs in PHT: EOD booking and remittance extraction 20:00, Collections 22:15-23:00, renewal extraction 01:00, screening 01:00-01:30, application file 05:00, alerts 06:00</w:t>
            </w:r>
          </w:p>
        </w:tc>
        <w:tc>
          <w:tcPr>
            <w:tcW w:type="dxa" w:w="1071"/>
            <w:tcMar>
              <w:top w:w="50" w:type="dxa"/>
              <w:bottom w:w="50" w:type="dxa"/>
              <w:left w:w="90" w:type="dxa"/>
              <w:right w:w="90" w:type="dxa"/>
            </w:tcMar>
          </w:tcPr>
          <w:p>
            <w:pPr>
              <w:pStyle w:val="BDOITable"/>
            </w:pPr>
            <w:r>
              <w:rPr>
                <w:sz w:val="14"/>
              </w:rPr>
              <w:t>Mismatch</w:t>
            </w:r>
          </w:p>
        </w:tc>
        <w:tc>
          <w:tcPr>
            <w:tcW w:type="dxa" w:w="3214"/>
            <w:tcMar>
              <w:top w:w="50" w:type="dxa"/>
              <w:bottom w:w="50" w:type="dxa"/>
              <w:left w:w="90" w:type="dxa"/>
              <w:right w:w="90" w:type="dxa"/>
            </w:tcMar>
          </w:tcPr>
          <w:p>
            <w:pPr>
              <w:pStyle w:val="BDOITable"/>
            </w:pPr>
            <w:r>
              <w:rPr>
                <w:sz w:val="14"/>
              </w:rPr>
              <w:t>Non-production crons shifted into the window by environment variables; extended hours for batch, month-end and migration rehearsal cycles; MSK and ElastiCache run 24 x 7 anyway</w:t>
            </w:r>
          </w:p>
        </w:tc>
        <w:tc>
          <w:tcPr>
            <w:tcW w:type="dxa" w:w="1071"/>
            <w:tcMar>
              <w:top w:w="50" w:type="dxa"/>
              <w:bottom w:w="50" w:type="dxa"/>
              <w:left w:w="90" w:type="dxa"/>
              <w:right w:w="90" w:type="dxa"/>
            </w:tcMar>
          </w:tcPr>
          <w:p>
            <w:pPr>
              <w:pStyle w:val="BDOITable"/>
            </w:pPr>
            <w:r>
              <w:rPr>
                <w:sz w:val="14"/>
              </w:rPr>
              <w:t>DCR-226; IQ27</w:t>
            </w:r>
          </w:p>
        </w:tc>
      </w:tr>
      <w:tr>
        <w:trPr>
          <w:cantSplit w:val="true"/>
        </w:trPr>
        <w:tc>
          <w:tcPr>
            <w:tcW w:type="dxa" w:w="1310"/>
            <w:tcMar>
              <w:top w:w="50" w:type="dxa"/>
              <w:bottom w:w="50" w:type="dxa"/>
              <w:left w:w="90" w:type="dxa"/>
              <w:right w:w="90" w:type="dxa"/>
            </w:tcMar>
            <w:shd w:val="clear" w:color="auto" w:fill="E5F5FF"/>
          </w:tcPr>
          <w:p>
            <w:pPr>
              <w:pStyle w:val="BDOITable"/>
            </w:pPr>
            <w:r>
              <w:rPr>
                <w:b/>
                <w:sz w:val="14"/>
              </w:rPr>
              <w:t>Sizing basis</w:t>
            </w:r>
          </w:p>
        </w:tc>
        <w:tc>
          <w:tcPr>
            <w:tcW w:type="dxa" w:w="3572"/>
            <w:tcMar>
              <w:top w:w="50" w:type="dxa"/>
              <w:bottom w:w="50" w:type="dxa"/>
              <w:left w:w="90" w:type="dxa"/>
              <w:right w:w="90" w:type="dxa"/>
            </w:tcMar>
            <w:shd w:val="clear" w:color="auto" w:fill="E5F5FF"/>
          </w:tcPr>
          <w:p>
            <w:pPr>
              <w:pStyle w:val="BDOITable"/>
            </w:pPr>
            <w:r>
              <w:rPr>
                <w:sz w:val="14"/>
              </w:rPr>
              <w:t>YoY growth 15 %, 60 months; ~1,200 internal users (diagram)</w:t>
            </w:r>
          </w:p>
        </w:tc>
        <w:tc>
          <w:tcPr>
            <w:tcW w:type="dxa" w:w="3333"/>
            <w:tcMar>
              <w:top w:w="50" w:type="dxa"/>
              <w:bottom w:w="50" w:type="dxa"/>
              <w:left w:w="90" w:type="dxa"/>
              <w:right w:w="90" w:type="dxa"/>
            </w:tcMar>
            <w:shd w:val="clear" w:color="auto" w:fill="E5F5FF"/>
          </w:tcPr>
          <w:p>
            <w:pPr>
              <w:pStyle w:val="BDOITable"/>
            </w:pPr>
            <w:r>
              <w:rPr>
                <w:sz w:val="14"/>
              </w:rPr>
              <w:t>Umbrella BRD p.42: 1,344 named / 429 concurrent (DCR-166); renewal 25,800 accounts and NB 21,200 bookings a month</w:t>
            </w:r>
          </w:p>
        </w:tc>
        <w:tc>
          <w:tcPr>
            <w:tcW w:type="dxa" w:w="1071"/>
            <w:tcMar>
              <w:top w:w="50" w:type="dxa"/>
              <w:bottom w:w="50" w:type="dxa"/>
              <w:left w:w="90" w:type="dxa"/>
              <w:right w:w="90" w:type="dxa"/>
            </w:tcMar>
            <w:shd w:val="clear" w:color="auto" w:fill="FDECEA"/>
          </w:tcPr>
          <w:p>
            <w:pPr>
              <w:pStyle w:val="BDOITable"/>
            </w:pPr>
            <w:r>
              <w:rPr>
                <w:b/>
                <w:color w:val="C62828"/>
                <w:sz w:val="14"/>
              </w:rPr>
              <w:t>Gap</w:t>
            </w:r>
          </w:p>
        </w:tc>
        <w:tc>
          <w:tcPr>
            <w:tcW w:type="dxa" w:w="3214"/>
            <w:tcMar>
              <w:top w:w="50" w:type="dxa"/>
              <w:bottom w:w="50" w:type="dxa"/>
              <w:left w:w="90" w:type="dxa"/>
              <w:right w:w="90" w:type="dxa"/>
            </w:tcMar>
            <w:shd w:val="clear" w:color="auto" w:fill="E5F5FF"/>
          </w:tcPr>
          <w:p>
            <w:pPr>
              <w:pStyle w:val="BDOITable"/>
            </w:pPr>
            <w:r>
              <w:rPr>
                <w:sz w:val="14"/>
              </w:rPr>
              <w:t>One user figure for sizing and the performance test</w:t>
            </w:r>
          </w:p>
        </w:tc>
        <w:tc>
          <w:tcPr>
            <w:tcW w:type="dxa" w:w="1071"/>
            <w:tcMar>
              <w:top w:w="50" w:type="dxa"/>
              <w:bottom w:w="50" w:type="dxa"/>
              <w:left w:w="90" w:type="dxa"/>
              <w:right w:w="90" w:type="dxa"/>
            </w:tcMar>
            <w:shd w:val="clear" w:color="auto" w:fill="E5F5FF"/>
          </w:tcPr>
          <w:p>
            <w:pPr>
              <w:pStyle w:val="BDOITable"/>
            </w:pPr>
            <w:r>
              <w:rPr>
                <w:sz w:val="14"/>
              </w:rPr>
              <w:t>DCR-232; IQ32</w:t>
            </w:r>
          </w:p>
        </w:tc>
      </w:tr>
      <w:tr>
        <w:trPr>
          <w:cantSplit w:val="true"/>
        </w:trPr>
        <w:tc>
          <w:tcPr>
            <w:tcW w:type="dxa" w:w="1310"/>
            <w:tcMar>
              <w:top w:w="50" w:type="dxa"/>
              <w:bottom w:w="50" w:type="dxa"/>
              <w:left w:w="90" w:type="dxa"/>
              <w:right w:w="90" w:type="dxa"/>
            </w:tcMar>
          </w:tcPr>
          <w:p>
            <w:pPr>
              <w:pStyle w:val="BDOITable"/>
            </w:pPr>
            <w:r>
              <w:rPr>
                <w:b/>
                <w:sz w:val="14"/>
              </w:rPr>
              <w:t>VDI</w:t>
            </w:r>
          </w:p>
        </w:tc>
        <w:tc>
          <w:tcPr>
            <w:tcW w:type="dxa" w:w="3572"/>
            <w:tcMar>
              <w:top w:w="50" w:type="dxa"/>
              <w:bottom w:w="50" w:type="dxa"/>
              <w:left w:w="90" w:type="dxa"/>
              <w:right w:w="90" w:type="dxa"/>
            </w:tcMar>
          </w:tcPr>
          <w:p>
            <w:pPr>
              <w:pStyle w:val="BDOITable"/>
            </w:pPr>
            <w:r>
              <w:rPr>
                <w:sz w:val="14"/>
              </w:rPr>
              <w:t>15 users: 8 developers (24 months), 4 testers (18), 3 production support (60); 12 x 5</w:t>
            </w:r>
          </w:p>
        </w:tc>
        <w:tc>
          <w:tcPr>
            <w:tcW w:type="dxa" w:w="3333"/>
            <w:tcMar>
              <w:top w:w="50" w:type="dxa"/>
              <w:bottom w:w="50" w:type="dxa"/>
              <w:left w:w="90" w:type="dxa"/>
              <w:right w:w="90" w:type="dxa"/>
            </w:tcMar>
          </w:tcPr>
          <w:p>
            <w:pPr>
              <w:pStyle w:val="BDOITable"/>
            </w:pPr>
            <w:r>
              <w:rPr>
                <w:sz w:val="14"/>
              </w:rPr>
              <w:t>Hosting appendix: access restricted to personnel in the Philippines; migration staging purged within 5 days</w:t>
            </w:r>
          </w:p>
        </w:tc>
        <w:tc>
          <w:tcPr>
            <w:tcW w:type="dxa" w:w="1071"/>
            <w:tcMar>
              <w:top w:w="50" w:type="dxa"/>
              <w:bottom w:w="50" w:type="dxa"/>
              <w:left w:w="90" w:type="dxa"/>
              <w:right w:w="90" w:type="dxa"/>
            </w:tcMar>
            <w:shd w:val="clear" w:color="auto" w:fill="FDECEA"/>
          </w:tcPr>
          <w:p>
            <w:pPr>
              <w:pStyle w:val="BDOITable"/>
            </w:pPr>
            <w:r>
              <w:rPr>
                <w:b/>
                <w:color w:val="C62828"/>
                <w:sz w:val="14"/>
              </w:rPr>
              <w:t>Gap</w:t>
            </w:r>
          </w:p>
        </w:tc>
        <w:tc>
          <w:tcPr>
            <w:tcW w:type="dxa" w:w="3214"/>
            <w:tcMar>
              <w:top w:w="50" w:type="dxa"/>
              <w:bottom w:w="50" w:type="dxa"/>
              <w:left w:w="90" w:type="dxa"/>
              <w:right w:w="90" w:type="dxa"/>
            </w:tcMar>
          </w:tcPr>
          <w:p>
            <w:pPr>
              <w:pStyle w:val="BDOITable"/>
            </w:pPr>
            <w:r>
              <w:rPr>
                <w:sz w:val="14"/>
              </w:rPr>
              <w:t>Confirm who needs VDI and from where; update the software list</w:t>
            </w:r>
          </w:p>
        </w:tc>
        <w:tc>
          <w:tcPr>
            <w:tcW w:type="dxa" w:w="1071"/>
            <w:tcMar>
              <w:top w:w="50" w:type="dxa"/>
              <w:bottom w:w="50" w:type="dxa"/>
              <w:left w:w="90" w:type="dxa"/>
              <w:right w:w="90" w:type="dxa"/>
            </w:tcMar>
          </w:tcPr>
          <w:p>
            <w:pPr>
              <w:pStyle w:val="BDOITable"/>
            </w:pPr>
            <w:r>
              <w:rPr>
                <w:sz w:val="14"/>
              </w:rPr>
              <w:t>DCR-231; IQ28</w:t>
            </w:r>
          </w:p>
        </w:tc>
      </w:tr>
    </w:tbl>
    <w:p>
      <w:pPr>
        <w:pStyle w:val="BDOISpacer"/>
      </w:pPr>
    </w:p>
    <w:p>
      <w:pPr>
        <w:sectPr>
          <w:headerReference w:type="default" r:id="rId33"/>
          <w:footerReference w:type="default" r:id="rId34"/>
          <w:headerReference w:type="first" r:id="rId35"/>
          <w:footerReference w:type="first" r:id="rId36"/>
          <w:pgSz w:w="15840" w:h="12240" w:orient="landscape"/>
          <w:pgMar w:top="1417" w:right="1134" w:bottom="1247" w:left="1134" w:header="567" w:footer="510" w:gutter="0"/>
          <w:cols w:space="720"/>
          <w:docGrid w:linePitch="360"/>
        </w:sectPr>
      </w:pPr>
    </w:p>
    <w:p>
      <w:pPr>
        <w:pStyle w:val="Heading2"/>
      </w:pPr>
      <w:bookmarkStart w:id="127" w:name="_Toc000127"/>
      <w:r>
        <w:rPr/>
        <w:t>6.3 BIBS component baseline</w:t>
      </w:r>
      <w:bookmarkEnd w:id="127"/>
    </w:p>
    <w:p>
      <w:r>
        <w:rPr/>
        <w:t>The client confirmed the component baseline on 8 October 2026. Valkey replaces Redis, whose releases from 7.4 on are no longer under the BSD licence; the Kubernetes Gateway API replaces ingress-nginx, which the Kubernetes project retired in March 2026.</w:t>
      </w:r>
    </w:p>
    <w:p>
      <w:pPr>
        <w:pStyle w:val="Caption"/>
        <w:keepNext/>
        <w:spacing w:after="60"/>
      </w:pPr>
      <w:r>
        <w:rPr>
          <w:b/>
          <w:i w:val="0"/>
        </w:rPr>
        <w:t xml:space="preserve">Table 17: </w:t>
      </w:r>
      <w:r>
        <w:rPr/>
        <w:t>BIBS component baseline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94"/>
        <w:gridCol w:w="1994"/>
        <w:gridCol w:w="2111"/>
        <w:gridCol w:w="3871"/>
      </w:tblGrid>
      <w:tr>
        <w:trPr>
          <w:tblHeader w:val="true"/>
          <w:cantSplit w:val="true"/>
        </w:trPr>
        <w:tc>
          <w:tcPr>
            <w:tcW w:type="dxa" w:w="1994"/>
            <w:shd w:val="clear" w:color="auto" w:fill="004EA8"/>
            <w:tcMar>
              <w:top w:w="50" w:type="dxa"/>
              <w:bottom w:w="50" w:type="dxa"/>
              <w:left w:w="90" w:type="dxa"/>
              <w:right w:w="90" w:type="dxa"/>
            </w:tcMar>
            <w:vAlign w:val="center"/>
          </w:tcPr>
          <w:p>
            <w:pPr>
              <w:pStyle w:val="BDOITableHeader"/>
            </w:pPr>
            <w:r>
              <w:rPr>
                <w:b/>
                <w:color w:val="FFFFFF"/>
                <w:sz w:val="17"/>
              </w:rPr>
              <w:t>Component</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7"/>
              </w:rPr>
              <w:t>Version baseline</w:t>
            </w:r>
          </w:p>
        </w:tc>
        <w:tc>
          <w:tcPr>
            <w:tcW w:type="dxa" w:w="2112"/>
            <w:shd w:val="clear" w:color="auto" w:fill="004EA8"/>
            <w:tcMar>
              <w:top w:w="50" w:type="dxa"/>
              <w:bottom w:w="50" w:type="dxa"/>
              <w:left w:w="90" w:type="dxa"/>
              <w:right w:w="90" w:type="dxa"/>
            </w:tcMar>
            <w:vAlign w:val="center"/>
          </w:tcPr>
          <w:p>
            <w:pPr>
              <w:pStyle w:val="BDOITableHeader"/>
            </w:pPr>
            <w:r>
              <w:rPr>
                <w:b/>
                <w:color w:val="FFFFFF"/>
                <w:sz w:val="17"/>
              </w:rPr>
              <w:t>Licence</w:t>
            </w:r>
          </w:p>
        </w:tc>
        <w:tc>
          <w:tcPr>
            <w:tcW w:type="dxa" w:w="3871"/>
            <w:shd w:val="clear" w:color="auto" w:fill="004EA8"/>
            <w:tcMar>
              <w:top w:w="50" w:type="dxa"/>
              <w:bottom w:w="50" w:type="dxa"/>
              <w:left w:w="90" w:type="dxa"/>
              <w:right w:w="90" w:type="dxa"/>
            </w:tcMar>
            <w:vAlign w:val="center"/>
          </w:tcPr>
          <w:p>
            <w:pPr>
              <w:pStyle w:val="BDOITableHeader"/>
            </w:pPr>
            <w:r>
              <w:rPr>
                <w:b/>
                <w:color w:val="FFFFFF"/>
                <w:sz w:val="17"/>
              </w:rPr>
              <w:t>Function</w:t>
            </w:r>
          </w:p>
        </w:tc>
      </w:tr>
      <w:tr>
        <w:trPr>
          <w:cantSplit w:val="true"/>
        </w:trPr>
        <w:tc>
          <w:tcPr>
            <w:tcW w:type="dxa" w:w="1994"/>
            <w:tcMar>
              <w:top w:w="50" w:type="dxa"/>
              <w:bottom w:w="50" w:type="dxa"/>
              <w:left w:w="90" w:type="dxa"/>
              <w:right w:w="90" w:type="dxa"/>
            </w:tcMar>
          </w:tcPr>
          <w:p>
            <w:pPr>
              <w:pStyle w:val="BDOITable"/>
            </w:pPr>
            <w:r>
              <w:rPr>
                <w:b/>
                <w:sz w:val="17"/>
              </w:rPr>
              <w:t>PostgreSQL</w:t>
            </w:r>
          </w:p>
        </w:tc>
        <w:tc>
          <w:tcPr>
            <w:tcW w:type="dxa" w:w="1994"/>
            <w:tcMar>
              <w:top w:w="50" w:type="dxa"/>
              <w:bottom w:w="50" w:type="dxa"/>
              <w:left w:w="90" w:type="dxa"/>
              <w:right w:w="90" w:type="dxa"/>
            </w:tcMar>
          </w:tcPr>
          <w:p>
            <w:pPr>
              <w:pStyle w:val="BDOITable"/>
            </w:pPr>
            <w:r>
              <w:rPr>
                <w:sz w:val="17"/>
              </w:rPr>
              <w:t>16.x</w:t>
            </w:r>
          </w:p>
        </w:tc>
        <w:tc>
          <w:tcPr>
            <w:tcW w:type="dxa" w:w="2112"/>
            <w:tcMar>
              <w:top w:w="50" w:type="dxa"/>
              <w:bottom w:w="50" w:type="dxa"/>
              <w:left w:w="90" w:type="dxa"/>
              <w:right w:w="90" w:type="dxa"/>
            </w:tcMar>
          </w:tcPr>
          <w:p>
            <w:pPr>
              <w:pStyle w:val="BDOITable"/>
            </w:pPr>
            <w:r>
              <w:rPr>
                <w:sz w:val="17"/>
              </w:rPr>
              <w:t>PostgreSQL Licence</w:t>
            </w:r>
          </w:p>
        </w:tc>
        <w:tc>
          <w:tcPr>
            <w:tcW w:type="dxa" w:w="3871"/>
            <w:tcMar>
              <w:top w:w="50" w:type="dxa"/>
              <w:bottom w:w="50" w:type="dxa"/>
              <w:left w:w="90" w:type="dxa"/>
              <w:right w:w="90" w:type="dxa"/>
            </w:tcMar>
          </w:tcPr>
          <w:p>
            <w:pPr>
              <w:pStyle w:val="BDOITable"/>
            </w:pPr>
            <w:r>
              <w:rPr>
                <w:sz w:val="17"/>
              </w:rPr>
              <w:t>Relational data store</w:t>
            </w:r>
          </w:p>
        </w:tc>
      </w:tr>
      <w:tr>
        <w:trPr>
          <w:cantSplit w:val="true"/>
        </w:trPr>
        <w:tc>
          <w:tcPr>
            <w:tcW w:type="dxa" w:w="1994"/>
            <w:tcMar>
              <w:top w:w="50" w:type="dxa"/>
              <w:bottom w:w="50" w:type="dxa"/>
              <w:left w:w="90" w:type="dxa"/>
              <w:right w:w="90" w:type="dxa"/>
            </w:tcMar>
            <w:shd w:val="clear" w:color="auto" w:fill="E5F5FF"/>
          </w:tcPr>
          <w:p>
            <w:pPr>
              <w:pStyle w:val="BDOITable"/>
            </w:pPr>
            <w:r>
              <w:rPr>
                <w:b/>
                <w:sz w:val="17"/>
              </w:rPr>
              <w:t>Valkey</w:t>
            </w:r>
          </w:p>
        </w:tc>
        <w:tc>
          <w:tcPr>
            <w:tcW w:type="dxa" w:w="1994"/>
            <w:tcMar>
              <w:top w:w="50" w:type="dxa"/>
              <w:bottom w:w="50" w:type="dxa"/>
              <w:left w:w="90" w:type="dxa"/>
              <w:right w:w="90" w:type="dxa"/>
            </w:tcMar>
            <w:shd w:val="clear" w:color="auto" w:fill="E5F5FF"/>
          </w:tcPr>
          <w:p>
            <w:pPr>
              <w:pStyle w:val="BDOITable"/>
            </w:pPr>
            <w:r>
              <w:rPr>
                <w:sz w:val="17"/>
              </w:rPr>
              <w:t>8.x</w:t>
            </w:r>
          </w:p>
        </w:tc>
        <w:tc>
          <w:tcPr>
            <w:tcW w:type="dxa" w:w="2112"/>
            <w:tcMar>
              <w:top w:w="50" w:type="dxa"/>
              <w:bottom w:w="50" w:type="dxa"/>
              <w:left w:w="90" w:type="dxa"/>
              <w:right w:w="90" w:type="dxa"/>
            </w:tcMar>
            <w:shd w:val="clear" w:color="auto" w:fill="E5F5FF"/>
          </w:tcPr>
          <w:p>
            <w:pPr>
              <w:pStyle w:val="BDOITable"/>
            </w:pPr>
            <w:r>
              <w:rPr>
                <w:sz w:val="17"/>
              </w:rPr>
              <w:t>BSD-3-Clause</w:t>
            </w:r>
          </w:p>
        </w:tc>
        <w:tc>
          <w:tcPr>
            <w:tcW w:type="dxa" w:w="3871"/>
            <w:tcMar>
              <w:top w:w="50" w:type="dxa"/>
              <w:bottom w:w="50" w:type="dxa"/>
              <w:left w:w="90" w:type="dxa"/>
              <w:right w:w="90" w:type="dxa"/>
            </w:tcMar>
            <w:shd w:val="clear" w:color="auto" w:fill="E5F5FF"/>
          </w:tcPr>
          <w:p>
            <w:pPr>
              <w:pStyle w:val="BDOITable"/>
            </w:pPr>
            <w:r>
              <w:rPr>
                <w:sz w:val="17"/>
              </w:rPr>
              <w:t>Cache, job locks, token deny-list, counters</w:t>
            </w:r>
          </w:p>
        </w:tc>
      </w:tr>
      <w:tr>
        <w:trPr>
          <w:cantSplit w:val="true"/>
        </w:trPr>
        <w:tc>
          <w:tcPr>
            <w:tcW w:type="dxa" w:w="1994"/>
            <w:tcMar>
              <w:top w:w="50" w:type="dxa"/>
              <w:bottom w:w="50" w:type="dxa"/>
              <w:left w:w="90" w:type="dxa"/>
              <w:right w:w="90" w:type="dxa"/>
            </w:tcMar>
          </w:tcPr>
          <w:p>
            <w:pPr>
              <w:pStyle w:val="BDOITable"/>
            </w:pPr>
            <w:r>
              <w:rPr>
                <w:b/>
                <w:sz w:val="17"/>
              </w:rPr>
              <w:t>Apache Kafka</w:t>
            </w:r>
          </w:p>
        </w:tc>
        <w:tc>
          <w:tcPr>
            <w:tcW w:type="dxa" w:w="1994"/>
            <w:tcMar>
              <w:top w:w="50" w:type="dxa"/>
              <w:bottom w:w="50" w:type="dxa"/>
              <w:left w:w="90" w:type="dxa"/>
              <w:right w:w="90" w:type="dxa"/>
            </w:tcMar>
          </w:tcPr>
          <w:p>
            <w:pPr>
              <w:pStyle w:val="BDOITable"/>
            </w:pPr>
            <w:r>
              <w:rPr>
                <w:sz w:val="17"/>
              </w:rPr>
              <w:t>3.9 (KRaft)</w:t>
            </w:r>
          </w:p>
        </w:tc>
        <w:tc>
          <w:tcPr>
            <w:tcW w:type="dxa" w:w="2112"/>
            <w:tcMar>
              <w:top w:w="50" w:type="dxa"/>
              <w:bottom w:w="50" w:type="dxa"/>
              <w:left w:w="90" w:type="dxa"/>
              <w:right w:w="90" w:type="dxa"/>
            </w:tcMar>
          </w:tcPr>
          <w:p>
            <w:pPr>
              <w:pStyle w:val="BDOITable"/>
            </w:pPr>
            <w:r>
              <w:rPr>
                <w:sz w:val="17"/>
              </w:rPr>
              <w:t>Apache 2.0</w:t>
            </w:r>
          </w:p>
        </w:tc>
        <w:tc>
          <w:tcPr>
            <w:tcW w:type="dxa" w:w="3871"/>
            <w:tcMar>
              <w:top w:w="50" w:type="dxa"/>
              <w:bottom w:w="50" w:type="dxa"/>
              <w:left w:w="90" w:type="dxa"/>
              <w:right w:w="90" w:type="dxa"/>
            </w:tcMar>
          </w:tcPr>
          <w:p>
            <w:pPr>
              <w:pStyle w:val="BDOITable"/>
            </w:pPr>
            <w:r>
              <w:rPr>
                <w:sz w:val="17"/>
              </w:rPr>
              <w:t>Event streaming, transactional outbox</w:t>
            </w:r>
          </w:p>
        </w:tc>
      </w:tr>
      <w:tr>
        <w:trPr>
          <w:cantSplit w:val="true"/>
        </w:trPr>
        <w:tc>
          <w:tcPr>
            <w:tcW w:type="dxa" w:w="1994"/>
            <w:tcMar>
              <w:top w:w="50" w:type="dxa"/>
              <w:bottom w:w="50" w:type="dxa"/>
              <w:left w:w="90" w:type="dxa"/>
              <w:right w:w="90" w:type="dxa"/>
            </w:tcMar>
            <w:shd w:val="clear" w:color="auto" w:fill="E5F5FF"/>
          </w:tcPr>
          <w:p>
            <w:pPr>
              <w:pStyle w:val="BDOITable"/>
            </w:pPr>
            <w:r>
              <w:rPr>
                <w:b/>
                <w:sz w:val="17"/>
              </w:rPr>
              <w:t>OpenJDK (Eclipse Temurin)</w:t>
            </w:r>
          </w:p>
        </w:tc>
        <w:tc>
          <w:tcPr>
            <w:tcW w:type="dxa" w:w="1994"/>
            <w:tcMar>
              <w:top w:w="50" w:type="dxa"/>
              <w:bottom w:w="50" w:type="dxa"/>
              <w:left w:w="90" w:type="dxa"/>
              <w:right w:w="90" w:type="dxa"/>
            </w:tcMar>
            <w:shd w:val="clear" w:color="auto" w:fill="E5F5FF"/>
          </w:tcPr>
          <w:p>
            <w:pPr>
              <w:pStyle w:val="BDOITable"/>
            </w:pPr>
            <w:r>
              <w:rPr>
                <w:sz w:val="17"/>
              </w:rPr>
              <w:t>21 LTS</w:t>
            </w:r>
          </w:p>
        </w:tc>
        <w:tc>
          <w:tcPr>
            <w:tcW w:type="dxa" w:w="2112"/>
            <w:tcMar>
              <w:top w:w="50" w:type="dxa"/>
              <w:bottom w:w="50" w:type="dxa"/>
              <w:left w:w="90" w:type="dxa"/>
              <w:right w:w="90" w:type="dxa"/>
            </w:tcMar>
            <w:shd w:val="clear" w:color="auto" w:fill="E5F5FF"/>
          </w:tcPr>
          <w:p>
            <w:pPr>
              <w:pStyle w:val="BDOITable"/>
            </w:pPr>
            <w:r>
              <w:rPr>
                <w:sz w:val="17"/>
              </w:rPr>
              <w:t>GPLv2 with Classpath Exception</w:t>
            </w:r>
          </w:p>
        </w:tc>
        <w:tc>
          <w:tcPr>
            <w:tcW w:type="dxa" w:w="3871"/>
            <w:tcMar>
              <w:top w:w="50" w:type="dxa"/>
              <w:bottom w:w="50" w:type="dxa"/>
              <w:left w:w="90" w:type="dxa"/>
              <w:right w:w="90" w:type="dxa"/>
            </w:tcMar>
            <w:shd w:val="clear" w:color="auto" w:fill="E5F5FF"/>
          </w:tcPr>
          <w:p>
            <w:pPr>
              <w:pStyle w:val="BDOITable"/>
            </w:pPr>
            <w:r>
              <w:rPr>
                <w:sz w:val="17"/>
              </w:rPr>
              <w:t>Application runtime</w:t>
            </w:r>
          </w:p>
        </w:tc>
      </w:tr>
      <w:tr>
        <w:trPr>
          <w:cantSplit w:val="true"/>
        </w:trPr>
        <w:tc>
          <w:tcPr>
            <w:tcW w:type="dxa" w:w="1994"/>
            <w:tcMar>
              <w:top w:w="50" w:type="dxa"/>
              <w:bottom w:w="50" w:type="dxa"/>
              <w:left w:w="90" w:type="dxa"/>
              <w:right w:w="90" w:type="dxa"/>
            </w:tcMar>
          </w:tcPr>
          <w:p>
            <w:pPr>
              <w:pStyle w:val="BDOITable"/>
            </w:pPr>
            <w:r>
              <w:rPr>
                <w:b/>
                <w:sz w:val="17"/>
              </w:rPr>
              <w:t>Spring Boot</w:t>
            </w:r>
          </w:p>
        </w:tc>
        <w:tc>
          <w:tcPr>
            <w:tcW w:type="dxa" w:w="1994"/>
            <w:tcMar>
              <w:top w:w="50" w:type="dxa"/>
              <w:bottom w:w="50" w:type="dxa"/>
              <w:left w:w="90" w:type="dxa"/>
              <w:right w:w="90" w:type="dxa"/>
            </w:tcMar>
          </w:tcPr>
          <w:p>
            <w:pPr>
              <w:pStyle w:val="BDOITable"/>
            </w:pPr>
            <w:r>
              <w:rPr>
                <w:sz w:val="17"/>
              </w:rPr>
              <w:t>3.5.x</w:t>
            </w:r>
          </w:p>
        </w:tc>
        <w:tc>
          <w:tcPr>
            <w:tcW w:type="dxa" w:w="2112"/>
            <w:tcMar>
              <w:top w:w="50" w:type="dxa"/>
              <w:bottom w:w="50" w:type="dxa"/>
              <w:left w:w="90" w:type="dxa"/>
              <w:right w:w="90" w:type="dxa"/>
            </w:tcMar>
          </w:tcPr>
          <w:p>
            <w:pPr>
              <w:pStyle w:val="BDOITable"/>
            </w:pPr>
            <w:r>
              <w:rPr>
                <w:sz w:val="17"/>
              </w:rPr>
              <w:t>Apache 2.0</w:t>
            </w:r>
          </w:p>
        </w:tc>
        <w:tc>
          <w:tcPr>
            <w:tcW w:type="dxa" w:w="3871"/>
            <w:tcMar>
              <w:top w:w="50" w:type="dxa"/>
              <w:bottom w:w="50" w:type="dxa"/>
              <w:left w:w="90" w:type="dxa"/>
              <w:right w:w="90" w:type="dxa"/>
            </w:tcMar>
          </w:tcPr>
          <w:p>
            <w:pPr>
              <w:pStyle w:val="BDOITable"/>
            </w:pPr>
            <w:r>
              <w:rPr>
                <w:sz w:val="17"/>
              </w:rPr>
              <w:t>Application framework</w:t>
            </w:r>
          </w:p>
        </w:tc>
      </w:tr>
      <w:tr>
        <w:trPr>
          <w:cantSplit w:val="true"/>
        </w:trPr>
        <w:tc>
          <w:tcPr>
            <w:tcW w:type="dxa" w:w="1994"/>
            <w:tcMar>
              <w:top w:w="50" w:type="dxa"/>
              <w:bottom w:w="50" w:type="dxa"/>
              <w:left w:w="90" w:type="dxa"/>
              <w:right w:w="90" w:type="dxa"/>
            </w:tcMar>
            <w:shd w:val="clear" w:color="auto" w:fill="E5F5FF"/>
          </w:tcPr>
          <w:p>
            <w:pPr>
              <w:pStyle w:val="BDOITable"/>
            </w:pPr>
            <w:r>
              <w:rPr>
                <w:b/>
                <w:sz w:val="17"/>
              </w:rPr>
              <w:t>React</w:t>
            </w:r>
          </w:p>
        </w:tc>
        <w:tc>
          <w:tcPr>
            <w:tcW w:type="dxa" w:w="1994"/>
            <w:tcMar>
              <w:top w:w="50" w:type="dxa"/>
              <w:bottom w:w="50" w:type="dxa"/>
              <w:left w:w="90" w:type="dxa"/>
              <w:right w:w="90" w:type="dxa"/>
            </w:tcMar>
            <w:shd w:val="clear" w:color="auto" w:fill="E5F5FF"/>
          </w:tcPr>
          <w:p>
            <w:pPr>
              <w:pStyle w:val="BDOITable"/>
            </w:pPr>
            <w:r>
              <w:rPr>
                <w:sz w:val="17"/>
              </w:rPr>
              <w:t>19.x</w:t>
            </w:r>
          </w:p>
        </w:tc>
        <w:tc>
          <w:tcPr>
            <w:tcW w:type="dxa" w:w="2112"/>
            <w:tcMar>
              <w:top w:w="50" w:type="dxa"/>
              <w:bottom w:w="50" w:type="dxa"/>
              <w:left w:w="90" w:type="dxa"/>
              <w:right w:w="90" w:type="dxa"/>
            </w:tcMar>
            <w:shd w:val="clear" w:color="auto" w:fill="E5F5FF"/>
          </w:tcPr>
          <w:p>
            <w:pPr>
              <w:pStyle w:val="BDOITable"/>
            </w:pPr>
            <w:r>
              <w:rPr>
                <w:sz w:val="17"/>
              </w:rPr>
              <w:t>MIT</w:t>
            </w:r>
          </w:p>
        </w:tc>
        <w:tc>
          <w:tcPr>
            <w:tcW w:type="dxa" w:w="3871"/>
            <w:tcMar>
              <w:top w:w="50" w:type="dxa"/>
              <w:bottom w:w="50" w:type="dxa"/>
              <w:left w:w="90" w:type="dxa"/>
              <w:right w:w="90" w:type="dxa"/>
            </w:tcMar>
            <w:shd w:val="clear" w:color="auto" w:fill="E5F5FF"/>
          </w:tcPr>
          <w:p>
            <w:pPr>
              <w:pStyle w:val="BDOITable"/>
            </w:pPr>
            <w:r>
              <w:rPr>
                <w:sz w:val="17"/>
              </w:rPr>
              <w:t>Web user interface</w:t>
            </w:r>
          </w:p>
        </w:tc>
      </w:tr>
      <w:tr>
        <w:trPr>
          <w:cantSplit w:val="true"/>
        </w:trPr>
        <w:tc>
          <w:tcPr>
            <w:tcW w:type="dxa" w:w="1994"/>
            <w:tcMar>
              <w:top w:w="50" w:type="dxa"/>
              <w:bottom w:w="50" w:type="dxa"/>
              <w:left w:w="90" w:type="dxa"/>
              <w:right w:w="90" w:type="dxa"/>
            </w:tcMar>
          </w:tcPr>
          <w:p>
            <w:pPr>
              <w:pStyle w:val="BDOITable"/>
            </w:pPr>
            <w:r>
              <w:rPr>
                <w:b/>
                <w:sz w:val="17"/>
              </w:rPr>
              <w:t>Node (JavaScript runtime)</w:t>
            </w:r>
          </w:p>
        </w:tc>
        <w:tc>
          <w:tcPr>
            <w:tcW w:type="dxa" w:w="1994"/>
            <w:tcMar>
              <w:top w:w="50" w:type="dxa"/>
              <w:bottom w:w="50" w:type="dxa"/>
              <w:left w:w="90" w:type="dxa"/>
              <w:right w:w="90" w:type="dxa"/>
            </w:tcMar>
          </w:tcPr>
          <w:p>
            <w:pPr>
              <w:pStyle w:val="BDOITable"/>
            </w:pPr>
            <w:r>
              <w:rPr>
                <w:sz w:val="17"/>
              </w:rPr>
              <w:t>22 LTS</w:t>
            </w:r>
          </w:p>
        </w:tc>
        <w:tc>
          <w:tcPr>
            <w:tcW w:type="dxa" w:w="2112"/>
            <w:tcMar>
              <w:top w:w="50" w:type="dxa"/>
              <w:bottom w:w="50" w:type="dxa"/>
              <w:left w:w="90" w:type="dxa"/>
              <w:right w:w="90" w:type="dxa"/>
            </w:tcMar>
          </w:tcPr>
          <w:p>
            <w:pPr>
              <w:pStyle w:val="BDOITable"/>
            </w:pPr>
            <w:r>
              <w:rPr>
                <w:sz w:val="17"/>
              </w:rPr>
              <w:t>MIT</w:t>
            </w:r>
          </w:p>
        </w:tc>
        <w:tc>
          <w:tcPr>
            <w:tcW w:type="dxa" w:w="3871"/>
            <w:tcMar>
              <w:top w:w="50" w:type="dxa"/>
              <w:bottom w:w="50" w:type="dxa"/>
              <w:left w:w="90" w:type="dxa"/>
              <w:right w:w="90" w:type="dxa"/>
            </w:tcMar>
          </w:tcPr>
          <w:p>
            <w:pPr>
              <w:pStyle w:val="BDOITable"/>
            </w:pPr>
            <w:r>
              <w:rPr>
                <w:sz w:val="17"/>
              </w:rPr>
              <w:t>Compiles the web user interface for release (not a production runtime)</w:t>
            </w:r>
          </w:p>
        </w:tc>
      </w:tr>
      <w:tr>
        <w:trPr>
          <w:cantSplit w:val="true"/>
        </w:trPr>
        <w:tc>
          <w:tcPr>
            <w:tcW w:type="dxa" w:w="1994"/>
            <w:tcMar>
              <w:top w:w="50" w:type="dxa"/>
              <w:bottom w:w="50" w:type="dxa"/>
              <w:left w:w="90" w:type="dxa"/>
              <w:right w:w="90" w:type="dxa"/>
            </w:tcMar>
            <w:shd w:val="clear" w:color="auto" w:fill="E5F5FF"/>
          </w:tcPr>
          <w:p>
            <w:pPr>
              <w:pStyle w:val="BDOITable"/>
            </w:pPr>
            <w:r>
              <w:rPr>
                <w:b/>
                <w:sz w:val="17"/>
              </w:rPr>
              <w:t>nginx (unprivileged image)</w:t>
            </w:r>
          </w:p>
        </w:tc>
        <w:tc>
          <w:tcPr>
            <w:tcW w:type="dxa" w:w="1994"/>
            <w:tcMar>
              <w:top w:w="50" w:type="dxa"/>
              <w:bottom w:w="50" w:type="dxa"/>
              <w:left w:w="90" w:type="dxa"/>
              <w:right w:w="90" w:type="dxa"/>
            </w:tcMar>
            <w:shd w:val="clear" w:color="auto" w:fill="E5F5FF"/>
          </w:tcPr>
          <w:p>
            <w:pPr>
              <w:pStyle w:val="BDOITable"/>
            </w:pPr>
            <w:r>
              <w:rPr>
                <w:sz w:val="17"/>
              </w:rPr>
              <w:t>1.30</w:t>
            </w:r>
          </w:p>
        </w:tc>
        <w:tc>
          <w:tcPr>
            <w:tcW w:type="dxa" w:w="2112"/>
            <w:tcMar>
              <w:top w:w="50" w:type="dxa"/>
              <w:bottom w:w="50" w:type="dxa"/>
              <w:left w:w="90" w:type="dxa"/>
              <w:right w:w="90" w:type="dxa"/>
            </w:tcMar>
            <w:shd w:val="clear" w:color="auto" w:fill="E5F5FF"/>
          </w:tcPr>
          <w:p>
            <w:pPr>
              <w:pStyle w:val="BDOITable"/>
            </w:pPr>
            <w:r>
              <w:rPr>
                <w:sz w:val="17"/>
              </w:rPr>
              <w:t>BSD-2-Clause</w:t>
            </w:r>
          </w:p>
        </w:tc>
        <w:tc>
          <w:tcPr>
            <w:tcW w:type="dxa" w:w="3871"/>
            <w:tcMar>
              <w:top w:w="50" w:type="dxa"/>
              <w:bottom w:w="50" w:type="dxa"/>
              <w:left w:w="90" w:type="dxa"/>
              <w:right w:w="90" w:type="dxa"/>
            </w:tcMar>
            <w:shd w:val="clear" w:color="auto" w:fill="E5F5FF"/>
          </w:tcPr>
          <w:p>
            <w:pPr>
              <w:pStyle w:val="BDOITable"/>
            </w:pPr>
            <w:r>
              <w:rPr>
                <w:sz w:val="17"/>
              </w:rPr>
              <w:t>Serves the web user interface, proxies the API</w:t>
            </w:r>
          </w:p>
        </w:tc>
      </w:tr>
      <w:tr>
        <w:trPr>
          <w:cantSplit w:val="true"/>
        </w:trPr>
        <w:tc>
          <w:tcPr>
            <w:tcW w:type="dxa" w:w="1994"/>
            <w:tcMar>
              <w:top w:w="50" w:type="dxa"/>
              <w:bottom w:w="50" w:type="dxa"/>
              <w:left w:w="90" w:type="dxa"/>
              <w:right w:w="90" w:type="dxa"/>
            </w:tcMar>
          </w:tcPr>
          <w:p>
            <w:pPr>
              <w:pStyle w:val="BDOITable"/>
            </w:pPr>
            <w:r>
              <w:rPr>
                <w:b/>
                <w:sz w:val="17"/>
              </w:rPr>
              <w:t>Kubernetes (managed)</w:t>
            </w:r>
          </w:p>
        </w:tc>
        <w:tc>
          <w:tcPr>
            <w:tcW w:type="dxa" w:w="1994"/>
            <w:tcMar>
              <w:top w:w="50" w:type="dxa"/>
              <w:bottom w:w="50" w:type="dxa"/>
              <w:left w:w="90" w:type="dxa"/>
              <w:right w:w="90" w:type="dxa"/>
            </w:tcMar>
          </w:tcPr>
          <w:p>
            <w:pPr>
              <w:pStyle w:val="BDOITable"/>
            </w:pPr>
            <w:r>
              <w:rPr>
                <w:sz w:val="17"/>
              </w:rPr>
              <w:t>Provider-supported version</w:t>
            </w:r>
          </w:p>
        </w:tc>
        <w:tc>
          <w:tcPr>
            <w:tcW w:type="dxa" w:w="2112"/>
            <w:tcMar>
              <w:top w:w="50" w:type="dxa"/>
              <w:bottom w:w="50" w:type="dxa"/>
              <w:left w:w="90" w:type="dxa"/>
              <w:right w:w="90" w:type="dxa"/>
            </w:tcMar>
          </w:tcPr>
          <w:p>
            <w:pPr>
              <w:pStyle w:val="BDOITable"/>
            </w:pPr>
            <w:r>
              <w:rPr>
                <w:sz w:val="17"/>
              </w:rPr>
              <w:t>Apache 2.0</w:t>
            </w:r>
          </w:p>
        </w:tc>
        <w:tc>
          <w:tcPr>
            <w:tcW w:type="dxa" w:w="3871"/>
            <w:tcMar>
              <w:top w:w="50" w:type="dxa"/>
              <w:bottom w:w="50" w:type="dxa"/>
              <w:left w:w="90" w:type="dxa"/>
              <w:right w:w="90" w:type="dxa"/>
            </w:tcMar>
          </w:tcPr>
          <w:p>
            <w:pPr>
              <w:pStyle w:val="BDOITable"/>
            </w:pPr>
            <w:r>
              <w:rPr>
                <w:sz w:val="17"/>
              </w:rPr>
              <w:t>Container orchestration</w:t>
            </w:r>
          </w:p>
        </w:tc>
      </w:tr>
      <w:tr>
        <w:trPr>
          <w:cantSplit w:val="true"/>
        </w:trPr>
        <w:tc>
          <w:tcPr>
            <w:tcW w:type="dxa" w:w="1994"/>
            <w:tcMar>
              <w:top w:w="50" w:type="dxa"/>
              <w:bottom w:w="50" w:type="dxa"/>
              <w:left w:w="90" w:type="dxa"/>
              <w:right w:w="90" w:type="dxa"/>
            </w:tcMar>
            <w:shd w:val="clear" w:color="auto" w:fill="E5F5FF"/>
          </w:tcPr>
          <w:p>
            <w:pPr>
              <w:pStyle w:val="BDOITable"/>
            </w:pPr>
            <w:r>
              <w:rPr>
                <w:b/>
                <w:sz w:val="17"/>
              </w:rPr>
              <w:t>Gateway API controller</w:t>
            </w:r>
          </w:p>
        </w:tc>
        <w:tc>
          <w:tcPr>
            <w:tcW w:type="dxa" w:w="1994"/>
            <w:tcMar>
              <w:top w:w="50" w:type="dxa"/>
              <w:bottom w:w="50" w:type="dxa"/>
              <w:left w:w="90" w:type="dxa"/>
              <w:right w:w="90" w:type="dxa"/>
            </w:tcMar>
            <w:shd w:val="clear" w:color="auto" w:fill="E5F5FF"/>
          </w:tcPr>
          <w:p>
            <w:pPr>
              <w:pStyle w:val="BDOITable"/>
            </w:pPr>
            <w:r>
              <w:rPr>
                <w:sz w:val="17"/>
              </w:rPr>
              <w:t>Gateway API v1 controller: the managed provider's controller or Envoy Gateway</w:t>
            </w:r>
          </w:p>
        </w:tc>
        <w:tc>
          <w:tcPr>
            <w:tcW w:type="dxa" w:w="2112"/>
            <w:tcMar>
              <w:top w:w="50" w:type="dxa"/>
              <w:bottom w:w="50" w:type="dxa"/>
              <w:left w:w="90" w:type="dxa"/>
              <w:right w:w="90" w:type="dxa"/>
            </w:tcMar>
            <w:shd w:val="clear" w:color="auto" w:fill="E5F5FF"/>
          </w:tcPr>
          <w:p>
            <w:pPr>
              <w:pStyle w:val="BDOITable"/>
            </w:pPr>
            <w:r>
              <w:rPr>
                <w:sz w:val="17"/>
              </w:rPr>
              <w:t>Apache 2.0</w:t>
            </w:r>
          </w:p>
        </w:tc>
        <w:tc>
          <w:tcPr>
            <w:tcW w:type="dxa" w:w="3871"/>
            <w:tcMar>
              <w:top w:w="50" w:type="dxa"/>
              <w:bottom w:w="50" w:type="dxa"/>
              <w:left w:w="90" w:type="dxa"/>
              <w:right w:w="90" w:type="dxa"/>
            </w:tcMar>
            <w:shd w:val="clear" w:color="auto" w:fill="E5F5FF"/>
          </w:tcPr>
          <w:p>
            <w:pPr>
              <w:pStyle w:val="BDOITable"/>
            </w:pPr>
            <w:r>
              <w:rPr>
                <w:sz w:val="17"/>
              </w:rPr>
              <w:t>Ingress and traffic routing</w:t>
            </w:r>
          </w:p>
        </w:tc>
      </w:tr>
    </w:tbl>
    <w:p>
      <w:pPr>
        <w:pStyle w:val="BDOISpacer"/>
      </w:pPr>
    </w:p>
    <w:p>
      <w:r>
        <w:rPr>
          <w:b/>
        </w:rPr>
        <w:t>Support horizon.</w:t>
      </w:r>
      <w:r>
        <w:rPr/>
        <w:t xml:space="preserve"> Each component stays within the support window its upstream project publishes: PostgreSQL 16 until 9 November 2028, Eclipse Temurin 21 until at least December 2029, Node 22 until 30 April 2027, each Kubernetes version on Amazon EKS for 14 months of standard support; the end dates of Valkey 8, Kafka 3.9, Spring Boot 3.5, nginx 1.30 and the gateway controller are to be confirmed at each annual technology review. The baseline is reviewed every year and before go-live, and a component that reaches its support end within the following twelve months is planned for upgrade.</w:t>
      </w:r>
    </w:p>
    <w:p>
      <w:pPr>
        <w:pStyle w:val="Heading2"/>
      </w:pPr>
      <w:bookmarkStart w:id="128" w:name="_Toc000128"/>
      <w:r>
        <w:rPr/>
        <w:t>6.4 Documents in S3 only</w:t>
      </w:r>
      <w:bookmarkEnd w:id="128"/>
    </w:p>
    <w:p>
      <w:r>
        <w:rPr/>
        <w:t>BDOI's instruction (A4) is met by the document storage proposal (S6): option C, S3 for the file content and PostgreSQL for the metadata, 5-minute signed links issued after the BIBS permission check and audit, four buckets per environment (documents, reports, inbound quarantine, migration with 5-day expiry), SSE-KMS, IRSA and a VPC gateway, Object Lock in governance mode with legal hold, and cross-region replication for DR. Existing files are copied and verified before go-live. The table below lists the proposal and the changes in the IER.</w:t>
      </w:r>
    </w:p>
    <w:p>
      <w:pPr>
        <w:pStyle w:val="Caption"/>
        <w:keepNext/>
        <w:spacing w:after="60"/>
      </w:pPr>
      <w:r>
        <w:rPr>
          <w:b/>
          <w:i w:val="0"/>
        </w:rPr>
        <w:t xml:space="preserve">Table 18: </w:t>
      </w:r>
      <w:r>
        <w:rPr/>
        <w:t>Documents in S3 only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736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5"/>
              </w:rPr>
              <w:t>Area</w:t>
            </w:r>
          </w:p>
        </w:tc>
        <w:tc>
          <w:tcPr>
            <w:tcW w:type="dxa" w:w="7366"/>
            <w:shd w:val="clear" w:color="auto" w:fill="004EA8"/>
            <w:tcMar>
              <w:top w:w="50" w:type="dxa"/>
              <w:bottom w:w="50" w:type="dxa"/>
              <w:left w:w="90" w:type="dxa"/>
              <w:right w:w="90" w:type="dxa"/>
            </w:tcMar>
            <w:vAlign w:val="center"/>
          </w:tcPr>
          <w:p>
            <w:pPr>
              <w:pStyle w:val="BDOITableHeader"/>
            </w:pPr>
            <w:r>
              <w:rPr>
                <w:b/>
                <w:color w:val="FFFFFF"/>
                <w:sz w:val="15"/>
              </w:rPr>
              <w:t>Proposal</w:t>
            </w:r>
          </w:p>
        </w:tc>
      </w:tr>
      <w:tr>
        <w:trPr>
          <w:cantSplit w:val="true"/>
        </w:trPr>
        <w:tc>
          <w:tcPr>
            <w:tcW w:type="dxa" w:w="2606"/>
            <w:tcMar>
              <w:top w:w="50" w:type="dxa"/>
              <w:bottom w:w="50" w:type="dxa"/>
              <w:left w:w="90" w:type="dxa"/>
              <w:right w:w="90" w:type="dxa"/>
            </w:tcMar>
          </w:tcPr>
          <w:p>
            <w:pPr>
              <w:pStyle w:val="BDOITable"/>
            </w:pPr>
            <w:r>
              <w:rPr>
                <w:b/>
                <w:sz w:val="15"/>
              </w:rPr>
              <w:t>Files and their metadata</w:t>
            </w:r>
          </w:p>
        </w:tc>
        <w:tc>
          <w:tcPr>
            <w:tcW w:type="dxa" w:w="7366"/>
            <w:tcMar>
              <w:top w:w="50" w:type="dxa"/>
              <w:bottom w:w="50" w:type="dxa"/>
              <w:left w:w="90" w:type="dxa"/>
              <w:right w:w="90" w:type="dxa"/>
            </w:tcMar>
          </w:tcPr>
          <w:p>
            <w:pPr>
              <w:pStyle w:val="BDOITable"/>
            </w:pPr>
            <w:r>
              <w:rPr>
                <w:sz w:val="15"/>
              </w:rPr>
              <w:t>Every file of every module is stored in Amazon S3; PostgreSQL keeps the metadata of each file (owner, document type, name, size, checksum, bucket, key, version, retention class, legal hold)</w:t>
            </w:r>
          </w:p>
        </w:tc>
      </w:tr>
      <w:tr>
        <w:trPr>
          <w:cantSplit w:val="true"/>
        </w:trPr>
        <w:tc>
          <w:tcPr>
            <w:tcW w:type="dxa" w:w="2606"/>
            <w:tcMar>
              <w:top w:w="50" w:type="dxa"/>
              <w:bottom w:w="50" w:type="dxa"/>
              <w:left w:w="90" w:type="dxa"/>
              <w:right w:w="90" w:type="dxa"/>
            </w:tcMar>
            <w:shd w:val="clear" w:color="auto" w:fill="E5F5FF"/>
          </w:tcPr>
          <w:p>
            <w:pPr>
              <w:pStyle w:val="BDOITable"/>
            </w:pPr>
            <w:r>
              <w:rPr>
                <w:b/>
                <w:sz w:val="15"/>
              </w:rPr>
              <w:t>Attachments (all modules)</w:t>
            </w:r>
          </w:p>
        </w:tc>
        <w:tc>
          <w:tcPr>
            <w:tcW w:type="dxa" w:w="7366"/>
            <w:tcMar>
              <w:top w:w="50" w:type="dxa"/>
              <w:bottom w:w="50" w:type="dxa"/>
              <w:left w:w="90" w:type="dxa"/>
              <w:right w:w="90" w:type="dxa"/>
            </w:tcMar>
            <w:shd w:val="clear" w:color="auto" w:fill="E5F5FF"/>
          </w:tcPr>
          <w:p>
            <w:pPr>
              <w:pStyle w:val="BDOITable"/>
            </w:pPr>
            <w:r>
              <w:rPr>
                <w:sz w:val="15"/>
              </w:rPr>
              <w:t>Stored in the documents bucket of the environment</w:t>
            </w:r>
          </w:p>
        </w:tc>
      </w:tr>
      <w:tr>
        <w:trPr>
          <w:cantSplit w:val="true"/>
        </w:trPr>
        <w:tc>
          <w:tcPr>
            <w:tcW w:type="dxa" w:w="2606"/>
            <w:tcMar>
              <w:top w:w="50" w:type="dxa"/>
              <w:bottom w:w="50" w:type="dxa"/>
              <w:left w:w="90" w:type="dxa"/>
              <w:right w:w="90" w:type="dxa"/>
            </w:tcMar>
          </w:tcPr>
          <w:p>
            <w:pPr>
              <w:pStyle w:val="BDOITable"/>
            </w:pPr>
            <w:r>
              <w:rPr>
                <w:b/>
                <w:sz w:val="15"/>
              </w:rPr>
              <w:t>Generated business documents</w:t>
            </w:r>
          </w:p>
        </w:tc>
        <w:tc>
          <w:tcPr>
            <w:tcW w:type="dxa" w:w="7366"/>
            <w:tcMar>
              <w:top w:w="50" w:type="dxa"/>
              <w:bottom w:w="50" w:type="dxa"/>
              <w:left w:w="90" w:type="dxa"/>
              <w:right w:w="90" w:type="dxa"/>
            </w:tcMar>
          </w:tcPr>
          <w:p>
            <w:pPr>
              <w:pStyle w:val="BDOITable"/>
            </w:pPr>
            <w:r>
              <w:rPr>
                <w:sz w:val="15"/>
              </w:rPr>
              <w:t>Placement slips, insurance advices, service invoices, remittance and billing documents, print batches and end-of-day outputs are written to the documents bucket; each rendition keeps its specification and checksum</w:t>
            </w:r>
          </w:p>
        </w:tc>
      </w:tr>
      <w:tr>
        <w:trPr>
          <w:cantSplit w:val="true"/>
        </w:trPr>
        <w:tc>
          <w:tcPr>
            <w:tcW w:type="dxa" w:w="2606"/>
            <w:tcMar>
              <w:top w:w="50" w:type="dxa"/>
              <w:bottom w:w="50" w:type="dxa"/>
              <w:left w:w="90" w:type="dxa"/>
              <w:right w:w="90" w:type="dxa"/>
            </w:tcMar>
            <w:shd w:val="clear" w:color="auto" w:fill="E5F5FF"/>
          </w:tcPr>
          <w:p>
            <w:pPr>
              <w:pStyle w:val="BDOITable"/>
            </w:pPr>
            <w:r>
              <w:rPr>
                <w:b/>
                <w:sz w:val="15"/>
              </w:rPr>
              <w:t>Report archive and batch files</w:t>
            </w:r>
          </w:p>
        </w:tc>
        <w:tc>
          <w:tcPr>
            <w:tcW w:type="dxa" w:w="7366"/>
            <w:tcMar>
              <w:top w:w="50" w:type="dxa"/>
              <w:bottom w:w="50" w:type="dxa"/>
              <w:left w:w="90" w:type="dxa"/>
              <w:right w:w="90" w:type="dxa"/>
            </w:tcMar>
            <w:shd w:val="clear" w:color="auto" w:fill="E5F5FF"/>
          </w:tcPr>
          <w:p>
            <w:pPr>
              <w:pStyle w:val="BDOITable"/>
            </w:pPr>
            <w:r>
              <w:rPr>
                <w:sz w:val="15"/>
              </w:rPr>
              <w:t>Stored in the reports bucket, with the expiry of the report archive setting (default 400 days); users get a link</w:t>
            </w:r>
          </w:p>
        </w:tc>
      </w:tr>
      <w:tr>
        <w:trPr>
          <w:cantSplit w:val="true"/>
        </w:trPr>
        <w:tc>
          <w:tcPr>
            <w:tcW w:type="dxa" w:w="2606"/>
            <w:tcMar>
              <w:top w:w="50" w:type="dxa"/>
              <w:bottom w:w="50" w:type="dxa"/>
              <w:left w:w="90" w:type="dxa"/>
              <w:right w:w="90" w:type="dxa"/>
            </w:tcMar>
          </w:tcPr>
          <w:p>
            <w:pPr>
              <w:pStyle w:val="BDOITable"/>
            </w:pPr>
            <w:r>
              <w:rPr>
                <w:b/>
                <w:sz w:val="15"/>
              </w:rPr>
              <w:t>Operations extracts, e-mail attachments</w:t>
            </w:r>
          </w:p>
        </w:tc>
        <w:tc>
          <w:tcPr>
            <w:tcW w:type="dxa" w:w="7366"/>
            <w:tcMar>
              <w:top w:w="50" w:type="dxa"/>
              <w:bottom w:w="50" w:type="dxa"/>
              <w:left w:w="90" w:type="dxa"/>
              <w:right w:w="90" w:type="dxa"/>
            </w:tcMar>
          </w:tcPr>
          <w:p>
            <w:pPr>
              <w:pStyle w:val="BDOITable"/>
            </w:pPr>
            <w:r>
              <w:rPr>
                <w:sz w:val="15"/>
              </w:rPr>
              <w:t>Extracts are written to S3; e-mail attachments and ZIP bundles are read from S3</w:t>
            </w:r>
          </w:p>
        </w:tc>
      </w:tr>
      <w:tr>
        <w:trPr>
          <w:cantSplit w:val="true"/>
        </w:trPr>
        <w:tc>
          <w:tcPr>
            <w:tcW w:type="dxa" w:w="2606"/>
            <w:tcMar>
              <w:top w:w="50" w:type="dxa"/>
              <w:bottom w:w="50" w:type="dxa"/>
              <w:left w:w="90" w:type="dxa"/>
              <w:right w:w="90" w:type="dxa"/>
            </w:tcMar>
            <w:shd w:val="clear" w:color="auto" w:fill="E5F5FF"/>
          </w:tcPr>
          <w:p>
            <w:pPr>
              <w:pStyle w:val="BDOITable"/>
            </w:pPr>
            <w:r>
              <w:rPr>
                <w:b/>
                <w:sz w:val="15"/>
              </w:rPr>
              <w:t>Uploads and inbound files</w:t>
            </w:r>
          </w:p>
        </w:tc>
        <w:tc>
          <w:tcPr>
            <w:tcW w:type="dxa" w:w="7366"/>
            <w:tcMar>
              <w:top w:w="50" w:type="dxa"/>
              <w:bottom w:w="50" w:type="dxa"/>
              <w:left w:w="90" w:type="dxa"/>
              <w:right w:w="90" w:type="dxa"/>
            </w:tcMar>
            <w:shd w:val="clear" w:color="auto" w:fill="E5F5FF"/>
          </w:tcPr>
          <w:p>
            <w:pPr>
              <w:pStyle w:val="BDOITable"/>
            </w:pPr>
            <w:r>
              <w:rPr>
                <w:sz w:val="15"/>
              </w:rPr>
              <w:t>Inbound bucket with a quarantine area until the malware scan marks the file clean; kept 90 days; large files uploaded directly with a signed link</w:t>
            </w:r>
          </w:p>
        </w:tc>
      </w:tr>
      <w:tr>
        <w:trPr>
          <w:cantSplit w:val="true"/>
        </w:trPr>
        <w:tc>
          <w:tcPr>
            <w:tcW w:type="dxa" w:w="2606"/>
            <w:tcMar>
              <w:top w:w="50" w:type="dxa"/>
              <w:bottom w:w="50" w:type="dxa"/>
              <w:left w:w="90" w:type="dxa"/>
              <w:right w:w="90" w:type="dxa"/>
            </w:tcMar>
          </w:tcPr>
          <w:p>
            <w:pPr>
              <w:pStyle w:val="BDOITable"/>
            </w:pPr>
            <w:r>
              <w:rPr>
                <w:b/>
                <w:sz w:val="15"/>
              </w:rPr>
              <w:t>Migration files</w:t>
            </w:r>
          </w:p>
        </w:tc>
        <w:tc>
          <w:tcPr>
            <w:tcW w:type="dxa" w:w="7366"/>
            <w:tcMar>
              <w:top w:w="50" w:type="dxa"/>
              <w:bottom w:w="50" w:type="dxa"/>
              <w:left w:w="90" w:type="dxa"/>
              <w:right w:w="90" w:type="dxa"/>
            </w:tcMar>
          </w:tcPr>
          <w:p>
            <w:pPr>
              <w:pStyle w:val="BDOITable"/>
            </w:pPr>
            <w:r>
              <w:rPr>
                <w:sz w:val="15"/>
              </w:rPr>
              <w:t>Migration bucket, expiry after 5 days, migration role only</w:t>
            </w:r>
          </w:p>
        </w:tc>
      </w:tr>
      <w:tr>
        <w:trPr>
          <w:cantSplit w:val="true"/>
        </w:trPr>
        <w:tc>
          <w:tcPr>
            <w:tcW w:type="dxa" w:w="2606"/>
            <w:tcMar>
              <w:top w:w="50" w:type="dxa"/>
              <w:bottom w:w="50" w:type="dxa"/>
              <w:left w:w="90" w:type="dxa"/>
              <w:right w:w="90" w:type="dxa"/>
            </w:tcMar>
            <w:shd w:val="clear" w:color="auto" w:fill="E5F5FF"/>
          </w:tcPr>
          <w:p>
            <w:pPr>
              <w:pStyle w:val="BDOITable"/>
            </w:pPr>
            <w:r>
              <w:rPr>
                <w:b/>
                <w:sz w:val="15"/>
              </w:rPr>
              <w:t>Access and audit</w:t>
            </w:r>
          </w:p>
        </w:tc>
        <w:tc>
          <w:tcPr>
            <w:tcW w:type="dxa" w:w="7366"/>
            <w:tcMar>
              <w:top w:w="50" w:type="dxa"/>
              <w:bottom w:w="50" w:type="dxa"/>
              <w:left w:w="90" w:type="dxa"/>
              <w:right w:w="90" w:type="dxa"/>
            </w:tcMar>
            <w:shd w:val="clear" w:color="auto" w:fill="E5F5FF"/>
          </w:tcPr>
          <w:p>
            <w:pPr>
              <w:pStyle w:val="BDOITable"/>
            </w:pPr>
            <w:r>
              <w:rPr>
                <w:sz w:val="15"/>
              </w:rPr>
              <w:t>A signed link valid 5 minutes (FILE_LINK_TTL_SECONDS), issued after the BIBS permission check, each issue audited; files are downloaded, not cached</w:t>
            </w:r>
          </w:p>
        </w:tc>
      </w:tr>
      <w:tr>
        <w:trPr>
          <w:cantSplit w:val="true"/>
        </w:trPr>
        <w:tc>
          <w:tcPr>
            <w:tcW w:type="dxa" w:w="2606"/>
            <w:tcMar>
              <w:top w:w="50" w:type="dxa"/>
              <w:bottom w:w="50" w:type="dxa"/>
              <w:left w:w="90" w:type="dxa"/>
              <w:right w:w="90" w:type="dxa"/>
            </w:tcMar>
          </w:tcPr>
          <w:p>
            <w:pPr>
              <w:pStyle w:val="BDOITable"/>
            </w:pPr>
            <w:r>
              <w:rPr>
                <w:b/>
                <w:sz w:val="15"/>
              </w:rPr>
              <w:t>Security</w:t>
            </w:r>
          </w:p>
        </w:tc>
        <w:tc>
          <w:tcPr>
            <w:tcW w:type="dxa" w:w="7366"/>
            <w:tcMar>
              <w:top w:w="50" w:type="dxa"/>
              <w:bottom w:w="50" w:type="dxa"/>
              <w:left w:w="90" w:type="dxa"/>
              <w:right w:w="90" w:type="dxa"/>
            </w:tcMar>
          </w:tcPr>
          <w:p>
            <w:pPr>
              <w:pStyle w:val="BDOITable"/>
            </w:pPr>
            <w:r>
              <w:rPr>
                <w:sz w:val="15"/>
              </w:rPr>
              <w:t>SSE-KMS with a customer-managed key per environment; non-TLS and unencrypted uploads refused; access through the application role and an S3 gateway; keys without personal data</w:t>
            </w:r>
          </w:p>
        </w:tc>
      </w:tr>
      <w:tr>
        <w:trPr>
          <w:cantSplit w:val="true"/>
        </w:trPr>
        <w:tc>
          <w:tcPr>
            <w:tcW w:type="dxa" w:w="2606"/>
            <w:tcMar>
              <w:top w:w="50" w:type="dxa"/>
              <w:bottom w:w="50" w:type="dxa"/>
              <w:left w:w="90" w:type="dxa"/>
              <w:right w:w="90" w:type="dxa"/>
            </w:tcMar>
            <w:shd w:val="clear" w:color="auto" w:fill="E5F5FF"/>
          </w:tcPr>
          <w:p>
            <w:pPr>
              <w:pStyle w:val="BDOITable"/>
            </w:pPr>
            <w:r>
              <w:rPr>
                <w:b/>
                <w:sz w:val="15"/>
              </w:rPr>
              <w:t>Retention, legal hold, DR</w:t>
            </w:r>
          </w:p>
        </w:tc>
        <w:tc>
          <w:tcPr>
            <w:tcW w:type="dxa" w:w="7366"/>
            <w:tcMar>
              <w:top w:w="50" w:type="dxa"/>
              <w:bottom w:w="50" w:type="dxa"/>
              <w:left w:w="90" w:type="dxa"/>
              <w:right w:w="90" w:type="dxa"/>
            </w:tcMar>
            <w:shd w:val="clear" w:color="auto" w:fill="E5F5FF"/>
          </w:tcPr>
          <w:p>
            <w:pPr>
              <w:pStyle w:val="BDOITable"/>
            </w:pPr>
            <w:r>
              <w:rPr>
                <w:sz w:val="15"/>
              </w:rPr>
              <w:t>Versioning; lifecycle Standard, Standard-IA after 90 days, Glacier Instant Retrieval after 1 year; Object Lock governance mode with legal hold; cross-region replication with replication time control</w:t>
            </w:r>
          </w:p>
        </w:tc>
      </w:tr>
      <w:tr>
        <w:trPr>
          <w:cantSplit w:val="true"/>
        </w:trPr>
        <w:tc>
          <w:tcPr>
            <w:tcW w:type="dxa" w:w="2606"/>
            <w:tcMar>
              <w:top w:w="50" w:type="dxa"/>
              <w:bottom w:w="50" w:type="dxa"/>
              <w:left w:w="90" w:type="dxa"/>
              <w:right w:w="90" w:type="dxa"/>
            </w:tcMar>
          </w:tcPr>
          <w:p>
            <w:pPr>
              <w:pStyle w:val="BDOITable"/>
            </w:pPr>
            <w:r>
              <w:rPr>
                <w:b/>
                <w:sz w:val="15"/>
              </w:rPr>
              <w:t>Existing content</w:t>
            </w:r>
          </w:p>
        </w:tc>
        <w:tc>
          <w:tcPr>
            <w:tcW w:type="dxa" w:w="7366"/>
            <w:tcMar>
              <w:top w:w="50" w:type="dxa"/>
              <w:bottom w:w="50" w:type="dxa"/>
              <w:left w:w="90" w:type="dxa"/>
              <w:right w:w="90" w:type="dxa"/>
            </w:tcMar>
          </w:tcPr>
          <w:p>
            <w:pPr>
              <w:pStyle w:val="BDOITable"/>
            </w:pPr>
            <w:r>
              <w:rPr>
                <w:sz w:val="15"/>
              </w:rPr>
              <w:t>One-time copy of the existing files with a checksum check before go-live</w:t>
            </w:r>
          </w:p>
        </w:tc>
      </w:tr>
      <w:tr>
        <w:trPr>
          <w:cantSplit w:val="true"/>
        </w:trPr>
        <w:tc>
          <w:tcPr>
            <w:tcW w:type="dxa" w:w="2606"/>
            <w:tcMar>
              <w:top w:w="50" w:type="dxa"/>
              <w:bottom w:w="50" w:type="dxa"/>
              <w:left w:w="90" w:type="dxa"/>
              <w:right w:w="90" w:type="dxa"/>
            </w:tcMar>
            <w:shd w:val="clear" w:color="auto" w:fill="E5F5FF"/>
          </w:tcPr>
          <w:p>
            <w:pPr>
              <w:pStyle w:val="BDOITable"/>
            </w:pPr>
            <w:r>
              <w:rPr>
                <w:b/>
                <w:sz w:val="15"/>
              </w:rPr>
              <w:t>IER: new rows</w:t>
            </w:r>
          </w:p>
        </w:tc>
        <w:tc>
          <w:tcPr>
            <w:tcW w:type="dxa" w:w="7366"/>
            <w:tcMar>
              <w:top w:w="50" w:type="dxa"/>
              <w:bottom w:w="50" w:type="dxa"/>
              <w:left w:w="90" w:type="dxa"/>
              <w:right w:w="90" w:type="dxa"/>
            </w:tcMar>
            <w:shd w:val="clear" w:color="auto" w:fill="E5F5FF"/>
          </w:tcPr>
          <w:p>
            <w:pPr>
              <w:pStyle w:val="BDOITable"/>
            </w:pPr>
            <w:r>
              <w:rPr>
                <w:sz w:val="15"/>
              </w:rPr>
              <w:t>Four buckets per environment; storage estimate per year (to size from the document volumes); KMS keys per environment; S3 gateway; replication to the DR region; malware scanning of uploads (GuardDuty Malware Protection for S3 or the BDO scanner); Object Lock enabled at bucket creation</w:t>
            </w:r>
          </w:p>
        </w:tc>
      </w:tr>
      <w:tr>
        <w:trPr>
          <w:cantSplit w:val="true"/>
        </w:trPr>
        <w:tc>
          <w:tcPr>
            <w:tcW w:type="dxa" w:w="2606"/>
            <w:tcMar>
              <w:top w:w="50" w:type="dxa"/>
              <w:bottom w:w="50" w:type="dxa"/>
              <w:left w:w="90" w:type="dxa"/>
              <w:right w:w="90" w:type="dxa"/>
            </w:tcMar>
          </w:tcPr>
          <w:p>
            <w:pPr>
              <w:pStyle w:val="BDOITable"/>
            </w:pPr>
            <w:r>
              <w:rPr>
                <w:b/>
                <w:sz w:val="15"/>
              </w:rPr>
              <w:t>IER: rows to remove</w:t>
            </w:r>
          </w:p>
        </w:tc>
        <w:tc>
          <w:tcPr>
            <w:tcW w:type="dxa" w:w="7366"/>
            <w:tcMar>
              <w:top w:w="50" w:type="dxa"/>
              <w:bottom w:w="50" w:type="dxa"/>
              <w:left w:w="90" w:type="dxa"/>
              <w:right w:w="90" w:type="dxa"/>
            </w:tcMar>
          </w:tcPr>
          <w:p>
            <w:pPr>
              <w:pStyle w:val="BDOITable"/>
            </w:pPr>
            <w:r>
              <w:rPr>
                <w:sz w:val="15"/>
              </w:rPr>
              <w:t>Amazon EFS (shared K8s PV), the efs-csi-controller pods and the "Total PV (GB) EFS" column: not used by BIBS for documents; pods are stateless</w:t>
            </w:r>
          </w:p>
        </w:tc>
      </w:tr>
      <w:tr>
        <w:trPr>
          <w:cantSplit w:val="true"/>
        </w:trPr>
        <w:tc>
          <w:tcPr>
            <w:tcW w:type="dxa" w:w="2606"/>
            <w:tcMar>
              <w:top w:w="50" w:type="dxa"/>
              <w:bottom w:w="50" w:type="dxa"/>
              <w:left w:w="90" w:type="dxa"/>
              <w:right w:w="90" w:type="dxa"/>
            </w:tcMar>
            <w:shd w:val="clear" w:color="auto" w:fill="E5F5FF"/>
          </w:tcPr>
          <w:p>
            <w:pPr>
              <w:pStyle w:val="BDOITable"/>
            </w:pPr>
            <w:r>
              <w:rPr>
                <w:b/>
                <w:sz w:val="15"/>
              </w:rPr>
              <w:t>IER: database size</w:t>
            </w:r>
          </w:p>
        </w:tc>
        <w:tc>
          <w:tcPr>
            <w:tcW w:type="dxa" w:w="7366"/>
            <w:tcMar>
              <w:top w:w="50" w:type="dxa"/>
              <w:bottom w:w="50" w:type="dxa"/>
              <w:left w:w="90" w:type="dxa"/>
              <w:right w:w="90" w:type="dxa"/>
            </w:tcMar>
            <w:shd w:val="clear" w:color="auto" w:fill="E5F5FF"/>
          </w:tcPr>
          <w:p>
            <w:pPr>
              <w:pStyle w:val="BDOITable"/>
            </w:pPr>
            <w:r>
              <w:rPr>
                <w:sz w:val="15"/>
              </w:rPr>
              <w:t>PROD RDS 2,000 GB was sized with documents in mind; re-size RDS without file content once the volumes are known; backups and the cross-region replica get smaller</w:t>
            </w:r>
          </w:p>
        </w:tc>
      </w:tr>
    </w:tbl>
    <w:p>
      <w:pPr>
        <w:pStyle w:val="BDOISpacer"/>
      </w:pPr>
    </w:p>
    <w:p>
      <w:pPr>
        <w:pStyle w:val="Heading2"/>
      </w:pPr>
      <w:bookmarkStart w:id="129" w:name="_Toc000129"/>
      <w:r>
        <w:rPr/>
        <w:t>6.5 Kubernetes sizing of the BIBS workloads</w:t>
      </w:r>
      <w:bookmarkEnd w:id="129"/>
    </w:p>
    <w:p>
      <w:r>
        <w:rPr/>
        <w:t>The IER Kubernetes sheets size ten bv-* services. BIBS runs two deployments. The table below replaces those rows; the values are a starting point to be proved by the performance test at the peak case (429 concurrent sessions until DCR-166 is answered). Scheduled jobs run once per schedule whatever the number of pods, through the Valkey job lock. The cluster add-ons of the IER sheets (kube-system, monitoring and EDR agents) stay, with a Gateway API controller in place of ingress-nginx; the EFS controller is not needed.</w:t>
      </w:r>
    </w:p>
    <w:p>
      <w:pPr>
        <w:pStyle w:val="Caption"/>
        <w:keepNext/>
        <w:spacing w:after="60"/>
      </w:pPr>
      <w:r>
        <w:rPr>
          <w:b/>
          <w:i w:val="0"/>
        </w:rPr>
        <w:t xml:space="preserve">Table 19: </w:t>
      </w:r>
      <w:r>
        <w:rPr/>
        <w:t>Proposed Kubernetes sizing of the BIBS workloads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33"/>
        <w:gridCol w:w="1813"/>
        <w:gridCol w:w="566"/>
        <w:gridCol w:w="566"/>
        <w:gridCol w:w="1473"/>
        <w:gridCol w:w="1473"/>
        <w:gridCol w:w="2946"/>
      </w:tblGrid>
      <w:tr>
        <w:trPr>
          <w:tblHeader w:val="true"/>
          <w:cantSplit w:val="true"/>
        </w:trPr>
        <w:tc>
          <w:tcPr>
            <w:tcW w:type="dxa" w:w="1133"/>
            <w:shd w:val="clear" w:color="auto" w:fill="004EA8"/>
            <w:tcMar>
              <w:top w:w="50" w:type="dxa"/>
              <w:bottom w:w="50" w:type="dxa"/>
              <w:left w:w="90" w:type="dxa"/>
              <w:right w:w="90" w:type="dxa"/>
            </w:tcMar>
            <w:vAlign w:val="center"/>
          </w:tcPr>
          <w:p>
            <w:pPr>
              <w:pStyle w:val="BDOITableHeader"/>
            </w:pPr>
            <w:r>
              <w:rPr>
                <w:b/>
                <w:color w:val="FFFFFF"/>
                <w:sz w:val="16"/>
              </w:rPr>
              <w:t>Environment</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6"/>
              </w:rPr>
              <w:t>Deployment</w:t>
            </w:r>
          </w:p>
        </w:tc>
        <w:tc>
          <w:tcPr>
            <w:tcW w:type="dxa" w:w="567"/>
            <w:shd w:val="clear" w:color="auto" w:fill="004EA8"/>
            <w:tcMar>
              <w:top w:w="50" w:type="dxa"/>
              <w:bottom w:w="50" w:type="dxa"/>
              <w:left w:w="90" w:type="dxa"/>
              <w:right w:w="90" w:type="dxa"/>
            </w:tcMar>
            <w:vAlign w:val="center"/>
          </w:tcPr>
          <w:p>
            <w:pPr>
              <w:pStyle w:val="BDOITableHeader"/>
            </w:pPr>
            <w:r>
              <w:rPr>
                <w:b/>
                <w:color w:val="FFFFFF"/>
                <w:sz w:val="16"/>
              </w:rPr>
              <w:t>Min</w:t>
            </w:r>
          </w:p>
        </w:tc>
        <w:tc>
          <w:tcPr>
            <w:tcW w:type="dxa" w:w="567"/>
            <w:shd w:val="clear" w:color="auto" w:fill="004EA8"/>
            <w:tcMar>
              <w:top w:w="50" w:type="dxa"/>
              <w:bottom w:w="50" w:type="dxa"/>
              <w:left w:w="90" w:type="dxa"/>
              <w:right w:w="90" w:type="dxa"/>
            </w:tcMar>
            <w:vAlign w:val="center"/>
          </w:tcPr>
          <w:p>
            <w:pPr>
              <w:pStyle w:val="BDOITableHeader"/>
            </w:pPr>
            <w:r>
              <w:rPr>
                <w:b/>
                <w:color w:val="FFFFFF"/>
                <w:sz w:val="16"/>
              </w:rPr>
              <w:t>Max</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6"/>
              </w:rPr>
              <w:t>Requests CPU / memory</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6"/>
              </w:rPr>
              <w:t>Limits CPU / memory</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6"/>
              </w:rPr>
              <w:t>Note</w:t>
            </w:r>
          </w:p>
        </w:tc>
      </w:tr>
      <w:tr>
        <w:trPr>
          <w:cantSplit w:val="true"/>
        </w:trPr>
        <w:tc>
          <w:tcPr>
            <w:tcW w:type="dxa" w:w="1133"/>
            <w:tcMar>
              <w:top w:w="50" w:type="dxa"/>
              <w:bottom w:w="50" w:type="dxa"/>
              <w:left w:w="90" w:type="dxa"/>
              <w:right w:w="90" w:type="dxa"/>
            </w:tcMar>
          </w:tcPr>
          <w:p>
            <w:pPr>
              <w:pStyle w:val="BDOITable"/>
            </w:pPr>
            <w:r>
              <w:rPr>
                <w:b/>
                <w:sz w:val="16"/>
              </w:rPr>
              <w:t>DEV</w:t>
            </w:r>
          </w:p>
        </w:tc>
        <w:tc>
          <w:tcPr>
            <w:tcW w:type="dxa" w:w="1813"/>
            <w:tcMar>
              <w:top w:w="50" w:type="dxa"/>
              <w:bottom w:w="50" w:type="dxa"/>
              <w:left w:w="90" w:type="dxa"/>
              <w:right w:w="90" w:type="dxa"/>
            </w:tcMar>
          </w:tcPr>
          <w:p>
            <w:pPr>
              <w:pStyle w:val="BDOITable"/>
            </w:pPr>
            <w:r>
              <w:rPr>
                <w:sz w:val="16"/>
              </w:rPr>
              <w:t>brokerverse-backend</w:t>
            </w:r>
          </w:p>
        </w:tc>
        <w:tc>
          <w:tcPr>
            <w:tcW w:type="dxa" w:w="567"/>
            <w:tcMar>
              <w:top w:w="50" w:type="dxa"/>
              <w:bottom w:w="50" w:type="dxa"/>
              <w:left w:w="90" w:type="dxa"/>
              <w:right w:w="90" w:type="dxa"/>
            </w:tcMar>
          </w:tcPr>
          <w:p>
            <w:pPr>
              <w:pStyle w:val="BDOITable"/>
            </w:pPr>
            <w:r>
              <w:rPr>
                <w:sz w:val="16"/>
              </w:rPr>
              <w:t>1</w:t>
            </w:r>
          </w:p>
        </w:tc>
        <w:tc>
          <w:tcPr>
            <w:tcW w:type="dxa" w:w="567"/>
            <w:tcMar>
              <w:top w:w="50" w:type="dxa"/>
              <w:bottom w:w="50" w:type="dxa"/>
              <w:left w:w="90" w:type="dxa"/>
              <w:right w:w="90" w:type="dxa"/>
            </w:tcMar>
          </w:tcPr>
          <w:p>
            <w:pPr>
              <w:pStyle w:val="BDOITable"/>
            </w:pPr>
            <w:r>
              <w:rPr>
                <w:sz w:val="16"/>
              </w:rPr>
              <w:t>2</w:t>
            </w:r>
          </w:p>
        </w:tc>
        <w:tc>
          <w:tcPr>
            <w:tcW w:type="dxa" w:w="1473"/>
            <w:tcMar>
              <w:top w:w="50" w:type="dxa"/>
              <w:bottom w:w="50" w:type="dxa"/>
              <w:left w:w="90" w:type="dxa"/>
              <w:right w:w="90" w:type="dxa"/>
            </w:tcMar>
          </w:tcPr>
          <w:p>
            <w:pPr>
              <w:pStyle w:val="BDOITable"/>
            </w:pPr>
            <w:r>
              <w:rPr>
                <w:sz w:val="16"/>
              </w:rPr>
              <w:t>500m / 1.5 Gi</w:t>
            </w:r>
          </w:p>
        </w:tc>
        <w:tc>
          <w:tcPr>
            <w:tcW w:type="dxa" w:w="1473"/>
            <w:tcMar>
              <w:top w:w="50" w:type="dxa"/>
              <w:bottom w:w="50" w:type="dxa"/>
              <w:left w:w="90" w:type="dxa"/>
              <w:right w:w="90" w:type="dxa"/>
            </w:tcMar>
          </w:tcPr>
          <w:p>
            <w:pPr>
              <w:pStyle w:val="BDOITable"/>
            </w:pPr>
            <w:r>
              <w:rPr>
                <w:sz w:val="16"/>
              </w:rPr>
              <w:t>2 / 3 Gi</w:t>
            </w:r>
          </w:p>
        </w:tc>
        <w:tc>
          <w:tcPr>
            <w:tcW w:type="dxa" w:w="2946"/>
            <w:tcMar>
              <w:top w:w="50" w:type="dxa"/>
              <w:bottom w:w="50" w:type="dxa"/>
              <w:left w:w="90" w:type="dxa"/>
              <w:right w:w="90" w:type="dxa"/>
            </w:tcMar>
          </w:tcPr>
          <w:p>
            <w:pPr>
              <w:pStyle w:val="BDOITable"/>
            </w:pPr>
            <w:r>
              <w:rPr>
                <w:sz w:val="16"/>
              </w:rPr>
              <w:t>Seed data; jobs run on the single pod</w:t>
            </w:r>
          </w:p>
        </w:tc>
      </w:tr>
      <w:tr>
        <w:trPr>
          <w:cantSplit w:val="true"/>
        </w:trPr>
        <w:tc>
          <w:tcPr>
            <w:tcW w:type="dxa" w:w="1133"/>
            <w:tcMar>
              <w:top w:w="50" w:type="dxa"/>
              <w:bottom w:w="50" w:type="dxa"/>
              <w:left w:w="90" w:type="dxa"/>
              <w:right w:w="90" w:type="dxa"/>
            </w:tcMar>
            <w:shd w:val="clear" w:color="auto" w:fill="E5F5FF"/>
          </w:tcPr>
          <w:p>
            <w:pPr>
              <w:pStyle w:val="BDOITable"/>
            </w:pPr>
            <w:r>
              <w:rPr>
                <w:b/>
                <w:sz w:val="16"/>
              </w:rPr>
              <w:t>DEV</w:t>
            </w:r>
          </w:p>
        </w:tc>
        <w:tc>
          <w:tcPr>
            <w:tcW w:type="dxa" w:w="1813"/>
            <w:tcMar>
              <w:top w:w="50" w:type="dxa"/>
              <w:bottom w:w="50" w:type="dxa"/>
              <w:left w:w="90" w:type="dxa"/>
              <w:right w:w="90" w:type="dxa"/>
            </w:tcMar>
            <w:shd w:val="clear" w:color="auto" w:fill="E5F5FF"/>
          </w:tcPr>
          <w:p>
            <w:pPr>
              <w:pStyle w:val="BDOITable"/>
            </w:pPr>
            <w:r>
              <w:rPr>
                <w:sz w:val="16"/>
              </w:rPr>
              <w:t>brokerverse-frontend</w:t>
            </w:r>
          </w:p>
        </w:tc>
        <w:tc>
          <w:tcPr>
            <w:tcW w:type="dxa" w:w="567"/>
            <w:tcMar>
              <w:top w:w="50" w:type="dxa"/>
              <w:bottom w:w="50" w:type="dxa"/>
              <w:left w:w="90" w:type="dxa"/>
              <w:right w:w="90" w:type="dxa"/>
            </w:tcMar>
            <w:shd w:val="clear" w:color="auto" w:fill="E5F5FF"/>
          </w:tcPr>
          <w:p>
            <w:pPr>
              <w:pStyle w:val="BDOITable"/>
            </w:pPr>
            <w:r>
              <w:rPr>
                <w:sz w:val="16"/>
              </w:rPr>
              <w:t>1</w:t>
            </w:r>
          </w:p>
        </w:tc>
        <w:tc>
          <w:tcPr>
            <w:tcW w:type="dxa" w:w="567"/>
            <w:tcMar>
              <w:top w:w="50" w:type="dxa"/>
              <w:bottom w:w="50" w:type="dxa"/>
              <w:left w:w="90" w:type="dxa"/>
              <w:right w:w="90" w:type="dxa"/>
            </w:tcMar>
            <w:shd w:val="clear" w:color="auto" w:fill="E5F5FF"/>
          </w:tcPr>
          <w:p>
            <w:pPr>
              <w:pStyle w:val="BDOITable"/>
            </w:pPr>
            <w:r>
              <w:rPr>
                <w:sz w:val="16"/>
              </w:rPr>
              <w:t>2</w:t>
            </w:r>
          </w:p>
        </w:tc>
        <w:tc>
          <w:tcPr>
            <w:tcW w:type="dxa" w:w="1473"/>
            <w:tcMar>
              <w:top w:w="50" w:type="dxa"/>
              <w:bottom w:w="50" w:type="dxa"/>
              <w:left w:w="90" w:type="dxa"/>
              <w:right w:w="90" w:type="dxa"/>
            </w:tcMar>
            <w:shd w:val="clear" w:color="auto" w:fill="E5F5FF"/>
          </w:tcPr>
          <w:p>
            <w:pPr>
              <w:pStyle w:val="BDOITable"/>
            </w:pPr>
            <w:r>
              <w:rPr>
                <w:sz w:val="16"/>
              </w:rPr>
              <w:t>50m / 64 Mi</w:t>
            </w:r>
          </w:p>
        </w:tc>
        <w:tc>
          <w:tcPr>
            <w:tcW w:type="dxa" w:w="1473"/>
            <w:tcMar>
              <w:top w:w="50" w:type="dxa"/>
              <w:bottom w:w="50" w:type="dxa"/>
              <w:left w:w="90" w:type="dxa"/>
              <w:right w:w="90" w:type="dxa"/>
            </w:tcMar>
            <w:shd w:val="clear" w:color="auto" w:fill="E5F5FF"/>
          </w:tcPr>
          <w:p>
            <w:pPr>
              <w:pStyle w:val="BDOITable"/>
            </w:pPr>
            <w:r>
              <w:rPr>
                <w:sz w:val="16"/>
              </w:rPr>
              <w:t>500m / 256 Mi</w:t>
            </w:r>
          </w:p>
        </w:tc>
        <w:tc>
          <w:tcPr>
            <w:tcW w:type="dxa" w:w="2946"/>
            <w:tcMar>
              <w:top w:w="50" w:type="dxa"/>
              <w:bottom w:w="50" w:type="dxa"/>
              <w:left w:w="90" w:type="dxa"/>
              <w:right w:w="90" w:type="dxa"/>
            </w:tcMar>
            <w:shd w:val="clear" w:color="auto" w:fill="E5F5FF"/>
          </w:tcPr>
          <w:p>
            <w:pPr>
              <w:pStyle w:val="BDOITable"/>
            </w:pPr>
            <w:r>
              <w:rPr>
                <w:sz w:val="16"/>
              </w:rPr>
              <w:t>nginx static files and /api proxy</w:t>
            </w:r>
          </w:p>
        </w:tc>
      </w:tr>
      <w:tr>
        <w:trPr>
          <w:cantSplit w:val="true"/>
        </w:trPr>
        <w:tc>
          <w:tcPr>
            <w:tcW w:type="dxa" w:w="1133"/>
            <w:tcMar>
              <w:top w:w="50" w:type="dxa"/>
              <w:bottom w:w="50" w:type="dxa"/>
              <w:left w:w="90" w:type="dxa"/>
              <w:right w:w="90" w:type="dxa"/>
            </w:tcMar>
          </w:tcPr>
          <w:p>
            <w:pPr>
              <w:pStyle w:val="BDOITable"/>
            </w:pPr>
            <w:r>
              <w:rPr>
                <w:b/>
                <w:sz w:val="16"/>
              </w:rPr>
              <w:t>SIT</w:t>
            </w:r>
          </w:p>
        </w:tc>
        <w:tc>
          <w:tcPr>
            <w:tcW w:type="dxa" w:w="1813"/>
            <w:tcMar>
              <w:top w:w="50" w:type="dxa"/>
              <w:bottom w:w="50" w:type="dxa"/>
              <w:left w:w="90" w:type="dxa"/>
              <w:right w:w="90" w:type="dxa"/>
            </w:tcMar>
          </w:tcPr>
          <w:p>
            <w:pPr>
              <w:pStyle w:val="BDOITable"/>
            </w:pPr>
            <w:r>
              <w:rPr>
                <w:sz w:val="16"/>
              </w:rPr>
              <w:t>brokerverse-backend</w:t>
            </w:r>
          </w:p>
        </w:tc>
        <w:tc>
          <w:tcPr>
            <w:tcW w:type="dxa" w:w="567"/>
            <w:tcMar>
              <w:top w:w="50" w:type="dxa"/>
              <w:bottom w:w="50" w:type="dxa"/>
              <w:left w:w="90" w:type="dxa"/>
              <w:right w:w="90" w:type="dxa"/>
            </w:tcMar>
          </w:tcPr>
          <w:p>
            <w:pPr>
              <w:pStyle w:val="BDOITable"/>
            </w:pPr>
            <w:r>
              <w:rPr>
                <w:sz w:val="16"/>
              </w:rPr>
              <w:t>2</w:t>
            </w:r>
          </w:p>
        </w:tc>
        <w:tc>
          <w:tcPr>
            <w:tcW w:type="dxa" w:w="567"/>
            <w:tcMar>
              <w:top w:w="50" w:type="dxa"/>
              <w:bottom w:w="50" w:type="dxa"/>
              <w:left w:w="90" w:type="dxa"/>
              <w:right w:w="90" w:type="dxa"/>
            </w:tcMar>
          </w:tcPr>
          <w:p>
            <w:pPr>
              <w:pStyle w:val="BDOITable"/>
            </w:pPr>
            <w:r>
              <w:rPr>
                <w:sz w:val="16"/>
              </w:rPr>
              <w:t>3</w:t>
            </w:r>
          </w:p>
        </w:tc>
        <w:tc>
          <w:tcPr>
            <w:tcW w:type="dxa" w:w="1473"/>
            <w:tcMar>
              <w:top w:w="50" w:type="dxa"/>
              <w:bottom w:w="50" w:type="dxa"/>
              <w:left w:w="90" w:type="dxa"/>
              <w:right w:w="90" w:type="dxa"/>
            </w:tcMar>
          </w:tcPr>
          <w:p>
            <w:pPr>
              <w:pStyle w:val="BDOITable"/>
            </w:pPr>
            <w:r>
              <w:rPr>
                <w:sz w:val="16"/>
              </w:rPr>
              <w:t>500m / 1.5 Gi</w:t>
            </w:r>
          </w:p>
        </w:tc>
        <w:tc>
          <w:tcPr>
            <w:tcW w:type="dxa" w:w="1473"/>
            <w:tcMar>
              <w:top w:w="50" w:type="dxa"/>
              <w:bottom w:w="50" w:type="dxa"/>
              <w:left w:w="90" w:type="dxa"/>
              <w:right w:w="90" w:type="dxa"/>
            </w:tcMar>
          </w:tcPr>
          <w:p>
            <w:pPr>
              <w:pStyle w:val="BDOITable"/>
            </w:pPr>
            <w:r>
              <w:rPr>
                <w:sz w:val="16"/>
              </w:rPr>
              <w:t>2 / 3 Gi</w:t>
            </w:r>
          </w:p>
        </w:tc>
        <w:tc>
          <w:tcPr>
            <w:tcW w:type="dxa" w:w="2946"/>
            <w:tcMar>
              <w:top w:w="50" w:type="dxa"/>
              <w:bottom w:w="50" w:type="dxa"/>
              <w:left w:w="90" w:type="dxa"/>
              <w:right w:w="90" w:type="dxa"/>
            </w:tcMar>
          </w:tcPr>
          <w:p>
            <w:pPr>
              <w:pStyle w:val="BDOITable"/>
            </w:pPr>
            <w:r>
              <w:rPr>
                <w:sz w:val="16"/>
              </w:rPr>
              <w:t>Two pods to test the Valkey job lock and cache eviction across pods</w:t>
            </w:r>
          </w:p>
        </w:tc>
      </w:tr>
      <w:tr>
        <w:trPr>
          <w:cantSplit w:val="true"/>
        </w:trPr>
        <w:tc>
          <w:tcPr>
            <w:tcW w:type="dxa" w:w="1133"/>
            <w:tcMar>
              <w:top w:w="50" w:type="dxa"/>
              <w:bottom w:w="50" w:type="dxa"/>
              <w:left w:w="90" w:type="dxa"/>
              <w:right w:w="90" w:type="dxa"/>
            </w:tcMar>
            <w:shd w:val="clear" w:color="auto" w:fill="E5F5FF"/>
          </w:tcPr>
          <w:p>
            <w:pPr>
              <w:pStyle w:val="BDOITable"/>
            </w:pPr>
            <w:r>
              <w:rPr>
                <w:b/>
                <w:sz w:val="16"/>
              </w:rPr>
              <w:t>SIT</w:t>
            </w:r>
          </w:p>
        </w:tc>
        <w:tc>
          <w:tcPr>
            <w:tcW w:type="dxa" w:w="1813"/>
            <w:tcMar>
              <w:top w:w="50" w:type="dxa"/>
              <w:bottom w:w="50" w:type="dxa"/>
              <w:left w:w="90" w:type="dxa"/>
              <w:right w:w="90" w:type="dxa"/>
            </w:tcMar>
            <w:shd w:val="clear" w:color="auto" w:fill="E5F5FF"/>
          </w:tcPr>
          <w:p>
            <w:pPr>
              <w:pStyle w:val="BDOITable"/>
            </w:pPr>
            <w:r>
              <w:rPr>
                <w:sz w:val="16"/>
              </w:rPr>
              <w:t>brokerverse-frontend</w:t>
            </w:r>
          </w:p>
        </w:tc>
        <w:tc>
          <w:tcPr>
            <w:tcW w:type="dxa" w:w="567"/>
            <w:tcMar>
              <w:top w:w="50" w:type="dxa"/>
              <w:bottom w:w="50" w:type="dxa"/>
              <w:left w:w="90" w:type="dxa"/>
              <w:right w:w="90" w:type="dxa"/>
            </w:tcMar>
            <w:shd w:val="clear" w:color="auto" w:fill="E5F5FF"/>
          </w:tcPr>
          <w:p>
            <w:pPr>
              <w:pStyle w:val="BDOITable"/>
            </w:pPr>
            <w:r>
              <w:rPr>
                <w:sz w:val="16"/>
              </w:rPr>
              <w:t>2</w:t>
            </w:r>
          </w:p>
        </w:tc>
        <w:tc>
          <w:tcPr>
            <w:tcW w:type="dxa" w:w="567"/>
            <w:tcMar>
              <w:top w:w="50" w:type="dxa"/>
              <w:bottom w:w="50" w:type="dxa"/>
              <w:left w:w="90" w:type="dxa"/>
              <w:right w:w="90" w:type="dxa"/>
            </w:tcMar>
            <w:shd w:val="clear" w:color="auto" w:fill="E5F5FF"/>
          </w:tcPr>
          <w:p>
            <w:pPr>
              <w:pStyle w:val="BDOITable"/>
            </w:pPr>
            <w:r>
              <w:rPr>
                <w:sz w:val="16"/>
              </w:rPr>
              <w:t>2</w:t>
            </w:r>
          </w:p>
        </w:tc>
        <w:tc>
          <w:tcPr>
            <w:tcW w:type="dxa" w:w="1473"/>
            <w:tcMar>
              <w:top w:w="50" w:type="dxa"/>
              <w:bottom w:w="50" w:type="dxa"/>
              <w:left w:w="90" w:type="dxa"/>
              <w:right w:w="90" w:type="dxa"/>
            </w:tcMar>
            <w:shd w:val="clear" w:color="auto" w:fill="E5F5FF"/>
          </w:tcPr>
          <w:p>
            <w:pPr>
              <w:pStyle w:val="BDOITable"/>
            </w:pPr>
            <w:r>
              <w:rPr>
                <w:sz w:val="16"/>
              </w:rPr>
              <w:t>50m / 64 Mi</w:t>
            </w:r>
          </w:p>
        </w:tc>
        <w:tc>
          <w:tcPr>
            <w:tcW w:type="dxa" w:w="1473"/>
            <w:tcMar>
              <w:top w:w="50" w:type="dxa"/>
              <w:bottom w:w="50" w:type="dxa"/>
              <w:left w:w="90" w:type="dxa"/>
              <w:right w:w="90" w:type="dxa"/>
            </w:tcMar>
            <w:shd w:val="clear" w:color="auto" w:fill="E5F5FF"/>
          </w:tcPr>
          <w:p>
            <w:pPr>
              <w:pStyle w:val="BDOITable"/>
            </w:pPr>
            <w:r>
              <w:rPr>
                <w:sz w:val="16"/>
              </w:rPr>
              <w:t>500m / 256 Mi</w:t>
            </w:r>
          </w:p>
        </w:tc>
        <w:tc>
          <w:tcPr>
            <w:tcW w:type="dxa" w:w="294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133"/>
            <w:tcMar>
              <w:top w:w="50" w:type="dxa"/>
              <w:bottom w:w="50" w:type="dxa"/>
              <w:left w:w="90" w:type="dxa"/>
              <w:right w:w="90" w:type="dxa"/>
            </w:tcMar>
          </w:tcPr>
          <w:p>
            <w:pPr>
              <w:pStyle w:val="BDOITable"/>
            </w:pPr>
            <w:r>
              <w:rPr>
                <w:b/>
                <w:sz w:val="16"/>
              </w:rPr>
              <w:t>UAT</w:t>
            </w:r>
          </w:p>
        </w:tc>
        <w:tc>
          <w:tcPr>
            <w:tcW w:type="dxa" w:w="1813"/>
            <w:tcMar>
              <w:top w:w="50" w:type="dxa"/>
              <w:bottom w:w="50" w:type="dxa"/>
              <w:left w:w="90" w:type="dxa"/>
              <w:right w:w="90" w:type="dxa"/>
            </w:tcMar>
          </w:tcPr>
          <w:p>
            <w:pPr>
              <w:pStyle w:val="BDOITable"/>
            </w:pPr>
            <w:r>
              <w:rPr>
                <w:sz w:val="16"/>
              </w:rPr>
              <w:t>brokerverse-backend</w:t>
            </w:r>
          </w:p>
        </w:tc>
        <w:tc>
          <w:tcPr>
            <w:tcW w:type="dxa" w:w="567"/>
            <w:tcMar>
              <w:top w:w="50" w:type="dxa"/>
              <w:bottom w:w="50" w:type="dxa"/>
              <w:left w:w="90" w:type="dxa"/>
              <w:right w:w="90" w:type="dxa"/>
            </w:tcMar>
          </w:tcPr>
          <w:p>
            <w:pPr>
              <w:pStyle w:val="BDOITable"/>
            </w:pPr>
            <w:r>
              <w:rPr>
                <w:sz w:val="16"/>
              </w:rPr>
              <w:t>2</w:t>
            </w:r>
          </w:p>
        </w:tc>
        <w:tc>
          <w:tcPr>
            <w:tcW w:type="dxa" w:w="567"/>
            <w:tcMar>
              <w:top w:w="50" w:type="dxa"/>
              <w:bottom w:w="50" w:type="dxa"/>
              <w:left w:w="90" w:type="dxa"/>
              <w:right w:w="90" w:type="dxa"/>
            </w:tcMar>
          </w:tcPr>
          <w:p>
            <w:pPr>
              <w:pStyle w:val="BDOITable"/>
            </w:pPr>
            <w:r>
              <w:rPr>
                <w:sz w:val="16"/>
              </w:rPr>
              <w:t>4</w:t>
            </w:r>
          </w:p>
        </w:tc>
        <w:tc>
          <w:tcPr>
            <w:tcW w:type="dxa" w:w="1473"/>
            <w:tcMar>
              <w:top w:w="50" w:type="dxa"/>
              <w:bottom w:w="50" w:type="dxa"/>
              <w:left w:w="90" w:type="dxa"/>
              <w:right w:w="90" w:type="dxa"/>
            </w:tcMar>
          </w:tcPr>
          <w:p>
            <w:pPr>
              <w:pStyle w:val="BDOITable"/>
            </w:pPr>
            <w:r>
              <w:rPr>
                <w:sz w:val="16"/>
              </w:rPr>
              <w:t>1 / 2 Gi</w:t>
            </w:r>
          </w:p>
        </w:tc>
        <w:tc>
          <w:tcPr>
            <w:tcW w:type="dxa" w:w="1473"/>
            <w:tcMar>
              <w:top w:w="50" w:type="dxa"/>
              <w:bottom w:w="50" w:type="dxa"/>
              <w:left w:w="90" w:type="dxa"/>
              <w:right w:w="90" w:type="dxa"/>
            </w:tcMar>
          </w:tcPr>
          <w:p>
            <w:pPr>
              <w:pStyle w:val="BDOITable"/>
            </w:pPr>
            <w:r>
              <w:rPr>
                <w:sz w:val="16"/>
              </w:rPr>
              <w:t>2 / 4 Gi</w:t>
            </w:r>
          </w:p>
        </w:tc>
        <w:tc>
          <w:tcPr>
            <w:tcW w:type="dxa" w:w="2946"/>
            <w:tcMar>
              <w:top w:w="50" w:type="dxa"/>
              <w:bottom w:w="50" w:type="dxa"/>
              <w:left w:w="90" w:type="dxa"/>
              <w:right w:w="90" w:type="dxa"/>
            </w:tcMar>
          </w:tcPr>
          <w:p>
            <w:pPr>
              <w:pStyle w:val="BDOITable"/>
            </w:pPr>
            <w:r>
              <w:rPr>
                <w:sz w:val="16"/>
              </w:rPr>
              <w:t>Trial-migration loads run here (Trial migration 3)</w:t>
            </w:r>
          </w:p>
        </w:tc>
      </w:tr>
      <w:tr>
        <w:trPr>
          <w:cantSplit w:val="true"/>
        </w:trPr>
        <w:tc>
          <w:tcPr>
            <w:tcW w:type="dxa" w:w="1133"/>
            <w:tcMar>
              <w:top w:w="50" w:type="dxa"/>
              <w:bottom w:w="50" w:type="dxa"/>
              <w:left w:w="90" w:type="dxa"/>
              <w:right w:w="90" w:type="dxa"/>
            </w:tcMar>
            <w:shd w:val="clear" w:color="auto" w:fill="E5F5FF"/>
          </w:tcPr>
          <w:p>
            <w:pPr>
              <w:pStyle w:val="BDOITable"/>
            </w:pPr>
            <w:r>
              <w:rPr>
                <w:b/>
                <w:sz w:val="16"/>
              </w:rPr>
              <w:t>UAT</w:t>
            </w:r>
          </w:p>
        </w:tc>
        <w:tc>
          <w:tcPr>
            <w:tcW w:type="dxa" w:w="1813"/>
            <w:tcMar>
              <w:top w:w="50" w:type="dxa"/>
              <w:bottom w:w="50" w:type="dxa"/>
              <w:left w:w="90" w:type="dxa"/>
              <w:right w:w="90" w:type="dxa"/>
            </w:tcMar>
            <w:shd w:val="clear" w:color="auto" w:fill="E5F5FF"/>
          </w:tcPr>
          <w:p>
            <w:pPr>
              <w:pStyle w:val="BDOITable"/>
            </w:pPr>
            <w:r>
              <w:rPr>
                <w:sz w:val="16"/>
              </w:rPr>
              <w:t>brokerverse-frontend</w:t>
            </w:r>
          </w:p>
        </w:tc>
        <w:tc>
          <w:tcPr>
            <w:tcW w:type="dxa" w:w="567"/>
            <w:tcMar>
              <w:top w:w="50" w:type="dxa"/>
              <w:bottom w:w="50" w:type="dxa"/>
              <w:left w:w="90" w:type="dxa"/>
              <w:right w:w="90" w:type="dxa"/>
            </w:tcMar>
            <w:shd w:val="clear" w:color="auto" w:fill="E5F5FF"/>
          </w:tcPr>
          <w:p>
            <w:pPr>
              <w:pStyle w:val="BDOITable"/>
            </w:pPr>
            <w:r>
              <w:rPr>
                <w:sz w:val="16"/>
              </w:rPr>
              <w:t>2</w:t>
            </w:r>
          </w:p>
        </w:tc>
        <w:tc>
          <w:tcPr>
            <w:tcW w:type="dxa" w:w="567"/>
            <w:tcMar>
              <w:top w:w="50" w:type="dxa"/>
              <w:bottom w:w="50" w:type="dxa"/>
              <w:left w:w="90" w:type="dxa"/>
              <w:right w:w="90" w:type="dxa"/>
            </w:tcMar>
            <w:shd w:val="clear" w:color="auto" w:fill="E5F5FF"/>
          </w:tcPr>
          <w:p>
            <w:pPr>
              <w:pStyle w:val="BDOITable"/>
            </w:pPr>
            <w:r>
              <w:rPr>
                <w:sz w:val="16"/>
              </w:rPr>
              <w:t>3</w:t>
            </w:r>
          </w:p>
        </w:tc>
        <w:tc>
          <w:tcPr>
            <w:tcW w:type="dxa" w:w="1473"/>
            <w:tcMar>
              <w:top w:w="50" w:type="dxa"/>
              <w:bottom w:w="50" w:type="dxa"/>
              <w:left w:w="90" w:type="dxa"/>
              <w:right w:w="90" w:type="dxa"/>
            </w:tcMar>
            <w:shd w:val="clear" w:color="auto" w:fill="E5F5FF"/>
          </w:tcPr>
          <w:p>
            <w:pPr>
              <w:pStyle w:val="BDOITable"/>
            </w:pPr>
            <w:r>
              <w:rPr>
                <w:sz w:val="16"/>
              </w:rPr>
              <w:t>50m / 64 Mi</w:t>
            </w:r>
          </w:p>
        </w:tc>
        <w:tc>
          <w:tcPr>
            <w:tcW w:type="dxa" w:w="1473"/>
            <w:tcMar>
              <w:top w:w="50" w:type="dxa"/>
              <w:bottom w:w="50" w:type="dxa"/>
              <w:left w:w="90" w:type="dxa"/>
              <w:right w:w="90" w:type="dxa"/>
            </w:tcMar>
            <w:shd w:val="clear" w:color="auto" w:fill="E5F5FF"/>
          </w:tcPr>
          <w:p>
            <w:pPr>
              <w:pStyle w:val="BDOITable"/>
            </w:pPr>
            <w:r>
              <w:rPr>
                <w:sz w:val="16"/>
              </w:rPr>
              <w:t>500m / 256 Mi</w:t>
            </w:r>
          </w:p>
        </w:tc>
        <w:tc>
          <w:tcPr>
            <w:tcW w:type="dxa" w:w="294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133"/>
            <w:tcMar>
              <w:top w:w="50" w:type="dxa"/>
              <w:bottom w:w="50" w:type="dxa"/>
              <w:left w:w="90" w:type="dxa"/>
              <w:right w:w="90" w:type="dxa"/>
            </w:tcMar>
          </w:tcPr>
          <w:p>
            <w:pPr>
              <w:pStyle w:val="BDOITable"/>
            </w:pPr>
            <w:r>
              <w:rPr>
                <w:b/>
                <w:sz w:val="16"/>
              </w:rPr>
              <w:t>Pre-Prod</w:t>
            </w:r>
          </w:p>
        </w:tc>
        <w:tc>
          <w:tcPr>
            <w:tcW w:type="dxa" w:w="1813"/>
            <w:tcMar>
              <w:top w:w="50" w:type="dxa"/>
              <w:bottom w:w="50" w:type="dxa"/>
              <w:left w:w="90" w:type="dxa"/>
              <w:right w:w="90" w:type="dxa"/>
            </w:tcMar>
          </w:tcPr>
          <w:p>
            <w:pPr>
              <w:pStyle w:val="BDOITable"/>
            </w:pPr>
            <w:r>
              <w:rPr>
                <w:sz w:val="16"/>
              </w:rPr>
              <w:t>brokerverse-backend</w:t>
            </w:r>
          </w:p>
        </w:tc>
        <w:tc>
          <w:tcPr>
            <w:tcW w:type="dxa" w:w="567"/>
            <w:tcMar>
              <w:top w:w="50" w:type="dxa"/>
              <w:bottom w:w="50" w:type="dxa"/>
              <w:left w:w="90" w:type="dxa"/>
              <w:right w:w="90" w:type="dxa"/>
            </w:tcMar>
          </w:tcPr>
          <w:p>
            <w:pPr>
              <w:pStyle w:val="BDOITable"/>
            </w:pPr>
            <w:r>
              <w:rPr>
                <w:sz w:val="16"/>
              </w:rPr>
              <w:t>3</w:t>
            </w:r>
          </w:p>
        </w:tc>
        <w:tc>
          <w:tcPr>
            <w:tcW w:type="dxa" w:w="567"/>
            <w:tcMar>
              <w:top w:w="50" w:type="dxa"/>
              <w:bottom w:w="50" w:type="dxa"/>
              <w:left w:w="90" w:type="dxa"/>
              <w:right w:w="90" w:type="dxa"/>
            </w:tcMar>
          </w:tcPr>
          <w:p>
            <w:pPr>
              <w:pStyle w:val="BDOITable"/>
            </w:pPr>
            <w:r>
              <w:rPr>
                <w:sz w:val="16"/>
              </w:rPr>
              <w:t>6</w:t>
            </w:r>
          </w:p>
        </w:tc>
        <w:tc>
          <w:tcPr>
            <w:tcW w:type="dxa" w:w="1473"/>
            <w:tcMar>
              <w:top w:w="50" w:type="dxa"/>
              <w:bottom w:w="50" w:type="dxa"/>
              <w:left w:w="90" w:type="dxa"/>
              <w:right w:w="90" w:type="dxa"/>
            </w:tcMar>
          </w:tcPr>
          <w:p>
            <w:pPr>
              <w:pStyle w:val="BDOITable"/>
            </w:pPr>
            <w:r>
              <w:rPr>
                <w:sz w:val="16"/>
              </w:rPr>
              <w:t>1 / 2 Gi</w:t>
            </w:r>
          </w:p>
        </w:tc>
        <w:tc>
          <w:tcPr>
            <w:tcW w:type="dxa" w:w="1473"/>
            <w:tcMar>
              <w:top w:w="50" w:type="dxa"/>
              <w:bottom w:w="50" w:type="dxa"/>
              <w:left w:w="90" w:type="dxa"/>
              <w:right w:w="90" w:type="dxa"/>
            </w:tcMar>
          </w:tcPr>
          <w:p>
            <w:pPr>
              <w:pStyle w:val="BDOITable"/>
            </w:pPr>
            <w:r>
              <w:rPr>
                <w:sz w:val="16"/>
              </w:rPr>
              <w:t>2 / 4 Gi</w:t>
            </w:r>
          </w:p>
        </w:tc>
        <w:tc>
          <w:tcPr>
            <w:tcW w:type="dxa" w:w="2946"/>
            <w:tcMar>
              <w:top w:w="50" w:type="dxa"/>
              <w:bottom w:w="50" w:type="dxa"/>
              <w:left w:w="90" w:type="dxa"/>
              <w:right w:w="90" w:type="dxa"/>
            </w:tcMar>
          </w:tcPr>
          <w:p>
            <w:pPr>
              <w:pStyle w:val="BDOITable"/>
            </w:pPr>
            <w:r>
              <w:rPr>
                <w:sz w:val="16"/>
              </w:rPr>
              <w:t>Production-sized; performance test and dress rehearsal</w:t>
            </w:r>
          </w:p>
        </w:tc>
      </w:tr>
      <w:tr>
        <w:trPr>
          <w:cantSplit w:val="true"/>
        </w:trPr>
        <w:tc>
          <w:tcPr>
            <w:tcW w:type="dxa" w:w="1133"/>
            <w:tcMar>
              <w:top w:w="50" w:type="dxa"/>
              <w:bottom w:w="50" w:type="dxa"/>
              <w:left w:w="90" w:type="dxa"/>
              <w:right w:w="90" w:type="dxa"/>
            </w:tcMar>
            <w:shd w:val="clear" w:color="auto" w:fill="E5F5FF"/>
          </w:tcPr>
          <w:p>
            <w:pPr>
              <w:pStyle w:val="BDOITable"/>
            </w:pPr>
            <w:r>
              <w:rPr>
                <w:b/>
                <w:sz w:val="16"/>
              </w:rPr>
              <w:t>Pre-Prod</w:t>
            </w:r>
          </w:p>
        </w:tc>
        <w:tc>
          <w:tcPr>
            <w:tcW w:type="dxa" w:w="1813"/>
            <w:tcMar>
              <w:top w:w="50" w:type="dxa"/>
              <w:bottom w:w="50" w:type="dxa"/>
              <w:left w:w="90" w:type="dxa"/>
              <w:right w:w="90" w:type="dxa"/>
            </w:tcMar>
            <w:shd w:val="clear" w:color="auto" w:fill="E5F5FF"/>
          </w:tcPr>
          <w:p>
            <w:pPr>
              <w:pStyle w:val="BDOITable"/>
            </w:pPr>
            <w:r>
              <w:rPr>
                <w:sz w:val="16"/>
              </w:rPr>
              <w:t>brokerverse-frontend</w:t>
            </w:r>
          </w:p>
        </w:tc>
        <w:tc>
          <w:tcPr>
            <w:tcW w:type="dxa" w:w="567"/>
            <w:tcMar>
              <w:top w:w="50" w:type="dxa"/>
              <w:bottom w:w="50" w:type="dxa"/>
              <w:left w:w="90" w:type="dxa"/>
              <w:right w:w="90" w:type="dxa"/>
            </w:tcMar>
            <w:shd w:val="clear" w:color="auto" w:fill="E5F5FF"/>
          </w:tcPr>
          <w:p>
            <w:pPr>
              <w:pStyle w:val="BDOITable"/>
            </w:pPr>
            <w:r>
              <w:rPr>
                <w:sz w:val="16"/>
              </w:rPr>
              <w:t>2</w:t>
            </w:r>
          </w:p>
        </w:tc>
        <w:tc>
          <w:tcPr>
            <w:tcW w:type="dxa" w:w="567"/>
            <w:tcMar>
              <w:top w:w="50" w:type="dxa"/>
              <w:bottom w:w="50" w:type="dxa"/>
              <w:left w:w="90" w:type="dxa"/>
              <w:right w:w="90" w:type="dxa"/>
            </w:tcMar>
            <w:shd w:val="clear" w:color="auto" w:fill="E5F5FF"/>
          </w:tcPr>
          <w:p>
            <w:pPr>
              <w:pStyle w:val="BDOITable"/>
            </w:pPr>
            <w:r>
              <w:rPr>
                <w:sz w:val="16"/>
              </w:rPr>
              <w:t>4</w:t>
            </w:r>
          </w:p>
        </w:tc>
        <w:tc>
          <w:tcPr>
            <w:tcW w:type="dxa" w:w="1473"/>
            <w:tcMar>
              <w:top w:w="50" w:type="dxa"/>
              <w:bottom w:w="50" w:type="dxa"/>
              <w:left w:w="90" w:type="dxa"/>
              <w:right w:w="90" w:type="dxa"/>
            </w:tcMar>
            <w:shd w:val="clear" w:color="auto" w:fill="E5F5FF"/>
          </w:tcPr>
          <w:p>
            <w:pPr>
              <w:pStyle w:val="BDOITable"/>
            </w:pPr>
            <w:r>
              <w:rPr>
                <w:sz w:val="16"/>
              </w:rPr>
              <w:t>50m / 64 Mi</w:t>
            </w:r>
          </w:p>
        </w:tc>
        <w:tc>
          <w:tcPr>
            <w:tcW w:type="dxa" w:w="1473"/>
            <w:tcMar>
              <w:top w:w="50" w:type="dxa"/>
              <w:bottom w:w="50" w:type="dxa"/>
              <w:left w:w="90" w:type="dxa"/>
              <w:right w:w="90" w:type="dxa"/>
            </w:tcMar>
            <w:shd w:val="clear" w:color="auto" w:fill="E5F5FF"/>
          </w:tcPr>
          <w:p>
            <w:pPr>
              <w:pStyle w:val="BDOITable"/>
            </w:pPr>
            <w:r>
              <w:rPr>
                <w:sz w:val="16"/>
              </w:rPr>
              <w:t>500m / 256 Mi</w:t>
            </w:r>
          </w:p>
        </w:tc>
        <w:tc>
          <w:tcPr>
            <w:tcW w:type="dxa" w:w="294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133"/>
            <w:tcMar>
              <w:top w:w="50" w:type="dxa"/>
              <w:bottom w:w="50" w:type="dxa"/>
              <w:left w:w="90" w:type="dxa"/>
              <w:right w:w="90" w:type="dxa"/>
            </w:tcMar>
          </w:tcPr>
          <w:p>
            <w:pPr>
              <w:pStyle w:val="BDOITable"/>
            </w:pPr>
            <w:r>
              <w:rPr>
                <w:b/>
                <w:sz w:val="16"/>
              </w:rPr>
              <w:t>PROD (Y1)</w:t>
            </w:r>
          </w:p>
        </w:tc>
        <w:tc>
          <w:tcPr>
            <w:tcW w:type="dxa" w:w="1813"/>
            <w:tcMar>
              <w:top w:w="50" w:type="dxa"/>
              <w:bottom w:w="50" w:type="dxa"/>
              <w:left w:w="90" w:type="dxa"/>
              <w:right w:w="90" w:type="dxa"/>
            </w:tcMar>
          </w:tcPr>
          <w:p>
            <w:pPr>
              <w:pStyle w:val="BDOITable"/>
            </w:pPr>
            <w:r>
              <w:rPr>
                <w:sz w:val="16"/>
              </w:rPr>
              <w:t>brokerverse-backend</w:t>
            </w:r>
          </w:p>
        </w:tc>
        <w:tc>
          <w:tcPr>
            <w:tcW w:type="dxa" w:w="567"/>
            <w:tcMar>
              <w:top w:w="50" w:type="dxa"/>
              <w:bottom w:w="50" w:type="dxa"/>
              <w:left w:w="90" w:type="dxa"/>
              <w:right w:w="90" w:type="dxa"/>
            </w:tcMar>
          </w:tcPr>
          <w:p>
            <w:pPr>
              <w:pStyle w:val="BDOITable"/>
            </w:pPr>
            <w:r>
              <w:rPr>
                <w:sz w:val="16"/>
              </w:rPr>
              <w:t>3</w:t>
            </w:r>
          </w:p>
        </w:tc>
        <w:tc>
          <w:tcPr>
            <w:tcW w:type="dxa" w:w="567"/>
            <w:tcMar>
              <w:top w:w="50" w:type="dxa"/>
              <w:bottom w:w="50" w:type="dxa"/>
              <w:left w:w="90" w:type="dxa"/>
              <w:right w:w="90" w:type="dxa"/>
            </w:tcMar>
          </w:tcPr>
          <w:p>
            <w:pPr>
              <w:pStyle w:val="BDOITable"/>
            </w:pPr>
            <w:r>
              <w:rPr>
                <w:sz w:val="16"/>
              </w:rPr>
              <w:t>6</w:t>
            </w:r>
          </w:p>
        </w:tc>
        <w:tc>
          <w:tcPr>
            <w:tcW w:type="dxa" w:w="1473"/>
            <w:tcMar>
              <w:top w:w="50" w:type="dxa"/>
              <w:bottom w:w="50" w:type="dxa"/>
              <w:left w:w="90" w:type="dxa"/>
              <w:right w:w="90" w:type="dxa"/>
            </w:tcMar>
          </w:tcPr>
          <w:p>
            <w:pPr>
              <w:pStyle w:val="BDOITable"/>
            </w:pPr>
            <w:r>
              <w:rPr>
                <w:sz w:val="16"/>
              </w:rPr>
              <w:t>1 / 2 Gi</w:t>
            </w:r>
          </w:p>
        </w:tc>
        <w:tc>
          <w:tcPr>
            <w:tcW w:type="dxa" w:w="1473"/>
            <w:tcMar>
              <w:top w:w="50" w:type="dxa"/>
              <w:bottom w:w="50" w:type="dxa"/>
              <w:left w:w="90" w:type="dxa"/>
              <w:right w:w="90" w:type="dxa"/>
            </w:tcMar>
          </w:tcPr>
          <w:p>
            <w:pPr>
              <w:pStyle w:val="BDOITable"/>
            </w:pPr>
            <w:r>
              <w:rPr>
                <w:sz w:val="16"/>
              </w:rPr>
              <w:t>2 / 4 Gi</w:t>
            </w:r>
          </w:p>
        </w:tc>
        <w:tc>
          <w:tcPr>
            <w:tcW w:type="dxa" w:w="2946"/>
            <w:tcMar>
              <w:top w:w="50" w:type="dxa"/>
              <w:bottom w:w="50" w:type="dxa"/>
              <w:left w:w="90" w:type="dxa"/>
              <w:right w:w="90" w:type="dxa"/>
            </w:tcMar>
          </w:tcPr>
          <w:p>
            <w:pPr>
              <w:pStyle w:val="BDOITable"/>
            </w:pPr>
            <w:r>
              <w:rPr>
                <w:sz w:val="16"/>
              </w:rPr>
              <w:t>HPA on CPU; pod disruption budget minAvailable 2; spread over 3 AZs</w:t>
            </w:r>
          </w:p>
        </w:tc>
      </w:tr>
      <w:tr>
        <w:trPr>
          <w:cantSplit w:val="true"/>
        </w:trPr>
        <w:tc>
          <w:tcPr>
            <w:tcW w:type="dxa" w:w="1133"/>
            <w:tcMar>
              <w:top w:w="50" w:type="dxa"/>
              <w:bottom w:w="50" w:type="dxa"/>
              <w:left w:w="90" w:type="dxa"/>
              <w:right w:w="90" w:type="dxa"/>
            </w:tcMar>
            <w:shd w:val="clear" w:color="auto" w:fill="E5F5FF"/>
          </w:tcPr>
          <w:p>
            <w:pPr>
              <w:pStyle w:val="BDOITable"/>
            </w:pPr>
            <w:r>
              <w:rPr>
                <w:b/>
                <w:sz w:val="16"/>
              </w:rPr>
              <w:t>PROD (Y1)</w:t>
            </w:r>
          </w:p>
        </w:tc>
        <w:tc>
          <w:tcPr>
            <w:tcW w:type="dxa" w:w="1813"/>
            <w:tcMar>
              <w:top w:w="50" w:type="dxa"/>
              <w:bottom w:w="50" w:type="dxa"/>
              <w:left w:w="90" w:type="dxa"/>
              <w:right w:w="90" w:type="dxa"/>
            </w:tcMar>
            <w:shd w:val="clear" w:color="auto" w:fill="E5F5FF"/>
          </w:tcPr>
          <w:p>
            <w:pPr>
              <w:pStyle w:val="BDOITable"/>
            </w:pPr>
            <w:r>
              <w:rPr>
                <w:sz w:val="16"/>
              </w:rPr>
              <w:t>brokerverse-frontend</w:t>
            </w:r>
          </w:p>
        </w:tc>
        <w:tc>
          <w:tcPr>
            <w:tcW w:type="dxa" w:w="567"/>
            <w:tcMar>
              <w:top w:w="50" w:type="dxa"/>
              <w:bottom w:w="50" w:type="dxa"/>
              <w:left w:w="90" w:type="dxa"/>
              <w:right w:w="90" w:type="dxa"/>
            </w:tcMar>
            <w:shd w:val="clear" w:color="auto" w:fill="E5F5FF"/>
          </w:tcPr>
          <w:p>
            <w:pPr>
              <w:pStyle w:val="BDOITable"/>
            </w:pPr>
            <w:r>
              <w:rPr>
                <w:sz w:val="16"/>
              </w:rPr>
              <w:t>2</w:t>
            </w:r>
          </w:p>
        </w:tc>
        <w:tc>
          <w:tcPr>
            <w:tcW w:type="dxa" w:w="567"/>
            <w:tcMar>
              <w:top w:w="50" w:type="dxa"/>
              <w:bottom w:w="50" w:type="dxa"/>
              <w:left w:w="90" w:type="dxa"/>
              <w:right w:w="90" w:type="dxa"/>
            </w:tcMar>
            <w:shd w:val="clear" w:color="auto" w:fill="E5F5FF"/>
          </w:tcPr>
          <w:p>
            <w:pPr>
              <w:pStyle w:val="BDOITable"/>
            </w:pPr>
            <w:r>
              <w:rPr>
                <w:sz w:val="16"/>
              </w:rPr>
              <w:t>4</w:t>
            </w:r>
          </w:p>
        </w:tc>
        <w:tc>
          <w:tcPr>
            <w:tcW w:type="dxa" w:w="1473"/>
            <w:tcMar>
              <w:top w:w="50" w:type="dxa"/>
              <w:bottom w:w="50" w:type="dxa"/>
              <w:left w:w="90" w:type="dxa"/>
              <w:right w:w="90" w:type="dxa"/>
            </w:tcMar>
            <w:shd w:val="clear" w:color="auto" w:fill="E5F5FF"/>
          </w:tcPr>
          <w:p>
            <w:pPr>
              <w:pStyle w:val="BDOITable"/>
            </w:pPr>
            <w:r>
              <w:rPr>
                <w:sz w:val="16"/>
              </w:rPr>
              <w:t>50m / 64 Mi</w:t>
            </w:r>
          </w:p>
        </w:tc>
        <w:tc>
          <w:tcPr>
            <w:tcW w:type="dxa" w:w="1473"/>
            <w:tcMar>
              <w:top w:w="50" w:type="dxa"/>
              <w:bottom w:w="50" w:type="dxa"/>
              <w:left w:w="90" w:type="dxa"/>
              <w:right w:w="90" w:type="dxa"/>
            </w:tcMar>
            <w:shd w:val="clear" w:color="auto" w:fill="E5F5FF"/>
          </w:tcPr>
          <w:p>
            <w:pPr>
              <w:pStyle w:val="BDOITable"/>
            </w:pPr>
            <w:r>
              <w:rPr>
                <w:sz w:val="16"/>
              </w:rPr>
              <w:t>500m / 256 Mi</w:t>
            </w:r>
          </w:p>
        </w:tc>
        <w:tc>
          <w:tcPr>
            <w:tcW w:type="dxa" w:w="2946"/>
            <w:tcMar>
              <w:top w:w="50" w:type="dxa"/>
              <w:bottom w:w="50" w:type="dxa"/>
              <w:left w:w="90" w:type="dxa"/>
              <w:right w:w="90" w:type="dxa"/>
            </w:tcMar>
            <w:shd w:val="clear" w:color="auto" w:fill="E5F5FF"/>
          </w:tcPr>
          <w:p>
            <w:pPr>
              <w:pStyle w:val="BDOITable"/>
            </w:pPr>
            <w:r>
              <w:rPr>
                <w:sz w:val="16"/>
              </w:rPr>
              <w:t>PDB minAvailable 1</w:t>
            </w:r>
          </w:p>
        </w:tc>
      </w:tr>
      <w:tr>
        <w:trPr>
          <w:cantSplit w:val="true"/>
        </w:trPr>
        <w:tc>
          <w:tcPr>
            <w:tcW w:type="dxa" w:w="1133"/>
            <w:tcMar>
              <w:top w:w="50" w:type="dxa"/>
              <w:bottom w:w="50" w:type="dxa"/>
              <w:left w:w="90" w:type="dxa"/>
              <w:right w:w="90" w:type="dxa"/>
            </w:tcMar>
          </w:tcPr>
          <w:p>
            <w:pPr>
              <w:pStyle w:val="BDOITable"/>
            </w:pPr>
            <w:r>
              <w:rPr>
                <w:b/>
                <w:sz w:val="16"/>
              </w:rPr>
              <w:t>PROD (Y5)</w:t>
            </w:r>
          </w:p>
        </w:tc>
        <w:tc>
          <w:tcPr>
            <w:tcW w:type="dxa" w:w="1813"/>
            <w:tcMar>
              <w:top w:w="50" w:type="dxa"/>
              <w:bottom w:w="50" w:type="dxa"/>
              <w:left w:w="90" w:type="dxa"/>
              <w:right w:w="90" w:type="dxa"/>
            </w:tcMar>
          </w:tcPr>
          <w:p>
            <w:pPr>
              <w:pStyle w:val="BDOITable"/>
            </w:pPr>
            <w:r>
              <w:rPr>
                <w:sz w:val="16"/>
              </w:rPr>
              <w:t>brokerverse-backend</w:t>
            </w:r>
          </w:p>
        </w:tc>
        <w:tc>
          <w:tcPr>
            <w:tcW w:type="dxa" w:w="567"/>
            <w:tcMar>
              <w:top w:w="50" w:type="dxa"/>
              <w:bottom w:w="50" w:type="dxa"/>
              <w:left w:w="90" w:type="dxa"/>
              <w:right w:w="90" w:type="dxa"/>
            </w:tcMar>
          </w:tcPr>
          <w:p>
            <w:pPr>
              <w:pStyle w:val="BDOITable"/>
            </w:pPr>
            <w:r>
              <w:rPr>
                <w:sz w:val="16"/>
              </w:rPr>
              <w:t>4</w:t>
            </w:r>
          </w:p>
        </w:tc>
        <w:tc>
          <w:tcPr>
            <w:tcW w:type="dxa" w:w="567"/>
            <w:tcMar>
              <w:top w:w="50" w:type="dxa"/>
              <w:bottom w:w="50" w:type="dxa"/>
              <w:left w:w="90" w:type="dxa"/>
              <w:right w:w="90" w:type="dxa"/>
            </w:tcMar>
          </w:tcPr>
          <w:p>
            <w:pPr>
              <w:pStyle w:val="BDOITable"/>
            </w:pPr>
            <w:r>
              <w:rPr>
                <w:sz w:val="16"/>
              </w:rPr>
              <w:t>8</w:t>
            </w:r>
          </w:p>
        </w:tc>
        <w:tc>
          <w:tcPr>
            <w:tcW w:type="dxa" w:w="1473"/>
            <w:tcMar>
              <w:top w:w="50" w:type="dxa"/>
              <w:bottom w:w="50" w:type="dxa"/>
              <w:left w:w="90" w:type="dxa"/>
              <w:right w:w="90" w:type="dxa"/>
            </w:tcMar>
          </w:tcPr>
          <w:p>
            <w:pPr>
              <w:pStyle w:val="BDOITable"/>
            </w:pPr>
            <w:r>
              <w:rPr>
                <w:sz w:val="16"/>
              </w:rPr>
              <w:t>1 / 2 Gi</w:t>
            </w:r>
          </w:p>
        </w:tc>
        <w:tc>
          <w:tcPr>
            <w:tcW w:type="dxa" w:w="1473"/>
            <w:tcMar>
              <w:top w:w="50" w:type="dxa"/>
              <w:bottom w:w="50" w:type="dxa"/>
              <w:left w:w="90" w:type="dxa"/>
              <w:right w:w="90" w:type="dxa"/>
            </w:tcMar>
          </w:tcPr>
          <w:p>
            <w:pPr>
              <w:pStyle w:val="BDOITable"/>
            </w:pPr>
            <w:r>
              <w:rPr>
                <w:sz w:val="16"/>
              </w:rPr>
              <w:t>2 / 4 Gi</w:t>
            </w:r>
          </w:p>
        </w:tc>
        <w:tc>
          <w:tcPr>
            <w:tcW w:type="dxa" w:w="2946"/>
            <w:tcMar>
              <w:top w:w="50" w:type="dxa"/>
              <w:bottom w:w="50" w:type="dxa"/>
              <w:left w:w="90" w:type="dxa"/>
              <w:right w:w="90" w:type="dxa"/>
            </w:tcMar>
          </w:tcPr>
          <w:p>
            <w:pPr>
              <w:pStyle w:val="BDOITable"/>
            </w:pPr>
            <w:r>
              <w:rPr>
                <w:sz w:val="16"/>
              </w:rPr>
              <w:t>15 % growth a year; to be proved by the performance test</w:t>
            </w:r>
          </w:p>
        </w:tc>
      </w:tr>
      <w:tr>
        <w:trPr>
          <w:cantSplit w:val="true"/>
        </w:trPr>
        <w:tc>
          <w:tcPr>
            <w:tcW w:type="dxa" w:w="1133"/>
            <w:tcMar>
              <w:top w:w="50" w:type="dxa"/>
              <w:bottom w:w="50" w:type="dxa"/>
              <w:left w:w="90" w:type="dxa"/>
              <w:right w:w="90" w:type="dxa"/>
            </w:tcMar>
            <w:shd w:val="clear" w:color="auto" w:fill="E5F5FF"/>
          </w:tcPr>
          <w:p>
            <w:pPr>
              <w:pStyle w:val="BDOITable"/>
            </w:pPr>
            <w:r>
              <w:rPr>
                <w:b/>
                <w:sz w:val="16"/>
              </w:rPr>
              <w:t>DR</w:t>
            </w:r>
          </w:p>
        </w:tc>
        <w:tc>
          <w:tcPr>
            <w:tcW w:type="dxa" w:w="1813"/>
            <w:tcMar>
              <w:top w:w="50" w:type="dxa"/>
              <w:bottom w:w="50" w:type="dxa"/>
              <w:left w:w="90" w:type="dxa"/>
              <w:right w:w="90" w:type="dxa"/>
            </w:tcMar>
            <w:shd w:val="clear" w:color="auto" w:fill="E5F5FF"/>
          </w:tcPr>
          <w:p>
            <w:pPr>
              <w:pStyle w:val="BDOITable"/>
            </w:pPr>
            <w:r>
              <w:rPr>
                <w:sz w:val="16"/>
              </w:rPr>
              <w:t>brokerverse-backend</w:t>
            </w:r>
          </w:p>
        </w:tc>
        <w:tc>
          <w:tcPr>
            <w:tcW w:type="dxa" w:w="567"/>
            <w:tcMar>
              <w:top w:w="50" w:type="dxa"/>
              <w:bottom w:w="50" w:type="dxa"/>
              <w:left w:w="90" w:type="dxa"/>
              <w:right w:w="90" w:type="dxa"/>
            </w:tcMar>
            <w:shd w:val="clear" w:color="auto" w:fill="E5F5FF"/>
          </w:tcPr>
          <w:p>
            <w:pPr>
              <w:pStyle w:val="BDOITable"/>
            </w:pPr>
            <w:r>
              <w:rPr>
                <w:sz w:val="16"/>
              </w:rPr>
              <w:t>0</w:t>
            </w:r>
          </w:p>
        </w:tc>
        <w:tc>
          <w:tcPr>
            <w:tcW w:type="dxa" w:w="567"/>
            <w:tcMar>
              <w:top w:w="50" w:type="dxa"/>
              <w:bottom w:w="50" w:type="dxa"/>
              <w:left w:w="90" w:type="dxa"/>
              <w:right w:w="90" w:type="dxa"/>
            </w:tcMar>
            <w:shd w:val="clear" w:color="auto" w:fill="E5F5FF"/>
          </w:tcPr>
          <w:p>
            <w:pPr>
              <w:pStyle w:val="BDOITable"/>
            </w:pPr>
            <w:r>
              <w:rPr>
                <w:sz w:val="16"/>
              </w:rPr>
              <w:t>6</w:t>
            </w:r>
          </w:p>
        </w:tc>
        <w:tc>
          <w:tcPr>
            <w:tcW w:type="dxa" w:w="1473"/>
            <w:tcMar>
              <w:top w:w="50" w:type="dxa"/>
              <w:bottom w:w="50" w:type="dxa"/>
              <w:left w:w="90" w:type="dxa"/>
              <w:right w:w="90" w:type="dxa"/>
            </w:tcMar>
            <w:shd w:val="clear" w:color="auto" w:fill="E5F5FF"/>
          </w:tcPr>
          <w:p>
            <w:pPr>
              <w:pStyle w:val="BDOITable"/>
            </w:pPr>
            <w:r>
              <w:rPr>
                <w:sz w:val="16"/>
              </w:rPr>
              <w:t>1 / 2 Gi</w:t>
            </w:r>
          </w:p>
        </w:tc>
        <w:tc>
          <w:tcPr>
            <w:tcW w:type="dxa" w:w="1473"/>
            <w:tcMar>
              <w:top w:w="50" w:type="dxa"/>
              <w:bottom w:w="50" w:type="dxa"/>
              <w:left w:w="90" w:type="dxa"/>
              <w:right w:w="90" w:type="dxa"/>
            </w:tcMar>
            <w:shd w:val="clear" w:color="auto" w:fill="E5F5FF"/>
          </w:tcPr>
          <w:p>
            <w:pPr>
              <w:pStyle w:val="BDOITable"/>
            </w:pPr>
            <w:r>
              <w:rPr>
                <w:sz w:val="16"/>
              </w:rPr>
              <w:t>2 / 4 Gi</w:t>
            </w:r>
          </w:p>
        </w:tc>
        <w:tc>
          <w:tcPr>
            <w:tcW w:type="dxa" w:w="2946"/>
            <w:tcMar>
              <w:top w:w="50" w:type="dxa"/>
              <w:bottom w:w="50" w:type="dxa"/>
              <w:left w:w="90" w:type="dxa"/>
              <w:right w:w="90" w:type="dxa"/>
            </w:tcMar>
            <w:shd w:val="clear" w:color="auto" w:fill="E5F5FF"/>
          </w:tcPr>
          <w:p>
            <w:pPr>
              <w:pStyle w:val="BDOITable"/>
            </w:pPr>
            <w:r>
              <w:rPr>
                <w:sz w:val="16"/>
              </w:rPr>
              <w:t>Scaled up at failover (warm standby); images and configuration kept current</w:t>
            </w:r>
          </w:p>
        </w:tc>
      </w:tr>
    </w:tbl>
    <w:p>
      <w:pPr>
        <w:pStyle w:val="BDOISpacer"/>
      </w:pPr>
    </w:p>
    <w:p>
      <w:pPr>
        <w:pStyle w:val="Heading2"/>
      </w:pPr>
      <w:bookmarkStart w:id="130" w:name="_Toc000130"/>
      <w:r>
        <w:rPr/>
        <w:t>6.6 Environments, hours and disaster recovery</w:t>
      </w:r>
      <w:bookmarkEnd w:id="130"/>
    </w:p>
    <w:p>
      <w:pPr>
        <w:tabs>
          <w:tab w:pos="312" w:val="left"/>
        </w:tabs>
        <w:spacing w:after="40"/>
        <w:ind w:left="312" w:hanging="283"/>
      </w:pPr>
      <w:r>
        <w:rPr>
          <w:color w:val="004EA8"/>
        </w:rPr>
        <w:t>•</w:t>
        <w:tab/>
      </w:r>
      <w:r>
        <w:rPr>
          <w:b/>
        </w:rPr>
        <w:t>Six environments</w:t>
      </w:r>
      <w:r>
        <w:rPr/>
        <w:t xml:space="preserve"> are needed: DEV, SIT, UAT, Pre-Prod (dress rehearsal and performance test), PROD and DR. The IER has Kubernetes sheets for DEV, SIT, UAT and PROD only, and its Pre-Prod sheet is titled "UAT ENVIRONMENT" (IQ33).</w:t>
      </w:r>
    </w:p>
    <w:p>
      <w:pPr>
        <w:tabs>
          <w:tab w:pos="312" w:val="left"/>
        </w:tabs>
        <w:spacing w:after="40"/>
        <w:ind w:left="312" w:hanging="283"/>
      </w:pPr>
      <w:r>
        <w:rPr>
          <w:color w:val="004EA8"/>
        </w:rPr>
        <w:t>•</w:t>
        <w:tab/>
      </w:r>
      <w:r>
        <w:rPr>
          <w:b/>
        </w:rPr>
        <w:t>12 x 5 non-production hours</w:t>
      </w:r>
      <w:r>
        <w:rPr/>
        <w:t xml:space="preserve"> do not cover the BIBS night jobs (EOD booking and remittance extraction at 20:00, Collections files from 22:15 to 23:00, renewal extraction and screening at 01:00, application file at 05:00). In non-production the schedules are moved into the working window by configuration, and extended hours are booked for batch and month-end test cycles, trial migrations (weekend loads) and the dress rehearsal. MSK and ElastiCache cannot be stopped, so only the EKS nodes and RDS instances follow the 12 x 5 hours (IQ27).</w:t>
      </w:r>
    </w:p>
    <w:p>
      <w:pPr>
        <w:tabs>
          <w:tab w:pos="312" w:val="left"/>
        </w:tabs>
        <w:spacing w:after="40"/>
        <w:ind w:left="312" w:hanging="283"/>
      </w:pPr>
      <w:r>
        <w:rPr>
          <w:color w:val="004EA8"/>
        </w:rPr>
        <w:t>•</w:t>
        <w:tab/>
      </w:r>
      <w:r>
        <w:rPr>
          <w:b/>
        </w:rPr>
        <w:t>RPO 15 minutes and RTO 4 hours</w:t>
      </w:r>
      <w:r>
        <w:rPr/>
        <w:t xml:space="preserve"> answer register item DCR-135 (the register proposed the same values); RDS point-in-time recovery and the cross-region replica meet the RPO, and S3 replication with replication time control covers the documents.</w:t>
      </w:r>
    </w:p>
    <w:p>
      <w:pPr>
        <w:tabs>
          <w:tab w:pos="312" w:val="left"/>
        </w:tabs>
        <w:spacing w:after="120"/>
        <w:ind w:left="312" w:hanging="283"/>
      </w:pPr>
      <w:r>
        <w:rPr>
          <w:color w:val="004EA8"/>
        </w:rPr>
        <w:t>•</w:t>
        <w:tab/>
      </w:r>
      <w:r>
        <w:rPr>
          <w:b/>
        </w:rPr>
        <w:t>DR region.</w:t>
      </w:r>
      <w:r>
        <w:rPr/>
        <w:t xml:space="preserve"> The HW sheet names a cross-region read replica; the diagram names ap-southeast-1 with a warm standby; the hosting appendix places BIBS in ap-southeast-1 with access restricted to personnel in the Philippines. The DR region and data residency must be confirmed (IQ26). At failover the backend is scaled up in DR, Valkey is re-created (caches refill; revoked tokens are lost until they expire, at most 8 hours) and MSK is recreated; events not yet delivered are resent from the database outbox.</w:t>
      </w:r>
    </w:p>
    <w:p>
      <w:pPr>
        <w:pStyle w:val="Heading2"/>
      </w:pPr>
      <w:bookmarkStart w:id="131" w:name="_Toc000131"/>
      <w:r>
        <w:rPr/>
        <w:t>6.7 Changes needed</w:t>
      </w:r>
      <w:bookmarkEnd w:id="131"/>
    </w:p>
    <w:p>
      <w:pPr>
        <w:pStyle w:val="Caption"/>
        <w:keepNext/>
        <w:spacing w:after="60"/>
      </w:pPr>
      <w:r>
        <w:rPr>
          <w:b/>
          <w:i w:val="0"/>
        </w:rPr>
        <w:t xml:space="preserve">Table 20: </w:t>
      </w:r>
      <w:r>
        <w:rPr/>
        <w:t>Changes needed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7"/>
        <w:gridCol w:w="6805"/>
        <w:gridCol w:w="1759"/>
      </w:tblGrid>
      <w:tr>
        <w:trPr>
          <w:tblHeader w:val="true"/>
          <w:cantSplit w:val="true"/>
        </w:trPr>
        <w:tc>
          <w:tcPr>
            <w:tcW w:type="dxa" w:w="1408"/>
            <w:shd w:val="clear" w:color="auto" w:fill="004EA8"/>
            <w:tcMar>
              <w:top w:w="50" w:type="dxa"/>
              <w:bottom w:w="50" w:type="dxa"/>
              <w:left w:w="90" w:type="dxa"/>
              <w:right w:w="90" w:type="dxa"/>
            </w:tcMar>
            <w:vAlign w:val="center"/>
          </w:tcPr>
          <w:p>
            <w:pPr>
              <w:pStyle w:val="BDOITableHeader"/>
            </w:pPr>
            <w:r>
              <w:rPr>
                <w:b/>
                <w:color w:val="FFFFFF"/>
                <w:sz w:val="17"/>
              </w:rPr>
              <w:t>Area</w:t>
            </w:r>
          </w:p>
        </w:tc>
        <w:tc>
          <w:tcPr>
            <w:tcW w:type="dxa" w:w="6804"/>
            <w:shd w:val="clear" w:color="auto" w:fill="004EA8"/>
            <w:tcMar>
              <w:top w:w="50" w:type="dxa"/>
              <w:bottom w:w="50" w:type="dxa"/>
              <w:left w:w="90" w:type="dxa"/>
              <w:right w:w="90" w:type="dxa"/>
            </w:tcMar>
            <w:vAlign w:val="center"/>
          </w:tcPr>
          <w:p>
            <w:pPr>
              <w:pStyle w:val="BDOITableHeader"/>
            </w:pPr>
            <w:r>
              <w:rPr>
                <w:b/>
                <w:color w:val="FFFFFF"/>
                <w:sz w:val="17"/>
              </w:rPr>
              <w:t>Change</w:t>
            </w:r>
          </w:p>
        </w:tc>
        <w:tc>
          <w:tcPr>
            <w:tcW w:type="dxa" w:w="1760"/>
            <w:shd w:val="clear" w:color="auto" w:fill="004EA8"/>
            <w:tcMar>
              <w:top w:w="50" w:type="dxa"/>
              <w:bottom w:w="50" w:type="dxa"/>
              <w:left w:w="90" w:type="dxa"/>
              <w:right w:w="90" w:type="dxa"/>
            </w:tcMar>
            <w:vAlign w:val="center"/>
          </w:tcPr>
          <w:p>
            <w:pPr>
              <w:pStyle w:val="BDOITableHeader"/>
            </w:pPr>
            <w:r>
              <w:rPr>
                <w:b/>
                <w:color w:val="FFFFFF"/>
                <w:sz w:val="17"/>
              </w:rPr>
              <w:t>Owner</w:t>
            </w:r>
          </w:p>
        </w:tc>
      </w:tr>
      <w:tr>
        <w:trPr>
          <w:cantSplit w:val="true"/>
        </w:trPr>
        <w:tc>
          <w:tcPr>
            <w:tcW w:type="dxa" w:w="1408"/>
            <w:tcMar>
              <w:top w:w="50" w:type="dxa"/>
              <w:bottom w:w="50" w:type="dxa"/>
              <w:left w:w="90" w:type="dxa"/>
              <w:right w:w="90" w:type="dxa"/>
            </w:tcMar>
          </w:tcPr>
          <w:p>
            <w:pPr>
              <w:pStyle w:val="BDOITable"/>
            </w:pPr>
            <w:r>
              <w:rPr>
                <w:b/>
                <w:sz w:val="17"/>
              </w:rPr>
              <w:t>IER</w:t>
            </w:r>
          </w:p>
        </w:tc>
        <w:tc>
          <w:tcPr>
            <w:tcW w:type="dxa" w:w="6804"/>
            <w:tcMar>
              <w:top w:w="50" w:type="dxa"/>
              <w:bottom w:w="50" w:type="dxa"/>
              <w:left w:w="90" w:type="dxa"/>
              <w:right w:w="90" w:type="dxa"/>
            </w:tcMar>
          </w:tcPr>
          <w:p>
            <w:pPr>
              <w:pStyle w:val="BDOITable"/>
            </w:pPr>
            <w:r>
              <w:rPr>
                <w:sz w:val="17"/>
              </w:rPr>
              <w:t>Replace the architecture diagrams with Figures 3 and 4; restate the Kubernetes sheets with the sizing of section 6.4; add Pre-Prod and DR cluster sheets; retitle the Pre-Prod sheet; replace the template rows of the environment cost sheets; remove EFS; add the S3, KMS, VPC gateway, replication and malware-scanning rows; "RHEL 9.x" removed from the RDS rows; ElastiCache for Valkey 8 with "cluster mode disabled"; MSK Kafka 3.9; a Gateway API controller in place of ingress-nginx; VDI software list with Temurin 21, Maven 3.9 and Node 22</w:t>
            </w:r>
          </w:p>
        </w:tc>
        <w:tc>
          <w:tcPr>
            <w:tcW w:type="dxa" w:w="1760"/>
            <w:tcMar>
              <w:top w:w="50" w:type="dxa"/>
              <w:bottom w:w="50" w:type="dxa"/>
              <w:left w:w="90" w:type="dxa"/>
              <w:right w:w="90" w:type="dxa"/>
            </w:tcMar>
          </w:tcPr>
          <w:p>
            <w:pPr>
              <w:pStyle w:val="BDOITable"/>
            </w:pPr>
            <w:r>
              <w:rPr>
                <w:sz w:val="17"/>
              </w:rPr>
              <w:t>BDOI IT with iorta TechNXT</w:t>
            </w:r>
          </w:p>
        </w:tc>
      </w:tr>
      <w:tr>
        <w:trPr>
          <w:cantSplit w:val="true"/>
        </w:trPr>
        <w:tc>
          <w:tcPr>
            <w:tcW w:type="dxa" w:w="1408"/>
            <w:tcMar>
              <w:top w:w="50" w:type="dxa"/>
              <w:bottom w:w="50" w:type="dxa"/>
              <w:left w:w="90" w:type="dxa"/>
              <w:right w:w="90" w:type="dxa"/>
            </w:tcMar>
            <w:shd w:val="clear" w:color="auto" w:fill="E5F5FF"/>
          </w:tcPr>
          <w:p>
            <w:pPr>
              <w:pStyle w:val="BDOITable"/>
            </w:pPr>
            <w:r>
              <w:rPr>
                <w:b/>
                <w:sz w:val="17"/>
              </w:rPr>
              <w:t>BIBS</w:t>
            </w:r>
          </w:p>
        </w:tc>
        <w:tc>
          <w:tcPr>
            <w:tcW w:type="dxa" w:w="6804"/>
            <w:tcMar>
              <w:top w:w="50" w:type="dxa"/>
              <w:bottom w:w="50" w:type="dxa"/>
              <w:left w:w="90" w:type="dxa"/>
              <w:right w:w="90" w:type="dxa"/>
            </w:tcMar>
            <w:shd w:val="clear" w:color="auto" w:fill="E5F5FF"/>
          </w:tcPr>
          <w:p>
            <w:pPr>
              <w:pStyle w:val="BDOITable"/>
            </w:pPr>
            <w:r>
              <w:rPr>
                <w:sz w:val="17"/>
              </w:rPr>
              <w:t>S3 document store and the copy of the existing files; EIAM OIDC sign-in; UIDM-ISC provisioning; bank channel files; EGL and EDP extracts; non-production schedules by configuration</w:t>
            </w:r>
          </w:p>
        </w:tc>
        <w:tc>
          <w:tcPr>
            <w:tcW w:type="dxa" w:w="1760"/>
            <w:tcMar>
              <w:top w:w="50" w:type="dxa"/>
              <w:bottom w:w="50" w:type="dxa"/>
              <w:left w:w="90" w:type="dxa"/>
              <w:right w:w="90" w:type="dxa"/>
            </w:tcMar>
            <w:shd w:val="clear" w:color="auto" w:fill="E5F5FF"/>
          </w:tcPr>
          <w:p>
            <w:pPr>
              <w:pStyle w:val="BDOITable"/>
            </w:pPr>
            <w:r>
              <w:rPr>
                <w:sz w:val="17"/>
              </w:rPr>
              <w:t>iorta TechNXT</w:t>
            </w:r>
          </w:p>
        </w:tc>
      </w:tr>
      <w:tr>
        <w:trPr>
          <w:cantSplit w:val="true"/>
        </w:trPr>
        <w:tc>
          <w:tcPr>
            <w:tcW w:type="dxa" w:w="1408"/>
            <w:tcMar>
              <w:top w:w="50" w:type="dxa"/>
              <w:bottom w:w="50" w:type="dxa"/>
              <w:left w:w="90" w:type="dxa"/>
              <w:right w:w="90" w:type="dxa"/>
            </w:tcMar>
          </w:tcPr>
          <w:p>
            <w:pPr>
              <w:pStyle w:val="BDOITable"/>
            </w:pPr>
            <w:r>
              <w:rPr>
                <w:b/>
                <w:sz w:val="17"/>
              </w:rPr>
              <w:t>BIBS deployment</w:t>
            </w:r>
          </w:p>
        </w:tc>
        <w:tc>
          <w:tcPr>
            <w:tcW w:type="dxa" w:w="6804"/>
            <w:tcMar>
              <w:top w:w="50" w:type="dxa"/>
              <w:bottom w:w="50" w:type="dxa"/>
              <w:left w:w="90" w:type="dxa"/>
              <w:right w:w="90" w:type="dxa"/>
            </w:tcMar>
          </w:tcPr>
          <w:p>
            <w:pPr>
              <w:pStyle w:val="BDOITable"/>
            </w:pPr>
            <w:r>
              <w:rPr>
                <w:sz w:val="17"/>
              </w:rPr>
              <w:t>Helm chart or Kustomize overlays per environment (replicas, HPA, PDB, IRSA service account, topology spread); Kafka replication factor 2 on 2-broker MSK in DEV and SIT; pipeline on the BDO toolchain (IQ29)</w:t>
            </w:r>
          </w:p>
        </w:tc>
        <w:tc>
          <w:tcPr>
            <w:tcW w:type="dxa" w:w="1760"/>
            <w:tcMar>
              <w:top w:w="50" w:type="dxa"/>
              <w:bottom w:w="50" w:type="dxa"/>
              <w:left w:w="90" w:type="dxa"/>
              <w:right w:w="90" w:type="dxa"/>
            </w:tcMar>
          </w:tcPr>
          <w:p>
            <w:pPr>
              <w:pStyle w:val="BDOITable"/>
            </w:pPr>
            <w:r>
              <w:rPr>
                <w:sz w:val="17"/>
              </w:rPr>
              <w:t>iorta TechNXT</w:t>
            </w:r>
          </w:p>
        </w:tc>
      </w:tr>
      <w:tr>
        <w:trPr>
          <w:cantSplit w:val="true"/>
        </w:trPr>
        <w:tc>
          <w:tcPr>
            <w:tcW w:type="dxa" w:w="1408"/>
            <w:tcMar>
              <w:top w:w="50" w:type="dxa"/>
              <w:bottom w:w="50" w:type="dxa"/>
              <w:left w:w="90" w:type="dxa"/>
              <w:right w:w="90" w:type="dxa"/>
            </w:tcMar>
            <w:shd w:val="clear" w:color="auto" w:fill="E5F5FF"/>
          </w:tcPr>
          <w:p>
            <w:pPr>
              <w:pStyle w:val="BDOITable"/>
            </w:pPr>
            <w:r>
              <w:rPr>
                <w:b/>
                <w:sz w:val="17"/>
              </w:rPr>
              <w:t>Documents</w:t>
            </w:r>
          </w:p>
        </w:tc>
        <w:tc>
          <w:tcPr>
            <w:tcW w:type="dxa" w:w="6804"/>
            <w:tcMar>
              <w:top w:w="50" w:type="dxa"/>
              <w:bottom w:w="50" w:type="dxa"/>
              <w:left w:w="90" w:type="dxa"/>
              <w:right w:w="90" w:type="dxa"/>
            </w:tcMar>
            <w:shd w:val="clear" w:color="auto" w:fill="E5F5FF"/>
          </w:tcPr>
          <w:p>
            <w:pPr>
              <w:pStyle w:val="BDOITable"/>
            </w:pPr>
            <w:r>
              <w:rPr>
                <w:sz w:val="17"/>
              </w:rPr>
              <w:t>Bill of materials and deployment architecture (deliverables 4 and 12) from this chapter; security mapping (deliverable 26) with EIAM, UIDM-ISC and S3 encryption; DR runbook</w:t>
            </w:r>
          </w:p>
        </w:tc>
        <w:tc>
          <w:tcPr>
            <w:tcW w:type="dxa" w:w="1760"/>
            <w:tcMar>
              <w:top w:w="50" w:type="dxa"/>
              <w:bottom w:w="50" w:type="dxa"/>
              <w:left w:w="90" w:type="dxa"/>
              <w:right w:w="90" w:type="dxa"/>
            </w:tcMar>
            <w:shd w:val="clear" w:color="auto" w:fill="E5F5FF"/>
          </w:tcPr>
          <w:p>
            <w:pPr>
              <w:pStyle w:val="BDOITable"/>
            </w:pPr>
            <w:r>
              <w:rPr>
                <w:sz w:val="17"/>
              </w:rPr>
              <w:t>iorta TechNXT</w:t>
            </w:r>
          </w:p>
        </w:tc>
      </w:tr>
    </w:tbl>
    <w:p>
      <w:pPr>
        <w:pStyle w:val="BDOISpacer"/>
      </w:pPr>
    </w:p>
    <w:p>
      <w:pPr>
        <w:pStyle w:val="Heading1"/>
        <w:pageBreakBefore/>
        <w:pBdr>
          <w:bottom w:val="single" w:sz="4" w:space="4" w:color="99C1E7"/>
        </w:pBdr>
      </w:pPr>
      <w:bookmarkStart w:id="132" w:name="_Toc000132"/>
      <w:r>
        <w:rPr/>
        <w:t>7 Open questions for BDOI</w:t>
      </w:r>
      <w:bookmarkEnd w:id="132"/>
    </w:p>
    <w:p>
      <w:r>
        <w:rPr/>
        <w:t>Priority 1 questions shape the scope and are needed by 16 October 2026; priority 2 by 30 November 2026; priority 3 before the delivery of the item concerned.</w:t>
      </w:r>
    </w:p>
    <w:p>
      <w:pPr>
        <w:pStyle w:val="Caption"/>
        <w:keepNext/>
        <w:spacing w:after="60"/>
      </w:pPr>
      <w:r>
        <w:rPr>
          <w:b/>
          <w:i w:val="0"/>
        </w:rPr>
        <w:t xml:space="preserve">Table 21: </w:t>
      </w:r>
      <w:r>
        <w:rPr/>
        <w:t>Open questions for BDOI, by priority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12"/>
        <w:gridCol w:w="668"/>
        <w:gridCol w:w="1448"/>
        <w:gridCol w:w="5571"/>
        <w:gridCol w:w="1671"/>
      </w:tblGrid>
      <w:tr>
        <w:trPr>
          <w:tblHeader w:val="true"/>
          <w:cantSplit w:val="true"/>
        </w:trPr>
        <w:tc>
          <w:tcPr>
            <w:tcW w:type="dxa" w:w="613"/>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669"/>
            <w:shd w:val="clear" w:color="auto" w:fill="004EA8"/>
            <w:tcMar>
              <w:top w:w="50" w:type="dxa"/>
              <w:bottom w:w="50" w:type="dxa"/>
              <w:left w:w="90" w:type="dxa"/>
              <w:right w:w="90" w:type="dxa"/>
            </w:tcMar>
            <w:vAlign w:val="center"/>
          </w:tcPr>
          <w:p>
            <w:pPr>
              <w:pStyle w:val="BDOITableHeader"/>
            </w:pPr>
            <w:r>
              <w:rPr>
                <w:b/>
                <w:color w:val="FFFFFF"/>
                <w:sz w:val="15"/>
              </w:rPr>
              <w:t>Prio.</w:t>
            </w:r>
          </w:p>
        </w:tc>
        <w:tc>
          <w:tcPr>
            <w:tcW w:type="dxa" w:w="1448"/>
            <w:shd w:val="clear" w:color="auto" w:fill="004EA8"/>
            <w:tcMar>
              <w:top w:w="50" w:type="dxa"/>
              <w:bottom w:w="50" w:type="dxa"/>
              <w:left w:w="90" w:type="dxa"/>
              <w:right w:w="90" w:type="dxa"/>
            </w:tcMar>
            <w:vAlign w:val="center"/>
          </w:tcPr>
          <w:p>
            <w:pPr>
              <w:pStyle w:val="BDOITableHeader"/>
            </w:pPr>
            <w:r>
              <w:rPr>
                <w:b/>
                <w:color w:val="FFFFFF"/>
                <w:sz w:val="15"/>
              </w:rPr>
              <w:t>Topic</w:t>
            </w:r>
          </w:p>
        </w:tc>
        <w:tc>
          <w:tcPr>
            <w:tcW w:type="dxa" w:w="5571"/>
            <w:shd w:val="clear" w:color="auto" w:fill="004EA8"/>
            <w:tcMar>
              <w:top w:w="50" w:type="dxa"/>
              <w:bottom w:w="50" w:type="dxa"/>
              <w:left w:w="90" w:type="dxa"/>
              <w:right w:w="90" w:type="dxa"/>
            </w:tcMar>
            <w:vAlign w:val="center"/>
          </w:tcPr>
          <w:p>
            <w:pPr>
              <w:pStyle w:val="BDOITableHeader"/>
            </w:pPr>
            <w:r>
              <w:rPr>
                <w:b/>
                <w:color w:val="FFFFFF"/>
                <w:sz w:val="15"/>
              </w:rPr>
              <w:t>Question</w:t>
            </w:r>
          </w:p>
        </w:tc>
        <w:tc>
          <w:tcPr>
            <w:tcW w:type="dxa" w:w="1671"/>
            <w:shd w:val="clear" w:color="auto" w:fill="004EA8"/>
            <w:tcMar>
              <w:top w:w="50" w:type="dxa"/>
              <w:bottom w:w="50" w:type="dxa"/>
              <w:left w:w="90" w:type="dxa"/>
              <w:right w:w="90" w:type="dxa"/>
            </w:tcMar>
            <w:vAlign w:val="center"/>
          </w:tcPr>
          <w:p>
            <w:pPr>
              <w:pStyle w:val="BDOITableHeader"/>
            </w:pPr>
            <w:r>
              <w:rPr>
                <w:b/>
                <w:color w:val="FFFFFF"/>
                <w:sz w:val="15"/>
              </w:rPr>
              <w:t>Source</w:t>
            </w:r>
          </w:p>
        </w:tc>
      </w:tr>
      <w:tr>
        <w:trPr>
          <w:cantSplit w:val="true"/>
        </w:trPr>
        <w:tc>
          <w:tcPr>
            <w:tcW w:type="dxa" w:w="613"/>
            <w:tcMar>
              <w:top w:w="50" w:type="dxa"/>
              <w:bottom w:w="50" w:type="dxa"/>
              <w:left w:w="90" w:type="dxa"/>
              <w:right w:w="90" w:type="dxa"/>
            </w:tcMar>
          </w:tcPr>
          <w:p>
            <w:pPr>
              <w:pStyle w:val="BDOITable"/>
            </w:pPr>
            <w:r>
              <w:rPr>
                <w:b/>
                <w:sz w:val="15"/>
              </w:rPr>
              <w:t>IQ01</w:t>
            </w:r>
          </w:p>
        </w:tc>
        <w:tc>
          <w:tcPr>
            <w:tcW w:type="dxa" w:w="669"/>
            <w:tcMar>
              <w:top w:w="50" w:type="dxa"/>
              <w:bottom w:w="50" w:type="dxa"/>
              <w:left w:w="90" w:type="dxa"/>
              <w:right w:w="90" w:type="dxa"/>
            </w:tcMar>
          </w:tcPr>
          <w:p>
            <w:pPr>
              <w:pStyle w:val="BDOITable"/>
            </w:pPr>
            <w:r>
              <w:rPr>
                <w:sz w:val="15"/>
              </w:rPr>
              <w:t>1</w:t>
            </w:r>
          </w:p>
        </w:tc>
        <w:tc>
          <w:tcPr>
            <w:tcW w:type="dxa" w:w="1448"/>
            <w:tcMar>
              <w:top w:w="50" w:type="dxa"/>
              <w:bottom w:w="50" w:type="dxa"/>
              <w:left w:w="90" w:type="dxa"/>
              <w:right w:w="90" w:type="dxa"/>
            </w:tcMar>
          </w:tcPr>
          <w:p>
            <w:pPr>
              <w:pStyle w:val="BDOITable"/>
            </w:pPr>
            <w:r>
              <w:rPr>
                <w:sz w:val="15"/>
              </w:rPr>
              <w:t>Go-live date</w:t>
            </w:r>
          </w:p>
        </w:tc>
        <w:tc>
          <w:tcPr>
            <w:tcW w:type="dxa" w:w="5571"/>
            <w:tcMar>
              <w:top w:w="50" w:type="dxa"/>
              <w:bottom w:w="50" w:type="dxa"/>
              <w:left w:w="90" w:type="dxa"/>
              <w:right w:w="90" w:type="dxa"/>
            </w:tcMar>
          </w:tcPr>
          <w:p>
            <w:pPr>
              <w:pStyle w:val="BDOITable"/>
            </w:pPr>
            <w:r>
              <w:rPr>
                <w:sz w:val="15"/>
              </w:rPr>
              <w:t>Which date in January 2028 is T? We propose Monday 3 January 2028, with the legacy freeze after the EOD of Wednesday 29 December 2027 and the legacy December / year-end close completed in legacy before the final extracts. If T is later in January, the migration rule "first business day of a month after a legacy month-end close" (DMQ25) no longer holds and the GL opening needs a short January period.</w:t>
            </w:r>
          </w:p>
        </w:tc>
        <w:tc>
          <w:tcPr>
            <w:tcW w:type="dxa" w:w="1671"/>
            <w:tcMar>
              <w:top w:w="50" w:type="dxa"/>
              <w:bottom w:w="50" w:type="dxa"/>
              <w:left w:w="90" w:type="dxa"/>
              <w:right w:w="90" w:type="dxa"/>
            </w:tcMar>
          </w:tcPr>
          <w:p>
            <w:pPr>
              <w:pStyle w:val="BDOITable"/>
            </w:pPr>
            <w:r>
              <w:rPr>
                <w:sz w:val="15"/>
              </w:rPr>
              <w:t>Timeline slide; answer A1; DMQ25, DMQ18</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IQ04</w:t>
            </w:r>
          </w:p>
        </w:tc>
        <w:tc>
          <w:tcPr>
            <w:tcW w:type="dxa" w:w="669"/>
            <w:tcMar>
              <w:top w:w="50" w:type="dxa"/>
              <w:bottom w:w="50" w:type="dxa"/>
              <w:left w:w="90" w:type="dxa"/>
              <w:right w:w="90" w:type="dxa"/>
            </w:tcMar>
            <w:shd w:val="clear" w:color="auto" w:fill="E5F5FF"/>
          </w:tcPr>
          <w:p>
            <w:pPr>
              <w:pStyle w:val="BDOITable"/>
            </w:pPr>
            <w:r>
              <w:rPr>
                <w:sz w:val="15"/>
              </w:rPr>
              <w:t>1</w:t>
            </w:r>
          </w:p>
        </w:tc>
        <w:tc>
          <w:tcPr>
            <w:tcW w:type="dxa" w:w="1448"/>
            <w:tcMar>
              <w:top w:w="50" w:type="dxa"/>
              <w:bottom w:w="50" w:type="dxa"/>
              <w:left w:w="90" w:type="dxa"/>
              <w:right w:w="90" w:type="dxa"/>
            </w:tcMar>
            <w:shd w:val="clear" w:color="auto" w:fill="E5F5FF"/>
          </w:tcPr>
          <w:p>
            <w:pPr>
              <w:pStyle w:val="BDOITable"/>
            </w:pPr>
            <w:r>
              <w:rPr>
                <w:sz w:val="15"/>
              </w:rPr>
              <w:t>EIAM (Entra ID)</w:t>
            </w:r>
          </w:p>
        </w:tc>
        <w:tc>
          <w:tcPr>
            <w:tcW w:type="dxa" w:w="5571"/>
            <w:tcMar>
              <w:top w:w="50" w:type="dxa"/>
              <w:bottom w:w="50" w:type="dxa"/>
              <w:left w:w="90" w:type="dxa"/>
              <w:right w:w="90" w:type="dxa"/>
            </w:tcMar>
            <w:shd w:val="clear" w:color="auto" w:fill="E5F5FF"/>
          </w:tcPr>
          <w:p>
            <w:pPr>
              <w:pStyle w:val="BDOITable"/>
            </w:pPr>
            <w:r>
              <w:rPr>
                <w:sz w:val="15"/>
              </w:rPr>
              <w:t>Please confirm OpenID Connect (authorisation code with PKCE) against Entra ID; the claim that identifies the user (UPN, Windows ID or employee number); MFA and conditional access; token and session lifetimes against the 30-minute inactivity rule; whether EIAM replaces EUA (DCR-143); how non-BDO users (if any) sign in; and whether a local break-glass administrator is allowed.</w:t>
            </w:r>
          </w:p>
        </w:tc>
        <w:tc>
          <w:tcPr>
            <w:tcW w:type="dxa" w:w="1671"/>
            <w:tcMar>
              <w:top w:w="50" w:type="dxa"/>
              <w:bottom w:w="50" w:type="dxa"/>
              <w:left w:w="90" w:type="dxa"/>
              <w:right w:w="90" w:type="dxa"/>
            </w:tcMar>
            <w:shd w:val="clear" w:color="auto" w:fill="E5F5FF"/>
          </w:tcPr>
          <w:p>
            <w:pPr>
              <w:pStyle w:val="BDOITable"/>
            </w:pPr>
            <w:r>
              <w:rPr>
                <w:sz w:val="15"/>
              </w:rPr>
              <w:t>Drop plan Drop 0; answer A2; UAM-NFR-11, 17, 19</w:t>
            </w:r>
          </w:p>
        </w:tc>
      </w:tr>
      <w:tr>
        <w:trPr>
          <w:cantSplit w:val="true"/>
        </w:trPr>
        <w:tc>
          <w:tcPr>
            <w:tcW w:type="dxa" w:w="613"/>
            <w:tcMar>
              <w:top w:w="50" w:type="dxa"/>
              <w:bottom w:w="50" w:type="dxa"/>
              <w:left w:w="90" w:type="dxa"/>
              <w:right w:w="90" w:type="dxa"/>
            </w:tcMar>
          </w:tcPr>
          <w:p>
            <w:pPr>
              <w:pStyle w:val="BDOITable"/>
            </w:pPr>
            <w:r>
              <w:rPr>
                <w:b/>
                <w:sz w:val="15"/>
              </w:rPr>
              <w:t>IQ05</w:t>
            </w:r>
          </w:p>
        </w:tc>
        <w:tc>
          <w:tcPr>
            <w:tcW w:type="dxa" w:w="669"/>
            <w:tcMar>
              <w:top w:w="50" w:type="dxa"/>
              <w:bottom w:w="50" w:type="dxa"/>
              <w:left w:w="90" w:type="dxa"/>
              <w:right w:w="90" w:type="dxa"/>
            </w:tcMar>
          </w:tcPr>
          <w:p>
            <w:pPr>
              <w:pStyle w:val="BDOITable"/>
            </w:pPr>
            <w:r>
              <w:rPr>
                <w:sz w:val="15"/>
              </w:rPr>
              <w:t>1</w:t>
            </w:r>
          </w:p>
        </w:tc>
        <w:tc>
          <w:tcPr>
            <w:tcW w:type="dxa" w:w="1448"/>
            <w:tcMar>
              <w:top w:w="50" w:type="dxa"/>
              <w:bottom w:w="50" w:type="dxa"/>
              <w:left w:w="90" w:type="dxa"/>
              <w:right w:w="90" w:type="dxa"/>
            </w:tcMar>
          </w:tcPr>
          <w:p>
            <w:pPr>
              <w:pStyle w:val="BDOITable"/>
            </w:pPr>
            <w:r>
              <w:rPr>
                <w:sz w:val="15"/>
              </w:rPr>
              <w:t>UIDM-ISC (IGA)</w:t>
            </w:r>
          </w:p>
        </w:tc>
        <w:tc>
          <w:tcPr>
            <w:tcW w:type="dxa" w:w="5571"/>
            <w:tcMar>
              <w:top w:w="50" w:type="dxa"/>
              <w:bottom w:w="50" w:type="dxa"/>
              <w:left w:w="90" w:type="dxa"/>
              <w:right w:w="90" w:type="dxa"/>
            </w:tcMar>
          </w:tcPr>
          <w:p>
            <w:pPr>
              <w:pStyle w:val="BDOITable"/>
            </w:pPr>
            <w:r>
              <w:rPr>
                <w:sz w:val="15"/>
              </w:rPr>
              <w:t>Does UIDM-ISC own access requests and approvals, replacing the BRD-11 request workflow in BIBS, or does it only provision approved changes? Which connector (SCIM 2.0, REST, flat file)? Are entitlements the BIBS group profiles (roles) only? Frequency of aggregation and certification; leaver timing.</w:t>
            </w:r>
          </w:p>
        </w:tc>
        <w:tc>
          <w:tcPr>
            <w:tcW w:type="dxa" w:w="1671"/>
            <w:tcMar>
              <w:top w:w="50" w:type="dxa"/>
              <w:bottom w:w="50" w:type="dxa"/>
              <w:left w:w="90" w:type="dxa"/>
              <w:right w:w="90" w:type="dxa"/>
            </w:tcMar>
          </w:tcPr>
          <w:p>
            <w:pPr>
              <w:pStyle w:val="BDOITable"/>
            </w:pPr>
            <w:r>
              <w:rPr>
                <w:sz w:val="15"/>
              </w:rPr>
              <w:t>Drop plan Drop 0; answer A2; BRD-11</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IQ10</w:t>
            </w:r>
          </w:p>
        </w:tc>
        <w:tc>
          <w:tcPr>
            <w:tcW w:type="dxa" w:w="669"/>
            <w:tcMar>
              <w:top w:w="50" w:type="dxa"/>
              <w:bottom w:w="50" w:type="dxa"/>
              <w:left w:w="90" w:type="dxa"/>
              <w:right w:w="90" w:type="dxa"/>
            </w:tcMar>
            <w:shd w:val="clear" w:color="auto" w:fill="E5F5FF"/>
          </w:tcPr>
          <w:p>
            <w:pPr>
              <w:pStyle w:val="BDOITable"/>
            </w:pPr>
            <w:r>
              <w:rPr>
                <w:sz w:val="15"/>
              </w:rPr>
              <w:t>1</w:t>
            </w:r>
          </w:p>
        </w:tc>
        <w:tc>
          <w:tcPr>
            <w:tcW w:type="dxa" w:w="1448"/>
            <w:tcMar>
              <w:top w:w="50" w:type="dxa"/>
              <w:bottom w:w="50" w:type="dxa"/>
              <w:left w:w="90" w:type="dxa"/>
              <w:right w:w="90" w:type="dxa"/>
            </w:tcMar>
            <w:shd w:val="clear" w:color="auto" w:fill="E5F5FF"/>
          </w:tcPr>
          <w:p>
            <w:pPr>
              <w:pStyle w:val="BDOITable"/>
            </w:pPr>
            <w:r>
              <w:rPr>
                <w:sz w:val="15"/>
              </w:rPr>
              <w:t>Bank channels</w:t>
            </w:r>
          </w:p>
        </w:tc>
        <w:tc>
          <w:tcPr>
            <w:tcW w:type="dxa" w:w="5571"/>
            <w:tcMar>
              <w:top w:w="50" w:type="dxa"/>
              <w:bottom w:w="50" w:type="dxa"/>
              <w:left w:w="90" w:type="dxa"/>
              <w:right w:w="90" w:type="dxa"/>
            </w:tcMar>
            <w:shd w:val="clear" w:color="auto" w:fill="E5F5FF"/>
          </w:tcPr>
          <w:p>
            <w:pPr>
              <w:pStyle w:val="BDOITable"/>
            </w:pPr>
            <w:r>
              <w:rPr>
                <w:sz w:val="15"/>
              </w:rPr>
              <w:t>For CMS / New BOB (outward payments), OBPCS (bills payment), Old BOB (SOA funds transfers) and AFTS: file layouts or APIs, host-to-host or user upload, cut-off times, status and debit confirmation. What is AFTS used for? Is ICBS out of scope (struck through)?</w:t>
            </w:r>
          </w:p>
        </w:tc>
        <w:tc>
          <w:tcPr>
            <w:tcW w:type="dxa" w:w="1671"/>
            <w:tcMar>
              <w:top w:w="50" w:type="dxa"/>
              <w:bottom w:w="50" w:type="dxa"/>
              <w:left w:w="90" w:type="dxa"/>
              <w:right w:w="90" w:type="dxa"/>
            </w:tcMar>
            <w:shd w:val="clear" w:color="auto" w:fill="E5F5FF"/>
          </w:tcPr>
          <w:p>
            <w:pPr>
              <w:pStyle w:val="BDOITable"/>
            </w:pPr>
            <w:r>
              <w:rPr>
                <w:sz w:val="15"/>
              </w:rPr>
              <w:t>Drop plan Drop 0; answer A2; AQ09, OQ03</w:t>
            </w:r>
          </w:p>
        </w:tc>
      </w:tr>
      <w:tr>
        <w:trPr>
          <w:cantSplit w:val="true"/>
        </w:trPr>
        <w:tc>
          <w:tcPr>
            <w:tcW w:type="dxa" w:w="613"/>
            <w:tcMar>
              <w:top w:w="50" w:type="dxa"/>
              <w:bottom w:w="50" w:type="dxa"/>
              <w:left w:w="90" w:type="dxa"/>
              <w:right w:w="90" w:type="dxa"/>
            </w:tcMar>
          </w:tcPr>
          <w:p>
            <w:pPr>
              <w:pStyle w:val="BDOITable"/>
            </w:pPr>
            <w:r>
              <w:rPr>
                <w:b/>
                <w:sz w:val="15"/>
              </w:rPr>
              <w:t>IQ15</w:t>
            </w:r>
          </w:p>
        </w:tc>
        <w:tc>
          <w:tcPr>
            <w:tcW w:type="dxa" w:w="669"/>
            <w:tcMar>
              <w:top w:w="50" w:type="dxa"/>
              <w:bottom w:w="50" w:type="dxa"/>
              <w:left w:w="90" w:type="dxa"/>
              <w:right w:w="90" w:type="dxa"/>
            </w:tcMar>
          </w:tcPr>
          <w:p>
            <w:pPr>
              <w:pStyle w:val="BDOITable"/>
            </w:pPr>
            <w:r>
              <w:rPr>
                <w:sz w:val="15"/>
              </w:rPr>
              <w:t>1</w:t>
            </w:r>
          </w:p>
        </w:tc>
        <w:tc>
          <w:tcPr>
            <w:tcW w:type="dxa" w:w="1448"/>
            <w:tcMar>
              <w:top w:w="50" w:type="dxa"/>
              <w:bottom w:w="50" w:type="dxa"/>
              <w:left w:w="90" w:type="dxa"/>
              <w:right w:w="90" w:type="dxa"/>
            </w:tcMar>
          </w:tcPr>
          <w:p>
            <w:pPr>
              <w:pStyle w:val="BDOITable"/>
            </w:pPr>
            <w:r>
              <w:rPr>
                <w:sz w:val="15"/>
              </w:rPr>
              <w:t>EDP (SD 11)</w:t>
            </w:r>
          </w:p>
        </w:tc>
        <w:tc>
          <w:tcPr>
            <w:tcW w:type="dxa" w:w="5571"/>
            <w:tcMar>
              <w:top w:w="50" w:type="dxa"/>
              <w:bottom w:w="50" w:type="dxa"/>
              <w:left w:w="90" w:type="dxa"/>
              <w:right w:w="90" w:type="dxa"/>
            </w:tcMar>
          </w:tcPr>
          <w:p>
            <w:pPr>
              <w:pStyle w:val="BDOITable"/>
            </w:pPr>
            <w:r>
              <w:rPr>
                <w:sz w:val="15"/>
              </w:rPr>
              <w:t>What is SD 11? Which BIBS data does EDP ingest, at what frequency and in which format (files to S3, change-data capture, events)? Masking of personal data?</w:t>
            </w:r>
          </w:p>
        </w:tc>
        <w:tc>
          <w:tcPr>
            <w:tcW w:type="dxa" w:w="1671"/>
            <w:tcMar>
              <w:top w:w="50" w:type="dxa"/>
              <w:bottom w:w="50" w:type="dxa"/>
              <w:left w:w="90" w:type="dxa"/>
              <w:right w:w="90" w:type="dxa"/>
            </w:tcMar>
          </w:tcPr>
          <w:p>
            <w:pPr>
              <w:pStyle w:val="BDOITable"/>
            </w:pPr>
            <w:r>
              <w:rPr>
                <w:sz w:val="15"/>
              </w:rPr>
              <w:t>Drop plan Drop 2; answer A2</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IQ16</w:t>
            </w:r>
          </w:p>
        </w:tc>
        <w:tc>
          <w:tcPr>
            <w:tcW w:type="dxa" w:w="669"/>
            <w:tcMar>
              <w:top w:w="50" w:type="dxa"/>
              <w:bottom w:w="50" w:type="dxa"/>
              <w:left w:w="90" w:type="dxa"/>
              <w:right w:w="90" w:type="dxa"/>
            </w:tcMar>
            <w:shd w:val="clear" w:color="auto" w:fill="E5F5FF"/>
          </w:tcPr>
          <w:p>
            <w:pPr>
              <w:pStyle w:val="BDOITable"/>
            </w:pPr>
            <w:r>
              <w:rPr>
                <w:sz w:val="15"/>
              </w:rPr>
              <w:t>1</w:t>
            </w:r>
          </w:p>
        </w:tc>
        <w:tc>
          <w:tcPr>
            <w:tcW w:type="dxa" w:w="1448"/>
            <w:tcMar>
              <w:top w:w="50" w:type="dxa"/>
              <w:bottom w:w="50" w:type="dxa"/>
              <w:left w:w="90" w:type="dxa"/>
              <w:right w:w="90" w:type="dxa"/>
            </w:tcMar>
            <w:shd w:val="clear" w:color="auto" w:fill="E5F5FF"/>
          </w:tcPr>
          <w:p>
            <w:pPr>
              <w:pStyle w:val="BDOITable"/>
            </w:pPr>
            <w:r>
              <w:rPr>
                <w:sz w:val="15"/>
              </w:rPr>
              <w:t>EGL</w:t>
            </w:r>
          </w:p>
        </w:tc>
        <w:tc>
          <w:tcPr>
            <w:tcW w:type="dxa" w:w="5571"/>
            <w:tcMar>
              <w:top w:w="50" w:type="dxa"/>
              <w:bottom w:w="50" w:type="dxa"/>
              <w:left w:w="90" w:type="dxa"/>
              <w:right w:w="90" w:type="dxa"/>
            </w:tcMar>
            <w:shd w:val="clear" w:color="auto" w:fill="E5F5FF"/>
          </w:tcPr>
          <w:p>
            <w:pPr>
              <w:pStyle w:val="BDOITable"/>
            </w:pPr>
            <w:r>
              <w:rPr>
                <w:sz w:val="15"/>
              </w:rPr>
              <w:t>Does EGL take journal detail or balances, daily or monthly? Mapping of the BIBS chart to EGL accounts and segments, currency handling, layout and transport, reconciliation owner; relation to the GARD submission (AQ31).</w:t>
            </w:r>
          </w:p>
        </w:tc>
        <w:tc>
          <w:tcPr>
            <w:tcW w:type="dxa" w:w="1671"/>
            <w:tcMar>
              <w:top w:w="50" w:type="dxa"/>
              <w:bottom w:w="50" w:type="dxa"/>
              <w:left w:w="90" w:type="dxa"/>
              <w:right w:w="90" w:type="dxa"/>
            </w:tcMar>
            <w:shd w:val="clear" w:color="auto" w:fill="E5F5FF"/>
          </w:tcPr>
          <w:p>
            <w:pPr>
              <w:pStyle w:val="BDOITable"/>
            </w:pPr>
            <w:r>
              <w:rPr>
                <w:sz w:val="15"/>
              </w:rPr>
              <w:t>Drop plan Drop 2; answer A2</w:t>
            </w:r>
          </w:p>
        </w:tc>
      </w:tr>
      <w:tr>
        <w:trPr>
          <w:cantSplit w:val="true"/>
        </w:trPr>
        <w:tc>
          <w:tcPr>
            <w:tcW w:type="dxa" w:w="613"/>
            <w:tcMar>
              <w:top w:w="50" w:type="dxa"/>
              <w:bottom w:w="50" w:type="dxa"/>
              <w:left w:w="90" w:type="dxa"/>
              <w:right w:w="90" w:type="dxa"/>
            </w:tcMar>
          </w:tcPr>
          <w:p>
            <w:pPr>
              <w:pStyle w:val="BDOITable"/>
            </w:pPr>
            <w:r>
              <w:rPr>
                <w:b/>
                <w:sz w:val="15"/>
              </w:rPr>
              <w:t>IQ20</w:t>
            </w:r>
          </w:p>
        </w:tc>
        <w:tc>
          <w:tcPr>
            <w:tcW w:type="dxa" w:w="669"/>
            <w:tcMar>
              <w:top w:w="50" w:type="dxa"/>
              <w:bottom w:w="50" w:type="dxa"/>
              <w:left w:w="90" w:type="dxa"/>
              <w:right w:w="90" w:type="dxa"/>
            </w:tcMar>
          </w:tcPr>
          <w:p>
            <w:pPr>
              <w:pStyle w:val="BDOITable"/>
            </w:pPr>
            <w:r>
              <w:rPr>
                <w:sz w:val="15"/>
              </w:rPr>
              <w:t>1</w:t>
            </w:r>
          </w:p>
        </w:tc>
        <w:tc>
          <w:tcPr>
            <w:tcW w:type="dxa" w:w="1448"/>
            <w:tcMar>
              <w:top w:w="50" w:type="dxa"/>
              <w:bottom w:w="50" w:type="dxa"/>
              <w:left w:w="90" w:type="dxa"/>
              <w:right w:w="90" w:type="dxa"/>
            </w:tcMar>
          </w:tcPr>
          <w:p>
            <w:pPr>
              <w:pStyle w:val="BDOITable"/>
            </w:pPr>
            <w:r>
              <w:rPr>
                <w:sz w:val="15"/>
              </w:rPr>
              <w:t>Reinsurance transactions in Remittance</w:t>
            </w:r>
          </w:p>
        </w:tc>
        <w:tc>
          <w:tcPr>
            <w:tcW w:type="dxa" w:w="5571"/>
            <w:tcMar>
              <w:top w:w="50" w:type="dxa"/>
              <w:bottom w:w="50" w:type="dxa"/>
              <w:left w:w="90" w:type="dxa"/>
              <w:right w:w="90" w:type="dxa"/>
            </w:tcMar>
          </w:tcPr>
          <w:p>
            <w:pPr>
              <w:pStyle w:val="BDOITable"/>
            </w:pPr>
            <w:r>
              <w:rPr>
                <w:sz w:val="15"/>
              </w:rPr>
              <w:t>Which reinsurance transactions does Remittance handle in Drop 1 (premium received from cedants and remitted to reinsurers, RI claims recoveries), with which accounting? Please send the "Operations BRD (Remittance Addendum)" and "(Cashiering Addendum)" named on the slide.</w:t>
            </w:r>
          </w:p>
        </w:tc>
        <w:tc>
          <w:tcPr>
            <w:tcW w:type="dxa" w:w="1671"/>
            <w:tcMar>
              <w:top w:w="50" w:type="dxa"/>
              <w:bottom w:w="50" w:type="dxa"/>
              <w:left w:w="90" w:type="dxa"/>
              <w:right w:w="90" w:type="dxa"/>
            </w:tcMar>
          </w:tcPr>
          <w:p>
            <w:pPr>
              <w:pStyle w:val="BDOITable"/>
            </w:pPr>
            <w:r>
              <w:rPr>
                <w:sz w:val="15"/>
              </w:rPr>
              <w:t>Drop plan 1.D2, 1.D3; answer A3</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IQ22</w:t>
            </w:r>
          </w:p>
        </w:tc>
        <w:tc>
          <w:tcPr>
            <w:tcW w:type="dxa" w:w="669"/>
            <w:tcMar>
              <w:top w:w="50" w:type="dxa"/>
              <w:bottom w:w="50" w:type="dxa"/>
              <w:left w:w="90" w:type="dxa"/>
              <w:right w:w="90" w:type="dxa"/>
            </w:tcMar>
            <w:shd w:val="clear" w:color="auto" w:fill="E5F5FF"/>
          </w:tcPr>
          <w:p>
            <w:pPr>
              <w:pStyle w:val="BDOITable"/>
            </w:pPr>
            <w:r>
              <w:rPr>
                <w:sz w:val="15"/>
              </w:rPr>
              <w:t>1</w:t>
            </w:r>
          </w:p>
        </w:tc>
        <w:tc>
          <w:tcPr>
            <w:tcW w:type="dxa" w:w="1448"/>
            <w:tcMar>
              <w:top w:w="50" w:type="dxa"/>
              <w:bottom w:w="50" w:type="dxa"/>
              <w:left w:w="90" w:type="dxa"/>
              <w:right w:w="90" w:type="dxa"/>
            </w:tcMar>
            <w:shd w:val="clear" w:color="auto" w:fill="E5F5FF"/>
          </w:tcPr>
          <w:p>
            <w:pPr>
              <w:pStyle w:val="BDOITable"/>
            </w:pPr>
            <w:r>
              <w:rPr>
                <w:sz w:val="15"/>
              </w:rPr>
              <w:t>Employee Benefits without portal</w:t>
            </w:r>
          </w:p>
        </w:tc>
        <w:tc>
          <w:tcPr>
            <w:tcW w:type="dxa" w:w="5571"/>
            <w:tcMar>
              <w:top w:w="50" w:type="dxa"/>
              <w:bottom w:w="50" w:type="dxa"/>
              <w:left w:w="90" w:type="dxa"/>
              <w:right w:w="90" w:type="dxa"/>
            </w:tcMar>
            <w:shd w:val="clear" w:color="auto" w:fill="E5F5FF"/>
          </w:tcPr>
          <w:p>
            <w:pPr>
              <w:pStyle w:val="BDOITable"/>
            </w:pPr>
            <w:r>
              <w:rPr>
                <w:sz w:val="15"/>
              </w:rPr>
              <w:t>Please confirm that insurers and client HR send EB documents by e-mail and BDOI users upload them (BRID-005, 005.01, 014 changed), and that EB placement (Drop 1) uses the NB placement screens.</w:t>
            </w:r>
          </w:p>
        </w:tc>
        <w:tc>
          <w:tcPr>
            <w:tcW w:type="dxa" w:w="1671"/>
            <w:tcMar>
              <w:top w:w="50" w:type="dxa"/>
              <w:bottom w:w="50" w:type="dxa"/>
              <w:left w:w="90" w:type="dxa"/>
              <w:right w:w="90" w:type="dxa"/>
            </w:tcMar>
            <w:shd w:val="clear" w:color="auto" w:fill="E5F5FF"/>
          </w:tcPr>
          <w:p>
            <w:pPr>
              <w:pStyle w:val="BDOITable"/>
            </w:pPr>
            <w:r>
              <w:rPr>
                <w:sz w:val="15"/>
              </w:rPr>
              <w:t>Drop plan 2.4, 1.U6; BRD-8</w:t>
            </w:r>
          </w:p>
        </w:tc>
      </w:tr>
      <w:tr>
        <w:trPr>
          <w:cantSplit w:val="true"/>
        </w:trPr>
        <w:tc>
          <w:tcPr>
            <w:tcW w:type="dxa" w:w="613"/>
            <w:tcMar>
              <w:top w:w="50" w:type="dxa"/>
              <w:bottom w:w="50" w:type="dxa"/>
              <w:left w:w="90" w:type="dxa"/>
              <w:right w:w="90" w:type="dxa"/>
            </w:tcMar>
          </w:tcPr>
          <w:p>
            <w:pPr>
              <w:pStyle w:val="BDOITable"/>
            </w:pPr>
            <w:r>
              <w:rPr>
                <w:b/>
                <w:sz w:val="15"/>
              </w:rPr>
              <w:t>IQ25</w:t>
            </w:r>
          </w:p>
        </w:tc>
        <w:tc>
          <w:tcPr>
            <w:tcW w:type="dxa" w:w="669"/>
            <w:tcMar>
              <w:top w:w="50" w:type="dxa"/>
              <w:bottom w:w="50" w:type="dxa"/>
              <w:left w:w="90" w:type="dxa"/>
              <w:right w:w="90" w:type="dxa"/>
            </w:tcMar>
          </w:tcPr>
          <w:p>
            <w:pPr>
              <w:pStyle w:val="BDOITable"/>
            </w:pPr>
            <w:r>
              <w:rPr>
                <w:sz w:val="15"/>
              </w:rPr>
              <w:t>1</w:t>
            </w:r>
          </w:p>
        </w:tc>
        <w:tc>
          <w:tcPr>
            <w:tcW w:type="dxa" w:w="1448"/>
            <w:tcMar>
              <w:top w:w="50" w:type="dxa"/>
              <w:bottom w:w="50" w:type="dxa"/>
              <w:left w:w="90" w:type="dxa"/>
              <w:right w:w="90" w:type="dxa"/>
            </w:tcMar>
          </w:tcPr>
          <w:p>
            <w:pPr>
              <w:pStyle w:val="BDOITable"/>
            </w:pPr>
            <w:r>
              <w:rPr>
                <w:sz w:val="15"/>
              </w:rPr>
              <w:t>Architecture in the IER</w:t>
            </w:r>
          </w:p>
        </w:tc>
        <w:tc>
          <w:tcPr>
            <w:tcW w:type="dxa" w:w="5571"/>
            <w:tcMar>
              <w:top w:w="50" w:type="dxa"/>
              <w:bottom w:w="50" w:type="dxa"/>
              <w:left w:w="90" w:type="dxa"/>
              <w:right w:w="90" w:type="dxa"/>
            </w:tcMar>
          </w:tcPr>
          <w:p>
            <w:pPr>
              <w:pStyle w:val="BDOITable"/>
            </w:pPr>
            <w:r>
              <w:rPr>
                <w:sz w:val="15"/>
              </w:rPr>
              <w:t>Please confirm that the IER describes the BIBS architecture: one backend (modular monolith) and one frontend on EKS, RDS PostgreSQL 16, ElastiCache Redis 7, MSK Kafka, S3; not the ten bv-* microservices, Aurora / MongoDB, Istio / OPA or EventBridge. Which edge is the BDO standard: ALB + WAF, CloudFront, Apigee X?</w:t>
            </w:r>
          </w:p>
        </w:tc>
        <w:tc>
          <w:tcPr>
            <w:tcW w:type="dxa" w:w="1671"/>
            <w:tcMar>
              <w:top w:w="50" w:type="dxa"/>
              <w:bottom w:w="50" w:type="dxa"/>
              <w:left w:w="90" w:type="dxa"/>
              <w:right w:w="90" w:type="dxa"/>
            </w:tcMar>
          </w:tcPr>
          <w:p>
            <w:pPr>
              <w:pStyle w:val="BDOITable"/>
            </w:pPr>
            <w:r>
              <w:rPr>
                <w:sz w:val="15"/>
              </w:rPr>
              <w:t>IER Architecture Diagram, K8s sheets</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IQ26</w:t>
            </w:r>
          </w:p>
        </w:tc>
        <w:tc>
          <w:tcPr>
            <w:tcW w:type="dxa" w:w="669"/>
            <w:tcMar>
              <w:top w:w="50" w:type="dxa"/>
              <w:bottom w:w="50" w:type="dxa"/>
              <w:left w:w="90" w:type="dxa"/>
              <w:right w:w="90" w:type="dxa"/>
            </w:tcMar>
            <w:shd w:val="clear" w:color="auto" w:fill="E5F5FF"/>
          </w:tcPr>
          <w:p>
            <w:pPr>
              <w:pStyle w:val="BDOITable"/>
            </w:pPr>
            <w:r>
              <w:rPr>
                <w:sz w:val="15"/>
              </w:rPr>
              <w:t>1</w:t>
            </w:r>
          </w:p>
        </w:tc>
        <w:tc>
          <w:tcPr>
            <w:tcW w:type="dxa" w:w="1448"/>
            <w:tcMar>
              <w:top w:w="50" w:type="dxa"/>
              <w:bottom w:w="50" w:type="dxa"/>
              <w:left w:w="90" w:type="dxa"/>
              <w:right w:w="90" w:type="dxa"/>
            </w:tcMar>
            <w:shd w:val="clear" w:color="auto" w:fill="E5F5FF"/>
          </w:tcPr>
          <w:p>
            <w:pPr>
              <w:pStyle w:val="BDOITable"/>
            </w:pPr>
            <w:r>
              <w:rPr>
                <w:sz w:val="15"/>
              </w:rPr>
              <w:t>Disaster recovery</w:t>
            </w:r>
          </w:p>
        </w:tc>
        <w:tc>
          <w:tcPr>
            <w:tcW w:type="dxa" w:w="5571"/>
            <w:tcMar>
              <w:top w:w="50" w:type="dxa"/>
              <w:bottom w:w="50" w:type="dxa"/>
              <w:left w:w="90" w:type="dxa"/>
              <w:right w:w="90" w:type="dxa"/>
            </w:tcMar>
            <w:shd w:val="clear" w:color="auto" w:fill="E5F5FF"/>
          </w:tcPr>
          <w:p>
            <w:pPr>
              <w:pStyle w:val="BDOITable"/>
            </w:pPr>
            <w:r>
              <w:rPr>
                <w:sz w:val="15"/>
              </w:rPr>
              <w:t>Which region hosts DR (the HW sheet says cross-region read replica; the diagram says ap-southeast-1 warm standby)? Does data residency allow a second region? DR drill frequency?</w:t>
            </w:r>
          </w:p>
        </w:tc>
        <w:tc>
          <w:tcPr>
            <w:tcW w:type="dxa" w:w="1671"/>
            <w:tcMar>
              <w:top w:w="50" w:type="dxa"/>
              <w:bottom w:w="50" w:type="dxa"/>
              <w:left w:w="90" w:type="dxa"/>
              <w:right w:w="90" w:type="dxa"/>
            </w:tcMar>
            <w:shd w:val="clear" w:color="auto" w:fill="E5F5FF"/>
          </w:tcPr>
          <w:p>
            <w:pPr>
              <w:pStyle w:val="BDOITable"/>
            </w:pPr>
            <w:r>
              <w:rPr>
                <w:sz w:val="15"/>
              </w:rPr>
              <w:t>IER HW &amp; SW Requirements; hosting appendix; DCR-135</w:t>
            </w:r>
          </w:p>
        </w:tc>
      </w:tr>
      <w:tr>
        <w:trPr>
          <w:cantSplit w:val="true"/>
        </w:trPr>
        <w:tc>
          <w:tcPr>
            <w:tcW w:type="dxa" w:w="613"/>
            <w:tcMar>
              <w:top w:w="50" w:type="dxa"/>
              <w:bottom w:w="50" w:type="dxa"/>
              <w:left w:w="90" w:type="dxa"/>
              <w:right w:w="90" w:type="dxa"/>
            </w:tcMar>
          </w:tcPr>
          <w:p>
            <w:pPr>
              <w:pStyle w:val="BDOITable"/>
            </w:pPr>
            <w:r>
              <w:rPr>
                <w:b/>
                <w:sz w:val="15"/>
              </w:rPr>
              <w:t>IQ31</w:t>
            </w:r>
          </w:p>
        </w:tc>
        <w:tc>
          <w:tcPr>
            <w:tcW w:type="dxa" w:w="669"/>
            <w:tcMar>
              <w:top w:w="50" w:type="dxa"/>
              <w:bottom w:w="50" w:type="dxa"/>
              <w:left w:w="90" w:type="dxa"/>
              <w:right w:w="90" w:type="dxa"/>
            </w:tcMar>
          </w:tcPr>
          <w:p>
            <w:pPr>
              <w:pStyle w:val="BDOITable"/>
            </w:pPr>
            <w:r>
              <w:rPr>
                <w:sz w:val="15"/>
              </w:rPr>
              <w:t>1</w:t>
            </w:r>
          </w:p>
        </w:tc>
        <w:tc>
          <w:tcPr>
            <w:tcW w:type="dxa" w:w="1448"/>
            <w:tcMar>
              <w:top w:w="50" w:type="dxa"/>
              <w:bottom w:w="50" w:type="dxa"/>
              <w:left w:w="90" w:type="dxa"/>
              <w:right w:w="90" w:type="dxa"/>
            </w:tcMar>
          </w:tcPr>
          <w:p>
            <w:pPr>
              <w:pStyle w:val="BDOITable"/>
            </w:pPr>
            <w:r>
              <w:rPr>
                <w:sz w:val="15"/>
              </w:rPr>
              <w:t>S3 document store</w:t>
            </w:r>
          </w:p>
        </w:tc>
        <w:tc>
          <w:tcPr>
            <w:tcW w:type="dxa" w:w="5571"/>
            <w:tcMar>
              <w:top w:w="50" w:type="dxa"/>
              <w:bottom w:w="50" w:type="dxa"/>
              <w:left w:w="90" w:type="dxa"/>
              <w:right w:w="90" w:type="dxa"/>
            </w:tcMar>
          </w:tcPr>
          <w:p>
            <w:pPr>
              <w:pStyle w:val="BDOITable"/>
            </w:pPr>
            <w:r>
              <w:rPr>
                <w:sz w:val="15"/>
              </w:rPr>
              <w:t>Please confirm the five decisions of the document storage proposal (section 6.3): option C with 5-minute presigned links (or option B, streaming through BIBS); the malware scanning service; Object Lock mode and the records under legal hold; KMS key ownership and rotation; whether ECM receives copies of any record class. Also the bucket account and the DR region for replication.</w:t>
            </w:r>
          </w:p>
        </w:tc>
        <w:tc>
          <w:tcPr>
            <w:tcW w:type="dxa" w:w="1671"/>
            <w:tcMar>
              <w:top w:w="50" w:type="dxa"/>
              <w:bottom w:w="50" w:type="dxa"/>
              <w:left w:w="90" w:type="dxa"/>
              <w:right w:w="90" w:type="dxa"/>
            </w:tcMar>
          </w:tcPr>
          <w:p>
            <w:pPr>
              <w:pStyle w:val="BDOITable"/>
            </w:pPr>
            <w:r>
              <w:rPr>
                <w:sz w:val="15"/>
              </w:rPr>
              <w:t>Answer A4; section 6.3</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IQ02</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Renewals around cut-over</w:t>
            </w:r>
          </w:p>
        </w:tc>
        <w:tc>
          <w:tcPr>
            <w:tcW w:type="dxa" w:w="5571"/>
            <w:tcMar>
              <w:top w:w="50" w:type="dxa"/>
              <w:bottom w:w="50" w:type="dxa"/>
              <w:left w:w="90" w:type="dxa"/>
              <w:right w:w="90" w:type="dxa"/>
            </w:tcMar>
            <w:shd w:val="clear" w:color="auto" w:fill="E5F5FF"/>
          </w:tcPr>
          <w:p>
            <w:pPr>
              <w:pStyle w:val="BDOITable"/>
            </w:pPr>
            <w:r>
              <w:rPr>
                <w:sz w:val="15"/>
              </w:rPr>
              <w:t>With the early renewal release withdrawn, please confirm that (a) legacy extracts, disposes, places and books all renewals up to T, (b) the RMEL cohorts expiring from T to T+140 days are carried forward into BIBS with their disposition (object P03), and (c) renewals expiring between the freeze and T are placed in legacy before the freeze or covered by hold covers.</w:t>
            </w:r>
          </w:p>
        </w:tc>
        <w:tc>
          <w:tcPr>
            <w:tcW w:type="dxa" w:w="1671"/>
            <w:tcMar>
              <w:top w:w="50" w:type="dxa"/>
              <w:bottom w:w="50" w:type="dxa"/>
              <w:left w:w="90" w:type="dxa"/>
              <w:right w:w="90" w:type="dxa"/>
            </w:tcMar>
            <w:shd w:val="clear" w:color="auto" w:fill="E5F5FF"/>
          </w:tcPr>
          <w:p>
            <w:pPr>
              <w:pStyle w:val="BDOITable"/>
            </w:pPr>
            <w:r>
              <w:rPr>
                <w:sz w:val="15"/>
              </w:rPr>
              <w:t>Concept paper (superseded); answer A1; DMQ26</w:t>
            </w:r>
          </w:p>
        </w:tc>
      </w:tr>
      <w:tr>
        <w:trPr>
          <w:cantSplit w:val="true"/>
        </w:trPr>
        <w:tc>
          <w:tcPr>
            <w:tcW w:type="dxa" w:w="613"/>
            <w:tcMar>
              <w:top w:w="50" w:type="dxa"/>
              <w:bottom w:w="50" w:type="dxa"/>
              <w:left w:w="90" w:type="dxa"/>
              <w:right w:w="90" w:type="dxa"/>
            </w:tcMar>
          </w:tcPr>
          <w:p>
            <w:pPr>
              <w:pStyle w:val="BDOITable"/>
            </w:pPr>
            <w:r>
              <w:rPr>
                <w:b/>
                <w:sz w:val="15"/>
              </w:rPr>
              <w:t>IQ03</w:t>
            </w:r>
          </w:p>
        </w:tc>
        <w:tc>
          <w:tcPr>
            <w:tcW w:type="dxa" w:w="669"/>
            <w:tcMar>
              <w:top w:w="50" w:type="dxa"/>
              <w:bottom w:w="50" w:type="dxa"/>
              <w:left w:w="90" w:type="dxa"/>
              <w:right w:w="90" w:type="dxa"/>
            </w:tcMar>
          </w:tcPr>
          <w:p>
            <w:pPr>
              <w:pStyle w:val="BDOITable"/>
            </w:pPr>
            <w:r>
              <w:rPr>
                <w:sz w:val="15"/>
              </w:rPr>
              <w:t>2</w:t>
            </w:r>
          </w:p>
        </w:tc>
        <w:tc>
          <w:tcPr>
            <w:tcW w:type="dxa" w:w="1448"/>
            <w:tcMar>
              <w:top w:w="50" w:type="dxa"/>
              <w:bottom w:w="50" w:type="dxa"/>
              <w:left w:w="90" w:type="dxa"/>
              <w:right w:w="90" w:type="dxa"/>
            </w:tcMar>
          </w:tcPr>
          <w:p>
            <w:pPr>
              <w:pStyle w:val="BDOITable"/>
            </w:pPr>
            <w:r>
              <w:rPr>
                <w:sz w:val="15"/>
              </w:rPr>
              <w:t>Package remapping</w:t>
            </w:r>
          </w:p>
        </w:tc>
        <w:tc>
          <w:tcPr>
            <w:tcW w:type="dxa" w:w="5571"/>
            <w:tcMar>
              <w:top w:w="50" w:type="dxa"/>
              <w:bottom w:w="50" w:type="dxa"/>
              <w:left w:w="90" w:type="dxa"/>
              <w:right w:w="90" w:type="dxa"/>
            </w:tcMar>
          </w:tcPr>
          <w:p>
            <w:pPr>
              <w:pStyle w:val="BDOITable"/>
            </w:pPr>
            <w:r>
              <w:rPr>
                <w:sz w:val="15"/>
              </w:rPr>
              <w:t>Who owns the remapping of legacy package names to BIBS packages, and where does it happen? We recommend a versioned PACKAGE code map applied at migration intake, plus a renewal sanitation check that sends unmapped or retired packages to Review for TSU.</w:t>
            </w:r>
          </w:p>
        </w:tc>
        <w:tc>
          <w:tcPr>
            <w:tcW w:type="dxa" w:w="1671"/>
            <w:tcMar>
              <w:top w:w="50" w:type="dxa"/>
              <w:bottom w:w="50" w:type="dxa"/>
              <w:left w:w="90" w:type="dxa"/>
              <w:right w:w="90" w:type="dxa"/>
            </w:tcMar>
          </w:tcPr>
          <w:p>
            <w:pPr>
              <w:pStyle w:val="BDOITable"/>
            </w:pPr>
            <w:r>
              <w:rPr>
                <w:sz w:val="15"/>
              </w:rPr>
              <w:t>Concept paper VII, VIII, Annex C</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IQ06</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LMS</w:t>
            </w:r>
          </w:p>
        </w:tc>
        <w:tc>
          <w:tcPr>
            <w:tcW w:type="dxa" w:w="5571"/>
            <w:tcMar>
              <w:top w:w="50" w:type="dxa"/>
              <w:bottom w:w="50" w:type="dxa"/>
              <w:left w:w="90" w:type="dxa"/>
              <w:right w:w="90" w:type="dxa"/>
            </w:tcMar>
            <w:shd w:val="clear" w:color="auto" w:fill="E5F5FF"/>
          </w:tcPr>
          <w:p>
            <w:pPr>
              <w:pStyle w:val="BDOITable"/>
            </w:pPr>
            <w:r>
              <w:rPr>
                <w:sz w:val="15"/>
              </w:rPr>
              <w:t>Which LMS data does BIBS receive (paid-off and RMU loans for renewal, loan snapshot for Submitted Policies, CLPC loan credits), in which layout, how often and by which transport? Is LMS the system behind the LAMD reports?</w:t>
            </w:r>
          </w:p>
        </w:tc>
        <w:tc>
          <w:tcPr>
            <w:tcW w:type="dxa" w:w="1671"/>
            <w:tcMar>
              <w:top w:w="50" w:type="dxa"/>
              <w:bottom w:w="50" w:type="dxa"/>
              <w:left w:w="90" w:type="dxa"/>
              <w:right w:w="90" w:type="dxa"/>
            </w:tcMar>
            <w:shd w:val="clear" w:color="auto" w:fill="E5F5FF"/>
          </w:tcPr>
          <w:p>
            <w:pPr>
              <w:pStyle w:val="BDOITable"/>
            </w:pPr>
            <w:r>
              <w:rPr>
                <w:sz w:val="15"/>
              </w:rPr>
              <w:t>Answer A2; BRRN.029; SP-SQ06</w:t>
            </w:r>
          </w:p>
        </w:tc>
      </w:tr>
      <w:tr>
        <w:trPr>
          <w:cantSplit w:val="true"/>
        </w:trPr>
        <w:tc>
          <w:tcPr>
            <w:tcW w:type="dxa" w:w="613"/>
            <w:tcMar>
              <w:top w:w="50" w:type="dxa"/>
              <w:bottom w:w="50" w:type="dxa"/>
              <w:left w:w="90" w:type="dxa"/>
              <w:right w:w="90" w:type="dxa"/>
            </w:tcMar>
          </w:tcPr>
          <w:p>
            <w:pPr>
              <w:pStyle w:val="BDOITable"/>
            </w:pPr>
            <w:r>
              <w:rPr>
                <w:b/>
                <w:sz w:val="15"/>
              </w:rPr>
              <w:t>IQ07</w:t>
            </w:r>
          </w:p>
        </w:tc>
        <w:tc>
          <w:tcPr>
            <w:tcW w:type="dxa" w:w="669"/>
            <w:tcMar>
              <w:top w:w="50" w:type="dxa"/>
              <w:bottom w:w="50" w:type="dxa"/>
              <w:left w:w="90" w:type="dxa"/>
              <w:right w:w="90" w:type="dxa"/>
            </w:tcMar>
          </w:tcPr>
          <w:p>
            <w:pPr>
              <w:pStyle w:val="BDOITable"/>
            </w:pPr>
            <w:r>
              <w:rPr>
                <w:sz w:val="15"/>
              </w:rPr>
              <w:t>2</w:t>
            </w:r>
          </w:p>
        </w:tc>
        <w:tc>
          <w:tcPr>
            <w:tcW w:type="dxa" w:w="1448"/>
            <w:tcMar>
              <w:top w:w="50" w:type="dxa"/>
              <w:bottom w:w="50" w:type="dxa"/>
              <w:left w:w="90" w:type="dxa"/>
              <w:right w:w="90" w:type="dxa"/>
            </w:tcMar>
          </w:tcPr>
          <w:p>
            <w:pPr>
              <w:pStyle w:val="BDOITable"/>
            </w:pPr>
            <w:r>
              <w:rPr>
                <w:sz w:val="15"/>
              </w:rPr>
              <w:t>HL-LOAS</w:t>
            </w:r>
          </w:p>
        </w:tc>
        <w:tc>
          <w:tcPr>
            <w:tcW w:type="dxa" w:w="5571"/>
            <w:tcMar>
              <w:top w:w="50" w:type="dxa"/>
              <w:bottom w:w="50" w:type="dxa"/>
              <w:left w:w="90" w:type="dxa"/>
              <w:right w:w="90" w:type="dxa"/>
            </w:tcMar>
          </w:tcPr>
          <w:p>
            <w:pPr>
              <w:pStyle w:val="BDOITable"/>
            </w:pPr>
            <w:r>
              <w:rPr>
                <w:sz w:val="15"/>
              </w:rPr>
              <w:t>HLS (Drop 0) and LOAS (Drop 2) are one system: is there one interface or two (quotation requests, HLS insurance report, amortised loan data)? Formats, frequency and transport.</w:t>
            </w:r>
          </w:p>
        </w:tc>
        <w:tc>
          <w:tcPr>
            <w:tcW w:type="dxa" w:w="1671"/>
            <w:tcMar>
              <w:top w:w="50" w:type="dxa"/>
              <w:bottom w:w="50" w:type="dxa"/>
              <w:left w:w="90" w:type="dxa"/>
              <w:right w:w="90" w:type="dxa"/>
            </w:tcMar>
          </w:tcPr>
          <w:p>
            <w:pPr>
              <w:pStyle w:val="BDOITable"/>
            </w:pPr>
            <w:r>
              <w:rPr>
                <w:sz w:val="15"/>
              </w:rPr>
              <w:t>Drop plan; answer A2; Q11</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IQ09</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PMS</w:t>
            </w:r>
          </w:p>
        </w:tc>
        <w:tc>
          <w:tcPr>
            <w:tcW w:type="dxa" w:w="5571"/>
            <w:tcMar>
              <w:top w:w="50" w:type="dxa"/>
              <w:bottom w:w="50" w:type="dxa"/>
              <w:left w:w="90" w:type="dxa"/>
              <w:right w:w="90" w:type="dxa"/>
            </w:tcMar>
            <w:shd w:val="clear" w:color="auto" w:fill="E5F5FF"/>
          </w:tcPr>
          <w:p>
            <w:pPr>
              <w:pStyle w:val="BDOITable"/>
            </w:pPr>
            <w:r>
              <w:rPr>
                <w:sz w:val="15"/>
              </w:rPr>
              <w:t>Layout of the daily PDC list from the PDC Management System; does BIBS also send PDC status (deposited, returned, pulled out) back to PMS? Frequency and transport.</w:t>
            </w:r>
          </w:p>
        </w:tc>
        <w:tc>
          <w:tcPr>
            <w:tcW w:type="dxa" w:w="1671"/>
            <w:tcMar>
              <w:top w:w="50" w:type="dxa"/>
              <w:bottom w:w="50" w:type="dxa"/>
              <w:left w:w="90" w:type="dxa"/>
              <w:right w:w="90" w:type="dxa"/>
            </w:tcMar>
            <w:shd w:val="clear" w:color="auto" w:fill="E5F5FF"/>
          </w:tcPr>
          <w:p>
            <w:pPr>
              <w:pStyle w:val="BDOITable"/>
            </w:pPr>
            <w:r>
              <w:rPr>
                <w:sz w:val="15"/>
              </w:rPr>
              <w:t>Answer A2; OQ03; CSHID.008</w:t>
            </w:r>
          </w:p>
        </w:tc>
      </w:tr>
      <w:tr>
        <w:trPr>
          <w:cantSplit w:val="true"/>
        </w:trPr>
        <w:tc>
          <w:tcPr>
            <w:tcW w:type="dxa" w:w="613"/>
            <w:tcMar>
              <w:top w:w="50" w:type="dxa"/>
              <w:bottom w:w="50" w:type="dxa"/>
              <w:left w:w="90" w:type="dxa"/>
              <w:right w:w="90" w:type="dxa"/>
            </w:tcMar>
          </w:tcPr>
          <w:p>
            <w:pPr>
              <w:pStyle w:val="BDOITable"/>
            </w:pPr>
            <w:r>
              <w:rPr>
                <w:b/>
                <w:sz w:val="15"/>
              </w:rPr>
              <w:t>IQ11</w:t>
            </w:r>
          </w:p>
        </w:tc>
        <w:tc>
          <w:tcPr>
            <w:tcW w:type="dxa" w:w="669"/>
            <w:tcMar>
              <w:top w:w="50" w:type="dxa"/>
              <w:bottom w:w="50" w:type="dxa"/>
              <w:left w:w="90" w:type="dxa"/>
              <w:right w:w="90" w:type="dxa"/>
            </w:tcMar>
          </w:tcPr>
          <w:p>
            <w:pPr>
              <w:pStyle w:val="BDOITable"/>
            </w:pPr>
            <w:r>
              <w:rPr>
                <w:sz w:val="15"/>
              </w:rPr>
              <w:t>2</w:t>
            </w:r>
          </w:p>
        </w:tc>
        <w:tc>
          <w:tcPr>
            <w:tcW w:type="dxa" w:w="1448"/>
            <w:tcMar>
              <w:top w:w="50" w:type="dxa"/>
              <w:bottom w:w="50" w:type="dxa"/>
              <w:left w:w="90" w:type="dxa"/>
              <w:right w:w="90" w:type="dxa"/>
            </w:tcMar>
          </w:tcPr>
          <w:p>
            <w:pPr>
              <w:pStyle w:val="BDOITable"/>
            </w:pPr>
            <w:r>
              <w:rPr>
                <w:sz w:val="15"/>
              </w:rPr>
              <w:t>CCM</w:t>
            </w:r>
          </w:p>
        </w:tc>
        <w:tc>
          <w:tcPr>
            <w:tcW w:type="dxa" w:w="5571"/>
            <w:tcMar>
              <w:top w:w="50" w:type="dxa"/>
              <w:bottom w:w="50" w:type="dxa"/>
              <w:left w:w="90" w:type="dxa"/>
              <w:right w:w="90" w:type="dxa"/>
            </w:tcMar>
          </w:tcPr>
          <w:p>
            <w:pPr>
              <w:pStyle w:val="BDOITable"/>
            </w:pPr>
            <w:r>
              <w:rPr>
                <w:sz w:val="15"/>
              </w:rPr>
              <w:t>Does BIBS send through CCM by SMTP relay or by API? Attachment size limit, password-protected PDFs, volume (renewal advice batches), delivery status and bounces, sender addresses.</w:t>
            </w:r>
          </w:p>
        </w:tc>
        <w:tc>
          <w:tcPr>
            <w:tcW w:type="dxa" w:w="1671"/>
            <w:tcMar>
              <w:top w:w="50" w:type="dxa"/>
              <w:bottom w:w="50" w:type="dxa"/>
              <w:left w:w="90" w:type="dxa"/>
              <w:right w:w="90" w:type="dxa"/>
            </w:tcMar>
          </w:tcPr>
          <w:p>
            <w:pPr>
              <w:pStyle w:val="BDOITable"/>
            </w:pPr>
            <w:r>
              <w:rPr>
                <w:sz w:val="15"/>
              </w:rPr>
              <w:t>Answer A2</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IQ17</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CARMS</w:t>
            </w:r>
          </w:p>
        </w:tc>
        <w:tc>
          <w:tcPr>
            <w:tcW w:type="dxa" w:w="5571"/>
            <w:tcMar>
              <w:top w:w="50" w:type="dxa"/>
              <w:bottom w:w="50" w:type="dxa"/>
              <w:left w:w="90" w:type="dxa"/>
              <w:right w:w="90" w:type="dxa"/>
            </w:tcMar>
            <w:shd w:val="clear" w:color="auto" w:fill="E5F5FF"/>
          </w:tcPr>
          <w:p>
            <w:pPr>
              <w:pStyle w:val="BDOITable"/>
            </w:pPr>
            <w:r>
              <w:rPr>
                <w:sz w:val="15"/>
              </w:rPr>
              <w:t>What is CARMS, and which data flows between it and BIBS in which direction?</w:t>
            </w:r>
          </w:p>
        </w:tc>
        <w:tc>
          <w:tcPr>
            <w:tcW w:type="dxa" w:w="1671"/>
            <w:tcMar>
              <w:top w:w="50" w:type="dxa"/>
              <w:bottom w:w="50" w:type="dxa"/>
              <w:left w:w="90" w:type="dxa"/>
              <w:right w:w="90" w:type="dxa"/>
            </w:tcMar>
            <w:shd w:val="clear" w:color="auto" w:fill="E5F5FF"/>
          </w:tcPr>
          <w:p>
            <w:pPr>
              <w:pStyle w:val="BDOITable"/>
            </w:pPr>
            <w:r>
              <w:rPr>
                <w:sz w:val="15"/>
              </w:rPr>
              <w:t>Drop plan Drop 2</w:t>
            </w:r>
          </w:p>
        </w:tc>
      </w:tr>
      <w:tr>
        <w:trPr>
          <w:cantSplit w:val="true"/>
        </w:trPr>
        <w:tc>
          <w:tcPr>
            <w:tcW w:type="dxa" w:w="613"/>
            <w:tcMar>
              <w:top w:w="50" w:type="dxa"/>
              <w:bottom w:w="50" w:type="dxa"/>
              <w:left w:w="90" w:type="dxa"/>
              <w:right w:w="90" w:type="dxa"/>
            </w:tcMar>
          </w:tcPr>
          <w:p>
            <w:pPr>
              <w:pStyle w:val="BDOITable"/>
            </w:pPr>
            <w:r>
              <w:rPr>
                <w:b/>
                <w:sz w:val="15"/>
              </w:rPr>
              <w:t>IQ18</w:t>
            </w:r>
          </w:p>
        </w:tc>
        <w:tc>
          <w:tcPr>
            <w:tcW w:type="dxa" w:w="669"/>
            <w:tcMar>
              <w:top w:w="50" w:type="dxa"/>
              <w:bottom w:w="50" w:type="dxa"/>
              <w:left w:w="90" w:type="dxa"/>
              <w:right w:w="90" w:type="dxa"/>
            </w:tcMar>
          </w:tcPr>
          <w:p>
            <w:pPr>
              <w:pStyle w:val="BDOITable"/>
            </w:pPr>
            <w:r>
              <w:rPr>
                <w:sz w:val="15"/>
              </w:rPr>
              <w:t>2</w:t>
            </w:r>
          </w:p>
        </w:tc>
        <w:tc>
          <w:tcPr>
            <w:tcW w:type="dxa" w:w="1448"/>
            <w:tcMar>
              <w:top w:w="50" w:type="dxa"/>
              <w:bottom w:w="50" w:type="dxa"/>
              <w:left w:w="90" w:type="dxa"/>
              <w:right w:w="90" w:type="dxa"/>
            </w:tcMar>
          </w:tcPr>
          <w:p>
            <w:pPr>
              <w:pStyle w:val="BDOITable"/>
            </w:pPr>
            <w:r>
              <w:rPr>
                <w:sz w:val="15"/>
              </w:rPr>
              <w:t>Insurer System</w:t>
            </w:r>
          </w:p>
        </w:tc>
        <w:tc>
          <w:tcPr>
            <w:tcW w:type="dxa" w:w="5571"/>
            <w:tcMar>
              <w:top w:w="50" w:type="dxa"/>
              <w:bottom w:w="50" w:type="dxa"/>
              <w:left w:w="90" w:type="dxa"/>
              <w:right w:w="90" w:type="dxa"/>
            </w:tcMar>
          </w:tcPr>
          <w:p>
            <w:pPr>
              <w:pStyle w:val="BDOITable"/>
            </w:pPr>
            <w:r>
              <w:rPr>
                <w:sz w:val="15"/>
              </w:rPr>
              <w:t>Which insurers and which exchanges (production feedback, remittance ORs, DP billing responses, renewal responses, SOAs, e-policies, claims) are in scope, and by which channel (SFTP, API, e-mail)?</w:t>
            </w:r>
          </w:p>
        </w:tc>
        <w:tc>
          <w:tcPr>
            <w:tcW w:type="dxa" w:w="1671"/>
            <w:tcMar>
              <w:top w:w="50" w:type="dxa"/>
              <w:bottom w:w="50" w:type="dxa"/>
              <w:left w:w="90" w:type="dxa"/>
              <w:right w:w="90" w:type="dxa"/>
            </w:tcMar>
          </w:tcPr>
          <w:p>
            <w:pPr>
              <w:pStyle w:val="BDOITable"/>
            </w:pPr>
            <w:r>
              <w:rPr>
                <w:sz w:val="15"/>
              </w:rPr>
              <w:t>Drop plan Drop 2; Q06, OQ22</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IQ21</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Marketing Collection (extraction)</w:t>
            </w:r>
          </w:p>
        </w:tc>
        <w:tc>
          <w:tcPr>
            <w:tcW w:type="dxa" w:w="5571"/>
            <w:tcMar>
              <w:top w:w="50" w:type="dxa"/>
              <w:bottom w:w="50" w:type="dxa"/>
              <w:left w:w="90" w:type="dxa"/>
              <w:right w:w="90" w:type="dxa"/>
            </w:tcMar>
            <w:shd w:val="clear" w:color="auto" w:fill="E5F5FF"/>
          </w:tcPr>
          <w:p>
            <w:pPr>
              <w:pStyle w:val="BDOITable"/>
            </w:pPr>
            <w:r>
              <w:rPr>
                <w:sz w:val="15"/>
              </w:rPr>
              <w:t>What is "Marketing Collection (extraction)" in Drop 2? BRD-4 Collections is a BIBS module fed by the Operations ledger; is a separate Collection Management System kept, with an extraction from BIBS?</w:t>
            </w:r>
          </w:p>
        </w:tc>
        <w:tc>
          <w:tcPr>
            <w:tcW w:type="dxa" w:w="1671"/>
            <w:tcMar>
              <w:top w:w="50" w:type="dxa"/>
              <w:bottom w:w="50" w:type="dxa"/>
              <w:left w:w="90" w:type="dxa"/>
              <w:right w:w="90" w:type="dxa"/>
            </w:tcMar>
            <w:shd w:val="clear" w:color="auto" w:fill="E5F5FF"/>
          </w:tcPr>
          <w:p>
            <w:pPr>
              <w:pStyle w:val="BDOITable"/>
            </w:pPr>
            <w:r>
              <w:rPr>
                <w:sz w:val="15"/>
              </w:rPr>
              <w:t>Drop plan 2.1; BRD-4</w:t>
            </w:r>
          </w:p>
        </w:tc>
      </w:tr>
      <w:tr>
        <w:trPr>
          <w:cantSplit w:val="true"/>
        </w:trPr>
        <w:tc>
          <w:tcPr>
            <w:tcW w:type="dxa" w:w="613"/>
            <w:tcMar>
              <w:top w:w="50" w:type="dxa"/>
              <w:bottom w:w="50" w:type="dxa"/>
              <w:left w:w="90" w:type="dxa"/>
              <w:right w:w="90" w:type="dxa"/>
            </w:tcMar>
          </w:tcPr>
          <w:p>
            <w:pPr>
              <w:pStyle w:val="BDOITable"/>
            </w:pPr>
            <w:r>
              <w:rPr>
                <w:b/>
                <w:sz w:val="15"/>
              </w:rPr>
              <w:t>IQ23</w:t>
            </w:r>
          </w:p>
        </w:tc>
        <w:tc>
          <w:tcPr>
            <w:tcW w:type="dxa" w:w="669"/>
            <w:tcMar>
              <w:top w:w="50" w:type="dxa"/>
              <w:bottom w:w="50" w:type="dxa"/>
              <w:left w:w="90" w:type="dxa"/>
              <w:right w:w="90" w:type="dxa"/>
            </w:tcMar>
          </w:tcPr>
          <w:p>
            <w:pPr>
              <w:pStyle w:val="BDOITable"/>
            </w:pPr>
            <w:r>
              <w:rPr>
                <w:sz w:val="15"/>
              </w:rPr>
              <w:t>2</w:t>
            </w:r>
          </w:p>
        </w:tc>
        <w:tc>
          <w:tcPr>
            <w:tcW w:type="dxa" w:w="1448"/>
            <w:tcMar>
              <w:top w:w="50" w:type="dxa"/>
              <w:bottom w:w="50" w:type="dxa"/>
              <w:left w:w="90" w:type="dxa"/>
              <w:right w:w="90" w:type="dxa"/>
            </w:tcMar>
          </w:tcPr>
          <w:p>
            <w:pPr>
              <w:pStyle w:val="BDOITable"/>
            </w:pPr>
            <w:r>
              <w:rPr>
                <w:sz w:val="15"/>
              </w:rPr>
              <w:t>Unplaced BRDs</w:t>
            </w:r>
          </w:p>
        </w:tc>
        <w:tc>
          <w:tcPr>
            <w:tcW w:type="dxa" w:w="5571"/>
            <w:tcMar>
              <w:top w:w="50" w:type="dxa"/>
              <w:bottom w:w="50" w:type="dxa"/>
              <w:left w:w="90" w:type="dxa"/>
              <w:right w:w="90" w:type="dxa"/>
            </w:tcMar>
          </w:tcPr>
          <w:p>
            <w:pPr>
              <w:pStyle w:val="BDOITable"/>
            </w:pPr>
            <w:r>
              <w:rPr>
                <w:sz w:val="15"/>
              </w:rPr>
              <w:t>In which drop are BRD-10 Sanction Screening (we propose Drop 1 with Client Onboarding) and the CSF service-request functions (we propose Drop 2)?</w:t>
            </w:r>
          </w:p>
        </w:tc>
        <w:tc>
          <w:tcPr>
            <w:tcW w:type="dxa" w:w="1671"/>
            <w:tcMar>
              <w:top w:w="50" w:type="dxa"/>
              <w:bottom w:w="50" w:type="dxa"/>
              <w:left w:w="90" w:type="dxa"/>
              <w:right w:w="90" w:type="dxa"/>
            </w:tcMar>
          </w:tcPr>
          <w:p>
            <w:pPr>
              <w:pStyle w:val="BDOITable"/>
            </w:pPr>
            <w:r>
              <w:rPr>
                <w:sz w:val="15"/>
              </w:rPr>
              <w:t>Drop plan</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IQ24</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Drop 0 items without a BRD</w:t>
            </w:r>
          </w:p>
        </w:tc>
        <w:tc>
          <w:tcPr>
            <w:tcW w:type="dxa" w:w="5571"/>
            <w:tcMar>
              <w:top w:w="50" w:type="dxa"/>
              <w:bottom w:w="50" w:type="dxa"/>
              <w:left w:w="90" w:type="dxa"/>
              <w:right w:w="90" w:type="dxa"/>
            </w:tcMar>
            <w:shd w:val="clear" w:color="auto" w:fill="E5F5FF"/>
          </w:tcPr>
          <w:p>
            <w:pPr>
              <w:pStyle w:val="BDOITable"/>
            </w:pPr>
            <w:r>
              <w:rPr>
                <w:sz w:val="15"/>
              </w:rPr>
              <w:t>Which requirements govern Drop 0 items 1 (Accessibility &amp; Login: sign-in, or WCAG accessibility, or both), 4 (Data Management) and 5 (Workflow)? We propose BRD-11 + EIAM, CORE-17 of the umbrella BRD, and the workflows of each BRD.</w:t>
            </w:r>
          </w:p>
        </w:tc>
        <w:tc>
          <w:tcPr>
            <w:tcW w:type="dxa" w:w="1671"/>
            <w:tcMar>
              <w:top w:w="50" w:type="dxa"/>
              <w:bottom w:w="50" w:type="dxa"/>
              <w:left w:w="90" w:type="dxa"/>
              <w:right w:w="90" w:type="dxa"/>
            </w:tcMar>
            <w:shd w:val="clear" w:color="auto" w:fill="E5F5FF"/>
          </w:tcPr>
          <w:p>
            <w:pPr>
              <w:pStyle w:val="BDOITable"/>
            </w:pPr>
            <w:r>
              <w:rPr>
                <w:sz w:val="15"/>
              </w:rPr>
              <w:t>Drop plan Drop 0</w:t>
            </w:r>
          </w:p>
        </w:tc>
      </w:tr>
      <w:tr>
        <w:trPr>
          <w:cantSplit w:val="true"/>
        </w:trPr>
        <w:tc>
          <w:tcPr>
            <w:tcW w:type="dxa" w:w="613"/>
            <w:tcMar>
              <w:top w:w="50" w:type="dxa"/>
              <w:bottom w:w="50" w:type="dxa"/>
              <w:left w:w="90" w:type="dxa"/>
              <w:right w:w="90" w:type="dxa"/>
            </w:tcMar>
          </w:tcPr>
          <w:p>
            <w:pPr>
              <w:pStyle w:val="BDOITable"/>
            </w:pPr>
            <w:r>
              <w:rPr>
                <w:b/>
                <w:sz w:val="15"/>
              </w:rPr>
              <w:t>IQ27</w:t>
            </w:r>
          </w:p>
        </w:tc>
        <w:tc>
          <w:tcPr>
            <w:tcW w:type="dxa" w:w="669"/>
            <w:tcMar>
              <w:top w:w="50" w:type="dxa"/>
              <w:bottom w:w="50" w:type="dxa"/>
              <w:left w:w="90" w:type="dxa"/>
              <w:right w:w="90" w:type="dxa"/>
            </w:tcMar>
          </w:tcPr>
          <w:p>
            <w:pPr>
              <w:pStyle w:val="BDOITable"/>
            </w:pPr>
            <w:r>
              <w:rPr>
                <w:sz w:val="15"/>
              </w:rPr>
              <w:t>2</w:t>
            </w:r>
          </w:p>
        </w:tc>
        <w:tc>
          <w:tcPr>
            <w:tcW w:type="dxa" w:w="1448"/>
            <w:tcMar>
              <w:top w:w="50" w:type="dxa"/>
              <w:bottom w:w="50" w:type="dxa"/>
              <w:left w:w="90" w:type="dxa"/>
              <w:right w:w="90" w:type="dxa"/>
            </w:tcMar>
          </w:tcPr>
          <w:p>
            <w:pPr>
              <w:pStyle w:val="BDOITable"/>
            </w:pPr>
            <w:r>
              <w:rPr>
                <w:sz w:val="15"/>
              </w:rPr>
              <w:t>Non-production hours</w:t>
            </w:r>
          </w:p>
        </w:tc>
        <w:tc>
          <w:tcPr>
            <w:tcW w:type="dxa" w:w="5571"/>
            <w:tcMar>
              <w:top w:w="50" w:type="dxa"/>
              <w:bottom w:w="50" w:type="dxa"/>
              <w:left w:w="90" w:type="dxa"/>
              <w:right w:w="90" w:type="dxa"/>
            </w:tcMar>
          </w:tcPr>
          <w:p>
            <w:pPr>
              <w:pStyle w:val="BDOITable"/>
            </w:pPr>
            <w:r>
              <w:rPr>
                <w:sz w:val="15"/>
              </w:rPr>
              <w:t>What are the 12 x 5 hours? We need extended hours for batch and month-end test cycles, weekend trial migrations and the dress rehearsal; MSK and ElastiCache cannot be stopped.</w:t>
            </w:r>
          </w:p>
        </w:tc>
        <w:tc>
          <w:tcPr>
            <w:tcW w:type="dxa" w:w="1671"/>
            <w:tcMar>
              <w:top w:w="50" w:type="dxa"/>
              <w:bottom w:w="50" w:type="dxa"/>
              <w:left w:w="90" w:type="dxa"/>
              <w:right w:w="90" w:type="dxa"/>
            </w:tcMar>
          </w:tcPr>
          <w:p>
            <w:pPr>
              <w:pStyle w:val="BDOITable"/>
            </w:pPr>
            <w:r>
              <w:rPr>
                <w:sz w:val="15"/>
              </w:rPr>
              <w:t>IER Assumptions 3</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IQ28</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VDI and access</w:t>
            </w:r>
          </w:p>
        </w:tc>
        <w:tc>
          <w:tcPr>
            <w:tcW w:type="dxa" w:w="5571"/>
            <w:tcMar>
              <w:top w:w="50" w:type="dxa"/>
              <w:bottom w:w="50" w:type="dxa"/>
              <w:left w:w="90" w:type="dxa"/>
              <w:right w:w="90" w:type="dxa"/>
            </w:tcMar>
            <w:shd w:val="clear" w:color="auto" w:fill="E5F5FF"/>
          </w:tcPr>
          <w:p>
            <w:pPr>
              <w:pStyle w:val="BDOITable"/>
            </w:pPr>
            <w:r>
              <w:rPr>
                <w:sz w:val="15"/>
              </w:rPr>
              <w:t>Does "access restricted to personnel in the Philippines" apply to DEV and SIT with masked data? Which vendor staff need VDI? Software list: Temurin 21, Maven 3.9, Node 22 (not JDK 17, Node 20, Angular).</w:t>
            </w:r>
          </w:p>
        </w:tc>
        <w:tc>
          <w:tcPr>
            <w:tcW w:type="dxa" w:w="1671"/>
            <w:tcMar>
              <w:top w:w="50" w:type="dxa"/>
              <w:bottom w:w="50" w:type="dxa"/>
              <w:left w:w="90" w:type="dxa"/>
              <w:right w:w="90" w:type="dxa"/>
            </w:tcMar>
            <w:shd w:val="clear" w:color="auto" w:fill="E5F5FF"/>
          </w:tcPr>
          <w:p>
            <w:pPr>
              <w:pStyle w:val="BDOITable"/>
            </w:pPr>
            <w:r>
              <w:rPr>
                <w:sz w:val="15"/>
              </w:rPr>
              <w:t>IER VDI Requirements; hosting appendix</w:t>
            </w:r>
          </w:p>
        </w:tc>
      </w:tr>
      <w:tr>
        <w:trPr>
          <w:cantSplit w:val="true"/>
        </w:trPr>
        <w:tc>
          <w:tcPr>
            <w:tcW w:type="dxa" w:w="613"/>
            <w:tcMar>
              <w:top w:w="50" w:type="dxa"/>
              <w:bottom w:w="50" w:type="dxa"/>
              <w:left w:w="90" w:type="dxa"/>
              <w:right w:w="90" w:type="dxa"/>
            </w:tcMar>
          </w:tcPr>
          <w:p>
            <w:pPr>
              <w:pStyle w:val="BDOITable"/>
            </w:pPr>
            <w:r>
              <w:rPr>
                <w:b/>
                <w:sz w:val="15"/>
              </w:rPr>
              <w:t>IQ29</w:t>
            </w:r>
          </w:p>
        </w:tc>
        <w:tc>
          <w:tcPr>
            <w:tcW w:type="dxa" w:w="669"/>
            <w:tcMar>
              <w:top w:w="50" w:type="dxa"/>
              <w:bottom w:w="50" w:type="dxa"/>
              <w:left w:w="90" w:type="dxa"/>
              <w:right w:w="90" w:type="dxa"/>
            </w:tcMar>
          </w:tcPr>
          <w:p>
            <w:pPr>
              <w:pStyle w:val="BDOITable"/>
            </w:pPr>
            <w:r>
              <w:rPr>
                <w:sz w:val="15"/>
              </w:rPr>
              <w:t>2</w:t>
            </w:r>
          </w:p>
        </w:tc>
        <w:tc>
          <w:tcPr>
            <w:tcW w:type="dxa" w:w="1448"/>
            <w:tcMar>
              <w:top w:w="50" w:type="dxa"/>
              <w:bottom w:w="50" w:type="dxa"/>
              <w:left w:w="90" w:type="dxa"/>
              <w:right w:w="90" w:type="dxa"/>
            </w:tcMar>
          </w:tcPr>
          <w:p>
            <w:pPr>
              <w:pStyle w:val="BDOITable"/>
            </w:pPr>
            <w:r>
              <w:rPr>
                <w:sz w:val="15"/>
              </w:rPr>
              <w:t>CI / CD toolchain</w:t>
            </w:r>
          </w:p>
        </w:tc>
        <w:tc>
          <w:tcPr>
            <w:tcW w:type="dxa" w:w="5571"/>
            <w:tcMar>
              <w:top w:w="50" w:type="dxa"/>
              <w:bottom w:w="50" w:type="dxa"/>
              <w:left w:w="90" w:type="dxa"/>
              <w:right w:w="90" w:type="dxa"/>
            </w:tcMar>
          </w:tcPr>
          <w:p>
            <w:pPr>
              <w:pStyle w:val="BDOITable"/>
            </w:pPr>
            <w:r>
              <w:rPr>
                <w:sz w:val="15"/>
              </w:rPr>
              <w:t>Which toolchain applies: GitLab (HW sheet), a second CI toolchain named in the IER (infra diagram) or ArgoCD + Helm (diagram)? Container registry, image base (RHEL UBI or Alpine), SonarQube instance.</w:t>
            </w:r>
          </w:p>
        </w:tc>
        <w:tc>
          <w:tcPr>
            <w:tcW w:type="dxa" w:w="1671"/>
            <w:tcMar>
              <w:top w:w="50" w:type="dxa"/>
              <w:bottom w:w="50" w:type="dxa"/>
              <w:left w:w="90" w:type="dxa"/>
              <w:right w:w="90" w:type="dxa"/>
            </w:tcMar>
          </w:tcPr>
          <w:p>
            <w:pPr>
              <w:pStyle w:val="BDOITable"/>
            </w:pPr>
            <w:r>
              <w:rPr>
                <w:sz w:val="15"/>
              </w:rPr>
              <w:t>IER sheets</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IQ32</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Sizing basis</w:t>
            </w:r>
          </w:p>
        </w:tc>
        <w:tc>
          <w:tcPr>
            <w:tcW w:type="dxa" w:w="5571"/>
            <w:tcMar>
              <w:top w:w="50" w:type="dxa"/>
              <w:bottom w:w="50" w:type="dxa"/>
              <w:left w:w="90" w:type="dxa"/>
              <w:right w:w="90" w:type="dxa"/>
            </w:tcMar>
            <w:shd w:val="clear" w:color="auto" w:fill="E5F5FF"/>
          </w:tcPr>
          <w:p>
            <w:pPr>
              <w:pStyle w:val="BDOITable"/>
            </w:pPr>
            <w:r>
              <w:rPr>
                <w:sz w:val="15"/>
              </w:rPr>
              <w:t>Which user figures size the platform: 1,200 internal users (IER diagram) or 1,344 named / 429 concurrent (umbrella BRD p.42)? Transactions per second per year (IER K8s guideline 3).</w:t>
            </w:r>
          </w:p>
        </w:tc>
        <w:tc>
          <w:tcPr>
            <w:tcW w:type="dxa" w:w="1671"/>
            <w:tcMar>
              <w:top w:w="50" w:type="dxa"/>
              <w:bottom w:w="50" w:type="dxa"/>
              <w:left w:w="90" w:type="dxa"/>
              <w:right w:w="90" w:type="dxa"/>
            </w:tcMar>
            <w:shd w:val="clear" w:color="auto" w:fill="E5F5FF"/>
          </w:tcPr>
          <w:p>
            <w:pPr>
              <w:pStyle w:val="BDOITable"/>
            </w:pPr>
            <w:r>
              <w:rPr>
                <w:sz w:val="15"/>
              </w:rPr>
              <w:t>IER; DCR-166</w:t>
            </w:r>
          </w:p>
        </w:tc>
      </w:tr>
      <w:tr>
        <w:trPr>
          <w:cantSplit w:val="true"/>
        </w:trPr>
        <w:tc>
          <w:tcPr>
            <w:tcW w:type="dxa" w:w="613"/>
            <w:tcMar>
              <w:top w:w="50" w:type="dxa"/>
              <w:bottom w:w="50" w:type="dxa"/>
              <w:left w:w="90" w:type="dxa"/>
              <w:right w:w="90" w:type="dxa"/>
            </w:tcMar>
          </w:tcPr>
          <w:p>
            <w:pPr>
              <w:pStyle w:val="BDOITable"/>
            </w:pPr>
            <w:r>
              <w:rPr>
                <w:b/>
                <w:sz w:val="15"/>
              </w:rPr>
              <w:t>IQ33</w:t>
            </w:r>
          </w:p>
        </w:tc>
        <w:tc>
          <w:tcPr>
            <w:tcW w:type="dxa" w:w="669"/>
            <w:tcMar>
              <w:top w:w="50" w:type="dxa"/>
              <w:bottom w:w="50" w:type="dxa"/>
              <w:left w:w="90" w:type="dxa"/>
              <w:right w:w="90" w:type="dxa"/>
            </w:tcMar>
          </w:tcPr>
          <w:p>
            <w:pPr>
              <w:pStyle w:val="BDOITable"/>
            </w:pPr>
            <w:r>
              <w:rPr>
                <w:sz w:val="15"/>
              </w:rPr>
              <w:t>2</w:t>
            </w:r>
          </w:p>
        </w:tc>
        <w:tc>
          <w:tcPr>
            <w:tcW w:type="dxa" w:w="1448"/>
            <w:tcMar>
              <w:top w:w="50" w:type="dxa"/>
              <w:bottom w:w="50" w:type="dxa"/>
              <w:left w:w="90" w:type="dxa"/>
              <w:right w:w="90" w:type="dxa"/>
            </w:tcMar>
          </w:tcPr>
          <w:p>
            <w:pPr>
              <w:pStyle w:val="BDOITable"/>
            </w:pPr>
            <w:r>
              <w:rPr>
                <w:sz w:val="15"/>
              </w:rPr>
              <w:t>IER completeness</w:t>
            </w:r>
          </w:p>
        </w:tc>
        <w:tc>
          <w:tcPr>
            <w:tcW w:type="dxa" w:w="5571"/>
            <w:tcMar>
              <w:top w:w="50" w:type="dxa"/>
              <w:bottom w:w="50" w:type="dxa"/>
              <w:left w:w="90" w:type="dxa"/>
              <w:right w:w="90" w:type="dxa"/>
            </w:tcMar>
          </w:tcPr>
          <w:p>
            <w:pPr>
              <w:pStyle w:val="BDOITable"/>
            </w:pPr>
            <w:r>
              <w:rPr>
                <w:sz w:val="15"/>
              </w:rPr>
              <w:t>Will BDOI IT add the Pre-Prod and DR cluster sheets, retitle the Pre-Prod sheet (it reads "UAT ENVIRONMENT") and replace the template rows of the environment cost sheets with the sizing of this document?</w:t>
            </w:r>
          </w:p>
        </w:tc>
        <w:tc>
          <w:tcPr>
            <w:tcW w:type="dxa" w:w="1671"/>
            <w:tcMar>
              <w:top w:w="50" w:type="dxa"/>
              <w:bottom w:w="50" w:type="dxa"/>
              <w:left w:w="90" w:type="dxa"/>
              <w:right w:w="90" w:type="dxa"/>
            </w:tcMar>
          </w:tcPr>
          <w:p>
            <w:pPr>
              <w:pStyle w:val="BDOITable"/>
            </w:pPr>
            <w:r>
              <w:rPr>
                <w:sz w:val="15"/>
              </w:rPr>
              <w:t>IER Pre-Prod, K8s sheets</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IQ35</w:t>
            </w:r>
          </w:p>
        </w:tc>
        <w:tc>
          <w:tcPr>
            <w:tcW w:type="dxa" w:w="669"/>
            <w:tcMar>
              <w:top w:w="50" w:type="dxa"/>
              <w:bottom w:w="50" w:type="dxa"/>
              <w:left w:w="90" w:type="dxa"/>
              <w:right w:w="90" w:type="dxa"/>
            </w:tcMar>
            <w:shd w:val="clear" w:color="auto" w:fill="E5F5FF"/>
          </w:tcPr>
          <w:p>
            <w:pPr>
              <w:pStyle w:val="BDOITable"/>
            </w:pPr>
            <w:r>
              <w:rPr>
                <w:sz w:val="15"/>
              </w:rPr>
              <w:t>2</w:t>
            </w:r>
          </w:p>
        </w:tc>
        <w:tc>
          <w:tcPr>
            <w:tcW w:type="dxa" w:w="1448"/>
            <w:tcMar>
              <w:top w:w="50" w:type="dxa"/>
              <w:bottom w:w="50" w:type="dxa"/>
              <w:left w:w="90" w:type="dxa"/>
              <w:right w:w="90" w:type="dxa"/>
            </w:tcMar>
            <w:shd w:val="clear" w:color="auto" w:fill="E5F5FF"/>
          </w:tcPr>
          <w:p>
            <w:pPr>
              <w:pStyle w:val="BDOITable"/>
            </w:pPr>
            <w:r>
              <w:rPr>
                <w:sz w:val="15"/>
              </w:rPr>
              <w:t>Security testing</w:t>
            </w:r>
          </w:p>
        </w:tc>
        <w:tc>
          <w:tcPr>
            <w:tcW w:type="dxa" w:w="5571"/>
            <w:tcMar>
              <w:top w:w="50" w:type="dxa"/>
              <w:bottom w:w="50" w:type="dxa"/>
              <w:left w:w="90" w:type="dxa"/>
              <w:right w:w="90" w:type="dxa"/>
            </w:tcMar>
            <w:shd w:val="clear" w:color="auto" w:fill="E5F5FF"/>
          </w:tcPr>
          <w:p>
            <w:pPr>
              <w:pStyle w:val="BDOITable"/>
            </w:pPr>
            <w:r>
              <w:rPr>
                <w:sz w:val="15"/>
              </w:rPr>
              <w:t>Who runs the performance and penetration tests of Nov - Dec 2027, and may an earlier scan run in SIT in June 2027?</w:t>
            </w:r>
          </w:p>
        </w:tc>
        <w:tc>
          <w:tcPr>
            <w:tcW w:type="dxa" w:w="1671"/>
            <w:tcMar>
              <w:top w:w="50" w:type="dxa"/>
              <w:bottom w:w="50" w:type="dxa"/>
              <w:left w:w="90" w:type="dxa"/>
              <w:right w:w="90" w:type="dxa"/>
            </w:tcMar>
            <w:shd w:val="clear" w:color="auto" w:fill="E5F5FF"/>
          </w:tcPr>
          <w:p>
            <w:pPr>
              <w:pStyle w:val="BDOITable"/>
            </w:pPr>
            <w:r>
              <w:rPr>
                <w:sz w:val="15"/>
              </w:rPr>
              <w:t>Timeline slide</w:t>
            </w:r>
          </w:p>
        </w:tc>
      </w:tr>
      <w:tr>
        <w:trPr>
          <w:cantSplit w:val="true"/>
        </w:trPr>
        <w:tc>
          <w:tcPr>
            <w:tcW w:type="dxa" w:w="613"/>
            <w:tcMar>
              <w:top w:w="50" w:type="dxa"/>
              <w:bottom w:w="50" w:type="dxa"/>
              <w:left w:w="90" w:type="dxa"/>
              <w:right w:w="90" w:type="dxa"/>
            </w:tcMar>
          </w:tcPr>
          <w:p>
            <w:pPr>
              <w:pStyle w:val="BDOITable"/>
            </w:pPr>
            <w:r>
              <w:rPr>
                <w:b/>
                <w:sz w:val="15"/>
              </w:rPr>
              <w:t>IQ08</w:t>
            </w:r>
          </w:p>
        </w:tc>
        <w:tc>
          <w:tcPr>
            <w:tcW w:type="dxa" w:w="669"/>
            <w:tcMar>
              <w:top w:w="50" w:type="dxa"/>
              <w:bottom w:w="50" w:type="dxa"/>
              <w:left w:w="90" w:type="dxa"/>
              <w:right w:w="90" w:type="dxa"/>
            </w:tcMar>
          </w:tcPr>
          <w:p>
            <w:pPr>
              <w:pStyle w:val="BDOITable"/>
            </w:pPr>
            <w:r>
              <w:rPr>
                <w:sz w:val="15"/>
              </w:rPr>
              <w:t>3</w:t>
            </w:r>
          </w:p>
        </w:tc>
        <w:tc>
          <w:tcPr>
            <w:tcW w:type="dxa" w:w="1448"/>
            <w:tcMar>
              <w:top w:w="50" w:type="dxa"/>
              <w:bottom w:w="50" w:type="dxa"/>
              <w:left w:w="90" w:type="dxa"/>
              <w:right w:w="90" w:type="dxa"/>
            </w:tcMar>
          </w:tcPr>
          <w:p>
            <w:pPr>
              <w:pStyle w:val="BDOITable"/>
            </w:pPr>
            <w:r>
              <w:rPr>
                <w:sz w:val="15"/>
              </w:rPr>
              <w:t>LFS SaaS</w:t>
            </w:r>
          </w:p>
        </w:tc>
        <w:tc>
          <w:tcPr>
            <w:tcW w:type="dxa" w:w="5571"/>
            <w:tcMar>
              <w:top w:w="50" w:type="dxa"/>
              <w:bottom w:w="50" w:type="dxa"/>
              <w:left w:w="90" w:type="dxa"/>
              <w:right w:w="90" w:type="dxa"/>
            </w:tcMar>
          </w:tcPr>
          <w:p>
            <w:pPr>
              <w:pStyle w:val="BDOITable"/>
            </w:pPr>
            <w:r>
              <w:rPr>
                <w:sz w:val="15"/>
              </w:rPr>
              <w:t>In which drop is the LFS interface, and what is its layout and transport?</w:t>
            </w:r>
          </w:p>
        </w:tc>
        <w:tc>
          <w:tcPr>
            <w:tcW w:type="dxa" w:w="1671"/>
            <w:tcMar>
              <w:top w:w="50" w:type="dxa"/>
              <w:bottom w:w="50" w:type="dxa"/>
              <w:left w:w="90" w:type="dxa"/>
              <w:right w:w="90" w:type="dxa"/>
            </w:tcMar>
          </w:tcPr>
          <w:p>
            <w:pPr>
              <w:pStyle w:val="BDOITable"/>
            </w:pPr>
            <w:r>
              <w:rPr>
                <w:sz w:val="15"/>
              </w:rPr>
              <w:t>Answer A2; BRD-12 p.4-5</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IQ12</w:t>
            </w:r>
          </w:p>
        </w:tc>
        <w:tc>
          <w:tcPr>
            <w:tcW w:type="dxa" w:w="669"/>
            <w:tcMar>
              <w:top w:w="50" w:type="dxa"/>
              <w:bottom w:w="50" w:type="dxa"/>
              <w:left w:w="90" w:type="dxa"/>
              <w:right w:w="90" w:type="dxa"/>
            </w:tcMar>
            <w:shd w:val="clear" w:color="auto" w:fill="E5F5FF"/>
          </w:tcPr>
          <w:p>
            <w:pPr>
              <w:pStyle w:val="BDOITable"/>
            </w:pPr>
            <w:r>
              <w:rPr>
                <w:sz w:val="15"/>
              </w:rPr>
              <w:t>3</w:t>
            </w:r>
          </w:p>
        </w:tc>
        <w:tc>
          <w:tcPr>
            <w:tcW w:type="dxa" w:w="1448"/>
            <w:tcMar>
              <w:top w:w="50" w:type="dxa"/>
              <w:bottom w:w="50" w:type="dxa"/>
              <w:left w:w="90" w:type="dxa"/>
              <w:right w:w="90" w:type="dxa"/>
            </w:tcMar>
            <w:shd w:val="clear" w:color="auto" w:fill="E5F5FF"/>
          </w:tcPr>
          <w:p>
            <w:pPr>
              <w:pStyle w:val="BDOITable"/>
            </w:pPr>
            <w:r>
              <w:rPr>
                <w:sz w:val="15"/>
              </w:rPr>
              <w:t>M365 Exchange</w:t>
            </w:r>
          </w:p>
        </w:tc>
        <w:tc>
          <w:tcPr>
            <w:tcW w:type="dxa" w:w="5571"/>
            <w:tcMar>
              <w:top w:w="50" w:type="dxa"/>
              <w:bottom w:w="50" w:type="dxa"/>
              <w:left w:w="90" w:type="dxa"/>
              <w:right w:w="90" w:type="dxa"/>
            </w:tcMar>
            <w:shd w:val="clear" w:color="auto" w:fill="E5F5FF"/>
          </w:tcPr>
          <w:p>
            <w:pPr>
              <w:pStyle w:val="BDOITable"/>
            </w:pPr>
            <w:r>
              <w:rPr>
                <w:sz w:val="15"/>
              </w:rPr>
              <w:t>What does BIBS do with M365 Exchange that CCM does not cover (read the mailboxes of e-mailed quotation requests or insurer replies through Microsoft Graph)?</w:t>
            </w:r>
          </w:p>
        </w:tc>
        <w:tc>
          <w:tcPr>
            <w:tcW w:type="dxa" w:w="1671"/>
            <w:tcMar>
              <w:top w:w="50" w:type="dxa"/>
              <w:bottom w:w="50" w:type="dxa"/>
              <w:left w:w="90" w:type="dxa"/>
              <w:right w:w="90" w:type="dxa"/>
            </w:tcMar>
            <w:shd w:val="clear" w:color="auto" w:fill="E5F5FF"/>
          </w:tcPr>
          <w:p>
            <w:pPr>
              <w:pStyle w:val="BDOITable"/>
            </w:pPr>
            <w:r>
              <w:rPr>
                <w:sz w:val="15"/>
              </w:rPr>
              <w:t>Answer A2; Q12</w:t>
            </w:r>
          </w:p>
        </w:tc>
      </w:tr>
      <w:tr>
        <w:trPr>
          <w:cantSplit w:val="true"/>
        </w:trPr>
        <w:tc>
          <w:tcPr>
            <w:tcW w:type="dxa" w:w="613"/>
            <w:tcMar>
              <w:top w:w="50" w:type="dxa"/>
              <w:bottom w:w="50" w:type="dxa"/>
              <w:left w:w="90" w:type="dxa"/>
              <w:right w:w="90" w:type="dxa"/>
            </w:tcMar>
          </w:tcPr>
          <w:p>
            <w:pPr>
              <w:pStyle w:val="BDOITable"/>
            </w:pPr>
            <w:r>
              <w:rPr>
                <w:b/>
                <w:sz w:val="15"/>
              </w:rPr>
              <w:t>IQ13</w:t>
            </w:r>
          </w:p>
        </w:tc>
        <w:tc>
          <w:tcPr>
            <w:tcW w:type="dxa" w:w="669"/>
            <w:tcMar>
              <w:top w:w="50" w:type="dxa"/>
              <w:bottom w:w="50" w:type="dxa"/>
              <w:left w:w="90" w:type="dxa"/>
              <w:right w:w="90" w:type="dxa"/>
            </w:tcMar>
          </w:tcPr>
          <w:p>
            <w:pPr>
              <w:pStyle w:val="BDOITable"/>
            </w:pPr>
            <w:r>
              <w:rPr>
                <w:sz w:val="15"/>
              </w:rPr>
              <w:t>3</w:t>
            </w:r>
          </w:p>
        </w:tc>
        <w:tc>
          <w:tcPr>
            <w:tcW w:type="dxa" w:w="1448"/>
            <w:tcMar>
              <w:top w:w="50" w:type="dxa"/>
              <w:bottom w:w="50" w:type="dxa"/>
              <w:left w:w="90" w:type="dxa"/>
              <w:right w:w="90" w:type="dxa"/>
            </w:tcMar>
          </w:tcPr>
          <w:p>
            <w:pPr>
              <w:pStyle w:val="BDOITable"/>
            </w:pPr>
            <w:r>
              <w:rPr>
                <w:sz w:val="15"/>
              </w:rPr>
              <w:t>ECM</w:t>
            </w:r>
          </w:p>
        </w:tc>
        <w:tc>
          <w:tcPr>
            <w:tcW w:type="dxa" w:w="5571"/>
            <w:tcMar>
              <w:top w:w="50" w:type="dxa"/>
              <w:bottom w:w="50" w:type="dxa"/>
              <w:left w:w="90" w:type="dxa"/>
              <w:right w:w="90" w:type="dxa"/>
            </w:tcMar>
          </w:tcPr>
          <w:p>
            <w:pPr>
              <w:pStyle w:val="BDOITable"/>
            </w:pPr>
            <w:r>
              <w:rPr>
                <w:sz w:val="15"/>
              </w:rPr>
              <w:t>With documents in S3 only, is there any ECM touch-point left (source of legacy documents for the archive, transfer of records at the end of retention)?</w:t>
            </w:r>
          </w:p>
        </w:tc>
        <w:tc>
          <w:tcPr>
            <w:tcW w:type="dxa" w:w="1671"/>
            <w:tcMar>
              <w:top w:w="50" w:type="dxa"/>
              <w:bottom w:w="50" w:type="dxa"/>
              <w:left w:w="90" w:type="dxa"/>
              <w:right w:w="90" w:type="dxa"/>
            </w:tcMar>
          </w:tcPr>
          <w:p>
            <w:pPr>
              <w:pStyle w:val="BDOITable"/>
            </w:pPr>
            <w:r>
              <w:rPr>
                <w:sz w:val="15"/>
              </w:rPr>
              <w:t>Answers A2, A4</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IQ14</w:t>
            </w:r>
          </w:p>
        </w:tc>
        <w:tc>
          <w:tcPr>
            <w:tcW w:type="dxa" w:w="669"/>
            <w:tcMar>
              <w:top w:w="50" w:type="dxa"/>
              <w:bottom w:w="50" w:type="dxa"/>
              <w:left w:w="90" w:type="dxa"/>
              <w:right w:w="90" w:type="dxa"/>
            </w:tcMar>
            <w:shd w:val="clear" w:color="auto" w:fill="E5F5FF"/>
          </w:tcPr>
          <w:p>
            <w:pPr>
              <w:pStyle w:val="BDOITable"/>
            </w:pPr>
            <w:r>
              <w:rPr>
                <w:sz w:val="15"/>
              </w:rPr>
              <w:t>3</w:t>
            </w:r>
          </w:p>
        </w:tc>
        <w:tc>
          <w:tcPr>
            <w:tcW w:type="dxa" w:w="1448"/>
            <w:tcMar>
              <w:top w:w="50" w:type="dxa"/>
              <w:bottom w:w="50" w:type="dxa"/>
              <w:left w:w="90" w:type="dxa"/>
              <w:right w:w="90" w:type="dxa"/>
            </w:tcMar>
            <w:shd w:val="clear" w:color="auto" w:fill="E5F5FF"/>
          </w:tcPr>
          <w:p>
            <w:pPr>
              <w:pStyle w:val="BDOITable"/>
            </w:pPr>
            <w:r>
              <w:rPr>
                <w:sz w:val="15"/>
              </w:rPr>
              <w:t>TFS</w:t>
            </w:r>
          </w:p>
        </w:tc>
        <w:tc>
          <w:tcPr>
            <w:tcW w:type="dxa" w:w="5571"/>
            <w:tcMar>
              <w:top w:w="50" w:type="dxa"/>
              <w:bottom w:w="50" w:type="dxa"/>
              <w:left w:w="90" w:type="dxa"/>
              <w:right w:w="90" w:type="dxa"/>
            </w:tcMar>
            <w:shd w:val="clear" w:color="auto" w:fill="E5F5FF"/>
          </w:tcPr>
          <w:p>
            <w:pPr>
              <w:pStyle w:val="BDOITable"/>
            </w:pPr>
            <w:r>
              <w:rPr>
                <w:sz w:val="15"/>
              </w:rPr>
              <w:t>Which client onboarding data comes from TFS, and what is the layout of the Trade payment file uploaded to Cashiering?</w:t>
            </w:r>
          </w:p>
        </w:tc>
        <w:tc>
          <w:tcPr>
            <w:tcW w:type="dxa" w:w="1671"/>
            <w:tcMar>
              <w:top w:w="50" w:type="dxa"/>
              <w:bottom w:w="50" w:type="dxa"/>
              <w:left w:w="90" w:type="dxa"/>
              <w:right w:w="90" w:type="dxa"/>
            </w:tcMar>
            <w:shd w:val="clear" w:color="auto" w:fill="E5F5FF"/>
          </w:tcPr>
          <w:p>
            <w:pPr>
              <w:pStyle w:val="BDOITable"/>
            </w:pPr>
            <w:r>
              <w:rPr>
                <w:sz w:val="15"/>
              </w:rPr>
              <w:t>Answer A2; CSHID.008</w:t>
            </w:r>
          </w:p>
        </w:tc>
      </w:tr>
      <w:tr>
        <w:trPr>
          <w:cantSplit w:val="true"/>
        </w:trPr>
        <w:tc>
          <w:tcPr>
            <w:tcW w:type="dxa" w:w="613"/>
            <w:tcMar>
              <w:top w:w="50" w:type="dxa"/>
              <w:bottom w:w="50" w:type="dxa"/>
              <w:left w:w="90" w:type="dxa"/>
              <w:right w:w="90" w:type="dxa"/>
            </w:tcMar>
          </w:tcPr>
          <w:p>
            <w:pPr>
              <w:pStyle w:val="BDOITable"/>
            </w:pPr>
            <w:r>
              <w:rPr>
                <w:b/>
                <w:sz w:val="15"/>
              </w:rPr>
              <w:t>IQ19</w:t>
            </w:r>
          </w:p>
        </w:tc>
        <w:tc>
          <w:tcPr>
            <w:tcW w:type="dxa" w:w="669"/>
            <w:tcMar>
              <w:top w:w="50" w:type="dxa"/>
              <w:bottom w:w="50" w:type="dxa"/>
              <w:left w:w="90" w:type="dxa"/>
              <w:right w:w="90" w:type="dxa"/>
            </w:tcMar>
          </w:tcPr>
          <w:p>
            <w:pPr>
              <w:pStyle w:val="BDOITable"/>
            </w:pPr>
            <w:r>
              <w:rPr>
                <w:sz w:val="15"/>
              </w:rPr>
              <w:t>3</w:t>
            </w:r>
          </w:p>
        </w:tc>
        <w:tc>
          <w:tcPr>
            <w:tcW w:type="dxa" w:w="1448"/>
            <w:tcMar>
              <w:top w:w="50" w:type="dxa"/>
              <w:bottom w:w="50" w:type="dxa"/>
              <w:left w:w="90" w:type="dxa"/>
              <w:right w:w="90" w:type="dxa"/>
            </w:tcMar>
          </w:tcPr>
          <w:p>
            <w:pPr>
              <w:pStyle w:val="BDOITable"/>
            </w:pPr>
            <w:r>
              <w:rPr>
                <w:sz w:val="15"/>
              </w:rPr>
              <w:t>Bridger Insight XG</w:t>
            </w:r>
          </w:p>
        </w:tc>
        <w:tc>
          <w:tcPr>
            <w:tcW w:type="dxa" w:w="5571"/>
            <w:tcMar>
              <w:top w:w="50" w:type="dxa"/>
              <w:bottom w:w="50" w:type="dxa"/>
              <w:left w:w="90" w:type="dxa"/>
              <w:right w:w="90" w:type="dxa"/>
            </w:tcMar>
          </w:tcPr>
          <w:p>
            <w:pPr>
              <w:pStyle w:val="BDOITable"/>
            </w:pPr>
            <w:r>
              <w:rPr>
                <w:sz w:val="15"/>
              </w:rPr>
              <w:t>Is Bridger the screening engine (BIBS records its results) or a second check next to BIBS list matching (SNSRP-201, 301)? Is a batch export of clients for Bridger needed?</w:t>
            </w:r>
          </w:p>
        </w:tc>
        <w:tc>
          <w:tcPr>
            <w:tcW w:type="dxa" w:w="1671"/>
            <w:tcMar>
              <w:top w:w="50" w:type="dxa"/>
              <w:bottom w:w="50" w:type="dxa"/>
              <w:left w:w="90" w:type="dxa"/>
              <w:right w:w="90" w:type="dxa"/>
            </w:tcMar>
          </w:tcPr>
          <w:p>
            <w:pPr>
              <w:pStyle w:val="BDOITable"/>
            </w:pPr>
            <w:r>
              <w:rPr>
                <w:sz w:val="15"/>
              </w:rPr>
              <w:t>Drop plan Drop 2; answer A2; SQ01</w:t>
            </w:r>
          </w:p>
        </w:tc>
      </w:tr>
      <w:tr>
        <w:trPr>
          <w:cantSplit w:val="true"/>
        </w:trPr>
        <w:tc>
          <w:tcPr>
            <w:tcW w:type="dxa" w:w="613"/>
            <w:tcMar>
              <w:top w:w="50" w:type="dxa"/>
              <w:bottom w:w="50" w:type="dxa"/>
              <w:left w:w="90" w:type="dxa"/>
              <w:right w:w="90" w:type="dxa"/>
            </w:tcMar>
            <w:shd w:val="clear" w:color="auto" w:fill="E5F5FF"/>
          </w:tcPr>
          <w:p>
            <w:pPr>
              <w:pStyle w:val="BDOITable"/>
            </w:pPr>
            <w:r>
              <w:rPr>
                <w:b/>
                <w:sz w:val="15"/>
              </w:rPr>
              <w:t>IQ30</w:t>
            </w:r>
          </w:p>
        </w:tc>
        <w:tc>
          <w:tcPr>
            <w:tcW w:type="dxa" w:w="669"/>
            <w:tcMar>
              <w:top w:w="50" w:type="dxa"/>
              <w:bottom w:w="50" w:type="dxa"/>
              <w:left w:w="90" w:type="dxa"/>
              <w:right w:w="90" w:type="dxa"/>
            </w:tcMar>
            <w:shd w:val="clear" w:color="auto" w:fill="E5F5FF"/>
          </w:tcPr>
          <w:p>
            <w:pPr>
              <w:pStyle w:val="BDOITable"/>
            </w:pPr>
            <w:r>
              <w:rPr>
                <w:sz w:val="15"/>
              </w:rPr>
              <w:t>3</w:t>
            </w:r>
          </w:p>
        </w:tc>
        <w:tc>
          <w:tcPr>
            <w:tcW w:type="dxa" w:w="1448"/>
            <w:tcMar>
              <w:top w:w="50" w:type="dxa"/>
              <w:bottom w:w="50" w:type="dxa"/>
              <w:left w:w="90" w:type="dxa"/>
              <w:right w:w="90" w:type="dxa"/>
            </w:tcMar>
            <w:shd w:val="clear" w:color="auto" w:fill="E5F5FF"/>
          </w:tcPr>
          <w:p>
            <w:pPr>
              <w:pStyle w:val="BDOITable"/>
            </w:pPr>
            <w:r>
              <w:rPr>
                <w:sz w:val="15"/>
              </w:rPr>
              <w:t>Observability</w:t>
            </w:r>
          </w:p>
        </w:tc>
        <w:tc>
          <w:tcPr>
            <w:tcW w:type="dxa" w:w="5571"/>
            <w:tcMar>
              <w:top w:w="50" w:type="dxa"/>
              <w:bottom w:w="50" w:type="dxa"/>
              <w:left w:w="90" w:type="dxa"/>
              <w:right w:w="90" w:type="dxa"/>
            </w:tcMar>
            <w:shd w:val="clear" w:color="auto" w:fill="E5F5FF"/>
          </w:tcPr>
          <w:p>
            <w:pPr>
              <w:pStyle w:val="BDOITable"/>
            </w:pPr>
            <w:r>
              <w:rPr>
                <w:sz w:val="15"/>
              </w:rPr>
              <w:t>Dynatrace (VDI, K8s sheets) or CloudWatch, X-Ray, Prometheus, Loki, Grafana (diagram)? Log platform and alert routing.</w:t>
            </w:r>
          </w:p>
        </w:tc>
        <w:tc>
          <w:tcPr>
            <w:tcW w:type="dxa" w:w="1671"/>
            <w:tcMar>
              <w:top w:w="50" w:type="dxa"/>
              <w:bottom w:w="50" w:type="dxa"/>
              <w:left w:w="90" w:type="dxa"/>
              <w:right w:w="90" w:type="dxa"/>
            </w:tcMar>
            <w:shd w:val="clear" w:color="auto" w:fill="E5F5FF"/>
          </w:tcPr>
          <w:p>
            <w:pPr>
              <w:pStyle w:val="BDOITable"/>
            </w:pPr>
            <w:r>
              <w:rPr>
                <w:sz w:val="15"/>
              </w:rPr>
              <w:t>IER sheets</w:t>
            </w:r>
          </w:p>
        </w:tc>
      </w:tr>
      <w:tr>
        <w:trPr>
          <w:cantSplit w:val="true"/>
        </w:trPr>
        <w:tc>
          <w:tcPr>
            <w:tcW w:type="dxa" w:w="613"/>
            <w:tcMar>
              <w:top w:w="50" w:type="dxa"/>
              <w:bottom w:w="50" w:type="dxa"/>
              <w:left w:w="90" w:type="dxa"/>
              <w:right w:w="90" w:type="dxa"/>
            </w:tcMar>
          </w:tcPr>
          <w:p>
            <w:pPr>
              <w:pStyle w:val="BDOITable"/>
            </w:pPr>
            <w:r>
              <w:rPr>
                <w:b/>
                <w:sz w:val="15"/>
              </w:rPr>
              <w:t>IQ34</w:t>
            </w:r>
          </w:p>
        </w:tc>
        <w:tc>
          <w:tcPr>
            <w:tcW w:type="dxa" w:w="669"/>
            <w:tcMar>
              <w:top w:w="50" w:type="dxa"/>
              <w:bottom w:w="50" w:type="dxa"/>
              <w:left w:w="90" w:type="dxa"/>
              <w:right w:w="90" w:type="dxa"/>
            </w:tcMar>
          </w:tcPr>
          <w:p>
            <w:pPr>
              <w:pStyle w:val="BDOITable"/>
            </w:pPr>
            <w:r>
              <w:rPr>
                <w:sz w:val="15"/>
              </w:rPr>
              <w:t>3</w:t>
            </w:r>
          </w:p>
        </w:tc>
        <w:tc>
          <w:tcPr>
            <w:tcW w:type="dxa" w:w="1448"/>
            <w:tcMar>
              <w:top w:w="50" w:type="dxa"/>
              <w:bottom w:w="50" w:type="dxa"/>
              <w:left w:w="90" w:type="dxa"/>
              <w:right w:w="90" w:type="dxa"/>
            </w:tcMar>
          </w:tcPr>
          <w:p>
            <w:pPr>
              <w:pStyle w:val="BDOITable"/>
            </w:pPr>
            <w:r>
              <w:rPr>
                <w:sz w:val="15"/>
              </w:rPr>
              <w:t>ElastiCache mode</w:t>
            </w:r>
          </w:p>
        </w:tc>
        <w:tc>
          <w:tcPr>
            <w:tcW w:type="dxa" w:w="5571"/>
            <w:tcMar>
              <w:top w:w="50" w:type="dxa"/>
              <w:bottom w:w="50" w:type="dxa"/>
              <w:left w:w="90" w:type="dxa"/>
              <w:right w:w="90" w:type="dxa"/>
            </w:tcMar>
          </w:tcPr>
          <w:p>
            <w:pPr>
              <w:pStyle w:val="BDOITable"/>
            </w:pPr>
            <w:r>
              <w:rPr>
                <w:sz w:val="15"/>
              </w:rPr>
              <w:t>Please confirm cluster mode disabled (one shard, Multi-AZ replica) for Pre-Prod and PROD; "cluster" in the HW sheet would need a change in BIBS.</w:t>
            </w:r>
          </w:p>
        </w:tc>
        <w:tc>
          <w:tcPr>
            <w:tcW w:type="dxa" w:w="1671"/>
            <w:tcMar>
              <w:top w:w="50" w:type="dxa"/>
              <w:bottom w:w="50" w:type="dxa"/>
              <w:left w:w="90" w:type="dxa"/>
              <w:right w:w="90" w:type="dxa"/>
            </w:tcMar>
          </w:tcPr>
          <w:p>
            <w:pPr>
              <w:pStyle w:val="BDOITable"/>
            </w:pPr>
            <w:r>
              <w:rPr>
                <w:sz w:val="15"/>
              </w:rPr>
              <w:t>IER HW &amp; SW Requirements</w:t>
            </w:r>
          </w:p>
        </w:tc>
      </w:tr>
    </w:tbl>
    <w:p>
      <w:pPr>
        <w:pStyle w:val="BDOISpacer"/>
      </w:pPr>
    </w:p>
    <w:p>
      <w:pPr>
        <w:pStyle w:val="Heading1"/>
        <w:pageBreakBefore/>
        <w:pBdr>
          <w:bottom w:val="single" w:sz="4" w:space="4" w:color="99C1E7"/>
        </w:pBdr>
      </w:pPr>
      <w:bookmarkStart w:id="133" w:name="_Toc000133"/>
      <w:r>
        <w:rPr/>
        <w:t>Glossary</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BIBS</w:t>
            </w:r>
          </w:p>
        </w:tc>
        <w:tc>
          <w:tcPr>
            <w:tcW w:type="dxa" w:w="7932"/>
            <w:tcMar>
              <w:top w:w="50" w:type="dxa"/>
              <w:bottom w:w="50" w:type="dxa"/>
              <w:left w:w="90" w:type="dxa"/>
              <w:right w:w="90" w:type="dxa"/>
            </w:tcMar>
          </w:tcPr>
          <w:p>
            <w:pPr>
              <w:pStyle w:val="BDOITable"/>
            </w:pPr>
            <w:r>
              <w:rPr>
                <w:sz w:val="18"/>
              </w:rPr>
              <w:t>BDOI Broker System, on iNXT BrokerVerse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CCM</w:t>
            </w:r>
          </w:p>
        </w:tc>
        <w:tc>
          <w:tcPr>
            <w:tcW w:type="dxa" w:w="7932"/>
            <w:tcMar>
              <w:top w:w="50" w:type="dxa"/>
              <w:bottom w:w="50" w:type="dxa"/>
              <w:left w:w="90" w:type="dxa"/>
              <w:right w:w="90" w:type="dxa"/>
            </w:tcMar>
            <w:shd w:val="clear" w:color="auto" w:fill="E5F5FF"/>
          </w:tcPr>
          <w:p>
            <w:pPr>
              <w:pStyle w:val="BDOITable"/>
            </w:pPr>
            <w:r>
              <w:rPr>
                <w:sz w:val="18"/>
              </w:rPr>
              <w:t>Centralized Communications Management (e-mail sending)</w:t>
            </w:r>
          </w:p>
        </w:tc>
      </w:tr>
      <w:tr>
        <w:trPr>
          <w:cantSplit w:val="true"/>
        </w:trPr>
        <w:tc>
          <w:tcPr>
            <w:tcW w:type="dxa" w:w="2040"/>
            <w:tcMar>
              <w:top w:w="50" w:type="dxa"/>
              <w:bottom w:w="50" w:type="dxa"/>
              <w:left w:w="90" w:type="dxa"/>
              <w:right w:w="90" w:type="dxa"/>
            </w:tcMar>
          </w:tcPr>
          <w:p>
            <w:pPr>
              <w:pStyle w:val="BDOITable"/>
            </w:pPr>
            <w:r>
              <w:rPr>
                <w:b/>
                <w:sz w:val="18"/>
              </w:rPr>
              <w:t>CMS / New BOB</w:t>
            </w:r>
          </w:p>
        </w:tc>
        <w:tc>
          <w:tcPr>
            <w:tcW w:type="dxa" w:w="7932"/>
            <w:tcMar>
              <w:top w:w="50" w:type="dxa"/>
              <w:bottom w:w="50" w:type="dxa"/>
              <w:left w:w="90" w:type="dxa"/>
              <w:right w:w="90" w:type="dxa"/>
            </w:tcMar>
          </w:tcPr>
          <w:p>
            <w:pPr>
              <w:pStyle w:val="BDOITable"/>
            </w:pPr>
            <w:r>
              <w:rPr>
                <w:sz w:val="18"/>
              </w:rPr>
              <w:t>Cash Management System, outward payments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DR</w:t>
            </w:r>
          </w:p>
        </w:tc>
        <w:tc>
          <w:tcPr>
            <w:tcW w:type="dxa" w:w="7932"/>
            <w:tcMar>
              <w:top w:w="50" w:type="dxa"/>
              <w:bottom w:w="50" w:type="dxa"/>
              <w:left w:w="90" w:type="dxa"/>
              <w:right w:w="90" w:type="dxa"/>
            </w:tcMar>
            <w:shd w:val="clear" w:color="auto" w:fill="E5F5FF"/>
          </w:tcPr>
          <w:p>
            <w:pPr>
              <w:pStyle w:val="BDOITable"/>
            </w:pPr>
            <w:r>
              <w:rPr>
                <w:sz w:val="18"/>
              </w:rPr>
              <w:t>Disaster recovery</w:t>
            </w:r>
          </w:p>
        </w:tc>
      </w:tr>
      <w:tr>
        <w:trPr>
          <w:cantSplit w:val="true"/>
        </w:trPr>
        <w:tc>
          <w:tcPr>
            <w:tcW w:type="dxa" w:w="2040"/>
            <w:tcMar>
              <w:top w:w="50" w:type="dxa"/>
              <w:bottom w:w="50" w:type="dxa"/>
              <w:left w:w="90" w:type="dxa"/>
              <w:right w:w="90" w:type="dxa"/>
            </w:tcMar>
          </w:tcPr>
          <w:p>
            <w:pPr>
              <w:pStyle w:val="BDOITable"/>
            </w:pPr>
            <w:r>
              <w:rPr>
                <w:b/>
                <w:sz w:val="18"/>
              </w:rPr>
              <w:t>EDP</w:t>
            </w:r>
          </w:p>
        </w:tc>
        <w:tc>
          <w:tcPr>
            <w:tcW w:type="dxa" w:w="7932"/>
            <w:tcMar>
              <w:top w:w="50" w:type="dxa"/>
              <w:bottom w:w="50" w:type="dxa"/>
              <w:left w:w="90" w:type="dxa"/>
              <w:right w:w="90" w:type="dxa"/>
            </w:tcMar>
          </w:tcPr>
          <w:p>
            <w:pPr>
              <w:pStyle w:val="BDOITable"/>
            </w:pPr>
            <w:r>
              <w:rPr>
                <w:sz w:val="18"/>
              </w:rPr>
              <w:t>Enterprise Data Platform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EGL</w:t>
            </w:r>
          </w:p>
        </w:tc>
        <w:tc>
          <w:tcPr>
            <w:tcW w:type="dxa" w:w="7932"/>
            <w:tcMar>
              <w:top w:w="50" w:type="dxa"/>
              <w:bottom w:w="50" w:type="dxa"/>
              <w:left w:w="90" w:type="dxa"/>
              <w:right w:w="90" w:type="dxa"/>
            </w:tcMar>
            <w:shd w:val="clear" w:color="auto" w:fill="E5F5FF"/>
          </w:tcPr>
          <w:p>
            <w:pPr>
              <w:pStyle w:val="BDOITable"/>
            </w:pPr>
            <w:r>
              <w:rPr>
                <w:sz w:val="18"/>
              </w:rPr>
              <w:t>Enterprise General Ledger</w:t>
            </w:r>
          </w:p>
        </w:tc>
      </w:tr>
      <w:tr>
        <w:trPr>
          <w:cantSplit w:val="true"/>
        </w:trPr>
        <w:tc>
          <w:tcPr>
            <w:tcW w:type="dxa" w:w="2040"/>
            <w:tcMar>
              <w:top w:w="50" w:type="dxa"/>
              <w:bottom w:w="50" w:type="dxa"/>
              <w:left w:w="90" w:type="dxa"/>
              <w:right w:w="90" w:type="dxa"/>
            </w:tcMar>
          </w:tcPr>
          <w:p>
            <w:pPr>
              <w:pStyle w:val="BDOITable"/>
            </w:pPr>
            <w:r>
              <w:rPr>
                <w:b/>
                <w:sz w:val="18"/>
              </w:rPr>
              <w:t>EIAM</w:t>
            </w:r>
          </w:p>
        </w:tc>
        <w:tc>
          <w:tcPr>
            <w:tcW w:type="dxa" w:w="7932"/>
            <w:tcMar>
              <w:top w:w="50" w:type="dxa"/>
              <w:bottom w:w="50" w:type="dxa"/>
              <w:left w:w="90" w:type="dxa"/>
              <w:right w:w="90" w:type="dxa"/>
            </w:tcMar>
          </w:tcPr>
          <w:p>
            <w:pPr>
              <w:pStyle w:val="BDOITable"/>
            </w:pPr>
            <w:r>
              <w:rPr>
                <w:sz w:val="18"/>
              </w:rPr>
              <w:t>Enterprise Identity Access Management (Entra ID)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EKS</w:t>
            </w:r>
          </w:p>
        </w:tc>
        <w:tc>
          <w:tcPr>
            <w:tcW w:type="dxa" w:w="7932"/>
            <w:tcMar>
              <w:top w:w="50" w:type="dxa"/>
              <w:bottom w:w="50" w:type="dxa"/>
              <w:left w:w="90" w:type="dxa"/>
              <w:right w:w="90" w:type="dxa"/>
            </w:tcMar>
            <w:shd w:val="clear" w:color="auto" w:fill="E5F5FF"/>
          </w:tcPr>
          <w:p>
            <w:pPr>
              <w:pStyle w:val="BDOITable"/>
            </w:pPr>
            <w:r>
              <w:rPr>
                <w:sz w:val="18"/>
              </w:rPr>
              <w:t>Amazon Elastic Kubernetes Service</w:t>
            </w:r>
          </w:p>
        </w:tc>
      </w:tr>
      <w:tr>
        <w:trPr>
          <w:cantSplit w:val="true"/>
        </w:trPr>
        <w:tc>
          <w:tcPr>
            <w:tcW w:type="dxa" w:w="2040"/>
            <w:tcMar>
              <w:top w:w="50" w:type="dxa"/>
              <w:bottom w:w="50" w:type="dxa"/>
              <w:left w:w="90" w:type="dxa"/>
              <w:right w:w="90" w:type="dxa"/>
            </w:tcMar>
          </w:tcPr>
          <w:p>
            <w:pPr>
              <w:pStyle w:val="BDOITable"/>
            </w:pPr>
            <w:r>
              <w:rPr>
                <w:b/>
                <w:sz w:val="18"/>
              </w:rPr>
              <w:t>FFY</w:t>
            </w:r>
          </w:p>
        </w:tc>
        <w:tc>
          <w:tcPr>
            <w:tcW w:type="dxa" w:w="7932"/>
            <w:tcMar>
              <w:top w:w="50" w:type="dxa"/>
              <w:bottom w:w="50" w:type="dxa"/>
              <w:left w:w="90" w:type="dxa"/>
              <w:right w:w="90" w:type="dxa"/>
            </w:tcMar>
          </w:tcPr>
          <w:p>
            <w:pPr>
              <w:pStyle w:val="BDOITable"/>
            </w:pPr>
            <w:r>
              <w:rPr>
                <w:sz w:val="18"/>
              </w:rPr>
              <w:t>Free First Year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Gateway API</w:t>
            </w:r>
          </w:p>
        </w:tc>
        <w:tc>
          <w:tcPr>
            <w:tcW w:type="dxa" w:w="7932"/>
            <w:tcMar>
              <w:top w:w="50" w:type="dxa"/>
              <w:bottom w:w="50" w:type="dxa"/>
              <w:left w:w="90" w:type="dxa"/>
              <w:right w:w="90" w:type="dxa"/>
            </w:tcMar>
            <w:shd w:val="clear" w:color="auto" w:fill="E5F5FF"/>
          </w:tcPr>
          <w:p>
            <w:pPr>
              <w:pStyle w:val="BDOITable"/>
            </w:pPr>
            <w:r>
              <w:rPr>
                <w:sz w:val="18"/>
              </w:rPr>
              <w:t>Kubernetes standard for routing traffic into the cluster, successor of Ingress</w:t>
            </w:r>
          </w:p>
        </w:tc>
      </w:tr>
      <w:tr>
        <w:trPr>
          <w:cantSplit w:val="true"/>
        </w:trPr>
        <w:tc>
          <w:tcPr>
            <w:tcW w:type="dxa" w:w="2040"/>
            <w:tcMar>
              <w:top w:w="50" w:type="dxa"/>
              <w:bottom w:w="50" w:type="dxa"/>
              <w:left w:w="90" w:type="dxa"/>
              <w:right w:w="90" w:type="dxa"/>
            </w:tcMar>
          </w:tcPr>
          <w:p>
            <w:pPr>
              <w:pStyle w:val="BDOITable"/>
            </w:pPr>
            <w:r>
              <w:rPr>
                <w:b/>
                <w:sz w:val="18"/>
              </w:rPr>
              <w:t>HL-LOAS</w:t>
            </w:r>
          </w:p>
        </w:tc>
        <w:tc>
          <w:tcPr>
            <w:tcW w:type="dxa" w:w="7932"/>
            <w:tcMar>
              <w:top w:w="50" w:type="dxa"/>
              <w:bottom w:w="50" w:type="dxa"/>
              <w:left w:w="90" w:type="dxa"/>
              <w:right w:w="90" w:type="dxa"/>
            </w:tcMar>
          </w:tcPr>
          <w:p>
            <w:pPr>
              <w:pStyle w:val="BDOITable"/>
            </w:pPr>
            <w:r>
              <w:rPr>
                <w:sz w:val="18"/>
              </w:rPr>
              <w:t>Home Loan System (Loan Origination and Admin)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IER</w:t>
            </w:r>
          </w:p>
        </w:tc>
        <w:tc>
          <w:tcPr>
            <w:tcW w:type="dxa" w:w="7932"/>
            <w:tcMar>
              <w:top w:w="50" w:type="dxa"/>
              <w:bottom w:w="50" w:type="dxa"/>
              <w:left w:w="90" w:type="dxa"/>
              <w:right w:w="90" w:type="dxa"/>
            </w:tcMar>
            <w:shd w:val="clear" w:color="auto" w:fill="E5F5FF"/>
          </w:tcPr>
          <w:p>
            <w:pPr>
              <w:pStyle w:val="BDOITable"/>
            </w:pPr>
            <w:r>
              <w:rPr>
                <w:sz w:val="18"/>
              </w:rPr>
              <w:t>Infrastructure Estimation and Recommendation workbook</w:t>
            </w:r>
          </w:p>
        </w:tc>
      </w:tr>
      <w:tr>
        <w:trPr>
          <w:cantSplit w:val="true"/>
        </w:trPr>
        <w:tc>
          <w:tcPr>
            <w:tcW w:type="dxa" w:w="2040"/>
            <w:tcMar>
              <w:top w:w="50" w:type="dxa"/>
              <w:bottom w:w="50" w:type="dxa"/>
              <w:left w:w="90" w:type="dxa"/>
              <w:right w:w="90" w:type="dxa"/>
            </w:tcMar>
          </w:tcPr>
          <w:p>
            <w:pPr>
              <w:pStyle w:val="BDOITable"/>
            </w:pPr>
            <w:r>
              <w:rPr>
                <w:b/>
                <w:sz w:val="18"/>
              </w:rPr>
              <w:t>IRSA</w:t>
            </w:r>
          </w:p>
        </w:tc>
        <w:tc>
          <w:tcPr>
            <w:tcW w:type="dxa" w:w="7932"/>
            <w:tcMar>
              <w:top w:w="50" w:type="dxa"/>
              <w:bottom w:w="50" w:type="dxa"/>
              <w:left w:w="90" w:type="dxa"/>
              <w:right w:w="90" w:type="dxa"/>
            </w:tcMar>
          </w:tcPr>
          <w:p>
            <w:pPr>
              <w:pStyle w:val="BDOITable"/>
            </w:pPr>
            <w:r>
              <w:rPr>
                <w:sz w:val="18"/>
              </w:rPr>
              <w:t>IAM Roles for Service Accounts (EKS)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LFS SaaS</w:t>
            </w:r>
          </w:p>
        </w:tc>
        <w:tc>
          <w:tcPr>
            <w:tcW w:type="dxa" w:w="7932"/>
            <w:tcMar>
              <w:top w:w="50" w:type="dxa"/>
              <w:bottom w:w="50" w:type="dxa"/>
              <w:left w:w="90" w:type="dxa"/>
              <w:right w:w="90" w:type="dxa"/>
            </w:tcMar>
            <w:shd w:val="clear" w:color="auto" w:fill="E5F5FF"/>
          </w:tcPr>
          <w:p>
            <w:pPr>
              <w:pStyle w:val="BDOITable"/>
            </w:pPr>
            <w:r>
              <w:rPr>
                <w:sz w:val="18"/>
              </w:rPr>
              <w:t>Loan Front-End System</w:t>
            </w:r>
          </w:p>
        </w:tc>
      </w:tr>
      <w:tr>
        <w:trPr>
          <w:cantSplit w:val="true"/>
        </w:trPr>
        <w:tc>
          <w:tcPr>
            <w:tcW w:type="dxa" w:w="2040"/>
            <w:tcMar>
              <w:top w:w="50" w:type="dxa"/>
              <w:bottom w:w="50" w:type="dxa"/>
              <w:left w:w="90" w:type="dxa"/>
              <w:right w:w="90" w:type="dxa"/>
            </w:tcMar>
          </w:tcPr>
          <w:p>
            <w:pPr>
              <w:pStyle w:val="BDOITable"/>
            </w:pPr>
            <w:r>
              <w:rPr>
                <w:b/>
                <w:sz w:val="18"/>
              </w:rPr>
              <w:t>LMS</w:t>
            </w:r>
          </w:p>
        </w:tc>
        <w:tc>
          <w:tcPr>
            <w:tcW w:type="dxa" w:w="7932"/>
            <w:tcMar>
              <w:top w:w="50" w:type="dxa"/>
              <w:bottom w:w="50" w:type="dxa"/>
              <w:left w:w="90" w:type="dxa"/>
              <w:right w:w="90" w:type="dxa"/>
            </w:tcMar>
          </w:tcPr>
          <w:p>
            <w:pPr>
              <w:pStyle w:val="BDOITable"/>
            </w:pPr>
            <w:r>
              <w:rPr>
                <w:sz w:val="18"/>
              </w:rPr>
              <w:t>Loans Management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MSK</w:t>
            </w:r>
          </w:p>
        </w:tc>
        <w:tc>
          <w:tcPr>
            <w:tcW w:type="dxa" w:w="7932"/>
            <w:tcMar>
              <w:top w:w="50" w:type="dxa"/>
              <w:bottom w:w="50" w:type="dxa"/>
              <w:left w:w="90" w:type="dxa"/>
              <w:right w:w="90" w:type="dxa"/>
            </w:tcMar>
            <w:shd w:val="clear" w:color="auto" w:fill="E5F5FF"/>
          </w:tcPr>
          <w:p>
            <w:pPr>
              <w:pStyle w:val="BDOITable"/>
            </w:pPr>
            <w:r>
              <w:rPr>
                <w:sz w:val="18"/>
              </w:rPr>
              <w:t>Amazon Managed Streaming for Apache Kafka</w:t>
            </w:r>
          </w:p>
        </w:tc>
      </w:tr>
      <w:tr>
        <w:trPr>
          <w:cantSplit w:val="true"/>
        </w:trPr>
        <w:tc>
          <w:tcPr>
            <w:tcW w:type="dxa" w:w="2040"/>
            <w:tcMar>
              <w:top w:w="50" w:type="dxa"/>
              <w:bottom w:w="50" w:type="dxa"/>
              <w:left w:w="90" w:type="dxa"/>
              <w:right w:w="90" w:type="dxa"/>
            </w:tcMar>
          </w:tcPr>
          <w:p>
            <w:pPr>
              <w:pStyle w:val="BDOITable"/>
            </w:pPr>
            <w:r>
              <w:rPr>
                <w:b/>
                <w:sz w:val="18"/>
              </w:rPr>
              <w:t>OBPCS</w:t>
            </w:r>
          </w:p>
        </w:tc>
        <w:tc>
          <w:tcPr>
            <w:tcW w:type="dxa" w:w="7932"/>
            <w:tcMar>
              <w:top w:w="50" w:type="dxa"/>
              <w:bottom w:w="50" w:type="dxa"/>
              <w:left w:w="90" w:type="dxa"/>
              <w:right w:w="90" w:type="dxa"/>
            </w:tcMar>
          </w:tcPr>
          <w:p>
            <w:pPr>
              <w:pStyle w:val="BDOITable"/>
            </w:pPr>
            <w:r>
              <w:rPr>
                <w:sz w:val="18"/>
              </w:rPr>
              <w:t>Online Bills Payment Consolidation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Old BOB</w:t>
            </w:r>
          </w:p>
        </w:tc>
        <w:tc>
          <w:tcPr>
            <w:tcW w:type="dxa" w:w="7932"/>
            <w:tcMar>
              <w:top w:w="50" w:type="dxa"/>
              <w:bottom w:w="50" w:type="dxa"/>
              <w:left w:w="90" w:type="dxa"/>
              <w:right w:w="90" w:type="dxa"/>
            </w:tcMar>
            <w:shd w:val="clear" w:color="auto" w:fill="E5F5FF"/>
          </w:tcPr>
          <w:p>
            <w:pPr>
              <w:pStyle w:val="BDOITable"/>
            </w:pPr>
            <w:r>
              <w:rPr>
                <w:sz w:val="18"/>
              </w:rPr>
              <w:t>Old Business Online Banking Collection System</w:t>
            </w:r>
          </w:p>
        </w:tc>
      </w:tr>
      <w:tr>
        <w:trPr>
          <w:cantSplit w:val="true"/>
        </w:trPr>
        <w:tc>
          <w:tcPr>
            <w:tcW w:type="dxa" w:w="2040"/>
            <w:tcMar>
              <w:top w:w="50" w:type="dxa"/>
              <w:bottom w:w="50" w:type="dxa"/>
              <w:left w:w="90" w:type="dxa"/>
              <w:right w:w="90" w:type="dxa"/>
            </w:tcMar>
          </w:tcPr>
          <w:p>
            <w:pPr>
              <w:pStyle w:val="BDOITable"/>
            </w:pPr>
            <w:r>
              <w:rPr>
                <w:b/>
                <w:sz w:val="18"/>
              </w:rPr>
              <w:t>ORR / PRR</w:t>
            </w:r>
          </w:p>
        </w:tc>
        <w:tc>
          <w:tcPr>
            <w:tcW w:type="dxa" w:w="7932"/>
            <w:tcMar>
              <w:top w:w="50" w:type="dxa"/>
              <w:bottom w:w="50" w:type="dxa"/>
              <w:left w:w="90" w:type="dxa"/>
              <w:right w:w="90" w:type="dxa"/>
            </w:tcMar>
          </w:tcPr>
          <w:p>
            <w:pPr>
              <w:pStyle w:val="BDOITable"/>
            </w:pPr>
            <w:r>
              <w:rPr>
                <w:sz w:val="18"/>
              </w:rPr>
              <w:t>Operational / production readiness review</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PMS</w:t>
            </w:r>
          </w:p>
        </w:tc>
        <w:tc>
          <w:tcPr>
            <w:tcW w:type="dxa" w:w="7932"/>
            <w:tcMar>
              <w:top w:w="50" w:type="dxa"/>
              <w:bottom w:w="50" w:type="dxa"/>
              <w:left w:w="90" w:type="dxa"/>
              <w:right w:w="90" w:type="dxa"/>
            </w:tcMar>
            <w:shd w:val="clear" w:color="auto" w:fill="E5F5FF"/>
          </w:tcPr>
          <w:p>
            <w:pPr>
              <w:pStyle w:val="BDOITable"/>
            </w:pPr>
            <w:r>
              <w:rPr>
                <w:sz w:val="18"/>
              </w:rPr>
              <w:t>PDC Management System</w:t>
            </w:r>
          </w:p>
        </w:tc>
      </w:tr>
      <w:tr>
        <w:trPr>
          <w:cantSplit w:val="true"/>
        </w:trPr>
        <w:tc>
          <w:tcPr>
            <w:tcW w:type="dxa" w:w="2040"/>
            <w:tcMar>
              <w:top w:w="50" w:type="dxa"/>
              <w:bottom w:w="50" w:type="dxa"/>
              <w:left w:w="90" w:type="dxa"/>
              <w:right w:w="90" w:type="dxa"/>
            </w:tcMar>
          </w:tcPr>
          <w:p>
            <w:pPr>
              <w:pStyle w:val="BDOITable"/>
            </w:pPr>
            <w:r>
              <w:rPr>
                <w:b/>
                <w:sz w:val="18"/>
              </w:rPr>
              <w:t>RMEL</w:t>
            </w:r>
          </w:p>
        </w:tc>
        <w:tc>
          <w:tcPr>
            <w:tcW w:type="dxa" w:w="7932"/>
            <w:tcMar>
              <w:top w:w="50" w:type="dxa"/>
              <w:bottom w:w="50" w:type="dxa"/>
              <w:left w:w="90" w:type="dxa"/>
              <w:right w:w="90" w:type="dxa"/>
            </w:tcMar>
          </w:tcPr>
          <w:p>
            <w:pPr>
              <w:pStyle w:val="BDOITable"/>
            </w:pPr>
            <w:r>
              <w:rPr>
                <w:sz w:val="18"/>
              </w:rPr>
              <w:t>The expiring-policy list extracted for renewal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RPO / RTO</w:t>
            </w:r>
          </w:p>
        </w:tc>
        <w:tc>
          <w:tcPr>
            <w:tcW w:type="dxa" w:w="7932"/>
            <w:tcMar>
              <w:top w:w="50" w:type="dxa"/>
              <w:bottom w:w="50" w:type="dxa"/>
              <w:left w:w="90" w:type="dxa"/>
              <w:right w:w="90" w:type="dxa"/>
            </w:tcMar>
            <w:shd w:val="clear" w:color="auto" w:fill="E5F5FF"/>
          </w:tcPr>
          <w:p>
            <w:pPr>
              <w:pStyle w:val="BDOITable"/>
            </w:pPr>
            <w:r>
              <w:rPr>
                <w:sz w:val="18"/>
              </w:rPr>
              <w:t>Recovery point objective / recovery time objective</w:t>
            </w:r>
          </w:p>
        </w:tc>
      </w:tr>
      <w:tr>
        <w:trPr>
          <w:cantSplit w:val="true"/>
        </w:trPr>
        <w:tc>
          <w:tcPr>
            <w:tcW w:type="dxa" w:w="2040"/>
            <w:tcMar>
              <w:top w:w="50" w:type="dxa"/>
              <w:bottom w:w="50" w:type="dxa"/>
              <w:left w:w="90" w:type="dxa"/>
              <w:right w:w="90" w:type="dxa"/>
            </w:tcMar>
          </w:tcPr>
          <w:p>
            <w:pPr>
              <w:pStyle w:val="BDOITable"/>
            </w:pPr>
            <w:r>
              <w:rPr>
                <w:b/>
                <w:sz w:val="18"/>
              </w:rPr>
              <w:t>TFS</w:t>
            </w:r>
          </w:p>
        </w:tc>
        <w:tc>
          <w:tcPr>
            <w:tcW w:type="dxa" w:w="7932"/>
            <w:tcMar>
              <w:top w:w="50" w:type="dxa"/>
              <w:bottom w:w="50" w:type="dxa"/>
              <w:left w:w="90" w:type="dxa"/>
              <w:right w:w="90" w:type="dxa"/>
            </w:tcMar>
          </w:tcPr>
          <w:p>
            <w:pPr>
              <w:pStyle w:val="BDOITable"/>
            </w:pPr>
            <w:r>
              <w:rPr>
                <w:sz w:val="18"/>
              </w:rPr>
              <w:t>Trade Finance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UIDM-ISC</w:t>
            </w:r>
          </w:p>
        </w:tc>
        <w:tc>
          <w:tcPr>
            <w:tcW w:type="dxa" w:w="7932"/>
            <w:tcMar>
              <w:top w:w="50" w:type="dxa"/>
              <w:bottom w:w="50" w:type="dxa"/>
              <w:left w:w="90" w:type="dxa"/>
              <w:right w:w="90" w:type="dxa"/>
            </w:tcMar>
            <w:shd w:val="clear" w:color="auto" w:fill="E5F5FF"/>
          </w:tcPr>
          <w:p>
            <w:pPr>
              <w:pStyle w:val="BDOITable"/>
            </w:pPr>
            <w:r>
              <w:rPr>
                <w:sz w:val="18"/>
              </w:rPr>
              <w:t>User ID Maintenance - Identity Security Cloud (IGA)</w:t>
            </w:r>
          </w:p>
        </w:tc>
      </w:tr>
      <w:tr>
        <w:trPr>
          <w:cantSplit w:val="true"/>
        </w:trPr>
        <w:tc>
          <w:tcPr>
            <w:tcW w:type="dxa" w:w="2040"/>
            <w:tcMar>
              <w:top w:w="50" w:type="dxa"/>
              <w:bottom w:w="50" w:type="dxa"/>
              <w:left w:w="90" w:type="dxa"/>
              <w:right w:w="90" w:type="dxa"/>
            </w:tcMar>
          </w:tcPr>
          <w:p>
            <w:pPr>
              <w:pStyle w:val="BDOITable"/>
            </w:pPr>
            <w:r>
              <w:rPr>
                <w:b/>
                <w:sz w:val="18"/>
              </w:rPr>
              <w:t>Valkey</w:t>
            </w:r>
          </w:p>
        </w:tc>
        <w:tc>
          <w:tcPr>
            <w:tcW w:type="dxa" w:w="7932"/>
            <w:tcMar>
              <w:top w:w="50" w:type="dxa"/>
              <w:bottom w:w="50" w:type="dxa"/>
              <w:left w:w="90" w:type="dxa"/>
              <w:right w:w="90" w:type="dxa"/>
            </w:tcMar>
          </w:tcPr>
          <w:p>
            <w:pPr>
              <w:pStyle w:val="BDOITable"/>
            </w:pPr>
            <w:r>
              <w:rPr>
                <w:sz w:val="18"/>
              </w:rPr>
              <w:t>Open-source in-memory data store (BSD-3-Clause, Linux Foundation, continues Redis) used for the cache</w:t>
            </w:r>
          </w:p>
        </w:tc>
      </w:tr>
    </w:tbl>
    <w:p>
      <w:pPr>
        <w:pStyle w:val="BDOISpacer"/>
      </w:pPr>
    </w:p>
    <w:sectPr w:rsidR="00FC693F" w:rsidRPr="0006063C" w:rsidSect="00034616">
      <w:headerReference w:type="default" r:id="rId39"/>
      <w:footerReference w:type="default" r:id="rId40"/>
      <w:headerReference w:type="first" r:id="rId41"/>
      <w:footerReference w:type="first" r:id="rId42"/>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Programme Alignment - Drops, Integrations, Infrastructure</w:t>
    </w:r>
    <w:r>
      <w:rPr>
        <w:color w:val="656565"/>
        <w:sz w:val="16"/>
      </w:rPr>
      <w:t xml:space="preserve">   Programme Alignment</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Programme Alignment - Drops, Integrations, Infrastructure</w:t>
    </w:r>
    <w:r>
      <w:rPr>
        <w:color w:val="656565"/>
        <w:sz w:val="16"/>
      </w:rPr>
      <w:t xml:space="preserve">   Programme Alignment</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Programme Alignment - Drops, Integrations, Infrastructure</w:t>
    </w:r>
    <w:r>
      <w:rPr>
        <w:color w:val="656565"/>
        <w:sz w:val="16"/>
      </w:rPr>
      <w:t xml:space="preserve">   Programme Alignment</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Programme Alignment - Drops, Integrations, Infrastructure</w:t>
    </w:r>
    <w:r>
      <w:rPr>
        <w:color w:val="656565"/>
        <w:sz w:val="16"/>
      </w:rPr>
      <w:t xml:space="preserve">   Programme Alignment</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Programme Alignment - Drops, Integrations, Infrastructure</w:t>
    </w:r>
    <w:r>
      <w:rPr>
        <w:color w:val="656565"/>
        <w:sz w:val="16"/>
      </w:rPr>
      <w:t xml:space="preserve">   Programme Alignment</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Programme Alignment - Drops, Integrations, Infrastructure</w:t>
    </w:r>
    <w:r>
      <w:rPr>
        <w:color w:val="656565"/>
        <w:sz w:val="16"/>
      </w:rPr>
      <w:t xml:space="preserve">   Programme Alignment</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Programme Alignment - Drops, Integrations, Infrastructure</w:t>
    </w:r>
    <w:r>
      <w:rPr>
        <w:color w:val="656565"/>
        <w:sz w:val="16"/>
      </w:rPr>
      <w:t xml:space="preserve">   Programme Alignment</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image" Target="media/image4.jpg"/><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image" Target="media/image5.jpg"/><Relationship Id="rId38" Type="http://schemas.openxmlformats.org/officeDocument/2006/relationships/image" Target="media/image6.jpg"/><Relationship Id="rId39" Type="http://schemas.openxmlformats.org/officeDocument/2006/relationships/header" Target="header13.xml"/><Relationship Id="rId40" Type="http://schemas.openxmlformats.org/officeDocument/2006/relationships/footer" Target="footer13.xml"/><Relationship Id="rId41" Type="http://schemas.openxmlformats.org/officeDocument/2006/relationships/header" Target="header14.xml"/><Relationship Id="rId42" Type="http://schemas.openxmlformats.org/officeDocument/2006/relationships/footer" Target="footer1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Alignment BRD-00 Drops Integrations Infrastructure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