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API SPECIFICATION</w:t>
      </w:r>
    </w:p>
    <w:p>
      <w:pPr>
        <w:spacing w:after="80" w:line="240" w:lineRule="auto"/>
      </w:pPr>
      <w:r>
        <w:rPr>
          <w:b/>
          <w:color w:val="004EA8"/>
          <w:sz w:val="56"/>
        </w:rPr>
        <w:t>API Specification</w:t>
      </w:r>
    </w:p>
    <w:p>
      <w:pPr>
        <w:spacing w:after="40"/>
      </w:pPr>
      <w:r>
        <w:rPr>
          <w:color w:val="2E2E2E"/>
          <w:sz w:val="28"/>
        </w:rPr>
        <w:t>API standards, the OpenAPI description and the catalogue of the BIBS backend operations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BIBS-ARC-05</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Tech Lead; iorta TechNXT Integration Lead</w:t>
            </w:r>
          </w:p>
        </w:tc>
        <w:tc>
          <w:tcPr>
            <w:tcW w:type="dxa" w:w="1700"/>
            <w:tcMar>
              <w:top w:w="50" w:type="dxa"/>
              <w:bottom w:w="50" w:type="dxa"/>
              <w:left w:w="90" w:type="dxa"/>
              <w:right w:w="90" w:type="dxa"/>
            </w:tcMar>
          </w:tcPr>
          <w:p>
            <w:pPr>
              <w:pStyle w:val="BDOITable"/>
            </w:pPr>
            <w:r>
              <w:rPr>
                <w:sz w:val="18"/>
              </w:rPr>
              <w:t>BDOI IT Application Development and Integration (pending)</w:t>
            </w:r>
          </w:p>
        </w:tc>
        <w:tc>
          <w:tcPr>
            <w:tcW w:type="dxa" w:w="2606"/>
            <w:tcMar>
              <w:top w:w="50" w:type="dxa"/>
              <w:bottom w:w="50" w:type="dxa"/>
              <w:left w:w="90" w:type="dxa"/>
              <w:right w:w="90" w:type="dxa"/>
            </w:tcMar>
          </w:tcPr>
          <w:p>
            <w:pPr>
              <w:pStyle w:val="BDOITable"/>
            </w:pPr>
            <w:r>
              <w:rPr>
                <w:sz w:val="18"/>
              </w:rPr>
              <w:t>First issue, with the API Catalogue v1.0 generated from the request mappings of the backend (broker-only scope of 8 October 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Application Development and Integration</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 IT</w:t>
            </w:r>
          </w:p>
        </w:tc>
        <w:tc>
          <w:tcPr>
            <w:tcW w:type="dxa" w:w="2833"/>
            <w:tcMar>
              <w:top w:w="50" w:type="dxa"/>
              <w:bottom w:w="50" w:type="dxa"/>
              <w:left w:w="90" w:type="dxa"/>
              <w:right w:w="90" w:type="dxa"/>
            </w:tcMar>
          </w:tcPr>
          <w:p>
            <w:pPr>
              <w:pStyle w:val="BDOITable"/>
            </w:pPr>
            <w:r>
              <w:rPr>
                <w:sz w:val="18"/>
              </w:rPr>
              <w:t>API standards and catalogue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 API team (Apigee X)</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 IT</w:t>
            </w:r>
          </w:p>
        </w:tc>
        <w:tc>
          <w:tcPr>
            <w:tcW w:type="dxa" w:w="2833"/>
            <w:tcMar>
              <w:top w:w="50" w:type="dxa"/>
              <w:bottom w:w="50" w:type="dxa"/>
              <w:left w:w="90" w:type="dxa"/>
              <w:right w:w="90" w:type="dxa"/>
            </w:tcMar>
            <w:shd w:val="clear" w:color="auto" w:fill="E5F5FF"/>
          </w:tcPr>
          <w:p>
            <w:pPr>
              <w:pStyle w:val="BDOITable"/>
            </w:pPr>
            <w:r>
              <w:rPr>
                <w:sz w:val="18"/>
              </w:rPr>
              <w:t>System integration interface</w:t>
            </w:r>
          </w:p>
        </w:tc>
      </w:tr>
      <w:tr>
        <w:trPr>
          <w:cantSplit w:val="true"/>
        </w:trPr>
        <w:tc>
          <w:tcPr>
            <w:tcW w:type="dxa" w:w="2606"/>
            <w:tcMar>
              <w:top w:w="50" w:type="dxa"/>
              <w:bottom w:w="50" w:type="dxa"/>
              <w:left w:w="90" w:type="dxa"/>
              <w:right w:w="90" w:type="dxa"/>
            </w:tcMar>
          </w:tcPr>
          <w:p>
            <w:pPr>
              <w:pStyle w:val="BDOITable"/>
            </w:pPr>
            <w:r>
              <w:rPr>
                <w:sz w:val="18"/>
              </w:rPr>
              <w:t>Information Security Office</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 IT</w:t>
            </w:r>
          </w:p>
        </w:tc>
        <w:tc>
          <w:tcPr>
            <w:tcW w:type="dxa" w:w="2833"/>
            <w:tcMar>
              <w:top w:w="50" w:type="dxa"/>
              <w:bottom w:w="50" w:type="dxa"/>
              <w:left w:w="90" w:type="dxa"/>
              <w:right w:w="90" w:type="dxa"/>
            </w:tcMar>
          </w:tcPr>
          <w:p>
            <w:pPr>
              <w:pStyle w:val="BDOITable"/>
            </w:pPr>
            <w:r>
              <w:rPr>
                <w:sz w:val="18"/>
              </w:rPr>
              <w:t>Authentication, authorization, data scope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Enterprise Architecture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 IT</w:t>
            </w:r>
          </w:p>
        </w:tc>
        <w:tc>
          <w:tcPr>
            <w:tcW w:type="dxa" w:w="2833"/>
            <w:tcMar>
              <w:top w:w="50" w:type="dxa"/>
              <w:bottom w:w="50" w:type="dxa"/>
              <w:left w:w="90" w:type="dxa"/>
              <w:right w:w="90" w:type="dxa"/>
            </w:tcMar>
            <w:shd w:val="clear" w:color="auto" w:fill="E5F5FF"/>
          </w:tcPr>
          <w:p>
            <w:pPr>
              <w:pStyle w:val="BDOITable"/>
            </w:pPr>
            <w:r>
              <w:rPr>
                <w:sz w:val="18"/>
              </w:rPr>
              <w:t>API-first standards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Contract for the web client and the interfaces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 and audience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1.3 Sources</w:t>
        </w:r>
        <w:r>
          <w:t xml:space="preserve">	</w:t>
        </w:r>
        <w:r>
          <w:t xml:space="preserve">4</w:t>
        </w:r>
      </w:hyperlink>
    </w:p>
    <w:p>
      <w:pPr>
        <w:pStyle w:val="toc2"/>
      </w:pPr>
      <w:hyperlink w:anchor="_Toc000105" w:history="1">
        <w:r>
          <w:t xml:space="preserve">1.4 Conventions</w:t>
        </w:r>
        <w:r>
          <w:t xml:space="preserve">	</w:t>
        </w:r>
        <w:r>
          <w:t xml:space="preserve">4</w:t>
        </w:r>
      </w:hyperlink>
    </w:p>
    <w:p>
      <w:pPr>
        <w:pStyle w:val="toc1"/>
      </w:pPr>
      <w:hyperlink w:anchor="_Toc000106" w:history="1">
        <w:r>
          <w:t xml:space="preserve">2 API overview</w:t>
        </w:r>
        <w:r>
          <w:t xml:space="preserve">	</w:t>
        </w:r>
        <w:r>
          <w:t xml:space="preserve">4</w:t>
        </w:r>
      </w:hyperlink>
    </w:p>
    <w:p>
      <w:pPr>
        <w:pStyle w:val="toc2"/>
      </w:pPr>
      <w:hyperlink w:anchor="_Toc000107" w:history="1">
        <w:r>
          <w:t xml:space="preserve">2.1 Three interfaces on one backend</w:t>
        </w:r>
        <w:r>
          <w:t xml:space="preserve">	</w:t>
        </w:r>
        <w:r>
          <w:t xml:space="preserve">4</w:t>
        </w:r>
      </w:hyperlink>
    </w:p>
    <w:p>
      <w:pPr>
        <w:pStyle w:val="toc2"/>
      </w:pPr>
      <w:hyperlink w:anchor="_Toc000108" w:history="1">
        <w:r>
          <w:t xml:space="preserve">2.2 Operations per bounded context</w:t>
        </w:r>
        <w:r>
          <w:t xml:space="preserve">	</w:t>
        </w:r>
        <w:r>
          <w:t xml:space="preserve">5</w:t>
        </w:r>
      </w:hyperlink>
    </w:p>
    <w:p>
      <w:pPr>
        <w:pStyle w:val="toc2"/>
      </w:pPr>
      <w:hyperlink w:anchor="_Toc000109" w:history="1">
        <w:r>
          <w:t xml:space="preserve">2.3 The API Catalogue workbook</w:t>
        </w:r>
        <w:r>
          <w:t xml:space="preserve">	</w:t>
        </w:r>
        <w:r>
          <w:t xml:space="preserve">5</w:t>
        </w:r>
      </w:hyperlink>
    </w:p>
    <w:p>
      <w:pPr>
        <w:pStyle w:val="toc1"/>
      </w:pPr>
      <w:hyperlink w:anchor="_Toc000110" w:history="1">
        <w:r>
          <w:t xml:space="preserve">3 What every request passes through</w:t>
        </w:r>
        <w:r>
          <w:t xml:space="preserve">	</w:t>
        </w:r>
        <w:r>
          <w:t xml:space="preserve">6</w:t>
        </w:r>
      </w:hyperlink>
    </w:p>
    <w:p>
      <w:pPr>
        <w:pStyle w:val="toc1"/>
      </w:pPr>
      <w:hyperlink w:anchor="_Toc000111" w:history="1">
        <w:r>
          <w:t xml:space="preserve">4 OpenAPI description</w:t>
        </w:r>
        <w:r>
          <w:t xml:space="preserve">	</w:t>
        </w:r>
        <w:r>
          <w:t xml:space="preserve">7</w:t>
        </w:r>
      </w:hyperlink>
    </w:p>
    <w:p>
      <w:pPr>
        <w:pStyle w:val="toc1"/>
      </w:pPr>
      <w:hyperlink w:anchor="_Toc000112" w:history="1">
        <w:r>
          <w:t xml:space="preserve">5 API standards</w:t>
        </w:r>
        <w:r>
          <w:t xml:space="preserve">	</w:t>
        </w:r>
        <w:r>
          <w:t xml:space="preserve">7</w:t>
        </w:r>
      </w:hyperlink>
    </w:p>
    <w:p>
      <w:pPr>
        <w:pStyle w:val="toc2"/>
      </w:pPr>
      <w:hyperlink w:anchor="_Toc000113" w:history="1">
        <w:r>
          <w:t xml:space="preserve">5.1 Paths and naming</w:t>
        </w:r>
        <w:r>
          <w:t xml:space="preserve">	</w:t>
        </w:r>
        <w:r>
          <w:t xml:space="preserve">7</w:t>
        </w:r>
      </w:hyperlink>
    </w:p>
    <w:p>
      <w:pPr>
        <w:pStyle w:val="toc2"/>
      </w:pPr>
      <w:hyperlink w:anchor="_Toc000114" w:history="1">
        <w:r>
          <w:t xml:space="preserve">5.2 Versioning</w:t>
        </w:r>
        <w:r>
          <w:t xml:space="preserve">	</w:t>
        </w:r>
        <w:r>
          <w:t xml:space="preserve">8</w:t>
        </w:r>
      </w:hyperlink>
    </w:p>
    <w:p>
      <w:pPr>
        <w:pStyle w:val="toc2"/>
      </w:pPr>
      <w:hyperlink w:anchor="_Toc000115" w:history="1">
        <w:r>
          <w:t xml:space="preserve">5.3 Methods and status codes</w:t>
        </w:r>
        <w:r>
          <w:t xml:space="preserve">	</w:t>
        </w:r>
        <w:r>
          <w:t xml:space="preserve">8</w:t>
        </w:r>
      </w:hyperlink>
    </w:p>
    <w:p>
      <w:pPr>
        <w:pStyle w:val="toc2"/>
      </w:pPr>
      <w:hyperlink w:anchor="_Toc000116" w:history="1">
        <w:r>
          <w:t xml:space="preserve">5.4 Errors</w:t>
        </w:r>
        <w:r>
          <w:t xml:space="preserve">	</w:t>
        </w:r>
        <w:r>
          <w:t xml:space="preserve">8</w:t>
        </w:r>
      </w:hyperlink>
    </w:p>
    <w:p>
      <w:pPr>
        <w:pStyle w:val="toc2"/>
      </w:pPr>
      <w:hyperlink w:anchor="_Toc000117" w:history="1">
        <w:r>
          <w:t xml:space="preserve">5.5 Pagination, sorting and filtering</w:t>
        </w:r>
        <w:r>
          <w:t xml:space="preserve">	</w:t>
        </w:r>
        <w:r>
          <w:t xml:space="preserve">9</w:t>
        </w:r>
      </w:hyperlink>
    </w:p>
    <w:p>
      <w:pPr>
        <w:pStyle w:val="toc2"/>
      </w:pPr>
      <w:hyperlink w:anchor="_Toc000118" w:history="1">
        <w:r>
          <w:t xml:space="preserve">5.6 Idempotency and concurrency</w:t>
        </w:r>
        <w:r>
          <w:t xml:space="preserve">	</w:t>
        </w:r>
        <w:r>
          <w:t xml:space="preserve">9</w:t>
        </w:r>
      </w:hyperlink>
    </w:p>
    <w:p>
      <w:pPr>
        <w:pStyle w:val="toc2"/>
      </w:pPr>
      <w:hyperlink w:anchor="_Toc000119" w:history="1">
        <w:r>
          <w:t xml:space="preserve">5.7 Security</w:t>
        </w:r>
        <w:r>
          <w:t xml:space="preserve">	</w:t>
        </w:r>
        <w:r>
          <w:t xml:space="preserve">9</w:t>
        </w:r>
      </w:hyperlink>
    </w:p>
    <w:p>
      <w:pPr>
        <w:pStyle w:val="toc2"/>
      </w:pPr>
      <w:hyperlink w:anchor="_Toc000120" w:history="1">
        <w:r>
          <w:t xml:space="preserve">5.8 Data formats</w:t>
        </w:r>
        <w:r>
          <w:t xml:space="preserve">	</w:t>
        </w:r>
        <w:r>
          <w:t xml:space="preserve">10</w:t>
        </w:r>
      </w:hyperlink>
    </w:p>
    <w:p>
      <w:pPr>
        <w:pStyle w:val="toc2"/>
      </w:pPr>
      <w:hyperlink w:anchor="_Toc000121" w:history="1">
        <w:r>
          <w:t xml:space="preserve">5.9 Tracing and support</w:t>
        </w:r>
        <w:r>
          <w:t xml:space="preserve">	</w:t>
        </w:r>
        <w:r>
          <w:t xml:space="preserve">10</w:t>
        </w:r>
      </w:hyperlink>
    </w:p>
    <w:p>
      <w:pPr>
        <w:pStyle w:val="toc1"/>
      </w:pPr>
      <w:hyperlink w:anchor="_Toc000122" w:history="1">
        <w:r>
          <w:t xml:space="preserve">6 Governance of the API</w:t>
        </w:r>
        <w:r>
          <w:t xml:space="preserve">	</w:t>
        </w:r>
        <w:r>
          <w:t xml:space="preserve">10</w:t>
        </w:r>
      </w:hyperlink>
    </w:p>
    <w:p>
      <w:pPr>
        <w:pStyle w:val="toc1"/>
      </w:pPr>
      <w:hyperlink w:anchor="_Toc000123" w:history="1">
        <w:r>
          <w:t xml:space="preserve">7 Decisions and open points for BDOI</w:t>
        </w:r>
        <w:r>
          <w:t xml:space="preserve">	</w:t>
        </w:r>
        <w:r>
          <w:t xml:space="preserve">11</w:t>
        </w:r>
      </w:hyperlink>
    </w:p>
    <w:p>
      <w:pPr>
        <w:pStyle w:val="toc1"/>
      </w:pPr>
      <w:hyperlink w:anchor="_Toc000124" w:history="1">
        <w:r>
          <w:t xml:space="preserve">Glossary</w:t>
        </w:r>
        <w:r>
          <w:t xml:space="preserve">	</w:t>
        </w:r>
        <w:r>
          <w:t xml:space="preserve">11</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 and audience</w:t>
      </w:r>
      <w:bookmarkEnd w:id="102"/>
    </w:p>
    <w:p>
      <w:r>
        <w:rPr/>
        <w:t>This document specifies the application programming interface of the BIBS backend: the standards every operation follows, how the OpenAPI description is obtained, and how to read the API Catalogue (Excel) that lists every operation. It is written for BDOI IT developers and integration analysts, the BDO API team that publishes the system integration operations on Apigee X, and the Information Security Office.</w:t>
      </w:r>
    </w:p>
    <w:p>
      <w:pPr>
        <w:pStyle w:val="Heading2"/>
      </w:pPr>
      <w:bookmarkStart w:id="103" w:name="_Toc000103"/>
      <w:r>
        <w:rPr/>
        <w:t>1.2 Scope</w:t>
      </w:r>
      <w:bookmarkEnd w:id="103"/>
    </w:p>
    <w:p>
      <w:r>
        <w:rPr/>
        <w:t>All operations of the backend: the user interface operations called by the BIBS web client, the administration operations, and the system integration operations published through Apigee X. Modules of the insurer-company suite are not part of BIBS and are not listed (ADR-11). Business behaviour of each operation is specified in the FRS of its BRD; this document covers the technical contract.</w:t>
      </w:r>
    </w:p>
    <w:p>
      <w:pPr>
        <w:pStyle w:val="Heading2"/>
      </w:pPr>
      <w:bookmarkStart w:id="104" w:name="_Toc000104"/>
      <w:r>
        <w:rPr/>
        <w:t>1.3 Sources</w:t>
      </w:r>
      <w:bookmarkEnd w:id="104"/>
    </w:p>
    <w:p>
      <w:pPr>
        <w:pStyle w:val="Caption"/>
        <w:keepNext/>
        <w:spacing w:after="60"/>
      </w:pPr>
      <w:r>
        <w:rPr>
          <w:b/>
          <w:i w:val="0"/>
        </w:rPr>
        <w:t xml:space="preserve">Table 1: </w:t>
      </w:r>
      <w:r>
        <w:rPr/>
        <w:t>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3966"/>
        <w:gridCol w:w="5439"/>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5439"/>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567"/>
            <w:tcMar>
              <w:top w:w="50" w:type="dxa"/>
              <w:bottom w:w="50" w:type="dxa"/>
              <w:left w:w="90" w:type="dxa"/>
              <w:right w:w="90" w:type="dxa"/>
            </w:tcMar>
          </w:tcPr>
          <w:p>
            <w:pPr>
              <w:pStyle w:val="BDOITable"/>
            </w:pPr>
            <w:r>
              <w:rPr>
                <w:b/>
                <w:sz w:val="18"/>
              </w:rPr>
              <w:t>S1</w:t>
            </w:r>
          </w:p>
        </w:tc>
        <w:tc>
          <w:tcPr>
            <w:tcW w:type="dxa" w:w="3966"/>
            <w:tcMar>
              <w:top w:w="50" w:type="dxa"/>
              <w:bottom w:w="50" w:type="dxa"/>
              <w:left w:w="90" w:type="dxa"/>
              <w:right w:w="90" w:type="dxa"/>
            </w:tcMar>
          </w:tcPr>
          <w:p>
            <w:pPr>
              <w:pStyle w:val="BDOITable"/>
            </w:pPr>
            <w:r>
              <w:rPr>
                <w:sz w:val="18"/>
              </w:rPr>
              <w:t>Request mappings, access rules and descriptions of the backend operations (generated into the API Catalogue v1.0 on 08-Oct-2026)</w:t>
            </w:r>
          </w:p>
        </w:tc>
        <w:tc>
          <w:tcPr>
            <w:tcW w:type="dxa" w:w="5439"/>
            <w:tcMar>
              <w:top w:w="50" w:type="dxa"/>
              <w:bottom w:w="50" w:type="dxa"/>
              <w:left w:w="90" w:type="dxa"/>
              <w:right w:w="90" w:type="dxa"/>
            </w:tcMar>
          </w:tcPr>
          <w:p>
            <w:pPr>
              <w:pStyle w:val="BDOITable"/>
            </w:pPr>
            <w:r>
              <w:rPr>
                <w:sz w:val="18"/>
              </w:rPr>
              <w:t>Catalogue and figures of this document</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S2</w:t>
            </w:r>
          </w:p>
        </w:tc>
        <w:tc>
          <w:tcPr>
            <w:tcW w:type="dxa" w:w="3966"/>
            <w:tcMar>
              <w:top w:w="50" w:type="dxa"/>
              <w:bottom w:w="50" w:type="dxa"/>
              <w:left w:w="90" w:type="dxa"/>
              <w:right w:w="90" w:type="dxa"/>
            </w:tcMar>
            <w:shd w:val="clear" w:color="auto" w:fill="E5F5FF"/>
          </w:tcPr>
          <w:p>
            <w:pPr>
              <w:pStyle w:val="BDOITable"/>
            </w:pPr>
            <w:r>
              <w:rPr>
                <w:sz w:val="18"/>
              </w:rPr>
              <w:t>BIBS configuration reference and security controls</w:t>
            </w:r>
          </w:p>
        </w:tc>
        <w:tc>
          <w:tcPr>
            <w:tcW w:type="dxa" w:w="5439"/>
            <w:tcMar>
              <w:top w:w="50" w:type="dxa"/>
              <w:bottom w:w="50" w:type="dxa"/>
              <w:left w:w="90" w:type="dxa"/>
              <w:right w:w="90" w:type="dxa"/>
            </w:tcMar>
            <w:shd w:val="clear" w:color="auto" w:fill="E5F5FF"/>
          </w:tcPr>
          <w:p>
            <w:pPr>
              <w:pStyle w:val="BDOITable"/>
            </w:pPr>
            <w:r>
              <w:rPr>
                <w:sz w:val="18"/>
              </w:rPr>
              <w:t>Tokens, single sign-on, integration tokens, limits, start-up safeguards</w:t>
            </w:r>
          </w:p>
        </w:tc>
      </w:tr>
      <w:tr>
        <w:trPr>
          <w:cantSplit w:val="true"/>
        </w:trPr>
        <w:tc>
          <w:tcPr>
            <w:tcW w:type="dxa" w:w="567"/>
            <w:tcMar>
              <w:top w:w="50" w:type="dxa"/>
              <w:bottom w:w="50" w:type="dxa"/>
              <w:left w:w="90" w:type="dxa"/>
              <w:right w:w="90" w:type="dxa"/>
            </w:tcMar>
          </w:tcPr>
          <w:p>
            <w:pPr>
              <w:pStyle w:val="BDOITable"/>
            </w:pPr>
            <w:r>
              <w:rPr>
                <w:b/>
                <w:sz w:val="18"/>
              </w:rPr>
              <w:t>S3</w:t>
            </w:r>
          </w:p>
        </w:tc>
        <w:tc>
          <w:tcPr>
            <w:tcW w:type="dxa" w:w="3966"/>
            <w:tcMar>
              <w:top w:w="50" w:type="dxa"/>
              <w:bottom w:w="50" w:type="dxa"/>
              <w:left w:w="90" w:type="dxa"/>
              <w:right w:w="90" w:type="dxa"/>
            </w:tcMar>
          </w:tcPr>
          <w:p>
            <w:pPr>
              <w:pStyle w:val="BDOITable"/>
            </w:pPr>
            <w:r>
              <w:rPr>
                <w:sz w:val="18"/>
              </w:rPr>
              <w:t>Platform cache and events architecture</w:t>
            </w:r>
          </w:p>
        </w:tc>
        <w:tc>
          <w:tcPr>
            <w:tcW w:type="dxa" w:w="5439"/>
            <w:tcMar>
              <w:top w:w="50" w:type="dxa"/>
              <w:bottom w:w="50" w:type="dxa"/>
              <w:left w:w="90" w:type="dxa"/>
              <w:right w:w="90" w:type="dxa"/>
            </w:tcMar>
          </w:tcPr>
          <w:p>
            <w:pPr>
              <w:pStyle w:val="BDOITable"/>
            </w:pPr>
            <w:r>
              <w:rPr>
                <w:sz w:val="18"/>
              </w:rPr>
              <w:t>Correlation identifier, events, support operations</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S4</w:t>
            </w:r>
          </w:p>
        </w:tc>
        <w:tc>
          <w:tcPr>
            <w:tcW w:type="dxa" w:w="3966"/>
            <w:tcMar>
              <w:top w:w="50" w:type="dxa"/>
              <w:bottom w:w="50" w:type="dxa"/>
              <w:left w:w="90" w:type="dxa"/>
              <w:right w:w="90" w:type="dxa"/>
            </w:tcMar>
            <w:shd w:val="clear" w:color="auto" w:fill="E5F5FF"/>
          </w:tcPr>
          <w:p>
            <w:pPr>
              <w:pStyle w:val="BDOITable"/>
            </w:pPr>
            <w:r>
              <w:rPr>
                <w:sz w:val="18"/>
              </w:rPr>
              <w:t>Company and branch data scope architecture</w:t>
            </w:r>
          </w:p>
        </w:tc>
        <w:tc>
          <w:tcPr>
            <w:tcW w:type="dxa" w:w="5439"/>
            <w:tcMar>
              <w:top w:w="50" w:type="dxa"/>
              <w:bottom w:w="50" w:type="dxa"/>
              <w:left w:w="90" w:type="dxa"/>
              <w:right w:w="90" w:type="dxa"/>
            </w:tcMar>
            <w:shd w:val="clear" w:color="auto" w:fill="E5F5FF"/>
          </w:tcPr>
          <w:p>
            <w:pPr>
              <w:pStyle w:val="BDOITable"/>
            </w:pPr>
            <w:r>
              <w:rPr>
                <w:sz w:val="18"/>
              </w:rPr>
              <w:t>Data scope checks</w:t>
            </w:r>
          </w:p>
        </w:tc>
      </w:tr>
      <w:tr>
        <w:trPr>
          <w:cantSplit w:val="true"/>
        </w:trPr>
        <w:tc>
          <w:tcPr>
            <w:tcW w:type="dxa" w:w="567"/>
            <w:tcMar>
              <w:top w:w="50" w:type="dxa"/>
              <w:bottom w:w="50" w:type="dxa"/>
              <w:left w:w="90" w:type="dxa"/>
              <w:right w:w="90" w:type="dxa"/>
            </w:tcMar>
          </w:tcPr>
          <w:p>
            <w:pPr>
              <w:pStyle w:val="BDOITable"/>
            </w:pPr>
            <w:r>
              <w:rPr>
                <w:b/>
                <w:sz w:val="18"/>
              </w:rPr>
              <w:t>S5</w:t>
            </w:r>
          </w:p>
        </w:tc>
        <w:tc>
          <w:tcPr>
            <w:tcW w:type="dxa" w:w="3966"/>
            <w:tcMar>
              <w:top w:w="50" w:type="dxa"/>
              <w:bottom w:w="50" w:type="dxa"/>
              <w:left w:w="90" w:type="dxa"/>
              <w:right w:w="90" w:type="dxa"/>
            </w:tcMar>
          </w:tcPr>
          <w:p>
            <w:pPr>
              <w:pStyle w:val="BDOITable"/>
            </w:pPr>
            <w:r>
              <w:rPr>
                <w:sz w:val="18"/>
              </w:rPr>
              <w:t>Application architecture option decision, section 5</w:t>
            </w:r>
          </w:p>
        </w:tc>
        <w:tc>
          <w:tcPr>
            <w:tcW w:type="dxa" w:w="5439"/>
            <w:tcMar>
              <w:top w:w="50" w:type="dxa"/>
              <w:bottom w:w="50" w:type="dxa"/>
              <w:left w:w="90" w:type="dxa"/>
              <w:right w:w="90" w:type="dxa"/>
            </w:tcMar>
          </w:tcPr>
          <w:p>
            <w:pPr>
              <w:pStyle w:val="BDOITable"/>
            </w:pPr>
            <w:r>
              <w:rPr>
                <w:sz w:val="18"/>
              </w:rPr>
              <w:t>Apigee X path for system calls</w:t>
            </w:r>
          </w:p>
        </w:tc>
      </w:tr>
    </w:tbl>
    <w:p>
      <w:pPr>
        <w:pStyle w:val="BDOISpacer"/>
      </w:pPr>
    </w:p>
    <w:p>
      <w:pPr>
        <w:pStyle w:val="Heading2"/>
      </w:pPr>
      <w:bookmarkStart w:id="105" w:name="_Toc000105"/>
      <w:r>
        <w:rPr/>
        <w:t>1.4 Conventions</w:t>
      </w:r>
      <w:bookmarkEnd w:id="105"/>
    </w:p>
    <w:p>
      <w:r>
        <w:rPr/>
        <w:t>Paths are written relative to the BIBS host name without the leading slash, and path variables as :name - for example api/v1/acsl/cases/:id. Open points are numbered AP-01 to AP-06 (chapter 7).</w:t>
      </w:r>
    </w:p>
    <w:p>
      <w:pPr>
        <w:pStyle w:val="Heading1"/>
        <w:pBdr>
          <w:bottom w:val="single" w:sz="4" w:space="4" w:color="99C1E7"/>
        </w:pBdr>
      </w:pPr>
      <w:bookmarkStart w:id="106" w:name="_Toc000106"/>
      <w:r>
        <w:rPr/>
        <w:t>2 API overview</w:t>
      </w:r>
      <w:bookmarkEnd w:id="106"/>
    </w:p>
    <w:p>
      <w:pPr>
        <w:pStyle w:val="Heading2"/>
      </w:pPr>
      <w:bookmarkStart w:id="107" w:name="_Toc000107"/>
      <w:r>
        <w:rPr/>
        <w:t>2.1 Three interfaces on one backend</w:t>
      </w:r>
      <w:bookmarkEnd w:id="107"/>
    </w:p>
    <w:p>
      <w:pPr>
        <w:pStyle w:val="Caption"/>
        <w:keepNext/>
        <w:spacing w:after="60"/>
      </w:pPr>
      <w:r>
        <w:rPr>
          <w:b/>
          <w:i w:val="0"/>
        </w:rPr>
        <w:t xml:space="preserve">Table 2: </w:t>
      </w:r>
      <w:r>
        <w:rPr/>
        <w:t>Interfaces of the backend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926"/>
        <w:gridCol w:w="2493"/>
        <w:gridCol w:w="351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7"/>
              </w:rPr>
              <w:t>Path prefix</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7"/>
              </w:rPr>
              <w:t>Served by</w:t>
            </w:r>
          </w:p>
        </w:tc>
        <w:tc>
          <w:tcPr>
            <w:tcW w:type="dxa" w:w="3513"/>
            <w:shd w:val="clear" w:color="auto" w:fill="004EA8"/>
            <w:tcMar>
              <w:top w:w="50" w:type="dxa"/>
              <w:bottom w:w="50" w:type="dxa"/>
              <w:left w:w="90" w:type="dxa"/>
              <w:right w:w="90" w:type="dxa"/>
            </w:tcMar>
            <w:vAlign w:val="center"/>
          </w:tcPr>
          <w:p>
            <w:pPr>
              <w:pStyle w:val="BDOITableHeader"/>
            </w:pPr>
            <w:r>
              <w:rPr>
                <w:b/>
                <w:color w:val="FFFFFF"/>
                <w:sz w:val="17"/>
              </w:rPr>
              <w:t>Who calls it</w:t>
            </w:r>
          </w:p>
        </w:tc>
      </w:tr>
      <w:tr>
        <w:trPr>
          <w:cantSplit w:val="true"/>
        </w:trPr>
        <w:tc>
          <w:tcPr>
            <w:tcW w:type="dxa" w:w="2040"/>
            <w:tcMar>
              <w:top w:w="50" w:type="dxa"/>
              <w:bottom w:w="50" w:type="dxa"/>
              <w:left w:w="90" w:type="dxa"/>
              <w:right w:w="90" w:type="dxa"/>
            </w:tcMar>
          </w:tcPr>
          <w:p>
            <w:pPr>
              <w:pStyle w:val="BDOITable"/>
            </w:pPr>
            <w:r>
              <w:rPr>
                <w:b/>
                <w:sz w:val="17"/>
              </w:rPr>
              <w:t>User interface</w:t>
            </w:r>
          </w:p>
        </w:tc>
        <w:tc>
          <w:tcPr>
            <w:tcW w:type="dxa" w:w="1926"/>
            <w:tcMar>
              <w:top w:w="50" w:type="dxa"/>
              <w:bottom w:w="50" w:type="dxa"/>
              <w:left w:w="90" w:type="dxa"/>
              <w:right w:w="90" w:type="dxa"/>
            </w:tcMar>
          </w:tcPr>
          <w:p>
            <w:pPr>
              <w:pStyle w:val="BDOITable"/>
            </w:pPr>
            <w:r>
              <w:rPr>
                <w:sz w:val="17"/>
              </w:rPr>
              <w:t>api/v1</w:t>
            </w:r>
          </w:p>
        </w:tc>
        <w:tc>
          <w:tcPr>
            <w:tcW w:type="dxa" w:w="2493"/>
            <w:tcMar>
              <w:top w:w="50" w:type="dxa"/>
              <w:bottom w:w="50" w:type="dxa"/>
              <w:left w:w="90" w:type="dxa"/>
              <w:right w:w="90" w:type="dxa"/>
            </w:tcMar>
          </w:tcPr>
          <w:p>
            <w:pPr>
              <w:pStyle w:val="BDOITable"/>
            </w:pPr>
            <w:r>
              <w:rPr>
                <w:sz w:val="17"/>
              </w:rPr>
              <w:t>bibs-web</w:t>
            </w:r>
          </w:p>
        </w:tc>
        <w:tc>
          <w:tcPr>
            <w:tcW w:type="dxa" w:w="3513"/>
            <w:tcMar>
              <w:top w:w="50" w:type="dxa"/>
              <w:bottom w:w="50" w:type="dxa"/>
              <w:left w:w="90" w:type="dxa"/>
              <w:right w:w="90" w:type="dxa"/>
            </w:tcMar>
          </w:tcPr>
          <w:p>
            <w:pPr>
              <w:pStyle w:val="BDOITable"/>
            </w:pPr>
            <w:r>
              <w:rPr>
                <w:sz w:val="17"/>
              </w:rPr>
              <w:t>The BIBS web client for the signed-in user (1,795 operations)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Administration</w:t>
            </w:r>
          </w:p>
        </w:tc>
        <w:tc>
          <w:tcPr>
            <w:tcW w:type="dxa" w:w="1926"/>
            <w:tcMar>
              <w:top w:w="50" w:type="dxa"/>
              <w:bottom w:w="50" w:type="dxa"/>
              <w:left w:w="90" w:type="dxa"/>
              <w:right w:w="90" w:type="dxa"/>
            </w:tcMar>
            <w:shd w:val="clear" w:color="auto" w:fill="E5F5FF"/>
          </w:tcPr>
          <w:p>
            <w:pPr>
              <w:pStyle w:val="BDOITable"/>
            </w:pPr>
            <w:r>
              <w:rPr>
                <w:sz w:val="17"/>
              </w:rPr>
              <w:t>api/v1/admin</w:t>
            </w:r>
          </w:p>
        </w:tc>
        <w:tc>
          <w:tcPr>
            <w:tcW w:type="dxa" w:w="2493"/>
            <w:tcMar>
              <w:top w:w="50" w:type="dxa"/>
              <w:bottom w:w="50" w:type="dxa"/>
              <w:left w:w="90" w:type="dxa"/>
              <w:right w:w="90" w:type="dxa"/>
            </w:tcMar>
            <w:shd w:val="clear" w:color="auto" w:fill="E5F5FF"/>
          </w:tcPr>
          <w:p>
            <w:pPr>
              <w:pStyle w:val="BDOITable"/>
            </w:pPr>
            <w:r>
              <w:rPr>
                <w:sz w:val="17"/>
              </w:rPr>
              <w:t>bibs-web</w:t>
            </w:r>
          </w:p>
        </w:tc>
        <w:tc>
          <w:tcPr>
            <w:tcW w:type="dxa" w:w="3513"/>
            <w:tcMar>
              <w:top w:w="50" w:type="dxa"/>
              <w:bottom w:w="50" w:type="dxa"/>
              <w:left w:w="90" w:type="dxa"/>
              <w:right w:w="90" w:type="dxa"/>
            </w:tcMar>
            <w:shd w:val="clear" w:color="auto" w:fill="E5F5FF"/>
          </w:tcPr>
          <w:p>
            <w:pPr>
              <w:pStyle w:val="BDOITable"/>
            </w:pPr>
            <w:r>
              <w:rPr>
                <w:sz w:val="17"/>
              </w:rPr>
              <w:t>Administration screens: users, roles, data scope, parameters, caches, integration events (36 operations)</w:t>
            </w:r>
          </w:p>
        </w:tc>
      </w:tr>
      <w:tr>
        <w:trPr>
          <w:cantSplit w:val="true"/>
        </w:trPr>
        <w:tc>
          <w:tcPr>
            <w:tcW w:type="dxa" w:w="2040"/>
            <w:tcMar>
              <w:top w:w="50" w:type="dxa"/>
              <w:bottom w:w="50" w:type="dxa"/>
              <w:left w:w="90" w:type="dxa"/>
              <w:right w:w="90" w:type="dxa"/>
            </w:tcMar>
          </w:tcPr>
          <w:p>
            <w:pPr>
              <w:pStyle w:val="BDOITable"/>
            </w:pPr>
            <w:r>
              <w:rPr>
                <w:b/>
                <w:sz w:val="17"/>
              </w:rPr>
              <w:t>System integration</w:t>
            </w:r>
          </w:p>
        </w:tc>
        <w:tc>
          <w:tcPr>
            <w:tcW w:type="dxa" w:w="1926"/>
            <w:tcMar>
              <w:top w:w="50" w:type="dxa"/>
              <w:bottom w:w="50" w:type="dxa"/>
              <w:left w:w="90" w:type="dxa"/>
              <w:right w:w="90" w:type="dxa"/>
            </w:tcMar>
          </w:tcPr>
          <w:p>
            <w:pPr>
              <w:pStyle w:val="BDOITable"/>
            </w:pPr>
            <w:r>
              <w:rPr>
                <w:sz w:val="17"/>
              </w:rPr>
              <w:t>integration/v1</w:t>
            </w:r>
          </w:p>
        </w:tc>
        <w:tc>
          <w:tcPr>
            <w:tcW w:type="dxa" w:w="2493"/>
            <w:tcMar>
              <w:top w:w="50" w:type="dxa"/>
              <w:bottom w:w="50" w:type="dxa"/>
              <w:left w:w="90" w:type="dxa"/>
              <w:right w:w="90" w:type="dxa"/>
            </w:tcMar>
          </w:tcPr>
          <w:p>
            <w:pPr>
              <w:pStyle w:val="BDOITable"/>
            </w:pPr>
            <w:r>
              <w:rPr>
                <w:sz w:val="17"/>
              </w:rPr>
              <w:t>bibs-integration only</w:t>
            </w:r>
          </w:p>
        </w:tc>
        <w:tc>
          <w:tcPr>
            <w:tcW w:type="dxa" w:w="3513"/>
            <w:tcMar>
              <w:top w:w="50" w:type="dxa"/>
              <w:bottom w:w="50" w:type="dxa"/>
              <w:left w:w="90" w:type="dxa"/>
              <w:right w:w="90" w:type="dxa"/>
            </w:tcMar>
          </w:tcPr>
          <w:p>
            <w:pPr>
              <w:pStyle w:val="BDOITable"/>
            </w:pPr>
            <w:r>
              <w:rPr>
                <w:sz w:val="17"/>
              </w:rPr>
              <w:t>BDO systems through Apigee X (1 operation today, the connectivity check; the system interfaces of the Integration Architecture are added under this prefix)</w:t>
            </w:r>
          </w:p>
        </w:tc>
      </w:tr>
    </w:tbl>
    <w:p>
      <w:pPr>
        <w:pStyle w:val="BDOISpacer"/>
      </w:pPr>
    </w:p>
    <w:p>
      <w:r>
        <w:rPr/>
        <w:t xml:space="preserve">The catalogue holds </w:t>
      </w:r>
      <w:r>
        <w:rPr>
          <w:b/>
        </w:rPr>
        <w:t>1,832 operations</w:t>
      </w:r>
      <w:r>
        <w:rPr/>
        <w:t xml:space="preserve"> in 64 modules and 17 bounded contexts: 805 GET, 875 POST, 140 PUT and 12 DELETE. 520 operations name a company or branch in the path or query (data scope checked); 282 permission codes protect them.</w:t>
      </w:r>
    </w:p>
    <w:p>
      <w:pPr>
        <w:pStyle w:val="Heading2"/>
      </w:pPr>
      <w:bookmarkStart w:id="108" w:name="_Toc000108"/>
      <w:r>
        <w:rPr/>
        <w:t>2.2 Operations per bounded context</w:t>
      </w:r>
      <w:bookmarkEnd w:id="108"/>
    </w:p>
    <w:p>
      <w:pPr>
        <w:pStyle w:val="Caption"/>
        <w:keepNext/>
        <w:spacing w:after="60"/>
      </w:pPr>
      <w:r>
        <w:rPr>
          <w:b/>
          <w:i w:val="0"/>
        </w:rPr>
        <w:t xml:space="preserve">Table 3: </w:t>
      </w:r>
      <w:r>
        <w:rPr/>
        <w:t>Operations per bounded context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43"/>
        <w:gridCol w:w="3217"/>
        <w:gridCol w:w="965"/>
        <w:gridCol w:w="1158"/>
        <w:gridCol w:w="900"/>
        <w:gridCol w:w="900"/>
        <w:gridCol w:w="900"/>
        <w:gridCol w:w="1286"/>
      </w:tblGrid>
      <w:tr>
        <w:trPr>
          <w:tblHeader w:val="true"/>
          <w:cantSplit w:val="true"/>
        </w:trPr>
        <w:tc>
          <w:tcPr>
            <w:tcW w:type="dxa" w:w="64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3217"/>
            <w:shd w:val="clear" w:color="auto" w:fill="004EA8"/>
            <w:tcMar>
              <w:top w:w="50" w:type="dxa"/>
              <w:bottom w:w="50" w:type="dxa"/>
              <w:left w:w="90" w:type="dxa"/>
              <w:right w:w="90" w:type="dxa"/>
            </w:tcMar>
            <w:vAlign w:val="center"/>
          </w:tcPr>
          <w:p>
            <w:pPr>
              <w:pStyle w:val="BDOITableHeader"/>
            </w:pPr>
            <w:r>
              <w:rPr>
                <w:b/>
                <w:color w:val="FFFFFF"/>
                <w:sz w:val="16"/>
              </w:rPr>
              <w:t>Bounded context</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158"/>
            <w:shd w:val="clear" w:color="auto" w:fill="004EA8"/>
            <w:tcMar>
              <w:top w:w="50" w:type="dxa"/>
              <w:bottom w:w="50" w:type="dxa"/>
              <w:left w:w="90" w:type="dxa"/>
              <w:right w:w="90" w:type="dxa"/>
            </w:tcMar>
            <w:vAlign w:val="center"/>
          </w:tcPr>
          <w:p>
            <w:pPr>
              <w:pStyle w:val="BDOITableHeader"/>
            </w:pPr>
            <w:r>
              <w:rPr>
                <w:b/>
                <w:color w:val="FFFFFF"/>
                <w:sz w:val="16"/>
              </w:rPr>
              <w:t>Operations</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GET</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POST</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PUT</w:t>
            </w:r>
          </w:p>
        </w:tc>
        <w:tc>
          <w:tcPr>
            <w:tcW w:type="dxa" w:w="1287"/>
            <w:shd w:val="clear" w:color="auto" w:fill="004EA8"/>
            <w:tcMar>
              <w:top w:w="50" w:type="dxa"/>
              <w:bottom w:w="50" w:type="dxa"/>
              <w:left w:w="90" w:type="dxa"/>
              <w:right w:w="90" w:type="dxa"/>
            </w:tcMar>
            <w:vAlign w:val="center"/>
          </w:tcPr>
          <w:p>
            <w:pPr>
              <w:pStyle w:val="BDOITableHeader"/>
            </w:pPr>
            <w:r>
              <w:rPr>
                <w:b/>
                <w:color w:val="FFFFFF"/>
                <w:sz w:val="16"/>
              </w:rPr>
              <w:t>DELETE or PATCH</w:t>
            </w:r>
          </w:p>
        </w:tc>
      </w:tr>
      <w:tr>
        <w:trPr>
          <w:cantSplit w:val="true"/>
        </w:trPr>
        <w:tc>
          <w:tcPr>
            <w:tcW w:type="dxa" w:w="643"/>
            <w:tcMar>
              <w:top w:w="50" w:type="dxa"/>
              <w:bottom w:w="50" w:type="dxa"/>
              <w:left w:w="90" w:type="dxa"/>
              <w:right w:w="90" w:type="dxa"/>
            </w:tcMar>
          </w:tcPr>
          <w:p>
            <w:pPr>
              <w:pStyle w:val="BDOITable"/>
            </w:pPr>
            <w:r>
              <w:rPr>
                <w:b/>
                <w:sz w:val="16"/>
              </w:rPr>
              <w:t>BC01</w:t>
            </w:r>
          </w:p>
        </w:tc>
        <w:tc>
          <w:tcPr>
            <w:tcW w:type="dxa" w:w="3217"/>
            <w:tcMar>
              <w:top w:w="50" w:type="dxa"/>
              <w:bottom w:w="50" w:type="dxa"/>
              <w:left w:w="90" w:type="dxa"/>
              <w:right w:w="90" w:type="dxa"/>
            </w:tcMar>
          </w:tcPr>
          <w:p>
            <w:pPr>
              <w:pStyle w:val="BDOITable"/>
            </w:pPr>
            <w:r>
              <w:rPr>
                <w:sz w:val="16"/>
              </w:rPr>
              <w:t>Client management</w:t>
            </w:r>
          </w:p>
        </w:tc>
        <w:tc>
          <w:tcPr>
            <w:tcW w:type="dxa" w:w="965"/>
            <w:tcMar>
              <w:top w:w="50" w:type="dxa"/>
              <w:bottom w:w="50" w:type="dxa"/>
              <w:left w:w="90" w:type="dxa"/>
              <w:right w:w="90" w:type="dxa"/>
            </w:tcMar>
          </w:tcPr>
          <w:p>
            <w:pPr>
              <w:pStyle w:val="BDOITable"/>
            </w:pPr>
            <w:r>
              <w:rPr>
                <w:sz w:val="16"/>
              </w:rPr>
              <w:t>BRD-01</w:t>
            </w:r>
          </w:p>
        </w:tc>
        <w:tc>
          <w:tcPr>
            <w:tcW w:type="dxa" w:w="1158"/>
            <w:tcMar>
              <w:top w:w="50" w:type="dxa"/>
              <w:bottom w:w="50" w:type="dxa"/>
              <w:left w:w="90" w:type="dxa"/>
              <w:right w:w="90" w:type="dxa"/>
            </w:tcMar>
          </w:tcPr>
          <w:p>
            <w:pPr>
              <w:pStyle w:val="BDOITable"/>
            </w:pPr>
            <w:r>
              <w:rPr>
                <w:sz w:val="16"/>
              </w:rPr>
              <w:t>25</w:t>
            </w:r>
          </w:p>
        </w:tc>
        <w:tc>
          <w:tcPr>
            <w:tcW w:type="dxa" w:w="901"/>
            <w:tcMar>
              <w:top w:w="50" w:type="dxa"/>
              <w:bottom w:w="50" w:type="dxa"/>
              <w:left w:w="90" w:type="dxa"/>
              <w:right w:w="90" w:type="dxa"/>
            </w:tcMar>
          </w:tcPr>
          <w:p>
            <w:pPr>
              <w:pStyle w:val="BDOITable"/>
            </w:pPr>
            <w:r>
              <w:rPr>
                <w:sz w:val="16"/>
              </w:rPr>
              <w:t>12</w:t>
            </w:r>
          </w:p>
        </w:tc>
        <w:tc>
          <w:tcPr>
            <w:tcW w:type="dxa" w:w="901"/>
            <w:tcMar>
              <w:top w:w="50" w:type="dxa"/>
              <w:bottom w:w="50" w:type="dxa"/>
              <w:left w:w="90" w:type="dxa"/>
              <w:right w:w="90" w:type="dxa"/>
            </w:tcMar>
          </w:tcPr>
          <w:p>
            <w:pPr>
              <w:pStyle w:val="BDOITable"/>
            </w:pPr>
            <w:r>
              <w:rPr>
                <w:sz w:val="16"/>
              </w:rPr>
              <w:t>11</w:t>
            </w:r>
          </w:p>
        </w:tc>
        <w:tc>
          <w:tcPr>
            <w:tcW w:type="dxa" w:w="901"/>
            <w:tcMar>
              <w:top w:w="50" w:type="dxa"/>
              <w:bottom w:w="50" w:type="dxa"/>
              <w:left w:w="90" w:type="dxa"/>
              <w:right w:w="90" w:type="dxa"/>
            </w:tcMar>
          </w:tcPr>
          <w:p>
            <w:pPr>
              <w:pStyle w:val="BDOITable"/>
            </w:pPr>
            <w:r>
              <w:rPr>
                <w:sz w:val="16"/>
              </w:rPr>
              <w:t>2</w:t>
            </w:r>
          </w:p>
        </w:tc>
        <w:tc>
          <w:tcPr>
            <w:tcW w:type="dxa" w:w="1287"/>
            <w:tcMar>
              <w:top w:w="50" w:type="dxa"/>
              <w:bottom w:w="50" w:type="dxa"/>
              <w:left w:w="90" w:type="dxa"/>
              <w:right w:w="90" w:type="dxa"/>
            </w:tcMar>
          </w:tcPr>
          <w:p>
            <w:pPr>
              <w:pStyle w:val="BDOITable"/>
            </w:pPr>
            <w:r>
              <w:rPr>
                <w:sz w:val="16"/>
              </w:rPr>
              <w:t>0</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BC02</w:t>
            </w:r>
          </w:p>
        </w:tc>
        <w:tc>
          <w:tcPr>
            <w:tcW w:type="dxa" w:w="3217"/>
            <w:tcMar>
              <w:top w:w="50" w:type="dxa"/>
              <w:bottom w:w="50" w:type="dxa"/>
              <w:left w:w="90" w:type="dxa"/>
              <w:right w:w="90" w:type="dxa"/>
            </w:tcMar>
            <w:shd w:val="clear" w:color="auto" w:fill="E5F5FF"/>
          </w:tcPr>
          <w:p>
            <w:pPr>
              <w:pStyle w:val="BDOITable"/>
            </w:pPr>
            <w:r>
              <w:rPr>
                <w:sz w:val="16"/>
              </w:rPr>
              <w:t>Product catalogue and maintenance</w:t>
            </w:r>
          </w:p>
        </w:tc>
        <w:tc>
          <w:tcPr>
            <w:tcW w:type="dxa" w:w="965"/>
            <w:tcMar>
              <w:top w:w="50" w:type="dxa"/>
              <w:bottom w:w="50" w:type="dxa"/>
              <w:left w:w="90" w:type="dxa"/>
              <w:right w:w="90" w:type="dxa"/>
            </w:tcMar>
            <w:shd w:val="clear" w:color="auto" w:fill="E5F5FF"/>
          </w:tcPr>
          <w:p>
            <w:pPr>
              <w:pStyle w:val="BDOITable"/>
            </w:pPr>
            <w:r>
              <w:rPr>
                <w:sz w:val="16"/>
              </w:rPr>
              <w:t>BRD-03</w:t>
            </w:r>
          </w:p>
        </w:tc>
        <w:tc>
          <w:tcPr>
            <w:tcW w:type="dxa" w:w="1158"/>
            <w:tcMar>
              <w:top w:w="50" w:type="dxa"/>
              <w:bottom w:w="50" w:type="dxa"/>
              <w:left w:w="90" w:type="dxa"/>
              <w:right w:w="90" w:type="dxa"/>
            </w:tcMar>
            <w:shd w:val="clear" w:color="auto" w:fill="E5F5FF"/>
          </w:tcPr>
          <w:p>
            <w:pPr>
              <w:pStyle w:val="BDOITable"/>
            </w:pPr>
            <w:r>
              <w:rPr>
                <w:sz w:val="16"/>
              </w:rPr>
              <w:t>118</w:t>
            </w:r>
          </w:p>
        </w:tc>
        <w:tc>
          <w:tcPr>
            <w:tcW w:type="dxa" w:w="901"/>
            <w:tcMar>
              <w:top w:w="50" w:type="dxa"/>
              <w:bottom w:w="50" w:type="dxa"/>
              <w:left w:w="90" w:type="dxa"/>
              <w:right w:w="90" w:type="dxa"/>
            </w:tcMar>
            <w:shd w:val="clear" w:color="auto" w:fill="E5F5FF"/>
          </w:tcPr>
          <w:p>
            <w:pPr>
              <w:pStyle w:val="BDOITable"/>
            </w:pPr>
            <w:r>
              <w:rPr>
                <w:sz w:val="16"/>
              </w:rPr>
              <w:t>42</w:t>
            </w:r>
          </w:p>
        </w:tc>
        <w:tc>
          <w:tcPr>
            <w:tcW w:type="dxa" w:w="901"/>
            <w:tcMar>
              <w:top w:w="50" w:type="dxa"/>
              <w:bottom w:w="50" w:type="dxa"/>
              <w:left w:w="90" w:type="dxa"/>
              <w:right w:w="90" w:type="dxa"/>
            </w:tcMar>
            <w:shd w:val="clear" w:color="auto" w:fill="E5F5FF"/>
          </w:tcPr>
          <w:p>
            <w:pPr>
              <w:pStyle w:val="BDOITable"/>
            </w:pPr>
            <w:r>
              <w:rPr>
                <w:sz w:val="16"/>
              </w:rPr>
              <w:t>54</w:t>
            </w:r>
          </w:p>
        </w:tc>
        <w:tc>
          <w:tcPr>
            <w:tcW w:type="dxa" w:w="901"/>
            <w:tcMar>
              <w:top w:w="50" w:type="dxa"/>
              <w:bottom w:w="50" w:type="dxa"/>
              <w:left w:w="90" w:type="dxa"/>
              <w:right w:w="90" w:type="dxa"/>
            </w:tcMar>
            <w:shd w:val="clear" w:color="auto" w:fill="E5F5FF"/>
          </w:tcPr>
          <w:p>
            <w:pPr>
              <w:pStyle w:val="BDOITable"/>
            </w:pPr>
            <w:r>
              <w:rPr>
                <w:sz w:val="16"/>
              </w:rPr>
              <w:t>22</w:t>
            </w:r>
          </w:p>
        </w:tc>
        <w:tc>
          <w:tcPr>
            <w:tcW w:type="dxa" w:w="128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643"/>
            <w:tcMar>
              <w:top w:w="50" w:type="dxa"/>
              <w:bottom w:w="50" w:type="dxa"/>
              <w:left w:w="90" w:type="dxa"/>
              <w:right w:w="90" w:type="dxa"/>
            </w:tcMar>
          </w:tcPr>
          <w:p>
            <w:pPr>
              <w:pStyle w:val="BDOITable"/>
            </w:pPr>
            <w:r>
              <w:rPr>
                <w:b/>
                <w:sz w:val="16"/>
              </w:rPr>
              <w:t>BC03</w:t>
            </w:r>
          </w:p>
        </w:tc>
        <w:tc>
          <w:tcPr>
            <w:tcW w:type="dxa" w:w="3217"/>
            <w:tcMar>
              <w:top w:w="50" w:type="dxa"/>
              <w:bottom w:w="50" w:type="dxa"/>
              <w:left w:w="90" w:type="dxa"/>
              <w:right w:w="90" w:type="dxa"/>
            </w:tcMar>
          </w:tcPr>
          <w:p>
            <w:pPr>
              <w:pStyle w:val="BDOITable"/>
            </w:pPr>
            <w:r>
              <w:rPr>
                <w:sz w:val="16"/>
              </w:rPr>
              <w:t>New business broking</w:t>
            </w:r>
          </w:p>
        </w:tc>
        <w:tc>
          <w:tcPr>
            <w:tcW w:type="dxa" w:w="965"/>
            <w:tcMar>
              <w:top w:w="50" w:type="dxa"/>
              <w:bottom w:w="50" w:type="dxa"/>
              <w:left w:w="90" w:type="dxa"/>
              <w:right w:w="90" w:type="dxa"/>
            </w:tcMar>
          </w:tcPr>
          <w:p>
            <w:pPr>
              <w:pStyle w:val="BDOITable"/>
            </w:pPr>
            <w:r>
              <w:rPr>
                <w:sz w:val="16"/>
              </w:rPr>
              <w:t>BRD-01</w:t>
            </w:r>
          </w:p>
        </w:tc>
        <w:tc>
          <w:tcPr>
            <w:tcW w:type="dxa" w:w="1158"/>
            <w:tcMar>
              <w:top w:w="50" w:type="dxa"/>
              <w:bottom w:w="50" w:type="dxa"/>
              <w:left w:w="90" w:type="dxa"/>
              <w:right w:w="90" w:type="dxa"/>
            </w:tcMar>
          </w:tcPr>
          <w:p>
            <w:pPr>
              <w:pStyle w:val="BDOITable"/>
            </w:pPr>
            <w:r>
              <w:rPr>
                <w:sz w:val="16"/>
              </w:rPr>
              <w:t>167</w:t>
            </w:r>
          </w:p>
        </w:tc>
        <w:tc>
          <w:tcPr>
            <w:tcW w:type="dxa" w:w="901"/>
            <w:tcMar>
              <w:top w:w="50" w:type="dxa"/>
              <w:bottom w:w="50" w:type="dxa"/>
              <w:left w:w="90" w:type="dxa"/>
              <w:right w:w="90" w:type="dxa"/>
            </w:tcMar>
          </w:tcPr>
          <w:p>
            <w:pPr>
              <w:pStyle w:val="BDOITable"/>
            </w:pPr>
            <w:r>
              <w:rPr>
                <w:sz w:val="16"/>
              </w:rPr>
              <w:t>74</w:t>
            </w:r>
          </w:p>
        </w:tc>
        <w:tc>
          <w:tcPr>
            <w:tcW w:type="dxa" w:w="901"/>
            <w:tcMar>
              <w:top w:w="50" w:type="dxa"/>
              <w:bottom w:w="50" w:type="dxa"/>
              <w:left w:w="90" w:type="dxa"/>
              <w:right w:w="90" w:type="dxa"/>
            </w:tcMar>
          </w:tcPr>
          <w:p>
            <w:pPr>
              <w:pStyle w:val="BDOITable"/>
            </w:pPr>
            <w:r>
              <w:rPr>
                <w:sz w:val="16"/>
              </w:rPr>
              <w:t>80</w:t>
            </w:r>
          </w:p>
        </w:tc>
        <w:tc>
          <w:tcPr>
            <w:tcW w:type="dxa" w:w="901"/>
            <w:tcMar>
              <w:top w:w="50" w:type="dxa"/>
              <w:bottom w:w="50" w:type="dxa"/>
              <w:left w:w="90" w:type="dxa"/>
              <w:right w:w="90" w:type="dxa"/>
            </w:tcMar>
          </w:tcPr>
          <w:p>
            <w:pPr>
              <w:pStyle w:val="BDOITable"/>
            </w:pPr>
            <w:r>
              <w:rPr>
                <w:sz w:val="16"/>
              </w:rPr>
              <w:t>12</w:t>
            </w:r>
          </w:p>
        </w:tc>
        <w:tc>
          <w:tcPr>
            <w:tcW w:type="dxa" w:w="1287"/>
            <w:tcMar>
              <w:top w:w="50" w:type="dxa"/>
              <w:bottom w:w="50" w:type="dxa"/>
              <w:left w:w="90" w:type="dxa"/>
              <w:right w:w="90" w:type="dxa"/>
            </w:tcMar>
          </w:tcPr>
          <w:p>
            <w:pPr>
              <w:pStyle w:val="BDOITable"/>
            </w:pPr>
            <w:r>
              <w:rPr>
                <w:sz w:val="16"/>
              </w:rPr>
              <w:t>1</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BC04</w:t>
            </w:r>
          </w:p>
        </w:tc>
        <w:tc>
          <w:tcPr>
            <w:tcW w:type="dxa" w:w="3217"/>
            <w:tcMar>
              <w:top w:w="50" w:type="dxa"/>
              <w:bottom w:w="50" w:type="dxa"/>
              <w:left w:w="90" w:type="dxa"/>
              <w:right w:w="90" w:type="dxa"/>
            </w:tcMar>
            <w:shd w:val="clear" w:color="auto" w:fill="E5F5FF"/>
          </w:tcPr>
          <w:p>
            <w:pPr>
              <w:pStyle w:val="BDOITable"/>
            </w:pPr>
            <w:r>
              <w:rPr>
                <w:sz w:val="16"/>
              </w:rPr>
              <w:t>Renewal</w:t>
            </w:r>
          </w:p>
        </w:tc>
        <w:tc>
          <w:tcPr>
            <w:tcW w:type="dxa" w:w="965"/>
            <w:tcMar>
              <w:top w:w="50" w:type="dxa"/>
              <w:bottom w:w="50" w:type="dxa"/>
              <w:left w:w="90" w:type="dxa"/>
              <w:right w:w="90" w:type="dxa"/>
            </w:tcMar>
            <w:shd w:val="clear" w:color="auto" w:fill="E5F5FF"/>
          </w:tcPr>
          <w:p>
            <w:pPr>
              <w:pStyle w:val="BDOITable"/>
            </w:pPr>
            <w:r>
              <w:rPr>
                <w:sz w:val="16"/>
              </w:rPr>
              <w:t>BRD-06</w:t>
            </w:r>
          </w:p>
        </w:tc>
        <w:tc>
          <w:tcPr>
            <w:tcW w:type="dxa" w:w="1158"/>
            <w:tcMar>
              <w:top w:w="50" w:type="dxa"/>
              <w:bottom w:w="50" w:type="dxa"/>
              <w:left w:w="90" w:type="dxa"/>
              <w:right w:w="90" w:type="dxa"/>
            </w:tcMar>
            <w:shd w:val="clear" w:color="auto" w:fill="E5F5FF"/>
          </w:tcPr>
          <w:p>
            <w:pPr>
              <w:pStyle w:val="BDOITable"/>
            </w:pPr>
            <w:r>
              <w:rPr>
                <w:sz w:val="16"/>
              </w:rPr>
              <w:t>79</w:t>
            </w:r>
          </w:p>
        </w:tc>
        <w:tc>
          <w:tcPr>
            <w:tcW w:type="dxa" w:w="901"/>
            <w:tcMar>
              <w:top w:w="50" w:type="dxa"/>
              <w:bottom w:w="50" w:type="dxa"/>
              <w:left w:w="90" w:type="dxa"/>
              <w:right w:w="90" w:type="dxa"/>
            </w:tcMar>
            <w:shd w:val="clear" w:color="auto" w:fill="E5F5FF"/>
          </w:tcPr>
          <w:p>
            <w:pPr>
              <w:pStyle w:val="BDOITable"/>
            </w:pPr>
            <w:r>
              <w:rPr>
                <w:sz w:val="16"/>
              </w:rPr>
              <w:t>34</w:t>
            </w:r>
          </w:p>
        </w:tc>
        <w:tc>
          <w:tcPr>
            <w:tcW w:type="dxa" w:w="901"/>
            <w:tcMar>
              <w:top w:w="50" w:type="dxa"/>
              <w:bottom w:w="50" w:type="dxa"/>
              <w:left w:w="90" w:type="dxa"/>
              <w:right w:w="90" w:type="dxa"/>
            </w:tcMar>
            <w:shd w:val="clear" w:color="auto" w:fill="E5F5FF"/>
          </w:tcPr>
          <w:p>
            <w:pPr>
              <w:pStyle w:val="BDOITable"/>
            </w:pPr>
            <w:r>
              <w:rPr>
                <w:sz w:val="16"/>
              </w:rPr>
              <w:t>42</w:t>
            </w:r>
          </w:p>
        </w:tc>
        <w:tc>
          <w:tcPr>
            <w:tcW w:type="dxa" w:w="901"/>
            <w:tcMar>
              <w:top w:w="50" w:type="dxa"/>
              <w:bottom w:w="50" w:type="dxa"/>
              <w:left w:w="90" w:type="dxa"/>
              <w:right w:w="90" w:type="dxa"/>
            </w:tcMar>
            <w:shd w:val="clear" w:color="auto" w:fill="E5F5FF"/>
          </w:tcPr>
          <w:p>
            <w:pPr>
              <w:pStyle w:val="BDOITable"/>
            </w:pPr>
            <w:r>
              <w:rPr>
                <w:sz w:val="16"/>
              </w:rPr>
              <w:t>3</w:t>
            </w:r>
          </w:p>
        </w:tc>
        <w:tc>
          <w:tcPr>
            <w:tcW w:type="dxa" w:w="128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643"/>
            <w:tcMar>
              <w:top w:w="50" w:type="dxa"/>
              <w:bottom w:w="50" w:type="dxa"/>
              <w:left w:w="90" w:type="dxa"/>
              <w:right w:w="90" w:type="dxa"/>
            </w:tcMar>
          </w:tcPr>
          <w:p>
            <w:pPr>
              <w:pStyle w:val="BDOITable"/>
            </w:pPr>
            <w:r>
              <w:rPr>
                <w:b/>
                <w:sz w:val="16"/>
              </w:rPr>
              <w:t>BC05</w:t>
            </w:r>
          </w:p>
        </w:tc>
        <w:tc>
          <w:tcPr>
            <w:tcW w:type="dxa" w:w="3217"/>
            <w:tcMar>
              <w:top w:w="50" w:type="dxa"/>
              <w:bottom w:w="50" w:type="dxa"/>
              <w:left w:w="90" w:type="dxa"/>
              <w:right w:w="90" w:type="dxa"/>
            </w:tcMar>
          </w:tcPr>
          <w:p>
            <w:pPr>
              <w:pStyle w:val="BDOITable"/>
            </w:pPr>
            <w:r>
              <w:rPr>
                <w:sz w:val="16"/>
              </w:rPr>
              <w:t>Submitted policies</w:t>
            </w:r>
          </w:p>
        </w:tc>
        <w:tc>
          <w:tcPr>
            <w:tcW w:type="dxa" w:w="965"/>
            <w:tcMar>
              <w:top w:w="50" w:type="dxa"/>
              <w:bottom w:w="50" w:type="dxa"/>
              <w:left w:w="90" w:type="dxa"/>
              <w:right w:w="90" w:type="dxa"/>
            </w:tcMar>
          </w:tcPr>
          <w:p>
            <w:pPr>
              <w:pStyle w:val="BDOITable"/>
            </w:pPr>
            <w:r>
              <w:rPr>
                <w:sz w:val="16"/>
              </w:rPr>
              <w:t>BRD-12</w:t>
            </w:r>
          </w:p>
        </w:tc>
        <w:tc>
          <w:tcPr>
            <w:tcW w:type="dxa" w:w="1158"/>
            <w:tcMar>
              <w:top w:w="50" w:type="dxa"/>
              <w:bottom w:w="50" w:type="dxa"/>
              <w:left w:w="90" w:type="dxa"/>
              <w:right w:w="90" w:type="dxa"/>
            </w:tcMar>
          </w:tcPr>
          <w:p>
            <w:pPr>
              <w:pStyle w:val="BDOITable"/>
            </w:pPr>
            <w:r>
              <w:rPr>
                <w:sz w:val="16"/>
              </w:rPr>
              <w:t>99</w:t>
            </w:r>
          </w:p>
        </w:tc>
        <w:tc>
          <w:tcPr>
            <w:tcW w:type="dxa" w:w="901"/>
            <w:tcMar>
              <w:top w:w="50" w:type="dxa"/>
              <w:bottom w:w="50" w:type="dxa"/>
              <w:left w:w="90" w:type="dxa"/>
              <w:right w:w="90" w:type="dxa"/>
            </w:tcMar>
          </w:tcPr>
          <w:p>
            <w:pPr>
              <w:pStyle w:val="BDOITable"/>
            </w:pPr>
            <w:r>
              <w:rPr>
                <w:sz w:val="16"/>
              </w:rPr>
              <w:t>47</w:t>
            </w:r>
          </w:p>
        </w:tc>
        <w:tc>
          <w:tcPr>
            <w:tcW w:type="dxa" w:w="901"/>
            <w:tcMar>
              <w:top w:w="50" w:type="dxa"/>
              <w:bottom w:w="50" w:type="dxa"/>
              <w:left w:w="90" w:type="dxa"/>
              <w:right w:w="90" w:type="dxa"/>
            </w:tcMar>
          </w:tcPr>
          <w:p>
            <w:pPr>
              <w:pStyle w:val="BDOITable"/>
            </w:pPr>
            <w:r>
              <w:rPr>
                <w:sz w:val="16"/>
              </w:rPr>
              <w:t>44</w:t>
            </w:r>
          </w:p>
        </w:tc>
        <w:tc>
          <w:tcPr>
            <w:tcW w:type="dxa" w:w="901"/>
            <w:tcMar>
              <w:top w:w="50" w:type="dxa"/>
              <w:bottom w:w="50" w:type="dxa"/>
              <w:left w:w="90" w:type="dxa"/>
              <w:right w:w="90" w:type="dxa"/>
            </w:tcMar>
          </w:tcPr>
          <w:p>
            <w:pPr>
              <w:pStyle w:val="BDOITable"/>
            </w:pPr>
            <w:r>
              <w:rPr>
                <w:sz w:val="16"/>
              </w:rPr>
              <w:t>7</w:t>
            </w:r>
          </w:p>
        </w:tc>
        <w:tc>
          <w:tcPr>
            <w:tcW w:type="dxa" w:w="1287"/>
            <w:tcMar>
              <w:top w:w="50" w:type="dxa"/>
              <w:bottom w:w="50" w:type="dxa"/>
              <w:left w:w="90" w:type="dxa"/>
              <w:right w:w="90" w:type="dxa"/>
            </w:tcMar>
          </w:tcPr>
          <w:p>
            <w:pPr>
              <w:pStyle w:val="BDOITable"/>
            </w:pPr>
            <w:r>
              <w:rPr>
                <w:sz w:val="16"/>
              </w:rPr>
              <w:t>1</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BC06</w:t>
            </w:r>
          </w:p>
        </w:tc>
        <w:tc>
          <w:tcPr>
            <w:tcW w:type="dxa" w:w="3217"/>
            <w:tcMar>
              <w:top w:w="50" w:type="dxa"/>
              <w:bottom w:w="50" w:type="dxa"/>
              <w:left w:w="90" w:type="dxa"/>
              <w:right w:w="90" w:type="dxa"/>
            </w:tcMar>
            <w:shd w:val="clear" w:color="auto" w:fill="E5F5FF"/>
          </w:tcPr>
          <w:p>
            <w:pPr>
              <w:pStyle w:val="BDOITable"/>
            </w:pPr>
            <w:r>
              <w:rPr>
                <w:sz w:val="16"/>
              </w:rPr>
              <w:t>Operations</w:t>
            </w:r>
          </w:p>
        </w:tc>
        <w:tc>
          <w:tcPr>
            <w:tcW w:type="dxa" w:w="965"/>
            <w:tcMar>
              <w:top w:w="50" w:type="dxa"/>
              <w:bottom w:w="50" w:type="dxa"/>
              <w:left w:w="90" w:type="dxa"/>
              <w:right w:w="90" w:type="dxa"/>
            </w:tcMar>
            <w:shd w:val="clear" w:color="auto" w:fill="E5F5FF"/>
          </w:tcPr>
          <w:p>
            <w:pPr>
              <w:pStyle w:val="BDOITable"/>
            </w:pPr>
            <w:r>
              <w:rPr>
                <w:sz w:val="16"/>
              </w:rPr>
              <w:t>BRD-02</w:t>
            </w:r>
          </w:p>
        </w:tc>
        <w:tc>
          <w:tcPr>
            <w:tcW w:type="dxa" w:w="1158"/>
            <w:tcMar>
              <w:top w:w="50" w:type="dxa"/>
              <w:bottom w:w="50" w:type="dxa"/>
              <w:left w:w="90" w:type="dxa"/>
              <w:right w:w="90" w:type="dxa"/>
            </w:tcMar>
            <w:shd w:val="clear" w:color="auto" w:fill="E5F5FF"/>
          </w:tcPr>
          <w:p>
            <w:pPr>
              <w:pStyle w:val="BDOITable"/>
            </w:pPr>
            <w:r>
              <w:rPr>
                <w:sz w:val="16"/>
              </w:rPr>
              <w:t>272</w:t>
            </w:r>
          </w:p>
        </w:tc>
        <w:tc>
          <w:tcPr>
            <w:tcW w:type="dxa" w:w="901"/>
            <w:tcMar>
              <w:top w:w="50" w:type="dxa"/>
              <w:bottom w:w="50" w:type="dxa"/>
              <w:left w:w="90" w:type="dxa"/>
              <w:right w:w="90" w:type="dxa"/>
            </w:tcMar>
            <w:shd w:val="clear" w:color="auto" w:fill="E5F5FF"/>
          </w:tcPr>
          <w:p>
            <w:pPr>
              <w:pStyle w:val="BDOITable"/>
            </w:pPr>
            <w:r>
              <w:rPr>
                <w:sz w:val="16"/>
              </w:rPr>
              <w:t>120</w:t>
            </w:r>
          </w:p>
        </w:tc>
        <w:tc>
          <w:tcPr>
            <w:tcW w:type="dxa" w:w="901"/>
            <w:tcMar>
              <w:top w:w="50" w:type="dxa"/>
              <w:bottom w:w="50" w:type="dxa"/>
              <w:left w:w="90" w:type="dxa"/>
              <w:right w:w="90" w:type="dxa"/>
            </w:tcMar>
            <w:shd w:val="clear" w:color="auto" w:fill="E5F5FF"/>
          </w:tcPr>
          <w:p>
            <w:pPr>
              <w:pStyle w:val="BDOITable"/>
            </w:pPr>
            <w:r>
              <w:rPr>
                <w:sz w:val="16"/>
              </w:rPr>
              <w:t>138</w:t>
            </w:r>
          </w:p>
        </w:tc>
        <w:tc>
          <w:tcPr>
            <w:tcW w:type="dxa" w:w="901"/>
            <w:tcMar>
              <w:top w:w="50" w:type="dxa"/>
              <w:bottom w:w="50" w:type="dxa"/>
              <w:left w:w="90" w:type="dxa"/>
              <w:right w:w="90" w:type="dxa"/>
            </w:tcMar>
            <w:shd w:val="clear" w:color="auto" w:fill="E5F5FF"/>
          </w:tcPr>
          <w:p>
            <w:pPr>
              <w:pStyle w:val="BDOITable"/>
            </w:pPr>
            <w:r>
              <w:rPr>
                <w:sz w:val="16"/>
              </w:rPr>
              <w:t>12</w:t>
            </w:r>
          </w:p>
        </w:tc>
        <w:tc>
          <w:tcPr>
            <w:tcW w:type="dxa" w:w="128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643"/>
            <w:tcMar>
              <w:top w:w="50" w:type="dxa"/>
              <w:bottom w:w="50" w:type="dxa"/>
              <w:left w:w="90" w:type="dxa"/>
              <w:right w:w="90" w:type="dxa"/>
            </w:tcMar>
          </w:tcPr>
          <w:p>
            <w:pPr>
              <w:pStyle w:val="BDOITable"/>
            </w:pPr>
            <w:r>
              <w:rPr>
                <w:b/>
                <w:sz w:val="16"/>
              </w:rPr>
              <w:t>BC07</w:t>
            </w:r>
          </w:p>
        </w:tc>
        <w:tc>
          <w:tcPr>
            <w:tcW w:type="dxa" w:w="3217"/>
            <w:tcMar>
              <w:top w:w="50" w:type="dxa"/>
              <w:bottom w:w="50" w:type="dxa"/>
              <w:left w:w="90" w:type="dxa"/>
              <w:right w:w="90" w:type="dxa"/>
            </w:tcMar>
          </w:tcPr>
          <w:p>
            <w:pPr>
              <w:pStyle w:val="BDOITable"/>
            </w:pPr>
            <w:r>
              <w:rPr>
                <w:sz w:val="16"/>
              </w:rPr>
              <w:t>Collections</w:t>
            </w:r>
          </w:p>
        </w:tc>
        <w:tc>
          <w:tcPr>
            <w:tcW w:type="dxa" w:w="965"/>
            <w:tcMar>
              <w:top w:w="50" w:type="dxa"/>
              <w:bottom w:w="50" w:type="dxa"/>
              <w:left w:w="90" w:type="dxa"/>
              <w:right w:w="90" w:type="dxa"/>
            </w:tcMar>
          </w:tcPr>
          <w:p>
            <w:pPr>
              <w:pStyle w:val="BDOITable"/>
            </w:pPr>
            <w:r>
              <w:rPr>
                <w:sz w:val="16"/>
              </w:rPr>
              <w:t>BRD-04</w:t>
            </w:r>
          </w:p>
        </w:tc>
        <w:tc>
          <w:tcPr>
            <w:tcW w:type="dxa" w:w="1158"/>
            <w:tcMar>
              <w:top w:w="50" w:type="dxa"/>
              <w:bottom w:w="50" w:type="dxa"/>
              <w:left w:w="90" w:type="dxa"/>
              <w:right w:w="90" w:type="dxa"/>
            </w:tcMar>
          </w:tcPr>
          <w:p>
            <w:pPr>
              <w:pStyle w:val="BDOITable"/>
            </w:pPr>
            <w:r>
              <w:rPr>
                <w:sz w:val="16"/>
              </w:rPr>
              <w:t>78</w:t>
            </w:r>
          </w:p>
        </w:tc>
        <w:tc>
          <w:tcPr>
            <w:tcW w:type="dxa" w:w="901"/>
            <w:tcMar>
              <w:top w:w="50" w:type="dxa"/>
              <w:bottom w:w="50" w:type="dxa"/>
              <w:left w:w="90" w:type="dxa"/>
              <w:right w:w="90" w:type="dxa"/>
            </w:tcMar>
          </w:tcPr>
          <w:p>
            <w:pPr>
              <w:pStyle w:val="BDOITable"/>
            </w:pPr>
            <w:r>
              <w:rPr>
                <w:sz w:val="16"/>
              </w:rPr>
              <w:t>40</w:t>
            </w:r>
          </w:p>
        </w:tc>
        <w:tc>
          <w:tcPr>
            <w:tcW w:type="dxa" w:w="901"/>
            <w:tcMar>
              <w:top w:w="50" w:type="dxa"/>
              <w:bottom w:w="50" w:type="dxa"/>
              <w:left w:w="90" w:type="dxa"/>
              <w:right w:w="90" w:type="dxa"/>
            </w:tcMar>
          </w:tcPr>
          <w:p>
            <w:pPr>
              <w:pStyle w:val="BDOITable"/>
            </w:pPr>
            <w:r>
              <w:rPr>
                <w:sz w:val="16"/>
              </w:rPr>
              <w:t>31</w:t>
            </w:r>
          </w:p>
        </w:tc>
        <w:tc>
          <w:tcPr>
            <w:tcW w:type="dxa" w:w="901"/>
            <w:tcMar>
              <w:top w:w="50" w:type="dxa"/>
              <w:bottom w:w="50" w:type="dxa"/>
              <w:left w:w="90" w:type="dxa"/>
              <w:right w:w="90" w:type="dxa"/>
            </w:tcMar>
          </w:tcPr>
          <w:p>
            <w:pPr>
              <w:pStyle w:val="BDOITable"/>
            </w:pPr>
            <w:r>
              <w:rPr>
                <w:sz w:val="16"/>
              </w:rPr>
              <w:t>6</w:t>
            </w:r>
          </w:p>
        </w:tc>
        <w:tc>
          <w:tcPr>
            <w:tcW w:type="dxa" w:w="1287"/>
            <w:tcMar>
              <w:top w:w="50" w:type="dxa"/>
              <w:bottom w:w="50" w:type="dxa"/>
              <w:left w:w="90" w:type="dxa"/>
              <w:right w:w="90" w:type="dxa"/>
            </w:tcMar>
          </w:tcPr>
          <w:p>
            <w:pPr>
              <w:pStyle w:val="BDOITable"/>
            </w:pPr>
            <w:r>
              <w:rPr>
                <w:sz w:val="16"/>
              </w:rPr>
              <w:t>1</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BC08</w:t>
            </w:r>
          </w:p>
        </w:tc>
        <w:tc>
          <w:tcPr>
            <w:tcW w:type="dxa" w:w="3217"/>
            <w:tcMar>
              <w:top w:w="50" w:type="dxa"/>
              <w:bottom w:w="50" w:type="dxa"/>
              <w:left w:w="90" w:type="dxa"/>
              <w:right w:w="90" w:type="dxa"/>
            </w:tcMar>
            <w:shd w:val="clear" w:color="auto" w:fill="E5F5FF"/>
          </w:tcPr>
          <w:p>
            <w:pPr>
              <w:pStyle w:val="BDOITable"/>
            </w:pPr>
            <w:r>
              <w:rPr>
                <w:sz w:val="16"/>
              </w:rPr>
              <w:t>Accounting, disbursement and ACSL</w:t>
            </w:r>
          </w:p>
        </w:tc>
        <w:tc>
          <w:tcPr>
            <w:tcW w:type="dxa" w:w="965"/>
            <w:tcMar>
              <w:top w:w="50" w:type="dxa"/>
              <w:bottom w:w="50" w:type="dxa"/>
              <w:left w:w="90" w:type="dxa"/>
              <w:right w:w="90" w:type="dxa"/>
            </w:tcMar>
            <w:shd w:val="clear" w:color="auto" w:fill="E5F5FF"/>
          </w:tcPr>
          <w:p>
            <w:pPr>
              <w:pStyle w:val="BDOITable"/>
            </w:pPr>
            <w:r>
              <w:rPr>
                <w:sz w:val="16"/>
              </w:rPr>
              <w:t>BRD-05</w:t>
            </w:r>
          </w:p>
        </w:tc>
        <w:tc>
          <w:tcPr>
            <w:tcW w:type="dxa" w:w="1158"/>
            <w:tcMar>
              <w:top w:w="50" w:type="dxa"/>
              <w:bottom w:w="50" w:type="dxa"/>
              <w:left w:w="90" w:type="dxa"/>
              <w:right w:w="90" w:type="dxa"/>
            </w:tcMar>
            <w:shd w:val="clear" w:color="auto" w:fill="E5F5FF"/>
          </w:tcPr>
          <w:p>
            <w:pPr>
              <w:pStyle w:val="BDOITable"/>
            </w:pPr>
            <w:r>
              <w:rPr>
                <w:sz w:val="16"/>
              </w:rPr>
              <w:t>143</w:t>
            </w:r>
          </w:p>
        </w:tc>
        <w:tc>
          <w:tcPr>
            <w:tcW w:type="dxa" w:w="901"/>
            <w:tcMar>
              <w:top w:w="50" w:type="dxa"/>
              <w:bottom w:w="50" w:type="dxa"/>
              <w:left w:w="90" w:type="dxa"/>
              <w:right w:w="90" w:type="dxa"/>
            </w:tcMar>
            <w:shd w:val="clear" w:color="auto" w:fill="E5F5FF"/>
          </w:tcPr>
          <w:p>
            <w:pPr>
              <w:pStyle w:val="BDOITable"/>
            </w:pPr>
            <w:r>
              <w:rPr>
                <w:sz w:val="16"/>
              </w:rPr>
              <w:t>53</w:t>
            </w:r>
          </w:p>
        </w:tc>
        <w:tc>
          <w:tcPr>
            <w:tcW w:type="dxa" w:w="901"/>
            <w:tcMar>
              <w:top w:w="50" w:type="dxa"/>
              <w:bottom w:w="50" w:type="dxa"/>
              <w:left w:w="90" w:type="dxa"/>
              <w:right w:w="90" w:type="dxa"/>
            </w:tcMar>
            <w:shd w:val="clear" w:color="auto" w:fill="E5F5FF"/>
          </w:tcPr>
          <w:p>
            <w:pPr>
              <w:pStyle w:val="BDOITable"/>
            </w:pPr>
            <w:r>
              <w:rPr>
                <w:sz w:val="16"/>
              </w:rPr>
              <w:t>75</w:t>
            </w:r>
          </w:p>
        </w:tc>
        <w:tc>
          <w:tcPr>
            <w:tcW w:type="dxa" w:w="901"/>
            <w:tcMar>
              <w:top w:w="50" w:type="dxa"/>
              <w:bottom w:w="50" w:type="dxa"/>
              <w:left w:w="90" w:type="dxa"/>
              <w:right w:w="90" w:type="dxa"/>
            </w:tcMar>
            <w:shd w:val="clear" w:color="auto" w:fill="E5F5FF"/>
          </w:tcPr>
          <w:p>
            <w:pPr>
              <w:pStyle w:val="BDOITable"/>
            </w:pPr>
            <w:r>
              <w:rPr>
                <w:sz w:val="16"/>
              </w:rPr>
              <w:t>14</w:t>
            </w:r>
          </w:p>
        </w:tc>
        <w:tc>
          <w:tcPr>
            <w:tcW w:type="dxa" w:w="1287"/>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643"/>
            <w:tcMar>
              <w:top w:w="50" w:type="dxa"/>
              <w:bottom w:w="50" w:type="dxa"/>
              <w:left w:w="90" w:type="dxa"/>
              <w:right w:w="90" w:type="dxa"/>
            </w:tcMar>
          </w:tcPr>
          <w:p>
            <w:pPr>
              <w:pStyle w:val="BDOITable"/>
            </w:pPr>
            <w:r>
              <w:rPr>
                <w:b/>
                <w:sz w:val="16"/>
              </w:rPr>
              <w:t>BC09</w:t>
            </w:r>
          </w:p>
        </w:tc>
        <w:tc>
          <w:tcPr>
            <w:tcW w:type="dxa" w:w="3217"/>
            <w:tcMar>
              <w:top w:w="50" w:type="dxa"/>
              <w:bottom w:w="50" w:type="dxa"/>
              <w:left w:w="90" w:type="dxa"/>
              <w:right w:w="90" w:type="dxa"/>
            </w:tcMar>
          </w:tcPr>
          <w:p>
            <w:pPr>
              <w:pStyle w:val="BDOITable"/>
            </w:pPr>
            <w:r>
              <w:rPr>
                <w:sz w:val="16"/>
              </w:rPr>
              <w:t>Finance core</w:t>
            </w:r>
          </w:p>
        </w:tc>
        <w:tc>
          <w:tcPr>
            <w:tcW w:type="dxa" w:w="965"/>
            <w:tcMar>
              <w:top w:w="50" w:type="dxa"/>
              <w:bottom w:w="50" w:type="dxa"/>
              <w:left w:w="90" w:type="dxa"/>
              <w:right w:w="90" w:type="dxa"/>
            </w:tcMar>
          </w:tcPr>
          <w:p>
            <w:pPr>
              <w:pStyle w:val="BDOITable"/>
            </w:pPr>
            <w:r>
              <w:rPr>
                <w:sz w:val="16"/>
              </w:rPr>
              <w:t>BRD-05</w:t>
            </w:r>
          </w:p>
        </w:tc>
        <w:tc>
          <w:tcPr>
            <w:tcW w:type="dxa" w:w="1158"/>
            <w:tcMar>
              <w:top w:w="50" w:type="dxa"/>
              <w:bottom w:w="50" w:type="dxa"/>
              <w:left w:w="90" w:type="dxa"/>
              <w:right w:w="90" w:type="dxa"/>
            </w:tcMar>
          </w:tcPr>
          <w:p>
            <w:pPr>
              <w:pStyle w:val="BDOITable"/>
            </w:pPr>
            <w:r>
              <w:rPr>
                <w:sz w:val="16"/>
              </w:rPr>
              <w:t>281</w:t>
            </w:r>
          </w:p>
        </w:tc>
        <w:tc>
          <w:tcPr>
            <w:tcW w:type="dxa" w:w="901"/>
            <w:tcMar>
              <w:top w:w="50" w:type="dxa"/>
              <w:bottom w:w="50" w:type="dxa"/>
              <w:left w:w="90" w:type="dxa"/>
              <w:right w:w="90" w:type="dxa"/>
            </w:tcMar>
          </w:tcPr>
          <w:p>
            <w:pPr>
              <w:pStyle w:val="BDOITable"/>
            </w:pPr>
            <w:r>
              <w:rPr>
                <w:sz w:val="16"/>
              </w:rPr>
              <w:t>116</w:t>
            </w:r>
          </w:p>
        </w:tc>
        <w:tc>
          <w:tcPr>
            <w:tcW w:type="dxa" w:w="901"/>
            <w:tcMar>
              <w:top w:w="50" w:type="dxa"/>
              <w:bottom w:w="50" w:type="dxa"/>
              <w:left w:w="90" w:type="dxa"/>
              <w:right w:w="90" w:type="dxa"/>
            </w:tcMar>
          </w:tcPr>
          <w:p>
            <w:pPr>
              <w:pStyle w:val="BDOITable"/>
            </w:pPr>
            <w:r>
              <w:rPr>
                <w:sz w:val="16"/>
              </w:rPr>
              <w:t>143</w:t>
            </w:r>
          </w:p>
        </w:tc>
        <w:tc>
          <w:tcPr>
            <w:tcW w:type="dxa" w:w="901"/>
            <w:tcMar>
              <w:top w:w="50" w:type="dxa"/>
              <w:bottom w:w="50" w:type="dxa"/>
              <w:left w:w="90" w:type="dxa"/>
              <w:right w:w="90" w:type="dxa"/>
            </w:tcMar>
          </w:tcPr>
          <w:p>
            <w:pPr>
              <w:pStyle w:val="BDOITable"/>
            </w:pPr>
            <w:r>
              <w:rPr>
                <w:sz w:val="16"/>
              </w:rPr>
              <w:t>22</w:t>
            </w:r>
          </w:p>
        </w:tc>
        <w:tc>
          <w:tcPr>
            <w:tcW w:type="dxa" w:w="1287"/>
            <w:tcMar>
              <w:top w:w="50" w:type="dxa"/>
              <w:bottom w:w="50" w:type="dxa"/>
              <w:left w:w="90" w:type="dxa"/>
              <w:right w:w="90" w:type="dxa"/>
            </w:tcMar>
          </w:tcPr>
          <w:p>
            <w:pPr>
              <w:pStyle w:val="BDOITable"/>
            </w:pPr>
            <w:r>
              <w:rPr>
                <w:sz w:val="16"/>
              </w:rPr>
              <w:t>0</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BC10</w:t>
            </w:r>
          </w:p>
        </w:tc>
        <w:tc>
          <w:tcPr>
            <w:tcW w:type="dxa" w:w="3217"/>
            <w:tcMar>
              <w:top w:w="50" w:type="dxa"/>
              <w:bottom w:w="50" w:type="dxa"/>
              <w:left w:w="90" w:type="dxa"/>
              <w:right w:w="90" w:type="dxa"/>
            </w:tcMar>
            <w:shd w:val="clear" w:color="auto" w:fill="E5F5FF"/>
          </w:tcPr>
          <w:p>
            <w:pPr>
              <w:pStyle w:val="BDOITable"/>
            </w:pPr>
            <w:r>
              <w:rPr>
                <w:sz w:val="16"/>
              </w:rPr>
              <w:t>Claims handling</w:t>
            </w:r>
          </w:p>
        </w:tc>
        <w:tc>
          <w:tcPr>
            <w:tcW w:type="dxa" w:w="965"/>
            <w:tcMar>
              <w:top w:w="50" w:type="dxa"/>
              <w:bottom w:w="50" w:type="dxa"/>
              <w:left w:w="90" w:type="dxa"/>
              <w:right w:w="90" w:type="dxa"/>
            </w:tcMar>
            <w:shd w:val="clear" w:color="auto" w:fill="E5F5FF"/>
          </w:tcPr>
          <w:p>
            <w:pPr>
              <w:pStyle w:val="BDOITable"/>
            </w:pPr>
            <w:r>
              <w:rPr>
                <w:sz w:val="16"/>
              </w:rPr>
              <w:t>BRD-07</w:t>
            </w:r>
          </w:p>
        </w:tc>
        <w:tc>
          <w:tcPr>
            <w:tcW w:type="dxa" w:w="1158"/>
            <w:tcMar>
              <w:top w:w="50" w:type="dxa"/>
              <w:bottom w:w="50" w:type="dxa"/>
              <w:left w:w="90" w:type="dxa"/>
              <w:right w:w="90" w:type="dxa"/>
            </w:tcMar>
            <w:shd w:val="clear" w:color="auto" w:fill="E5F5FF"/>
          </w:tcPr>
          <w:p>
            <w:pPr>
              <w:pStyle w:val="BDOITable"/>
            </w:pPr>
            <w:r>
              <w:rPr>
                <w:sz w:val="16"/>
              </w:rPr>
              <w:t>63</w:t>
            </w:r>
          </w:p>
        </w:tc>
        <w:tc>
          <w:tcPr>
            <w:tcW w:type="dxa" w:w="901"/>
            <w:tcMar>
              <w:top w:w="50" w:type="dxa"/>
              <w:bottom w:w="50" w:type="dxa"/>
              <w:left w:w="90" w:type="dxa"/>
              <w:right w:w="90" w:type="dxa"/>
            </w:tcMar>
            <w:shd w:val="clear" w:color="auto" w:fill="E5F5FF"/>
          </w:tcPr>
          <w:p>
            <w:pPr>
              <w:pStyle w:val="BDOITable"/>
            </w:pPr>
            <w:r>
              <w:rPr>
                <w:sz w:val="16"/>
              </w:rPr>
              <w:t>27</w:t>
            </w:r>
          </w:p>
        </w:tc>
        <w:tc>
          <w:tcPr>
            <w:tcW w:type="dxa" w:w="901"/>
            <w:tcMar>
              <w:top w:w="50" w:type="dxa"/>
              <w:bottom w:w="50" w:type="dxa"/>
              <w:left w:w="90" w:type="dxa"/>
              <w:right w:w="90" w:type="dxa"/>
            </w:tcMar>
            <w:shd w:val="clear" w:color="auto" w:fill="E5F5FF"/>
          </w:tcPr>
          <w:p>
            <w:pPr>
              <w:pStyle w:val="BDOITable"/>
            </w:pPr>
            <w:r>
              <w:rPr>
                <w:sz w:val="16"/>
              </w:rPr>
              <w:t>27</w:t>
            </w:r>
          </w:p>
        </w:tc>
        <w:tc>
          <w:tcPr>
            <w:tcW w:type="dxa" w:w="901"/>
            <w:tcMar>
              <w:top w:w="50" w:type="dxa"/>
              <w:bottom w:w="50" w:type="dxa"/>
              <w:left w:w="90" w:type="dxa"/>
              <w:right w:w="90" w:type="dxa"/>
            </w:tcMar>
            <w:shd w:val="clear" w:color="auto" w:fill="E5F5FF"/>
          </w:tcPr>
          <w:p>
            <w:pPr>
              <w:pStyle w:val="BDOITable"/>
            </w:pPr>
            <w:r>
              <w:rPr>
                <w:sz w:val="16"/>
              </w:rPr>
              <w:t>8</w:t>
            </w:r>
          </w:p>
        </w:tc>
        <w:tc>
          <w:tcPr>
            <w:tcW w:type="dxa" w:w="1287"/>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643"/>
            <w:tcMar>
              <w:top w:w="50" w:type="dxa"/>
              <w:bottom w:w="50" w:type="dxa"/>
              <w:left w:w="90" w:type="dxa"/>
              <w:right w:w="90" w:type="dxa"/>
            </w:tcMar>
          </w:tcPr>
          <w:p>
            <w:pPr>
              <w:pStyle w:val="BDOITable"/>
            </w:pPr>
            <w:r>
              <w:rPr>
                <w:b/>
                <w:sz w:val="16"/>
              </w:rPr>
              <w:t>BC11</w:t>
            </w:r>
          </w:p>
        </w:tc>
        <w:tc>
          <w:tcPr>
            <w:tcW w:type="dxa" w:w="3217"/>
            <w:tcMar>
              <w:top w:w="50" w:type="dxa"/>
              <w:bottom w:w="50" w:type="dxa"/>
              <w:left w:w="90" w:type="dxa"/>
              <w:right w:w="90" w:type="dxa"/>
            </w:tcMar>
          </w:tcPr>
          <w:p>
            <w:pPr>
              <w:pStyle w:val="BDOITable"/>
            </w:pPr>
            <w:r>
              <w:rPr>
                <w:sz w:val="16"/>
              </w:rPr>
              <w:t>Employee benefits</w:t>
            </w:r>
          </w:p>
        </w:tc>
        <w:tc>
          <w:tcPr>
            <w:tcW w:type="dxa" w:w="965"/>
            <w:tcMar>
              <w:top w:w="50" w:type="dxa"/>
              <w:bottom w:w="50" w:type="dxa"/>
              <w:left w:w="90" w:type="dxa"/>
              <w:right w:w="90" w:type="dxa"/>
            </w:tcMar>
          </w:tcPr>
          <w:p>
            <w:pPr>
              <w:pStyle w:val="BDOITable"/>
            </w:pPr>
            <w:r>
              <w:rPr>
                <w:sz w:val="16"/>
              </w:rPr>
              <w:t>BRD-08</w:t>
            </w:r>
          </w:p>
        </w:tc>
        <w:tc>
          <w:tcPr>
            <w:tcW w:type="dxa" w:w="1158"/>
            <w:tcMar>
              <w:top w:w="50" w:type="dxa"/>
              <w:bottom w:w="50" w:type="dxa"/>
              <w:left w:w="90" w:type="dxa"/>
              <w:right w:w="90" w:type="dxa"/>
            </w:tcMar>
          </w:tcPr>
          <w:p>
            <w:pPr>
              <w:pStyle w:val="BDOITable"/>
            </w:pPr>
            <w:r>
              <w:rPr>
                <w:sz w:val="16"/>
              </w:rPr>
              <w:t>91</w:t>
            </w:r>
          </w:p>
        </w:tc>
        <w:tc>
          <w:tcPr>
            <w:tcW w:type="dxa" w:w="901"/>
            <w:tcMar>
              <w:top w:w="50" w:type="dxa"/>
              <w:bottom w:w="50" w:type="dxa"/>
              <w:left w:w="90" w:type="dxa"/>
              <w:right w:w="90" w:type="dxa"/>
            </w:tcMar>
          </w:tcPr>
          <w:p>
            <w:pPr>
              <w:pStyle w:val="BDOITable"/>
            </w:pPr>
            <w:r>
              <w:rPr>
                <w:sz w:val="16"/>
              </w:rPr>
              <w:t>31</w:t>
            </w:r>
          </w:p>
        </w:tc>
        <w:tc>
          <w:tcPr>
            <w:tcW w:type="dxa" w:w="901"/>
            <w:tcMar>
              <w:top w:w="50" w:type="dxa"/>
              <w:bottom w:w="50" w:type="dxa"/>
              <w:left w:w="90" w:type="dxa"/>
              <w:right w:w="90" w:type="dxa"/>
            </w:tcMar>
          </w:tcPr>
          <w:p>
            <w:pPr>
              <w:pStyle w:val="BDOITable"/>
            </w:pPr>
            <w:r>
              <w:rPr>
                <w:sz w:val="16"/>
              </w:rPr>
              <w:t>50</w:t>
            </w:r>
          </w:p>
        </w:tc>
        <w:tc>
          <w:tcPr>
            <w:tcW w:type="dxa" w:w="901"/>
            <w:tcMar>
              <w:top w:w="50" w:type="dxa"/>
              <w:bottom w:w="50" w:type="dxa"/>
              <w:left w:w="90" w:type="dxa"/>
              <w:right w:w="90" w:type="dxa"/>
            </w:tcMar>
          </w:tcPr>
          <w:p>
            <w:pPr>
              <w:pStyle w:val="BDOITable"/>
            </w:pPr>
            <w:r>
              <w:rPr>
                <w:sz w:val="16"/>
              </w:rPr>
              <w:t>8</w:t>
            </w:r>
          </w:p>
        </w:tc>
        <w:tc>
          <w:tcPr>
            <w:tcW w:type="dxa" w:w="1287"/>
            <w:tcMar>
              <w:top w:w="50" w:type="dxa"/>
              <w:bottom w:w="50" w:type="dxa"/>
              <w:left w:w="90" w:type="dxa"/>
              <w:right w:w="90" w:type="dxa"/>
            </w:tcMar>
          </w:tcPr>
          <w:p>
            <w:pPr>
              <w:pStyle w:val="BDOITable"/>
            </w:pPr>
            <w:r>
              <w:rPr>
                <w:sz w:val="16"/>
              </w:rPr>
              <w:t>2</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BC12</w:t>
            </w:r>
          </w:p>
        </w:tc>
        <w:tc>
          <w:tcPr>
            <w:tcW w:type="dxa" w:w="3217"/>
            <w:tcMar>
              <w:top w:w="50" w:type="dxa"/>
              <w:bottom w:w="50" w:type="dxa"/>
              <w:left w:w="90" w:type="dxa"/>
              <w:right w:w="90" w:type="dxa"/>
            </w:tcMar>
            <w:shd w:val="clear" w:color="auto" w:fill="E5F5FF"/>
          </w:tcPr>
          <w:p>
            <w:pPr>
              <w:pStyle w:val="BDOITable"/>
            </w:pPr>
            <w:r>
              <w:rPr>
                <w:sz w:val="16"/>
              </w:rPr>
              <w:t>Customer servicing</w:t>
            </w:r>
          </w:p>
        </w:tc>
        <w:tc>
          <w:tcPr>
            <w:tcW w:type="dxa" w:w="965"/>
            <w:tcMar>
              <w:top w:w="50" w:type="dxa"/>
              <w:bottom w:w="50" w:type="dxa"/>
              <w:left w:w="90" w:type="dxa"/>
              <w:right w:w="90" w:type="dxa"/>
            </w:tcMar>
            <w:shd w:val="clear" w:color="auto" w:fill="E5F5FF"/>
          </w:tcPr>
          <w:p>
            <w:pPr>
              <w:pStyle w:val="BDOITable"/>
            </w:pPr>
            <w:r>
              <w:rPr>
                <w:sz w:val="16"/>
              </w:rPr>
              <w:t>BRD-09</w:t>
            </w:r>
          </w:p>
        </w:tc>
        <w:tc>
          <w:tcPr>
            <w:tcW w:type="dxa" w:w="1158"/>
            <w:tcMar>
              <w:top w:w="50" w:type="dxa"/>
              <w:bottom w:w="50" w:type="dxa"/>
              <w:left w:w="90" w:type="dxa"/>
              <w:right w:w="90" w:type="dxa"/>
            </w:tcMar>
            <w:shd w:val="clear" w:color="auto" w:fill="E5F5FF"/>
          </w:tcPr>
          <w:p>
            <w:pPr>
              <w:pStyle w:val="BDOITable"/>
            </w:pPr>
            <w:r>
              <w:rPr>
                <w:sz w:val="16"/>
              </w:rPr>
              <w:t>18</w:t>
            </w:r>
          </w:p>
        </w:tc>
        <w:tc>
          <w:tcPr>
            <w:tcW w:type="dxa" w:w="901"/>
            <w:tcMar>
              <w:top w:w="50" w:type="dxa"/>
              <w:bottom w:w="50" w:type="dxa"/>
              <w:left w:w="90" w:type="dxa"/>
              <w:right w:w="90" w:type="dxa"/>
            </w:tcMar>
            <w:shd w:val="clear" w:color="auto" w:fill="E5F5FF"/>
          </w:tcPr>
          <w:p>
            <w:pPr>
              <w:pStyle w:val="BDOITable"/>
            </w:pPr>
            <w:r>
              <w:rPr>
                <w:sz w:val="16"/>
              </w:rPr>
              <w:t>12</w:t>
            </w:r>
          </w:p>
        </w:tc>
        <w:tc>
          <w:tcPr>
            <w:tcW w:type="dxa" w:w="901"/>
            <w:tcMar>
              <w:top w:w="50" w:type="dxa"/>
              <w:bottom w:w="50" w:type="dxa"/>
              <w:left w:w="90" w:type="dxa"/>
              <w:right w:w="90" w:type="dxa"/>
            </w:tcMar>
            <w:shd w:val="clear" w:color="auto" w:fill="E5F5FF"/>
          </w:tcPr>
          <w:p>
            <w:pPr>
              <w:pStyle w:val="BDOITable"/>
            </w:pPr>
            <w:r>
              <w:rPr>
                <w:sz w:val="16"/>
              </w:rPr>
              <w:t>6</w:t>
            </w:r>
          </w:p>
        </w:tc>
        <w:tc>
          <w:tcPr>
            <w:tcW w:type="dxa" w:w="901"/>
            <w:tcMar>
              <w:top w:w="50" w:type="dxa"/>
              <w:bottom w:w="50" w:type="dxa"/>
              <w:left w:w="90" w:type="dxa"/>
              <w:right w:w="90" w:type="dxa"/>
            </w:tcMar>
            <w:shd w:val="clear" w:color="auto" w:fill="E5F5FF"/>
          </w:tcPr>
          <w:p>
            <w:pPr>
              <w:pStyle w:val="BDOITable"/>
            </w:pPr>
            <w:r>
              <w:rPr>
                <w:sz w:val="16"/>
              </w:rPr>
              <w:t>0</w:t>
            </w:r>
          </w:p>
        </w:tc>
        <w:tc>
          <w:tcPr>
            <w:tcW w:type="dxa" w:w="128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643"/>
            <w:tcMar>
              <w:top w:w="50" w:type="dxa"/>
              <w:bottom w:w="50" w:type="dxa"/>
              <w:left w:w="90" w:type="dxa"/>
              <w:right w:w="90" w:type="dxa"/>
            </w:tcMar>
          </w:tcPr>
          <w:p>
            <w:pPr>
              <w:pStyle w:val="BDOITable"/>
            </w:pPr>
            <w:r>
              <w:rPr>
                <w:b/>
                <w:sz w:val="16"/>
              </w:rPr>
              <w:t>BC13</w:t>
            </w:r>
          </w:p>
        </w:tc>
        <w:tc>
          <w:tcPr>
            <w:tcW w:type="dxa" w:w="3217"/>
            <w:tcMar>
              <w:top w:w="50" w:type="dxa"/>
              <w:bottom w:w="50" w:type="dxa"/>
              <w:left w:w="90" w:type="dxa"/>
              <w:right w:w="90" w:type="dxa"/>
            </w:tcMar>
          </w:tcPr>
          <w:p>
            <w:pPr>
              <w:pStyle w:val="BDOITable"/>
            </w:pPr>
            <w:r>
              <w:rPr>
                <w:sz w:val="16"/>
              </w:rPr>
              <w:t>Sanction screening and risk profiling</w:t>
            </w:r>
          </w:p>
        </w:tc>
        <w:tc>
          <w:tcPr>
            <w:tcW w:type="dxa" w:w="965"/>
            <w:tcMar>
              <w:top w:w="50" w:type="dxa"/>
              <w:bottom w:w="50" w:type="dxa"/>
              <w:left w:w="90" w:type="dxa"/>
              <w:right w:w="90" w:type="dxa"/>
            </w:tcMar>
          </w:tcPr>
          <w:p>
            <w:pPr>
              <w:pStyle w:val="BDOITable"/>
            </w:pPr>
            <w:r>
              <w:rPr>
                <w:sz w:val="16"/>
              </w:rPr>
              <w:t>BRD-10</w:t>
            </w:r>
          </w:p>
        </w:tc>
        <w:tc>
          <w:tcPr>
            <w:tcW w:type="dxa" w:w="1158"/>
            <w:tcMar>
              <w:top w:w="50" w:type="dxa"/>
              <w:bottom w:w="50" w:type="dxa"/>
              <w:left w:w="90" w:type="dxa"/>
              <w:right w:w="90" w:type="dxa"/>
            </w:tcMar>
          </w:tcPr>
          <w:p>
            <w:pPr>
              <w:pStyle w:val="BDOITable"/>
            </w:pPr>
            <w:r>
              <w:rPr>
                <w:sz w:val="16"/>
              </w:rPr>
              <w:t>71</w:t>
            </w:r>
          </w:p>
        </w:tc>
        <w:tc>
          <w:tcPr>
            <w:tcW w:type="dxa" w:w="901"/>
            <w:tcMar>
              <w:top w:w="50" w:type="dxa"/>
              <w:bottom w:w="50" w:type="dxa"/>
              <w:left w:w="90" w:type="dxa"/>
              <w:right w:w="90" w:type="dxa"/>
            </w:tcMar>
          </w:tcPr>
          <w:p>
            <w:pPr>
              <w:pStyle w:val="BDOITable"/>
            </w:pPr>
            <w:r>
              <w:rPr>
                <w:sz w:val="16"/>
              </w:rPr>
              <w:t>34</w:t>
            </w:r>
          </w:p>
        </w:tc>
        <w:tc>
          <w:tcPr>
            <w:tcW w:type="dxa" w:w="901"/>
            <w:tcMar>
              <w:top w:w="50" w:type="dxa"/>
              <w:bottom w:w="50" w:type="dxa"/>
              <w:left w:w="90" w:type="dxa"/>
              <w:right w:w="90" w:type="dxa"/>
            </w:tcMar>
          </w:tcPr>
          <w:p>
            <w:pPr>
              <w:pStyle w:val="BDOITable"/>
            </w:pPr>
            <w:r>
              <w:rPr>
                <w:sz w:val="16"/>
              </w:rPr>
              <w:t>32</w:t>
            </w:r>
          </w:p>
        </w:tc>
        <w:tc>
          <w:tcPr>
            <w:tcW w:type="dxa" w:w="901"/>
            <w:tcMar>
              <w:top w:w="50" w:type="dxa"/>
              <w:bottom w:w="50" w:type="dxa"/>
              <w:left w:w="90" w:type="dxa"/>
              <w:right w:w="90" w:type="dxa"/>
            </w:tcMar>
          </w:tcPr>
          <w:p>
            <w:pPr>
              <w:pStyle w:val="BDOITable"/>
            </w:pPr>
            <w:r>
              <w:rPr>
                <w:sz w:val="16"/>
              </w:rPr>
              <w:t>5</w:t>
            </w:r>
          </w:p>
        </w:tc>
        <w:tc>
          <w:tcPr>
            <w:tcW w:type="dxa" w:w="1287"/>
            <w:tcMar>
              <w:top w:w="50" w:type="dxa"/>
              <w:bottom w:w="50" w:type="dxa"/>
              <w:left w:w="90" w:type="dxa"/>
              <w:right w:w="90" w:type="dxa"/>
            </w:tcMar>
          </w:tcPr>
          <w:p>
            <w:pPr>
              <w:pStyle w:val="BDOITable"/>
            </w:pPr>
            <w:r>
              <w:rPr>
                <w:sz w:val="16"/>
              </w:rPr>
              <w:t>0</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BC14</w:t>
            </w:r>
          </w:p>
        </w:tc>
        <w:tc>
          <w:tcPr>
            <w:tcW w:type="dxa" w:w="3217"/>
            <w:tcMar>
              <w:top w:w="50" w:type="dxa"/>
              <w:bottom w:w="50" w:type="dxa"/>
              <w:left w:w="90" w:type="dxa"/>
              <w:right w:w="90" w:type="dxa"/>
            </w:tcMar>
            <w:shd w:val="clear" w:color="auto" w:fill="E5F5FF"/>
          </w:tcPr>
          <w:p>
            <w:pPr>
              <w:pStyle w:val="BDOITable"/>
            </w:pPr>
            <w:r>
              <w:rPr>
                <w:sz w:val="16"/>
              </w:rPr>
              <w:t>User access and identity</w:t>
            </w:r>
          </w:p>
        </w:tc>
        <w:tc>
          <w:tcPr>
            <w:tcW w:type="dxa" w:w="965"/>
            <w:tcMar>
              <w:top w:w="50" w:type="dxa"/>
              <w:bottom w:w="50" w:type="dxa"/>
              <w:left w:w="90" w:type="dxa"/>
              <w:right w:w="90" w:type="dxa"/>
            </w:tcMar>
            <w:shd w:val="clear" w:color="auto" w:fill="E5F5FF"/>
          </w:tcPr>
          <w:p>
            <w:pPr>
              <w:pStyle w:val="BDOITable"/>
            </w:pPr>
            <w:r>
              <w:rPr>
                <w:sz w:val="16"/>
              </w:rPr>
              <w:t>BRD-11</w:t>
            </w:r>
          </w:p>
        </w:tc>
        <w:tc>
          <w:tcPr>
            <w:tcW w:type="dxa" w:w="1158"/>
            <w:tcMar>
              <w:top w:w="50" w:type="dxa"/>
              <w:bottom w:w="50" w:type="dxa"/>
              <w:left w:w="90" w:type="dxa"/>
              <w:right w:w="90" w:type="dxa"/>
            </w:tcMar>
            <w:shd w:val="clear" w:color="auto" w:fill="E5F5FF"/>
          </w:tcPr>
          <w:p>
            <w:pPr>
              <w:pStyle w:val="BDOITable"/>
            </w:pPr>
            <w:r>
              <w:rPr>
                <w:sz w:val="16"/>
              </w:rPr>
              <w:t>82</w:t>
            </w:r>
          </w:p>
        </w:tc>
        <w:tc>
          <w:tcPr>
            <w:tcW w:type="dxa" w:w="901"/>
            <w:tcMar>
              <w:top w:w="50" w:type="dxa"/>
              <w:bottom w:w="50" w:type="dxa"/>
              <w:left w:w="90" w:type="dxa"/>
              <w:right w:w="90" w:type="dxa"/>
            </w:tcMar>
            <w:shd w:val="clear" w:color="auto" w:fill="E5F5FF"/>
          </w:tcPr>
          <w:p>
            <w:pPr>
              <w:pStyle w:val="BDOITable"/>
            </w:pPr>
            <w:r>
              <w:rPr>
                <w:sz w:val="16"/>
              </w:rPr>
              <w:t>34</w:t>
            </w:r>
          </w:p>
        </w:tc>
        <w:tc>
          <w:tcPr>
            <w:tcW w:type="dxa" w:w="901"/>
            <w:tcMar>
              <w:top w:w="50" w:type="dxa"/>
              <w:bottom w:w="50" w:type="dxa"/>
              <w:left w:w="90" w:type="dxa"/>
              <w:right w:w="90" w:type="dxa"/>
            </w:tcMar>
            <w:shd w:val="clear" w:color="auto" w:fill="E5F5FF"/>
          </w:tcPr>
          <w:p>
            <w:pPr>
              <w:pStyle w:val="BDOITable"/>
            </w:pPr>
            <w:r>
              <w:rPr>
                <w:sz w:val="16"/>
              </w:rPr>
              <w:t>42</w:t>
            </w:r>
          </w:p>
        </w:tc>
        <w:tc>
          <w:tcPr>
            <w:tcW w:type="dxa" w:w="901"/>
            <w:tcMar>
              <w:top w:w="50" w:type="dxa"/>
              <w:bottom w:w="50" w:type="dxa"/>
              <w:left w:w="90" w:type="dxa"/>
              <w:right w:w="90" w:type="dxa"/>
            </w:tcMar>
            <w:shd w:val="clear" w:color="auto" w:fill="E5F5FF"/>
          </w:tcPr>
          <w:p>
            <w:pPr>
              <w:pStyle w:val="BDOITable"/>
            </w:pPr>
            <w:r>
              <w:rPr>
                <w:sz w:val="16"/>
              </w:rPr>
              <w:t>6</w:t>
            </w:r>
          </w:p>
        </w:tc>
        <w:tc>
          <w:tcPr>
            <w:tcW w:type="dxa" w:w="128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643"/>
            <w:tcMar>
              <w:top w:w="50" w:type="dxa"/>
              <w:bottom w:w="50" w:type="dxa"/>
              <w:left w:w="90" w:type="dxa"/>
              <w:right w:w="90" w:type="dxa"/>
            </w:tcMar>
          </w:tcPr>
          <w:p>
            <w:pPr>
              <w:pStyle w:val="BDOITable"/>
            </w:pPr>
            <w:r>
              <w:rPr>
                <w:b/>
                <w:sz w:val="16"/>
              </w:rPr>
              <w:t>BC15</w:t>
            </w:r>
          </w:p>
        </w:tc>
        <w:tc>
          <w:tcPr>
            <w:tcW w:type="dxa" w:w="3217"/>
            <w:tcMar>
              <w:top w:w="50" w:type="dxa"/>
              <w:bottom w:w="50" w:type="dxa"/>
              <w:left w:w="90" w:type="dxa"/>
              <w:right w:w="90" w:type="dxa"/>
            </w:tcMar>
          </w:tcPr>
          <w:p>
            <w:pPr>
              <w:pStyle w:val="BDOITable"/>
            </w:pPr>
            <w:r>
              <w:rPr>
                <w:sz w:val="16"/>
              </w:rPr>
              <w:t>Data migration</w:t>
            </w:r>
          </w:p>
        </w:tc>
        <w:tc>
          <w:tcPr>
            <w:tcW w:type="dxa" w:w="965"/>
            <w:tcMar>
              <w:top w:w="50" w:type="dxa"/>
              <w:bottom w:w="50" w:type="dxa"/>
              <w:left w:w="90" w:type="dxa"/>
              <w:right w:w="90" w:type="dxa"/>
            </w:tcMar>
          </w:tcPr>
          <w:p>
            <w:pPr>
              <w:pStyle w:val="BDOITable"/>
            </w:pPr>
            <w:r>
              <w:rPr>
                <w:sz w:val="16"/>
              </w:rPr>
              <w:t>BRD-13</w:t>
            </w:r>
          </w:p>
        </w:tc>
        <w:tc>
          <w:tcPr>
            <w:tcW w:type="dxa" w:w="1158"/>
            <w:tcMar>
              <w:top w:w="50" w:type="dxa"/>
              <w:bottom w:w="50" w:type="dxa"/>
              <w:left w:w="90" w:type="dxa"/>
              <w:right w:w="90" w:type="dxa"/>
            </w:tcMar>
          </w:tcPr>
          <w:p>
            <w:pPr>
              <w:pStyle w:val="BDOITable"/>
            </w:pPr>
            <w:r>
              <w:rPr>
                <w:sz w:val="16"/>
              </w:rPr>
              <w:t>105</w:t>
            </w:r>
          </w:p>
        </w:tc>
        <w:tc>
          <w:tcPr>
            <w:tcW w:type="dxa" w:w="901"/>
            <w:tcMar>
              <w:top w:w="50" w:type="dxa"/>
              <w:bottom w:w="50" w:type="dxa"/>
              <w:left w:w="90" w:type="dxa"/>
              <w:right w:w="90" w:type="dxa"/>
            </w:tcMar>
          </w:tcPr>
          <w:p>
            <w:pPr>
              <w:pStyle w:val="BDOITable"/>
            </w:pPr>
            <w:r>
              <w:rPr>
                <w:sz w:val="16"/>
              </w:rPr>
              <w:t>51</w:t>
            </w:r>
          </w:p>
        </w:tc>
        <w:tc>
          <w:tcPr>
            <w:tcW w:type="dxa" w:w="901"/>
            <w:tcMar>
              <w:top w:w="50" w:type="dxa"/>
              <w:bottom w:w="50" w:type="dxa"/>
              <w:left w:w="90" w:type="dxa"/>
              <w:right w:w="90" w:type="dxa"/>
            </w:tcMar>
          </w:tcPr>
          <w:p>
            <w:pPr>
              <w:pStyle w:val="BDOITable"/>
            </w:pPr>
            <w:r>
              <w:rPr>
                <w:sz w:val="16"/>
              </w:rPr>
              <w:t>49</w:t>
            </w:r>
          </w:p>
        </w:tc>
        <w:tc>
          <w:tcPr>
            <w:tcW w:type="dxa" w:w="901"/>
            <w:tcMar>
              <w:top w:w="50" w:type="dxa"/>
              <w:bottom w:w="50" w:type="dxa"/>
              <w:left w:w="90" w:type="dxa"/>
              <w:right w:w="90" w:type="dxa"/>
            </w:tcMar>
          </w:tcPr>
          <w:p>
            <w:pPr>
              <w:pStyle w:val="BDOITable"/>
            </w:pPr>
            <w:r>
              <w:rPr>
                <w:sz w:val="16"/>
              </w:rPr>
              <w:t>4</w:t>
            </w:r>
          </w:p>
        </w:tc>
        <w:tc>
          <w:tcPr>
            <w:tcW w:type="dxa" w:w="1287"/>
            <w:tcMar>
              <w:top w:w="50" w:type="dxa"/>
              <w:bottom w:w="50" w:type="dxa"/>
              <w:left w:w="90" w:type="dxa"/>
              <w:right w:w="90" w:type="dxa"/>
            </w:tcMar>
          </w:tcPr>
          <w:p>
            <w:pPr>
              <w:pStyle w:val="BDOITable"/>
            </w:pPr>
            <w:r>
              <w:rPr>
                <w:sz w:val="16"/>
              </w:rPr>
              <w:t>1</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BC16</w:t>
            </w:r>
          </w:p>
        </w:tc>
        <w:tc>
          <w:tcPr>
            <w:tcW w:type="dxa" w:w="3217"/>
            <w:tcMar>
              <w:top w:w="50" w:type="dxa"/>
              <w:bottom w:w="50" w:type="dxa"/>
              <w:left w:w="90" w:type="dxa"/>
              <w:right w:w="90" w:type="dxa"/>
            </w:tcMar>
            <w:shd w:val="clear" w:color="auto" w:fill="E5F5FF"/>
          </w:tcPr>
          <w:p>
            <w:pPr>
              <w:pStyle w:val="BDOITable"/>
            </w:pPr>
            <w:r>
              <w:rPr>
                <w:sz w:val="16"/>
              </w:rPr>
              <w:t>Platform services</w:t>
            </w:r>
          </w:p>
        </w:tc>
        <w:tc>
          <w:tcPr>
            <w:tcW w:type="dxa" w:w="965"/>
            <w:tcMar>
              <w:top w:w="50" w:type="dxa"/>
              <w:bottom w:w="50" w:type="dxa"/>
              <w:left w:w="90" w:type="dxa"/>
              <w:right w:w="90" w:type="dxa"/>
            </w:tcMar>
            <w:shd w:val="clear" w:color="auto" w:fill="E5F5FF"/>
          </w:tcPr>
          <w:p>
            <w:pPr>
              <w:pStyle w:val="BDOITable"/>
            </w:pPr>
            <w:r>
              <w:rPr>
                <w:sz w:val="16"/>
              </w:rPr>
              <w:t>BRD-00</w:t>
            </w:r>
          </w:p>
        </w:tc>
        <w:tc>
          <w:tcPr>
            <w:tcW w:type="dxa" w:w="1158"/>
            <w:tcMar>
              <w:top w:w="50" w:type="dxa"/>
              <w:bottom w:w="50" w:type="dxa"/>
              <w:left w:w="90" w:type="dxa"/>
              <w:right w:w="90" w:type="dxa"/>
            </w:tcMar>
            <w:shd w:val="clear" w:color="auto" w:fill="E5F5FF"/>
          </w:tcPr>
          <w:p>
            <w:pPr>
              <w:pStyle w:val="BDOITable"/>
            </w:pPr>
            <w:r>
              <w:rPr>
                <w:sz w:val="16"/>
              </w:rPr>
              <w:t>129</w:t>
            </w:r>
          </w:p>
        </w:tc>
        <w:tc>
          <w:tcPr>
            <w:tcW w:type="dxa" w:w="901"/>
            <w:tcMar>
              <w:top w:w="50" w:type="dxa"/>
              <w:bottom w:w="50" w:type="dxa"/>
              <w:left w:w="90" w:type="dxa"/>
              <w:right w:w="90" w:type="dxa"/>
            </w:tcMar>
            <w:shd w:val="clear" w:color="auto" w:fill="E5F5FF"/>
          </w:tcPr>
          <w:p>
            <w:pPr>
              <w:pStyle w:val="BDOITable"/>
            </w:pPr>
            <w:r>
              <w:rPr>
                <w:sz w:val="16"/>
              </w:rPr>
              <w:t>72</w:t>
            </w:r>
          </w:p>
        </w:tc>
        <w:tc>
          <w:tcPr>
            <w:tcW w:type="dxa" w:w="901"/>
            <w:tcMar>
              <w:top w:w="50" w:type="dxa"/>
              <w:bottom w:w="50" w:type="dxa"/>
              <w:left w:w="90" w:type="dxa"/>
              <w:right w:w="90" w:type="dxa"/>
            </w:tcMar>
            <w:shd w:val="clear" w:color="auto" w:fill="E5F5FF"/>
          </w:tcPr>
          <w:p>
            <w:pPr>
              <w:pStyle w:val="BDOITable"/>
            </w:pPr>
            <w:r>
              <w:rPr>
                <w:sz w:val="16"/>
              </w:rPr>
              <w:t>46</w:t>
            </w:r>
          </w:p>
        </w:tc>
        <w:tc>
          <w:tcPr>
            <w:tcW w:type="dxa" w:w="901"/>
            <w:tcMar>
              <w:top w:w="50" w:type="dxa"/>
              <w:bottom w:w="50" w:type="dxa"/>
              <w:left w:w="90" w:type="dxa"/>
              <w:right w:w="90" w:type="dxa"/>
            </w:tcMar>
            <w:shd w:val="clear" w:color="auto" w:fill="E5F5FF"/>
          </w:tcPr>
          <w:p>
            <w:pPr>
              <w:pStyle w:val="BDOITable"/>
            </w:pPr>
            <w:r>
              <w:rPr>
                <w:sz w:val="16"/>
              </w:rPr>
              <w:t>9</w:t>
            </w:r>
          </w:p>
        </w:tc>
        <w:tc>
          <w:tcPr>
            <w:tcW w:type="dxa" w:w="128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643"/>
            <w:tcMar>
              <w:top w:w="50" w:type="dxa"/>
              <w:bottom w:w="50" w:type="dxa"/>
              <w:left w:w="90" w:type="dxa"/>
              <w:right w:w="90" w:type="dxa"/>
            </w:tcMar>
          </w:tcPr>
          <w:p>
            <w:pPr>
              <w:pStyle w:val="BDOITable"/>
            </w:pPr>
            <w:r>
              <w:rPr>
                <w:b/>
                <w:sz w:val="16"/>
              </w:rPr>
              <w:t>BC17</w:t>
            </w:r>
          </w:p>
        </w:tc>
        <w:tc>
          <w:tcPr>
            <w:tcW w:type="dxa" w:w="3217"/>
            <w:tcMar>
              <w:top w:w="50" w:type="dxa"/>
              <w:bottom w:w="50" w:type="dxa"/>
              <w:left w:w="90" w:type="dxa"/>
              <w:right w:w="90" w:type="dxa"/>
            </w:tcMar>
          </w:tcPr>
          <w:p>
            <w:pPr>
              <w:pStyle w:val="BDOITable"/>
            </w:pPr>
            <w:r>
              <w:rPr>
                <w:sz w:val="16"/>
              </w:rPr>
              <w:t>Integration and shared state</w:t>
            </w:r>
          </w:p>
        </w:tc>
        <w:tc>
          <w:tcPr>
            <w:tcW w:type="dxa" w:w="965"/>
            <w:tcMar>
              <w:top w:w="50" w:type="dxa"/>
              <w:bottom w:w="50" w:type="dxa"/>
              <w:left w:w="90" w:type="dxa"/>
              <w:right w:w="90" w:type="dxa"/>
            </w:tcMar>
          </w:tcPr>
          <w:p>
            <w:pPr>
              <w:pStyle w:val="BDOITable"/>
            </w:pPr>
            <w:r>
              <w:rPr>
                <w:sz w:val="16"/>
              </w:rPr>
              <w:t>BRD-00</w:t>
            </w:r>
          </w:p>
        </w:tc>
        <w:tc>
          <w:tcPr>
            <w:tcW w:type="dxa" w:w="1158"/>
            <w:tcMar>
              <w:top w:w="50" w:type="dxa"/>
              <w:bottom w:w="50" w:type="dxa"/>
              <w:left w:w="90" w:type="dxa"/>
              <w:right w:w="90" w:type="dxa"/>
            </w:tcMar>
          </w:tcPr>
          <w:p>
            <w:pPr>
              <w:pStyle w:val="BDOITable"/>
            </w:pPr>
            <w:r>
              <w:rPr>
                <w:sz w:val="16"/>
              </w:rPr>
              <w:t>11</w:t>
            </w:r>
          </w:p>
        </w:tc>
        <w:tc>
          <w:tcPr>
            <w:tcW w:type="dxa" w:w="901"/>
            <w:tcMar>
              <w:top w:w="50" w:type="dxa"/>
              <w:bottom w:w="50" w:type="dxa"/>
              <w:left w:w="90" w:type="dxa"/>
              <w:right w:w="90" w:type="dxa"/>
            </w:tcMar>
          </w:tcPr>
          <w:p>
            <w:pPr>
              <w:pStyle w:val="BDOITable"/>
            </w:pPr>
            <w:r>
              <w:rPr>
                <w:sz w:val="16"/>
              </w:rPr>
              <w:t>6</w:t>
            </w:r>
          </w:p>
        </w:tc>
        <w:tc>
          <w:tcPr>
            <w:tcW w:type="dxa" w:w="901"/>
            <w:tcMar>
              <w:top w:w="50" w:type="dxa"/>
              <w:bottom w:w="50" w:type="dxa"/>
              <w:left w:w="90" w:type="dxa"/>
              <w:right w:w="90" w:type="dxa"/>
            </w:tcMar>
          </w:tcPr>
          <w:p>
            <w:pPr>
              <w:pStyle w:val="BDOITable"/>
            </w:pPr>
            <w:r>
              <w:rPr>
                <w:sz w:val="16"/>
              </w:rPr>
              <w:t>5</w:t>
            </w:r>
          </w:p>
        </w:tc>
        <w:tc>
          <w:tcPr>
            <w:tcW w:type="dxa" w:w="901"/>
            <w:tcMar>
              <w:top w:w="50" w:type="dxa"/>
              <w:bottom w:w="50" w:type="dxa"/>
              <w:left w:w="90" w:type="dxa"/>
              <w:right w:w="90" w:type="dxa"/>
            </w:tcMar>
          </w:tcPr>
          <w:p>
            <w:pPr>
              <w:pStyle w:val="BDOITable"/>
            </w:pPr>
            <w:r>
              <w:rPr>
                <w:sz w:val="16"/>
              </w:rPr>
              <w:t>0</w:t>
            </w:r>
          </w:p>
        </w:tc>
        <w:tc>
          <w:tcPr>
            <w:tcW w:type="dxa" w:w="1287"/>
            <w:tcMar>
              <w:top w:w="50" w:type="dxa"/>
              <w:bottom w:w="50" w:type="dxa"/>
              <w:left w:w="90" w:type="dxa"/>
              <w:right w:w="90" w:type="dxa"/>
            </w:tcMar>
          </w:tcPr>
          <w:p>
            <w:pPr>
              <w:pStyle w:val="BDOITable"/>
            </w:pPr>
            <w:r>
              <w:rPr>
                <w:sz w:val="16"/>
              </w:rPr>
              <w:t>0</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w:t>
            </w:r>
          </w:p>
        </w:tc>
        <w:tc>
          <w:tcPr>
            <w:tcW w:type="dxa" w:w="3217"/>
            <w:tcMar>
              <w:top w:w="50" w:type="dxa"/>
              <w:bottom w:w="50" w:type="dxa"/>
              <w:left w:w="90" w:type="dxa"/>
              <w:right w:w="90" w:type="dxa"/>
            </w:tcMar>
            <w:shd w:val="clear" w:color="auto" w:fill="E5F5FF"/>
          </w:tcPr>
          <w:p>
            <w:pPr>
              <w:pStyle w:val="BDOITable"/>
            </w:pPr>
            <w:r>
              <w:rPr>
                <w:sz w:val="16"/>
              </w:rPr>
              <w:t>Total</w:t>
            </w:r>
          </w:p>
        </w:tc>
        <w:tc>
          <w:tcPr>
            <w:tcW w:type="dxa" w:w="965"/>
            <w:tcMar>
              <w:top w:w="50" w:type="dxa"/>
              <w:bottom w:w="50" w:type="dxa"/>
              <w:left w:w="90" w:type="dxa"/>
              <w:right w:w="90" w:type="dxa"/>
            </w:tcMar>
            <w:shd w:val="clear" w:color="auto" w:fill="E5F5FF"/>
          </w:tcPr>
          <w:p>
            <w:pPr>
              <w:pStyle w:val="BDOITable"/>
            </w:pPr>
            <w:r>
              <w:rPr>
                <w:sz w:val="16"/>
              </w:rPr>
              <w:t>-</w:t>
            </w:r>
          </w:p>
        </w:tc>
        <w:tc>
          <w:tcPr>
            <w:tcW w:type="dxa" w:w="1158"/>
            <w:tcMar>
              <w:top w:w="50" w:type="dxa"/>
              <w:bottom w:w="50" w:type="dxa"/>
              <w:left w:w="90" w:type="dxa"/>
              <w:right w:w="90" w:type="dxa"/>
            </w:tcMar>
            <w:shd w:val="clear" w:color="auto" w:fill="E5F5FF"/>
          </w:tcPr>
          <w:p>
            <w:pPr>
              <w:pStyle w:val="BDOITable"/>
            </w:pPr>
            <w:r>
              <w:rPr>
                <w:sz w:val="16"/>
              </w:rPr>
              <w:t>1832</w:t>
            </w:r>
          </w:p>
        </w:tc>
        <w:tc>
          <w:tcPr>
            <w:tcW w:type="dxa" w:w="901"/>
            <w:tcMar>
              <w:top w:w="50" w:type="dxa"/>
              <w:bottom w:w="50" w:type="dxa"/>
              <w:left w:w="90" w:type="dxa"/>
              <w:right w:w="90" w:type="dxa"/>
            </w:tcMar>
            <w:shd w:val="clear" w:color="auto" w:fill="E5F5FF"/>
          </w:tcPr>
          <w:p>
            <w:pPr>
              <w:pStyle w:val="BDOITable"/>
            </w:pPr>
            <w:r>
              <w:rPr>
                <w:sz w:val="16"/>
              </w:rPr>
              <w:t>805</w:t>
            </w:r>
          </w:p>
        </w:tc>
        <w:tc>
          <w:tcPr>
            <w:tcW w:type="dxa" w:w="901"/>
            <w:tcMar>
              <w:top w:w="50" w:type="dxa"/>
              <w:bottom w:w="50" w:type="dxa"/>
              <w:left w:w="90" w:type="dxa"/>
              <w:right w:w="90" w:type="dxa"/>
            </w:tcMar>
            <w:shd w:val="clear" w:color="auto" w:fill="E5F5FF"/>
          </w:tcPr>
          <w:p>
            <w:pPr>
              <w:pStyle w:val="BDOITable"/>
            </w:pPr>
            <w:r>
              <w:rPr>
                <w:sz w:val="16"/>
              </w:rPr>
              <w:t>875</w:t>
            </w:r>
          </w:p>
        </w:tc>
        <w:tc>
          <w:tcPr>
            <w:tcW w:type="dxa" w:w="901"/>
            <w:tcMar>
              <w:top w:w="50" w:type="dxa"/>
              <w:bottom w:w="50" w:type="dxa"/>
              <w:left w:w="90" w:type="dxa"/>
              <w:right w:w="90" w:type="dxa"/>
            </w:tcMar>
            <w:shd w:val="clear" w:color="auto" w:fill="E5F5FF"/>
          </w:tcPr>
          <w:p>
            <w:pPr>
              <w:pStyle w:val="BDOITable"/>
            </w:pPr>
            <w:r>
              <w:rPr>
                <w:sz w:val="16"/>
              </w:rPr>
              <w:t>140</w:t>
            </w:r>
          </w:p>
        </w:tc>
        <w:tc>
          <w:tcPr>
            <w:tcW w:type="dxa" w:w="1287"/>
            <w:tcMar>
              <w:top w:w="50" w:type="dxa"/>
              <w:bottom w:w="50" w:type="dxa"/>
              <w:left w:w="90" w:type="dxa"/>
              <w:right w:w="90" w:type="dxa"/>
            </w:tcMar>
            <w:shd w:val="clear" w:color="auto" w:fill="E5F5FF"/>
          </w:tcPr>
          <w:p>
            <w:pPr>
              <w:pStyle w:val="BDOITable"/>
            </w:pPr>
            <w:r>
              <w:rPr>
                <w:sz w:val="16"/>
              </w:rPr>
              <w:t>12</w:t>
            </w:r>
          </w:p>
        </w:tc>
      </w:tr>
    </w:tbl>
    <w:p>
      <w:pPr>
        <w:pStyle w:val="BDOISpacer"/>
      </w:pPr>
    </w:p>
    <w:p>
      <w:pPr>
        <w:pStyle w:val="Heading2"/>
      </w:pPr>
      <w:bookmarkStart w:id="109" w:name="_Toc000109"/>
      <w:r>
        <w:rPr/>
        <w:t>2.3 The API Catalogue workbook</w:t>
      </w:r>
      <w:bookmarkEnd w:id="109"/>
    </w:p>
    <w:p>
      <w:r>
        <w:rPr/>
        <w:t>The API Catalogue (BIBS_Architecture_BRD-00_API_Catalogue_v1.0.xlsx) is generated from the request mappings of the backend at each release, so it always matches the delivered system. Its sheets:</w:t>
      </w:r>
    </w:p>
    <w:p>
      <w:pPr>
        <w:pStyle w:val="Caption"/>
        <w:keepNext/>
        <w:spacing w:after="60"/>
      </w:pPr>
      <w:r>
        <w:rPr>
          <w:b/>
          <w:i w:val="0"/>
        </w:rPr>
        <w:t xml:space="preserve">Table 4: </w:t>
      </w:r>
      <w:r>
        <w:rPr/>
        <w:t>Sheets of the API Catalogue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7"/>
              </w:rPr>
              <w:t>Sheet</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040"/>
            <w:tcMar>
              <w:top w:w="50" w:type="dxa"/>
              <w:bottom w:w="50" w:type="dxa"/>
              <w:left w:w="90" w:type="dxa"/>
              <w:right w:w="90" w:type="dxa"/>
            </w:tcMar>
          </w:tcPr>
          <w:p>
            <w:pPr>
              <w:pStyle w:val="BDOITable"/>
            </w:pPr>
            <w:r>
              <w:rPr>
                <w:b/>
                <w:sz w:val="17"/>
              </w:rPr>
              <w:t>API catalogue</w:t>
            </w:r>
          </w:p>
        </w:tc>
        <w:tc>
          <w:tcPr>
            <w:tcW w:type="dxa" w:w="7932"/>
            <w:tcMar>
              <w:top w:w="50" w:type="dxa"/>
              <w:bottom w:w="50" w:type="dxa"/>
              <w:left w:w="90" w:type="dxa"/>
              <w:right w:w="90" w:type="dxa"/>
            </w:tcMar>
          </w:tcPr>
          <w:p>
            <w:pPr>
              <w:pStyle w:val="BDOITable"/>
            </w:pPr>
            <w:r>
              <w:rPr>
                <w:sz w:val="17"/>
              </w:rPr>
              <w:t>One row per operation: bounded context, module, BRD, drop, interface, method, path, purpose (first sentence of the operation's description), permission, and whether the company or branch is named in the path or query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Summary by module</w:t>
            </w:r>
          </w:p>
        </w:tc>
        <w:tc>
          <w:tcPr>
            <w:tcW w:type="dxa" w:w="7932"/>
            <w:tcMar>
              <w:top w:w="50" w:type="dxa"/>
              <w:bottom w:w="50" w:type="dxa"/>
              <w:left w:w="90" w:type="dxa"/>
              <w:right w:w="90" w:type="dxa"/>
            </w:tcMar>
            <w:shd w:val="clear" w:color="auto" w:fill="E5F5FF"/>
          </w:tcPr>
          <w:p>
            <w:pPr>
              <w:pStyle w:val="BDOITable"/>
            </w:pPr>
            <w:r>
              <w:rPr>
                <w:sz w:val="17"/>
              </w:rPr>
              <w:t>Operations per module by method, and those naming a company or branch</w:t>
            </w:r>
          </w:p>
        </w:tc>
      </w:tr>
      <w:tr>
        <w:trPr>
          <w:cantSplit w:val="true"/>
        </w:trPr>
        <w:tc>
          <w:tcPr>
            <w:tcW w:type="dxa" w:w="2040"/>
            <w:tcMar>
              <w:top w:w="50" w:type="dxa"/>
              <w:bottom w:w="50" w:type="dxa"/>
              <w:left w:w="90" w:type="dxa"/>
              <w:right w:w="90" w:type="dxa"/>
            </w:tcMar>
          </w:tcPr>
          <w:p>
            <w:pPr>
              <w:pStyle w:val="BDOITable"/>
            </w:pPr>
            <w:r>
              <w:rPr>
                <w:b/>
                <w:sz w:val="17"/>
              </w:rPr>
              <w:t>Standards</w:t>
            </w:r>
          </w:p>
        </w:tc>
        <w:tc>
          <w:tcPr>
            <w:tcW w:type="dxa" w:w="7932"/>
            <w:tcMar>
              <w:top w:w="50" w:type="dxa"/>
              <w:bottom w:w="50" w:type="dxa"/>
              <w:left w:w="90" w:type="dxa"/>
              <w:right w:w="90" w:type="dxa"/>
            </w:tcMar>
          </w:tcPr>
          <w:p>
            <w:pPr>
              <w:pStyle w:val="BDOITable"/>
            </w:pPr>
            <w:r>
              <w:rPr>
                <w:sz w:val="17"/>
              </w:rPr>
              <w:t>The API standards of chapter 5 in short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README</w:t>
            </w:r>
          </w:p>
        </w:tc>
        <w:tc>
          <w:tcPr>
            <w:tcW w:type="dxa" w:w="7932"/>
            <w:tcMar>
              <w:top w:w="50" w:type="dxa"/>
              <w:bottom w:w="50" w:type="dxa"/>
              <w:left w:w="90" w:type="dxa"/>
              <w:right w:w="90" w:type="dxa"/>
            </w:tcMar>
            <w:shd w:val="clear" w:color="auto" w:fill="E5F5FF"/>
          </w:tcPr>
          <w:p>
            <w:pPr>
              <w:pStyle w:val="BDOITable"/>
            </w:pPr>
            <w:r>
              <w:rPr>
                <w:sz w:val="17"/>
              </w:rPr>
              <w:t>The meaning of every column</w:t>
            </w:r>
          </w:p>
        </w:tc>
      </w:tr>
    </w:tbl>
    <w:p>
      <w:pPr>
        <w:pStyle w:val="BDOISpacer"/>
      </w:pPr>
    </w:p>
    <w:p>
      <w:pPr>
        <w:pStyle w:val="Heading1"/>
        <w:pBdr>
          <w:bottom w:val="single" w:sz="4" w:space="4" w:color="99C1E7"/>
        </w:pBdr>
      </w:pPr>
      <w:bookmarkStart w:id="110" w:name="_Toc000110"/>
      <w:r>
        <w:rPr/>
        <w:t>3 What every request passes through</w:t>
      </w:r>
      <w:bookmarkEnd w:id="110"/>
    </w:p>
    <w:p>
      <w:pPr>
        <w:keepNext/>
        <w:spacing w:before="80" w:after="0"/>
        <w:jc w:val="center"/>
      </w:pPr>
      <w:r>
        <w:drawing>
          <wp:inline xmlns:a="http://schemas.openxmlformats.org/drawingml/2006/main" xmlns:pic="http://schemas.openxmlformats.org/drawingml/2006/picture">
            <wp:extent cx="4500000" cy="5694976"/>
            <wp:docPr id="3" name="Picture 3"/>
            <wp:cNvGraphicFramePr>
              <a:graphicFrameLocks noChangeAspect="1"/>
            </wp:cNvGraphicFramePr>
            <a:graphic>
              <a:graphicData uri="http://schemas.openxmlformats.org/drawingml/2006/picture">
                <pic:pic>
                  <pic:nvPicPr>
                    <pic:cNvPr id="0" name="api_pipeline_836.jpg"/>
                    <pic:cNvPicPr/>
                  </pic:nvPicPr>
                  <pic:blipFill>
                    <a:blip r:embed="rId15"/>
                    <a:stretch>
                      <a:fillRect/>
                    </a:stretch>
                  </pic:blipFill>
                  <pic:spPr>
                    <a:xfrm>
                      <a:off x="0" y="0"/>
                      <a:ext cx="4500000" cy="5694976"/>
                    </a:xfrm>
                    <a:prstGeom prst="rect"/>
                  </pic:spPr>
                </pic:pic>
              </a:graphicData>
            </a:graphic>
          </wp:inline>
        </w:drawing>
      </w:r>
    </w:p>
    <w:p>
      <w:pPr>
        <w:pStyle w:val="Caption"/>
        <w:jc w:val="center"/>
      </w:pPr>
      <w:r>
        <w:rPr>
          <w:b/>
          <w:i w:val="0"/>
        </w:rPr>
        <w:t xml:space="preserve">Figure 1: </w:t>
      </w:r>
      <w:r>
        <w:rPr/>
        <w:t>What every request passes through</w:t>
      </w:r>
    </w:p>
    <w:p>
      <w:pPr>
        <w:tabs>
          <w:tab w:pos="312" w:val="left"/>
        </w:tabs>
        <w:spacing w:after="40"/>
        <w:ind w:left="312" w:hanging="283"/>
      </w:pPr>
      <w:r>
        <w:rPr>
          <w:color w:val="004EA8"/>
        </w:rPr>
        <w:t>1.</w:t>
        <w:tab/>
      </w:r>
      <w:r>
        <w:rPr>
          <w:b/>
        </w:rPr>
        <w:t>Gateway and WAF</w:t>
      </w:r>
      <w:r>
        <w:rPr/>
        <w:t xml:space="preserve"> - TLS, AWS WAF managed rules, the sign-in rate rule and the upload size rule; the integration prefix only from the Apigee ranges.</w:t>
      </w:r>
    </w:p>
    <w:p>
      <w:pPr>
        <w:tabs>
          <w:tab w:pos="312" w:val="left"/>
        </w:tabs>
        <w:spacing w:after="40"/>
        <w:ind w:left="312" w:hanging="283"/>
      </w:pPr>
      <w:r>
        <w:rPr>
          <w:color w:val="004EA8"/>
        </w:rPr>
        <w:t>2.</w:t>
        <w:tab/>
      </w:r>
      <w:r>
        <w:rPr>
          <w:b/>
        </w:rPr>
        <w:t>Correlation identifier</w:t>
      </w:r>
      <w:r>
        <w:rPr/>
        <w:t xml:space="preserve"> - the X-Correlation-Id of the caller is kept when valid, otherwise created; it is in every log line, in the answer and in the events the request publishes.</w:t>
      </w:r>
    </w:p>
    <w:p>
      <w:pPr>
        <w:tabs>
          <w:tab w:pos="312" w:val="left"/>
        </w:tabs>
        <w:spacing w:after="40"/>
        <w:ind w:left="312" w:hanging="283"/>
      </w:pPr>
      <w:r>
        <w:rPr>
          <w:color w:val="004EA8"/>
        </w:rPr>
        <w:t>3.</w:t>
        <w:tab/>
      </w:r>
      <w:r>
        <w:rPr>
          <w:b/>
        </w:rPr>
        <w:t>Body size</w:t>
      </w:r>
      <w:r>
        <w:rPr/>
        <w:t xml:space="preserve"> - JSON bodies up to 2 MB (413 REQUEST_TOO_LARGE above), files up to 25 MB (413 UPLOAD_TOO_LARGE).</w:t>
      </w:r>
    </w:p>
    <w:p>
      <w:pPr>
        <w:tabs>
          <w:tab w:pos="312" w:val="left"/>
        </w:tabs>
        <w:spacing w:after="40"/>
        <w:ind w:left="312" w:hanging="283"/>
      </w:pPr>
      <w:r>
        <w:rPr>
          <w:color w:val="004EA8"/>
        </w:rPr>
        <w:t>4.</w:t>
        <w:tab/>
      </w:r>
      <w:r>
        <w:rPr>
          <w:b/>
        </w:rPr>
        <w:t>Runtime role</w:t>
      </w:r>
      <w:r>
        <w:rPr/>
        <w:t xml:space="preserve"> - bibs-web answers only the user and administration prefixes, bibs-integration only the integration prefix and its probes.</w:t>
      </w:r>
    </w:p>
    <w:p>
      <w:pPr>
        <w:tabs>
          <w:tab w:pos="312" w:val="left"/>
        </w:tabs>
        <w:spacing w:after="40"/>
        <w:ind w:left="312" w:hanging="283"/>
      </w:pPr>
      <w:r>
        <w:rPr>
          <w:color w:val="004EA8"/>
        </w:rPr>
        <w:t>5.</w:t>
        <w:tab/>
      </w:r>
      <w:r>
        <w:rPr>
          <w:b/>
        </w:rPr>
        <w:t>Authentication</w:t>
      </w:r>
      <w:r>
        <w:rPr/>
        <w:t xml:space="preserve"> - user operations need the BIBS access token; the session is checked and the user re-loaded on every request, so a lock or deactivation applies at once. Integration operations need an Apigee X token (chapter 5.7).</w:t>
      </w:r>
    </w:p>
    <w:p>
      <w:pPr>
        <w:tabs>
          <w:tab w:pos="312" w:val="left"/>
        </w:tabs>
        <w:spacing w:after="40"/>
        <w:ind w:left="312" w:hanging="283"/>
      </w:pPr>
      <w:r>
        <w:rPr>
          <w:color w:val="004EA8"/>
        </w:rPr>
        <w:t>6.</w:t>
        <w:tab/>
      </w:r>
      <w:r>
        <w:rPr>
          <w:b/>
        </w:rPr>
        <w:t>Permission</w:t>
      </w:r>
      <w:r>
        <w:rPr/>
        <w:t xml:space="preserve"> - every operation names its permission; 403 ACCESS_DENIED otherwise.</w:t>
      </w:r>
    </w:p>
    <w:p>
      <w:pPr>
        <w:tabs>
          <w:tab w:pos="312" w:val="left"/>
        </w:tabs>
        <w:spacing w:after="40"/>
        <w:ind w:left="312" w:hanging="283"/>
      </w:pPr>
      <w:r>
        <w:rPr>
          <w:color w:val="004EA8"/>
        </w:rPr>
        <w:t>7.</w:t>
        <w:tab/>
      </w:r>
      <w:r>
        <w:rPr>
          <w:b/>
        </w:rPr>
        <w:t>Data scope</w:t>
      </w:r>
      <w:r>
        <w:rPr/>
        <w:t xml:space="preserve"> - the company and branch named in the path, the query or the body are checked against the user's scope; 403 DATA_SCOPE_DENIED otherwise.</w:t>
      </w:r>
    </w:p>
    <w:p>
      <w:pPr>
        <w:tabs>
          <w:tab w:pos="312" w:val="left"/>
        </w:tabs>
        <w:spacing w:after="40"/>
        <w:ind w:left="312" w:hanging="283"/>
      </w:pPr>
      <w:r>
        <w:rPr>
          <w:color w:val="004EA8"/>
        </w:rPr>
        <w:t>8.</w:t>
        <w:tab/>
      </w:r>
      <w:r>
        <w:rPr>
          <w:b/>
        </w:rPr>
        <w:t>Validation and business rules</w:t>
      </w:r>
      <w:r>
        <w:rPr/>
        <w:t xml:space="preserve"> - bean validation of the request record (400 VALIDATION_FAILED with the field errors) and the business rules of the service (422 with the business code).</w:t>
      </w:r>
    </w:p>
    <w:p>
      <w:pPr>
        <w:tabs>
          <w:tab w:pos="312" w:val="left"/>
        </w:tabs>
        <w:spacing w:after="120"/>
        <w:ind w:left="312" w:hanging="283"/>
      </w:pPr>
      <w:r>
        <w:rPr>
          <w:color w:val="004EA8"/>
        </w:rPr>
        <w:t>9.</w:t>
        <w:tab/>
      </w:r>
      <w:r>
        <w:rPr>
          <w:b/>
        </w:rPr>
        <w:t>Transaction</w:t>
      </w:r>
      <w:r>
        <w:rPr/>
        <w:t xml:space="preserve"> - the record, its accounting, the audit entry and any outgoing event commit together.</w:t>
      </w:r>
    </w:p>
    <w:p>
      <w:pPr>
        <w:pStyle w:val="Heading1"/>
        <w:pBdr>
          <w:bottom w:val="single" w:sz="4" w:space="4" w:color="99C1E7"/>
        </w:pBdr>
      </w:pPr>
      <w:bookmarkStart w:id="111" w:name="_Toc000111"/>
      <w:r>
        <w:rPr/>
        <w:t>4 OpenAPI description</w:t>
      </w:r>
      <w:bookmarkEnd w:id="111"/>
    </w:p>
    <w:p>
      <w:r>
        <w:rPr/>
        <w:t>BIBS publishes an OpenAPI 3 description of its operations through springdoc-openapi 2.8, with the bearer token as the security scheme.</w:t>
      </w:r>
    </w:p>
    <w:p>
      <w:pPr>
        <w:tabs>
          <w:tab w:pos="312" w:val="left"/>
        </w:tabs>
        <w:spacing w:after="40"/>
        <w:ind w:left="312" w:hanging="283"/>
      </w:pPr>
      <w:r>
        <w:rPr>
          <w:color w:val="004EA8"/>
        </w:rPr>
        <w:t>•</w:t>
        <w:tab/>
      </w:r>
      <w:r>
        <w:rPr>
          <w:b/>
        </w:rPr>
        <w:t>Where.</w:t>
      </w:r>
      <w:r>
        <w:rPr/>
        <w:t xml:space="preserve"> The backend serves the description at the path v3/api-docs (JSON) and an interactive viewer at swagger-ui.html, relative to the backend address.</w:t>
      </w:r>
    </w:p>
    <w:p>
      <w:pPr>
        <w:tabs>
          <w:tab w:pos="312" w:val="left"/>
        </w:tabs>
        <w:spacing w:after="40"/>
        <w:ind w:left="312" w:hanging="283"/>
      </w:pPr>
      <w:r>
        <w:rPr>
          <w:color w:val="004EA8"/>
        </w:rPr>
        <w:t>•</w:t>
        <w:tab/>
      </w:r>
      <w:r>
        <w:rPr>
          <w:b/>
        </w:rPr>
        <w:t>When.</w:t>
      </w:r>
      <w:r>
        <w:rPr/>
        <w:t xml:space="preserve"> Only on a developer machine (environment local) or with the dev profile. A start-up safeguard switches the description and the viewer off in every other environment - SIT, UAT, Pre-Prod and production - so the production surface does not advertise its operations.</w:t>
      </w:r>
    </w:p>
    <w:p>
      <w:pPr>
        <w:tabs>
          <w:tab w:pos="312" w:val="left"/>
        </w:tabs>
        <w:spacing w:after="40"/>
        <w:ind w:left="312" w:hanging="283"/>
      </w:pPr>
      <w:r>
        <w:rPr>
          <w:color w:val="004EA8"/>
        </w:rPr>
        <w:t>•</w:t>
        <w:tab/>
      </w:r>
      <w:r>
        <w:rPr>
          <w:b/>
        </w:rPr>
        <w:t>How to obtain it.</w:t>
      </w:r>
      <w:r>
        <w:rPr/>
        <w:t xml:space="preserve"> Run the backend of the release with the dev profile on a developer workstation or the VDI (database, signing key and second-factor key from the local environment, as for any start), then download v3/api-docs from the running backend. The proposal (AP-01) is that the pipeline does the same at each release and stores the description as a file with the release record, next to the API Catalogue, so BDOI IT receives both without starting the application.</w:t>
      </w:r>
    </w:p>
    <w:p>
      <w:pPr>
        <w:tabs>
          <w:tab w:pos="312" w:val="left"/>
        </w:tabs>
        <w:spacing w:after="40"/>
        <w:ind w:left="312" w:hanging="283"/>
      </w:pPr>
      <w:r>
        <w:rPr>
          <w:color w:val="004EA8"/>
        </w:rPr>
        <w:t>•</w:t>
        <w:tab/>
      </w:r>
      <w:r>
        <w:rPr>
          <w:b/>
        </w:rPr>
        <w:t>Title.</w:t>
      </w:r>
      <w:r>
        <w:rPr/>
        <w:t xml:space="preserve"> The description is titled "iNXT BrokerVerse API"; the delivered description for BDOI is retitled "BIBS API" with the BIBS version (AP-02).</w:t>
      </w:r>
    </w:p>
    <w:p>
      <w:pPr>
        <w:tabs>
          <w:tab w:pos="312" w:val="left"/>
        </w:tabs>
        <w:spacing w:after="120"/>
        <w:ind w:left="312" w:hanging="283"/>
      </w:pPr>
      <w:r>
        <w:rPr>
          <w:color w:val="004EA8"/>
        </w:rPr>
        <w:t>•</w:t>
        <w:tab/>
      </w:r>
      <w:r>
        <w:rPr>
          <w:b/>
        </w:rPr>
        <w:t>System integration.</w:t>
      </w:r>
      <w:r>
        <w:rPr/>
        <w:t xml:space="preserve"> Each API published on Apigee X gets its own OpenAPI document as part of its interface specification (Integration Architecture, chapter 8); Apigee publishes it to its developer portal for the BDO teams.</w:t>
      </w:r>
    </w:p>
    <w:p>
      <w:pPr>
        <w:pStyle w:val="Heading1"/>
        <w:pBdr>
          <w:bottom w:val="single" w:sz="4" w:space="4" w:color="99C1E7"/>
        </w:pBdr>
      </w:pPr>
      <w:bookmarkStart w:id="112" w:name="_Toc000112"/>
      <w:r>
        <w:rPr/>
        <w:t>5 API standards</w:t>
      </w:r>
      <w:bookmarkEnd w:id="112"/>
    </w:p>
    <w:p>
      <w:pPr>
        <w:pStyle w:val="Heading2"/>
      </w:pPr>
      <w:bookmarkStart w:id="113" w:name="_Toc000113"/>
      <w:r>
        <w:rPr/>
        <w:t>5.1 Paths and naming</w:t>
      </w:r>
      <w:bookmarkEnd w:id="113"/>
    </w:p>
    <w:p>
      <w:pPr>
        <w:tabs>
          <w:tab w:pos="312" w:val="left"/>
        </w:tabs>
        <w:spacing w:after="40"/>
        <w:ind w:left="312" w:hanging="283"/>
      </w:pPr>
      <w:r>
        <w:rPr>
          <w:color w:val="004EA8"/>
        </w:rPr>
        <w:t>•</w:t>
        <w:tab/>
      </w:r>
      <w:r>
        <w:rPr/>
        <w:t>Paths are nouns in the plural, lower-case with hyphens, under the module: api/v1/&lt;module&gt;/&lt;resources&gt;/:id. Examples: api/v1/collections/plans, api/v1/product-maintenance/advisories/:advisoryId/send.</w:t>
      </w:r>
    </w:p>
    <w:p>
      <w:pPr>
        <w:tabs>
          <w:tab w:pos="312" w:val="left"/>
        </w:tabs>
        <w:spacing w:after="40"/>
        <w:ind w:left="312" w:hanging="283"/>
      </w:pPr>
      <w:r>
        <w:rPr>
          <w:color w:val="004EA8"/>
        </w:rPr>
        <w:t>•</w:t>
        <w:tab/>
      </w:r>
      <w:r>
        <w:rPr/>
        <w:t>Business actions that change state are POST sub-resources named by the verb of the business: api/v1/catalog/records/:kind/:id/authorize, api/v1/migration/decisions/:decisionNo/return.</w:t>
      </w:r>
    </w:p>
    <w:p>
      <w:pPr>
        <w:tabs>
          <w:tab w:pos="312" w:val="left"/>
        </w:tabs>
        <w:spacing w:after="40"/>
        <w:ind w:left="312" w:hanging="283"/>
      </w:pPr>
      <w:r>
        <w:rPr>
          <w:color w:val="004EA8"/>
        </w:rPr>
        <w:t>•</w:t>
        <w:tab/>
      </w:r>
      <w:r>
        <w:rPr/>
        <w:t>Business keys may stand in for identifiers where the business uses them (api/v1/placement/gate/:arn, api/v1/ops/invoices/:invoiceNo).</w:t>
      </w:r>
    </w:p>
    <w:p>
      <w:pPr>
        <w:tabs>
          <w:tab w:pos="312" w:val="left"/>
        </w:tabs>
        <w:spacing w:after="120"/>
        <w:ind w:left="312" w:hanging="283"/>
      </w:pPr>
      <w:r>
        <w:rPr>
          <w:color w:val="004EA8"/>
        </w:rPr>
        <w:t>•</w:t>
        <w:tab/>
      </w:r>
      <w:r>
        <w:rPr/>
        <w:t>JSON field names are camelCase; codes of lists and statuses are upper-case codes; labels are resolved by the lists of values.</w:t>
      </w:r>
    </w:p>
    <w:p>
      <w:pPr>
        <w:pStyle w:val="Heading2"/>
      </w:pPr>
      <w:bookmarkStart w:id="114" w:name="_Toc000114"/>
      <w:r>
        <w:rPr/>
        <w:t>5.2 Versioning</w:t>
      </w:r>
      <w:bookmarkEnd w:id="114"/>
    </w:p>
    <w:p>
      <w:pPr>
        <w:tabs>
          <w:tab w:pos="312" w:val="left"/>
        </w:tabs>
        <w:spacing w:after="40"/>
        <w:ind w:left="312" w:hanging="283"/>
      </w:pPr>
      <w:r>
        <w:rPr>
          <w:color w:val="004EA8"/>
        </w:rPr>
        <w:t>•</w:t>
        <w:tab/>
      </w:r>
      <w:r>
        <w:rPr/>
        <w:t>The major version is in the path: api/v1 and integration/v1. Adding an operation, an optional field or a code value keeps the version.</w:t>
      </w:r>
    </w:p>
    <w:p>
      <w:pPr>
        <w:tabs>
          <w:tab w:pos="312" w:val="left"/>
        </w:tabs>
        <w:spacing w:after="40"/>
        <w:ind w:left="312" w:hanging="283"/>
      </w:pPr>
      <w:r>
        <w:rPr>
          <w:color w:val="004EA8"/>
        </w:rPr>
        <w:t>•</w:t>
        <w:tab/>
      </w:r>
      <w:r>
        <w:rPr/>
        <w:t>A breaking change (field removed or renamed, meaning changed, required field added) is a new version served next to the old one until every caller has moved; the old version is announced as deprecated with a date at least one release ahead (AP-04).</w:t>
      </w:r>
    </w:p>
    <w:p>
      <w:pPr>
        <w:tabs>
          <w:tab w:pos="312" w:val="left"/>
        </w:tabs>
        <w:spacing w:after="120"/>
        <w:ind w:left="312" w:hanging="283"/>
      </w:pPr>
      <w:r>
        <w:rPr>
          <w:color w:val="004EA8"/>
        </w:rPr>
        <w:t>•</w:t>
        <w:tab/>
      </w:r>
      <w:r>
        <w:rPr/>
        <w:t>The web client and the backend are released together, so the user interface moves in step; system integration versions are agreed with each counterpart.</w:t>
      </w:r>
    </w:p>
    <w:p>
      <w:pPr>
        <w:pStyle w:val="Heading2"/>
      </w:pPr>
      <w:bookmarkStart w:id="115" w:name="_Toc000115"/>
      <w:r>
        <w:rPr/>
        <w:t>5.3 Methods and status codes</w:t>
      </w:r>
      <w:bookmarkEnd w:id="115"/>
    </w:p>
    <w:p>
      <w:pPr>
        <w:pStyle w:val="Caption"/>
        <w:keepNext/>
        <w:spacing w:after="60"/>
      </w:pPr>
      <w:r>
        <w:rPr>
          <w:b/>
          <w:i w:val="0"/>
        </w:rPr>
        <w:t xml:space="preserve">Table 5: </w:t>
      </w:r>
      <w:r>
        <w:rPr/>
        <w:t>Methods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59"/>
        <w:gridCol w:w="3399"/>
        <w:gridCol w:w="5213"/>
      </w:tblGrid>
      <w:tr>
        <w:trPr>
          <w:tblHeader w:val="true"/>
          <w:cantSplit w:val="true"/>
        </w:trPr>
        <w:tc>
          <w:tcPr>
            <w:tcW w:type="dxa" w:w="1360"/>
            <w:shd w:val="clear" w:color="auto" w:fill="004EA8"/>
            <w:tcMar>
              <w:top w:w="50" w:type="dxa"/>
              <w:bottom w:w="50" w:type="dxa"/>
              <w:left w:w="90" w:type="dxa"/>
              <w:right w:w="90" w:type="dxa"/>
            </w:tcMar>
            <w:vAlign w:val="center"/>
          </w:tcPr>
          <w:p>
            <w:pPr>
              <w:pStyle w:val="BDOITableHeader"/>
            </w:pPr>
            <w:r>
              <w:rPr>
                <w:b/>
                <w:color w:val="FFFFFF"/>
                <w:sz w:val="17"/>
              </w:rPr>
              <w:t>Method</w:t>
            </w:r>
          </w:p>
        </w:tc>
        <w:tc>
          <w:tcPr>
            <w:tcW w:type="dxa" w:w="3400"/>
            <w:shd w:val="clear" w:color="auto" w:fill="004EA8"/>
            <w:tcMar>
              <w:top w:w="50" w:type="dxa"/>
              <w:bottom w:w="50" w:type="dxa"/>
              <w:left w:w="90" w:type="dxa"/>
              <w:right w:w="90" w:type="dxa"/>
            </w:tcMar>
            <w:vAlign w:val="center"/>
          </w:tcPr>
          <w:p>
            <w:pPr>
              <w:pStyle w:val="BDOITableHeader"/>
            </w:pPr>
            <w:r>
              <w:rPr>
                <w:b/>
                <w:color w:val="FFFFFF"/>
                <w:sz w:val="17"/>
              </w:rPr>
              <w:t>Use</w:t>
            </w:r>
          </w:p>
        </w:tc>
        <w:tc>
          <w:tcPr>
            <w:tcW w:type="dxa" w:w="5213"/>
            <w:shd w:val="clear" w:color="auto" w:fill="004EA8"/>
            <w:tcMar>
              <w:top w:w="50" w:type="dxa"/>
              <w:bottom w:w="50" w:type="dxa"/>
              <w:left w:w="90" w:type="dxa"/>
              <w:right w:w="90" w:type="dxa"/>
            </w:tcMar>
            <w:vAlign w:val="center"/>
          </w:tcPr>
          <w:p>
            <w:pPr>
              <w:pStyle w:val="BDOITableHeader"/>
            </w:pPr>
            <w:r>
              <w:rPr>
                <w:b/>
                <w:color w:val="FFFFFF"/>
                <w:sz w:val="17"/>
              </w:rPr>
              <w:t>Success</w:t>
            </w:r>
          </w:p>
        </w:tc>
      </w:tr>
      <w:tr>
        <w:trPr>
          <w:cantSplit w:val="true"/>
        </w:trPr>
        <w:tc>
          <w:tcPr>
            <w:tcW w:type="dxa" w:w="1360"/>
            <w:tcMar>
              <w:top w:w="50" w:type="dxa"/>
              <w:bottom w:w="50" w:type="dxa"/>
              <w:left w:w="90" w:type="dxa"/>
              <w:right w:w="90" w:type="dxa"/>
            </w:tcMar>
          </w:tcPr>
          <w:p>
            <w:pPr>
              <w:pStyle w:val="BDOITable"/>
            </w:pPr>
            <w:r>
              <w:rPr>
                <w:b/>
                <w:sz w:val="17"/>
              </w:rPr>
              <w:t>GET</w:t>
            </w:r>
          </w:p>
        </w:tc>
        <w:tc>
          <w:tcPr>
            <w:tcW w:type="dxa" w:w="3400"/>
            <w:tcMar>
              <w:top w:w="50" w:type="dxa"/>
              <w:bottom w:w="50" w:type="dxa"/>
              <w:left w:w="90" w:type="dxa"/>
              <w:right w:w="90" w:type="dxa"/>
            </w:tcMar>
          </w:tcPr>
          <w:p>
            <w:pPr>
              <w:pStyle w:val="BDOITable"/>
            </w:pPr>
            <w:r>
              <w:rPr>
                <w:sz w:val="17"/>
              </w:rPr>
              <w:t>Read a record, a list, a report or a file link; never changes data</w:t>
            </w:r>
          </w:p>
        </w:tc>
        <w:tc>
          <w:tcPr>
            <w:tcW w:type="dxa" w:w="5213"/>
            <w:tcMar>
              <w:top w:w="50" w:type="dxa"/>
              <w:bottom w:w="50" w:type="dxa"/>
              <w:left w:w="90" w:type="dxa"/>
              <w:right w:w="90" w:type="dxa"/>
            </w:tcMar>
          </w:tcPr>
          <w:p>
            <w:pPr>
              <w:pStyle w:val="BDOITable"/>
            </w:pPr>
            <w:r>
              <w:rPr>
                <w:sz w:val="17"/>
              </w:rPr>
              <w:t>200 with the body; file content with Content-Disposition attachment</w:t>
            </w:r>
          </w:p>
        </w:tc>
      </w:tr>
      <w:tr>
        <w:trPr>
          <w:cantSplit w:val="true"/>
        </w:trPr>
        <w:tc>
          <w:tcPr>
            <w:tcW w:type="dxa" w:w="1360"/>
            <w:tcMar>
              <w:top w:w="50" w:type="dxa"/>
              <w:bottom w:w="50" w:type="dxa"/>
              <w:left w:w="90" w:type="dxa"/>
              <w:right w:w="90" w:type="dxa"/>
            </w:tcMar>
            <w:shd w:val="clear" w:color="auto" w:fill="E5F5FF"/>
          </w:tcPr>
          <w:p>
            <w:pPr>
              <w:pStyle w:val="BDOITable"/>
            </w:pPr>
            <w:r>
              <w:rPr>
                <w:b/>
                <w:sz w:val="17"/>
              </w:rPr>
              <w:t>POST</w:t>
            </w:r>
          </w:p>
        </w:tc>
        <w:tc>
          <w:tcPr>
            <w:tcW w:type="dxa" w:w="3400"/>
            <w:tcMar>
              <w:top w:w="50" w:type="dxa"/>
              <w:bottom w:w="50" w:type="dxa"/>
              <w:left w:w="90" w:type="dxa"/>
              <w:right w:w="90" w:type="dxa"/>
            </w:tcMar>
            <w:shd w:val="clear" w:color="auto" w:fill="E5F5FF"/>
          </w:tcPr>
          <w:p>
            <w:pPr>
              <w:pStyle w:val="BDOITable"/>
            </w:pPr>
            <w:r>
              <w:rPr>
                <w:sz w:val="17"/>
              </w:rPr>
              <w:t>Create a record, upload a file, or run a business action (authorize, approve, send, book)</w:t>
            </w:r>
          </w:p>
        </w:tc>
        <w:tc>
          <w:tcPr>
            <w:tcW w:type="dxa" w:w="5213"/>
            <w:tcMar>
              <w:top w:w="50" w:type="dxa"/>
              <w:bottom w:w="50" w:type="dxa"/>
              <w:left w:w="90" w:type="dxa"/>
              <w:right w:w="90" w:type="dxa"/>
            </w:tcMar>
            <w:shd w:val="clear" w:color="auto" w:fill="E5F5FF"/>
          </w:tcPr>
          <w:p>
            <w:pPr>
              <w:pStyle w:val="BDOITable"/>
            </w:pPr>
            <w:r>
              <w:rPr>
                <w:sz w:val="17"/>
              </w:rPr>
              <w:t>200 or 201 with the resulting record; 204 when there is nothing to return</w:t>
            </w:r>
          </w:p>
        </w:tc>
      </w:tr>
      <w:tr>
        <w:trPr>
          <w:cantSplit w:val="true"/>
        </w:trPr>
        <w:tc>
          <w:tcPr>
            <w:tcW w:type="dxa" w:w="1360"/>
            <w:tcMar>
              <w:top w:w="50" w:type="dxa"/>
              <w:bottom w:w="50" w:type="dxa"/>
              <w:left w:w="90" w:type="dxa"/>
              <w:right w:w="90" w:type="dxa"/>
            </w:tcMar>
          </w:tcPr>
          <w:p>
            <w:pPr>
              <w:pStyle w:val="BDOITable"/>
            </w:pPr>
            <w:r>
              <w:rPr>
                <w:b/>
                <w:sz w:val="17"/>
              </w:rPr>
              <w:t>PUT</w:t>
            </w:r>
          </w:p>
        </w:tc>
        <w:tc>
          <w:tcPr>
            <w:tcW w:type="dxa" w:w="3400"/>
            <w:tcMar>
              <w:top w:w="50" w:type="dxa"/>
              <w:bottom w:w="50" w:type="dxa"/>
              <w:left w:w="90" w:type="dxa"/>
              <w:right w:w="90" w:type="dxa"/>
            </w:tcMar>
          </w:tcPr>
          <w:p>
            <w:pPr>
              <w:pStyle w:val="BDOITable"/>
            </w:pPr>
            <w:r>
              <w:rPr>
                <w:sz w:val="17"/>
              </w:rPr>
              <w:t>Update a record (with its version)</w:t>
            </w:r>
          </w:p>
        </w:tc>
        <w:tc>
          <w:tcPr>
            <w:tcW w:type="dxa" w:w="5213"/>
            <w:tcMar>
              <w:top w:w="50" w:type="dxa"/>
              <w:bottom w:w="50" w:type="dxa"/>
              <w:left w:w="90" w:type="dxa"/>
              <w:right w:w="90" w:type="dxa"/>
            </w:tcMar>
          </w:tcPr>
          <w:p>
            <w:pPr>
              <w:pStyle w:val="BDOITable"/>
            </w:pPr>
            <w:r>
              <w:rPr>
                <w:sz w:val="17"/>
              </w:rPr>
              <w:t>200 with the record</w:t>
            </w:r>
          </w:p>
        </w:tc>
      </w:tr>
      <w:tr>
        <w:trPr>
          <w:cantSplit w:val="true"/>
        </w:trPr>
        <w:tc>
          <w:tcPr>
            <w:tcW w:type="dxa" w:w="1360"/>
            <w:tcMar>
              <w:top w:w="50" w:type="dxa"/>
              <w:bottom w:w="50" w:type="dxa"/>
              <w:left w:w="90" w:type="dxa"/>
              <w:right w:w="90" w:type="dxa"/>
            </w:tcMar>
            <w:shd w:val="clear" w:color="auto" w:fill="E5F5FF"/>
          </w:tcPr>
          <w:p>
            <w:pPr>
              <w:pStyle w:val="BDOITable"/>
            </w:pPr>
            <w:r>
              <w:rPr>
                <w:b/>
                <w:sz w:val="17"/>
              </w:rPr>
              <w:t>DELETE</w:t>
            </w:r>
          </w:p>
        </w:tc>
        <w:tc>
          <w:tcPr>
            <w:tcW w:type="dxa" w:w="3400"/>
            <w:tcMar>
              <w:top w:w="50" w:type="dxa"/>
              <w:bottom w:w="50" w:type="dxa"/>
              <w:left w:w="90" w:type="dxa"/>
              <w:right w:w="90" w:type="dxa"/>
            </w:tcMar>
            <w:shd w:val="clear" w:color="auto" w:fill="E5F5FF"/>
          </w:tcPr>
          <w:p>
            <w:pPr>
              <w:pStyle w:val="BDOITable"/>
            </w:pPr>
            <w:r>
              <w:rPr>
                <w:sz w:val="17"/>
              </w:rPr>
              <w:t>Remove a draft or a configuration row that may be removed; business records are cancelled or reversed by an action, never deleted</w:t>
            </w:r>
          </w:p>
        </w:tc>
        <w:tc>
          <w:tcPr>
            <w:tcW w:type="dxa" w:w="5213"/>
            <w:tcMar>
              <w:top w:w="50" w:type="dxa"/>
              <w:bottom w:w="50" w:type="dxa"/>
              <w:left w:w="90" w:type="dxa"/>
              <w:right w:w="90" w:type="dxa"/>
            </w:tcMar>
            <w:shd w:val="clear" w:color="auto" w:fill="E5F5FF"/>
          </w:tcPr>
          <w:p>
            <w:pPr>
              <w:pStyle w:val="BDOITable"/>
            </w:pPr>
            <w:r>
              <w:rPr>
                <w:sz w:val="17"/>
              </w:rPr>
              <w:t>204</w:t>
            </w:r>
          </w:p>
        </w:tc>
      </w:tr>
    </w:tbl>
    <w:p>
      <w:pPr>
        <w:pStyle w:val="BDOISpacer"/>
      </w:pPr>
    </w:p>
    <w:p>
      <w:r>
        <w:rPr/>
        <w:t>PATCH is not used: updates replace the record with its version.</w:t>
      </w:r>
    </w:p>
    <w:p>
      <w:pPr>
        <w:pStyle w:val="Heading2"/>
      </w:pPr>
      <w:bookmarkStart w:id="116" w:name="_Toc000116"/>
      <w:r>
        <w:rPr/>
        <w:t>5.4 Errors</w:t>
      </w:r>
      <w:bookmarkEnd w:id="116"/>
    </w:p>
    <w:p>
      <w:r>
        <w:rPr/>
        <w:t>Every error is an RFC 7807 problem document with the fields type, title, status, detail (a business text without internal references), code (stable machine code), correlationId and, where relevant, errors (field errors) or reference (unexpected errors). The code never changes; only its text may.</w:t>
      </w:r>
    </w:p>
    <w:p>
      <w:pPr>
        <w:pStyle w:val="Caption"/>
        <w:keepNext/>
        <w:spacing w:after="60"/>
      </w:pPr>
      <w:r>
        <w:rPr>
          <w:b/>
          <w:i w:val="0"/>
        </w:rPr>
        <w:t xml:space="preserve">Table 6: </w:t>
      </w:r>
      <w:r>
        <w:rPr/>
        <w:t>Error codes of the platform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2493"/>
        <w:gridCol w:w="6573"/>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907"/>
            <w:tcMar>
              <w:top w:w="50" w:type="dxa"/>
              <w:bottom w:w="50" w:type="dxa"/>
              <w:left w:w="90" w:type="dxa"/>
              <w:right w:w="90" w:type="dxa"/>
            </w:tcMar>
          </w:tcPr>
          <w:p>
            <w:pPr>
              <w:pStyle w:val="BDOITable"/>
            </w:pPr>
            <w:r>
              <w:rPr>
                <w:b/>
                <w:sz w:val="17"/>
              </w:rPr>
              <w:t>400</w:t>
            </w:r>
          </w:p>
        </w:tc>
        <w:tc>
          <w:tcPr>
            <w:tcW w:type="dxa" w:w="2493"/>
            <w:tcMar>
              <w:top w:w="50" w:type="dxa"/>
              <w:bottom w:w="50" w:type="dxa"/>
              <w:left w:w="90" w:type="dxa"/>
              <w:right w:w="90" w:type="dxa"/>
            </w:tcMar>
          </w:tcPr>
          <w:p>
            <w:pPr>
              <w:pStyle w:val="BDOITable"/>
            </w:pPr>
            <w:r>
              <w:rPr>
                <w:sz w:val="17"/>
              </w:rPr>
              <w:t>VALIDATION_FAILED</w:t>
            </w:r>
          </w:p>
        </w:tc>
        <w:tc>
          <w:tcPr>
            <w:tcW w:type="dxa" w:w="6572"/>
            <w:tcMar>
              <w:top w:w="50" w:type="dxa"/>
              <w:bottom w:w="50" w:type="dxa"/>
              <w:left w:w="90" w:type="dxa"/>
              <w:right w:w="90" w:type="dxa"/>
            </w:tcMar>
          </w:tcPr>
          <w:p>
            <w:pPr>
              <w:pStyle w:val="BDOITable"/>
            </w:pPr>
            <w:r>
              <w:rPr>
                <w:sz w:val="17"/>
              </w:rPr>
              <w:t>Bean validation failed; errors lists each field and message</w:t>
            </w:r>
          </w:p>
        </w:tc>
      </w:tr>
      <w:tr>
        <w:trPr>
          <w:cantSplit w:val="true"/>
        </w:trPr>
        <w:tc>
          <w:tcPr>
            <w:tcW w:type="dxa" w:w="907"/>
            <w:tcMar>
              <w:top w:w="50" w:type="dxa"/>
              <w:bottom w:w="50" w:type="dxa"/>
              <w:left w:w="90" w:type="dxa"/>
              <w:right w:w="90" w:type="dxa"/>
            </w:tcMar>
            <w:shd w:val="clear" w:color="auto" w:fill="E5F5FF"/>
          </w:tcPr>
          <w:p>
            <w:pPr>
              <w:pStyle w:val="BDOITable"/>
            </w:pPr>
            <w:r>
              <w:rPr>
                <w:b/>
                <w:sz w:val="17"/>
              </w:rPr>
              <w:t>400</w:t>
            </w:r>
          </w:p>
        </w:tc>
        <w:tc>
          <w:tcPr>
            <w:tcW w:type="dxa" w:w="2493"/>
            <w:tcMar>
              <w:top w:w="50" w:type="dxa"/>
              <w:bottom w:w="50" w:type="dxa"/>
              <w:left w:w="90" w:type="dxa"/>
              <w:right w:w="90" w:type="dxa"/>
            </w:tcMar>
            <w:shd w:val="clear" w:color="auto" w:fill="E5F5FF"/>
          </w:tcPr>
          <w:p>
            <w:pPr>
              <w:pStyle w:val="BDOITable"/>
            </w:pPr>
            <w:r>
              <w:rPr>
                <w:sz w:val="17"/>
              </w:rPr>
              <w:t>MALFORMED_REQUEST, BAD_REQUEST</w:t>
            </w:r>
          </w:p>
        </w:tc>
        <w:tc>
          <w:tcPr>
            <w:tcW w:type="dxa" w:w="6572"/>
            <w:tcMar>
              <w:top w:w="50" w:type="dxa"/>
              <w:bottom w:w="50" w:type="dxa"/>
              <w:left w:w="90" w:type="dxa"/>
              <w:right w:w="90" w:type="dxa"/>
            </w:tcMar>
            <w:shd w:val="clear" w:color="auto" w:fill="E5F5FF"/>
          </w:tcPr>
          <w:p>
            <w:pPr>
              <w:pStyle w:val="BDOITable"/>
            </w:pPr>
            <w:r>
              <w:rPr>
                <w:sz w:val="17"/>
              </w:rPr>
              <w:t>Unreadable body or invalid argument (generic text, no internal message)</w:t>
            </w:r>
          </w:p>
        </w:tc>
      </w:tr>
      <w:tr>
        <w:trPr>
          <w:cantSplit w:val="true"/>
        </w:trPr>
        <w:tc>
          <w:tcPr>
            <w:tcW w:type="dxa" w:w="907"/>
            <w:tcMar>
              <w:top w:w="50" w:type="dxa"/>
              <w:bottom w:w="50" w:type="dxa"/>
              <w:left w:w="90" w:type="dxa"/>
              <w:right w:w="90" w:type="dxa"/>
            </w:tcMar>
          </w:tcPr>
          <w:p>
            <w:pPr>
              <w:pStyle w:val="BDOITable"/>
            </w:pPr>
            <w:r>
              <w:rPr>
                <w:b/>
                <w:sz w:val="17"/>
              </w:rPr>
              <w:t>401</w:t>
            </w:r>
          </w:p>
        </w:tc>
        <w:tc>
          <w:tcPr>
            <w:tcW w:type="dxa" w:w="2493"/>
            <w:tcMar>
              <w:top w:w="50" w:type="dxa"/>
              <w:bottom w:w="50" w:type="dxa"/>
              <w:left w:w="90" w:type="dxa"/>
              <w:right w:w="90" w:type="dxa"/>
            </w:tcMar>
          </w:tcPr>
          <w:p>
            <w:pPr>
              <w:pStyle w:val="BDOITable"/>
            </w:pPr>
            <w:r>
              <w:rPr>
                <w:sz w:val="17"/>
              </w:rPr>
              <w:t>AUTHENTICATION_FAILED</w:t>
            </w:r>
          </w:p>
        </w:tc>
        <w:tc>
          <w:tcPr>
            <w:tcW w:type="dxa" w:w="6572"/>
            <w:tcMar>
              <w:top w:w="50" w:type="dxa"/>
              <w:bottom w:w="50" w:type="dxa"/>
              <w:left w:w="90" w:type="dxa"/>
              <w:right w:w="90" w:type="dxa"/>
            </w:tcMar>
          </w:tcPr>
          <w:p>
            <w:pPr>
              <w:pStyle w:val="BDOITable"/>
            </w:pPr>
            <w:r>
              <w:rPr>
                <w:sz w:val="17"/>
              </w:rPr>
              <w:t>Missing, expired or invalid token</w:t>
            </w:r>
          </w:p>
        </w:tc>
      </w:tr>
      <w:tr>
        <w:trPr>
          <w:cantSplit w:val="true"/>
        </w:trPr>
        <w:tc>
          <w:tcPr>
            <w:tcW w:type="dxa" w:w="907"/>
            <w:tcMar>
              <w:top w:w="50" w:type="dxa"/>
              <w:bottom w:w="50" w:type="dxa"/>
              <w:left w:w="90" w:type="dxa"/>
              <w:right w:w="90" w:type="dxa"/>
            </w:tcMar>
            <w:shd w:val="clear" w:color="auto" w:fill="E5F5FF"/>
          </w:tcPr>
          <w:p>
            <w:pPr>
              <w:pStyle w:val="BDOITable"/>
            </w:pPr>
            <w:r>
              <w:rPr>
                <w:b/>
                <w:sz w:val="17"/>
              </w:rPr>
              <w:t>403</w:t>
            </w:r>
          </w:p>
        </w:tc>
        <w:tc>
          <w:tcPr>
            <w:tcW w:type="dxa" w:w="2493"/>
            <w:tcMar>
              <w:top w:w="50" w:type="dxa"/>
              <w:bottom w:w="50" w:type="dxa"/>
              <w:left w:w="90" w:type="dxa"/>
              <w:right w:w="90" w:type="dxa"/>
            </w:tcMar>
            <w:shd w:val="clear" w:color="auto" w:fill="E5F5FF"/>
          </w:tcPr>
          <w:p>
            <w:pPr>
              <w:pStyle w:val="BDOITable"/>
            </w:pPr>
            <w:r>
              <w:rPr>
                <w:sz w:val="17"/>
              </w:rPr>
              <w:t>ACCESS_DENIED</w:t>
            </w:r>
          </w:p>
        </w:tc>
        <w:tc>
          <w:tcPr>
            <w:tcW w:type="dxa" w:w="6572"/>
            <w:tcMar>
              <w:top w:w="50" w:type="dxa"/>
              <w:bottom w:w="50" w:type="dxa"/>
              <w:left w:w="90" w:type="dxa"/>
              <w:right w:w="90" w:type="dxa"/>
            </w:tcMar>
            <w:shd w:val="clear" w:color="auto" w:fill="E5F5FF"/>
          </w:tcPr>
          <w:p>
            <w:pPr>
              <w:pStyle w:val="BDOITable"/>
            </w:pPr>
            <w:r>
              <w:rPr>
                <w:sz w:val="17"/>
              </w:rPr>
              <w:t>The user lacks the permission of the operation</w:t>
            </w:r>
          </w:p>
        </w:tc>
      </w:tr>
      <w:tr>
        <w:trPr>
          <w:cantSplit w:val="true"/>
        </w:trPr>
        <w:tc>
          <w:tcPr>
            <w:tcW w:type="dxa" w:w="907"/>
            <w:tcMar>
              <w:top w:w="50" w:type="dxa"/>
              <w:bottom w:w="50" w:type="dxa"/>
              <w:left w:w="90" w:type="dxa"/>
              <w:right w:w="90" w:type="dxa"/>
            </w:tcMar>
          </w:tcPr>
          <w:p>
            <w:pPr>
              <w:pStyle w:val="BDOITable"/>
            </w:pPr>
            <w:r>
              <w:rPr>
                <w:b/>
                <w:sz w:val="17"/>
              </w:rPr>
              <w:t>403</w:t>
            </w:r>
          </w:p>
        </w:tc>
        <w:tc>
          <w:tcPr>
            <w:tcW w:type="dxa" w:w="2493"/>
            <w:tcMar>
              <w:top w:w="50" w:type="dxa"/>
              <w:bottom w:w="50" w:type="dxa"/>
              <w:left w:w="90" w:type="dxa"/>
              <w:right w:w="90" w:type="dxa"/>
            </w:tcMar>
          </w:tcPr>
          <w:p>
            <w:pPr>
              <w:pStyle w:val="BDOITable"/>
            </w:pPr>
            <w:r>
              <w:rPr>
                <w:sz w:val="17"/>
              </w:rPr>
              <w:t>DATA_SCOPE_DENIED</w:t>
            </w:r>
          </w:p>
        </w:tc>
        <w:tc>
          <w:tcPr>
            <w:tcW w:type="dxa" w:w="6572"/>
            <w:tcMar>
              <w:top w:w="50" w:type="dxa"/>
              <w:bottom w:w="50" w:type="dxa"/>
              <w:left w:w="90" w:type="dxa"/>
              <w:right w:w="90" w:type="dxa"/>
            </w:tcMar>
          </w:tcPr>
          <w:p>
            <w:pPr>
              <w:pStyle w:val="BDOITable"/>
            </w:pPr>
            <w:r>
              <w:rPr>
                <w:sz w:val="17"/>
              </w:rPr>
              <w:t>The company or branch is outside the user's data scope</w:t>
            </w:r>
          </w:p>
        </w:tc>
      </w:tr>
      <w:tr>
        <w:trPr>
          <w:cantSplit w:val="true"/>
        </w:trPr>
        <w:tc>
          <w:tcPr>
            <w:tcW w:type="dxa" w:w="907"/>
            <w:tcMar>
              <w:top w:w="50" w:type="dxa"/>
              <w:bottom w:w="50" w:type="dxa"/>
              <w:left w:w="90" w:type="dxa"/>
              <w:right w:w="90" w:type="dxa"/>
            </w:tcMar>
            <w:shd w:val="clear" w:color="auto" w:fill="E5F5FF"/>
          </w:tcPr>
          <w:p>
            <w:pPr>
              <w:pStyle w:val="BDOITable"/>
            </w:pPr>
            <w:r>
              <w:rPr>
                <w:b/>
                <w:sz w:val="17"/>
              </w:rPr>
              <w:t>404</w:t>
            </w:r>
          </w:p>
        </w:tc>
        <w:tc>
          <w:tcPr>
            <w:tcW w:type="dxa" w:w="2493"/>
            <w:tcMar>
              <w:top w:w="50" w:type="dxa"/>
              <w:bottom w:w="50" w:type="dxa"/>
              <w:left w:w="90" w:type="dxa"/>
              <w:right w:w="90" w:type="dxa"/>
            </w:tcMar>
            <w:shd w:val="clear" w:color="auto" w:fill="E5F5FF"/>
          </w:tcPr>
          <w:p>
            <w:pPr>
              <w:pStyle w:val="BDOITable"/>
            </w:pPr>
            <w:r>
              <w:rPr>
                <w:sz w:val="17"/>
              </w:rPr>
              <w:t>NOT_FOUND, MODULE_NOT_IN_USE</w:t>
            </w:r>
          </w:p>
        </w:tc>
        <w:tc>
          <w:tcPr>
            <w:tcW w:type="dxa" w:w="6572"/>
            <w:tcMar>
              <w:top w:w="50" w:type="dxa"/>
              <w:bottom w:w="50" w:type="dxa"/>
              <w:left w:w="90" w:type="dxa"/>
              <w:right w:w="90" w:type="dxa"/>
            </w:tcMar>
            <w:shd w:val="clear" w:color="auto" w:fill="E5F5FF"/>
          </w:tcPr>
          <w:p>
            <w:pPr>
              <w:pStyle w:val="BDOITable"/>
            </w:pPr>
            <w:r>
              <w:rPr>
                <w:sz w:val="17"/>
              </w:rPr>
              <w:t>Record or path not found; module switched off for the deployment</w:t>
            </w:r>
          </w:p>
        </w:tc>
      </w:tr>
      <w:tr>
        <w:trPr>
          <w:cantSplit w:val="true"/>
        </w:trPr>
        <w:tc>
          <w:tcPr>
            <w:tcW w:type="dxa" w:w="907"/>
            <w:tcMar>
              <w:top w:w="50" w:type="dxa"/>
              <w:bottom w:w="50" w:type="dxa"/>
              <w:left w:w="90" w:type="dxa"/>
              <w:right w:w="90" w:type="dxa"/>
            </w:tcMar>
          </w:tcPr>
          <w:p>
            <w:pPr>
              <w:pStyle w:val="BDOITable"/>
            </w:pPr>
            <w:r>
              <w:rPr>
                <w:b/>
                <w:sz w:val="17"/>
              </w:rPr>
              <w:t>409</w:t>
            </w:r>
          </w:p>
        </w:tc>
        <w:tc>
          <w:tcPr>
            <w:tcW w:type="dxa" w:w="2493"/>
            <w:tcMar>
              <w:top w:w="50" w:type="dxa"/>
              <w:bottom w:w="50" w:type="dxa"/>
              <w:left w:w="90" w:type="dxa"/>
              <w:right w:w="90" w:type="dxa"/>
            </w:tcMar>
          </w:tcPr>
          <w:p>
            <w:pPr>
              <w:pStyle w:val="BDOITable"/>
            </w:pPr>
            <w:r>
              <w:rPr>
                <w:sz w:val="17"/>
              </w:rPr>
              <w:t>DUPLICATE</w:t>
            </w:r>
          </w:p>
        </w:tc>
        <w:tc>
          <w:tcPr>
            <w:tcW w:type="dxa" w:w="6572"/>
            <w:tcMar>
              <w:top w:w="50" w:type="dxa"/>
              <w:bottom w:w="50" w:type="dxa"/>
              <w:left w:w="90" w:type="dxa"/>
              <w:right w:w="90" w:type="dxa"/>
            </w:tcMar>
          </w:tcPr>
          <w:p>
            <w:pPr>
              <w:pStyle w:val="BDOITable"/>
            </w:pPr>
            <w:r>
              <w:rPr>
                <w:sz w:val="17"/>
              </w:rPr>
              <w:t>A record with the same business key exists (also a repeated source reference)</w:t>
            </w:r>
          </w:p>
        </w:tc>
      </w:tr>
      <w:tr>
        <w:trPr>
          <w:cantSplit w:val="true"/>
        </w:trPr>
        <w:tc>
          <w:tcPr>
            <w:tcW w:type="dxa" w:w="907"/>
            <w:tcMar>
              <w:top w:w="50" w:type="dxa"/>
              <w:bottom w:w="50" w:type="dxa"/>
              <w:left w:w="90" w:type="dxa"/>
              <w:right w:w="90" w:type="dxa"/>
            </w:tcMar>
            <w:shd w:val="clear" w:color="auto" w:fill="E5F5FF"/>
          </w:tcPr>
          <w:p>
            <w:pPr>
              <w:pStyle w:val="BDOITable"/>
            </w:pPr>
            <w:r>
              <w:rPr>
                <w:b/>
                <w:sz w:val="17"/>
              </w:rPr>
              <w:t>409</w:t>
            </w:r>
          </w:p>
        </w:tc>
        <w:tc>
          <w:tcPr>
            <w:tcW w:type="dxa" w:w="2493"/>
            <w:tcMar>
              <w:top w:w="50" w:type="dxa"/>
              <w:bottom w:w="50" w:type="dxa"/>
              <w:left w:w="90" w:type="dxa"/>
              <w:right w:w="90" w:type="dxa"/>
            </w:tcMar>
            <w:shd w:val="clear" w:color="auto" w:fill="E5F5FF"/>
          </w:tcPr>
          <w:p>
            <w:pPr>
              <w:pStyle w:val="BDOITable"/>
            </w:pPr>
            <w:r>
              <w:rPr>
                <w:sz w:val="17"/>
              </w:rPr>
              <w:t>CONCURRENT_MODIFICATION</w:t>
            </w:r>
          </w:p>
        </w:tc>
        <w:tc>
          <w:tcPr>
            <w:tcW w:type="dxa" w:w="6572"/>
            <w:tcMar>
              <w:top w:w="50" w:type="dxa"/>
              <w:bottom w:w="50" w:type="dxa"/>
              <w:left w:w="90" w:type="dxa"/>
              <w:right w:w="90" w:type="dxa"/>
            </w:tcMar>
            <w:shd w:val="clear" w:color="auto" w:fill="E5F5FF"/>
          </w:tcPr>
          <w:p>
            <w:pPr>
              <w:pStyle w:val="BDOITable"/>
            </w:pPr>
            <w:r>
              <w:rPr>
                <w:sz w:val="17"/>
              </w:rPr>
              <w:t>The record changed since it was read (optimistic locking); reload and try again</w:t>
            </w:r>
          </w:p>
        </w:tc>
      </w:tr>
      <w:tr>
        <w:trPr>
          <w:cantSplit w:val="true"/>
        </w:trPr>
        <w:tc>
          <w:tcPr>
            <w:tcW w:type="dxa" w:w="907"/>
            <w:tcMar>
              <w:top w:w="50" w:type="dxa"/>
              <w:bottom w:w="50" w:type="dxa"/>
              <w:left w:w="90" w:type="dxa"/>
              <w:right w:w="90" w:type="dxa"/>
            </w:tcMar>
          </w:tcPr>
          <w:p>
            <w:pPr>
              <w:pStyle w:val="BDOITable"/>
            </w:pPr>
            <w:r>
              <w:rPr>
                <w:b/>
                <w:sz w:val="17"/>
              </w:rPr>
              <w:t>413</w:t>
            </w:r>
          </w:p>
        </w:tc>
        <w:tc>
          <w:tcPr>
            <w:tcW w:type="dxa" w:w="2493"/>
            <w:tcMar>
              <w:top w:w="50" w:type="dxa"/>
              <w:bottom w:w="50" w:type="dxa"/>
              <w:left w:w="90" w:type="dxa"/>
              <w:right w:w="90" w:type="dxa"/>
            </w:tcMar>
          </w:tcPr>
          <w:p>
            <w:pPr>
              <w:pStyle w:val="BDOITable"/>
            </w:pPr>
            <w:r>
              <w:rPr>
                <w:sz w:val="17"/>
              </w:rPr>
              <w:t>REQUEST_TOO_LARGE, UPLOAD_TOO_LARGE</w:t>
            </w:r>
          </w:p>
        </w:tc>
        <w:tc>
          <w:tcPr>
            <w:tcW w:type="dxa" w:w="6572"/>
            <w:tcMar>
              <w:top w:w="50" w:type="dxa"/>
              <w:bottom w:w="50" w:type="dxa"/>
              <w:left w:w="90" w:type="dxa"/>
              <w:right w:w="90" w:type="dxa"/>
            </w:tcMar>
          </w:tcPr>
          <w:p>
            <w:pPr>
              <w:pStyle w:val="BDOITable"/>
            </w:pPr>
            <w:r>
              <w:rPr>
                <w:sz w:val="17"/>
              </w:rPr>
              <w:t>JSON body over 2 MB; file over 25 MB</w:t>
            </w:r>
          </w:p>
        </w:tc>
      </w:tr>
      <w:tr>
        <w:trPr>
          <w:cantSplit w:val="true"/>
        </w:trPr>
        <w:tc>
          <w:tcPr>
            <w:tcW w:type="dxa" w:w="907"/>
            <w:tcMar>
              <w:top w:w="50" w:type="dxa"/>
              <w:bottom w:w="50" w:type="dxa"/>
              <w:left w:w="90" w:type="dxa"/>
              <w:right w:w="90" w:type="dxa"/>
            </w:tcMar>
            <w:shd w:val="clear" w:color="auto" w:fill="E5F5FF"/>
          </w:tcPr>
          <w:p>
            <w:pPr>
              <w:pStyle w:val="BDOITable"/>
            </w:pPr>
            <w:r>
              <w:rPr>
                <w:b/>
                <w:sz w:val="17"/>
              </w:rPr>
              <w:t>422</w:t>
            </w:r>
          </w:p>
        </w:tc>
        <w:tc>
          <w:tcPr>
            <w:tcW w:type="dxa" w:w="2493"/>
            <w:tcMar>
              <w:top w:w="50" w:type="dxa"/>
              <w:bottom w:w="50" w:type="dxa"/>
              <w:left w:w="90" w:type="dxa"/>
              <w:right w:w="90" w:type="dxa"/>
            </w:tcMar>
            <w:shd w:val="clear" w:color="auto" w:fill="E5F5FF"/>
          </w:tcPr>
          <w:p>
            <w:pPr>
              <w:pStyle w:val="BDOITable"/>
            </w:pPr>
            <w:r>
              <w:rPr>
                <w:sz w:val="17"/>
              </w:rPr>
              <w:t>Business code of the rule</w:t>
            </w:r>
          </w:p>
        </w:tc>
        <w:tc>
          <w:tcPr>
            <w:tcW w:type="dxa" w:w="6572"/>
            <w:tcMar>
              <w:top w:w="50" w:type="dxa"/>
              <w:bottom w:w="50" w:type="dxa"/>
              <w:left w:w="90" w:type="dxa"/>
              <w:right w:w="90" w:type="dxa"/>
            </w:tcMar>
            <w:shd w:val="clear" w:color="auto" w:fill="E5F5FF"/>
          </w:tcPr>
          <w:p>
            <w:pPr>
              <w:pStyle w:val="BDOITable"/>
            </w:pPr>
            <w:r>
              <w:rPr>
                <w:sz w:val="17"/>
              </w:rPr>
              <w:t>A business rule refused the action, for example PARAMETER_NOT_SET, NO_ACCOUNTING_RULE, PERIOD_NOT_OPEN, MAKER_CHECKER_VIOLATION</w:t>
            </w:r>
          </w:p>
        </w:tc>
      </w:tr>
      <w:tr>
        <w:trPr>
          <w:cantSplit w:val="true"/>
        </w:trPr>
        <w:tc>
          <w:tcPr>
            <w:tcW w:type="dxa" w:w="907"/>
            <w:tcMar>
              <w:top w:w="50" w:type="dxa"/>
              <w:bottom w:w="50" w:type="dxa"/>
              <w:left w:w="90" w:type="dxa"/>
              <w:right w:w="90" w:type="dxa"/>
            </w:tcMar>
          </w:tcPr>
          <w:p>
            <w:pPr>
              <w:pStyle w:val="BDOITable"/>
            </w:pPr>
            <w:r>
              <w:rPr>
                <w:b/>
                <w:sz w:val="17"/>
              </w:rPr>
              <w:t>429</w:t>
            </w:r>
          </w:p>
        </w:tc>
        <w:tc>
          <w:tcPr>
            <w:tcW w:type="dxa" w:w="2493"/>
            <w:tcMar>
              <w:top w:w="50" w:type="dxa"/>
              <w:bottom w:w="50" w:type="dxa"/>
              <w:left w:w="90" w:type="dxa"/>
              <w:right w:w="90" w:type="dxa"/>
            </w:tcMar>
          </w:tcPr>
          <w:p>
            <w:pPr>
              <w:pStyle w:val="BDOITable"/>
            </w:pPr>
            <w:r>
              <w:rPr>
                <w:sz w:val="17"/>
              </w:rPr>
              <w:t>LOGIN_RATE_LIMITED, RESET_RATE_LIMITED</w:t>
            </w:r>
          </w:p>
        </w:tc>
        <w:tc>
          <w:tcPr>
            <w:tcW w:type="dxa" w:w="6572"/>
            <w:tcMar>
              <w:top w:w="50" w:type="dxa"/>
              <w:bottom w:w="50" w:type="dxa"/>
              <w:left w:w="90" w:type="dxa"/>
              <w:right w:w="90" w:type="dxa"/>
            </w:tcMar>
          </w:tcPr>
          <w:p>
            <w:pPr>
              <w:pStyle w:val="BDOITable"/>
            </w:pPr>
            <w:r>
              <w:rPr>
                <w:sz w:val="17"/>
              </w:rPr>
              <w:t>Sign-in or password reset above the limit per address, with Retry-After</w:t>
            </w:r>
          </w:p>
        </w:tc>
      </w:tr>
      <w:tr>
        <w:trPr>
          <w:cantSplit w:val="true"/>
        </w:trPr>
        <w:tc>
          <w:tcPr>
            <w:tcW w:type="dxa" w:w="907"/>
            <w:tcMar>
              <w:top w:w="50" w:type="dxa"/>
              <w:bottom w:w="50" w:type="dxa"/>
              <w:left w:w="90" w:type="dxa"/>
              <w:right w:w="90" w:type="dxa"/>
            </w:tcMar>
            <w:shd w:val="clear" w:color="auto" w:fill="E5F5FF"/>
          </w:tcPr>
          <w:p>
            <w:pPr>
              <w:pStyle w:val="BDOITable"/>
            </w:pPr>
            <w:r>
              <w:rPr>
                <w:b/>
                <w:sz w:val="17"/>
              </w:rPr>
              <w:t>500</w:t>
            </w:r>
          </w:p>
        </w:tc>
        <w:tc>
          <w:tcPr>
            <w:tcW w:type="dxa" w:w="2493"/>
            <w:tcMar>
              <w:top w:w="50" w:type="dxa"/>
              <w:bottom w:w="50" w:type="dxa"/>
              <w:left w:w="90" w:type="dxa"/>
              <w:right w:w="90" w:type="dxa"/>
            </w:tcMar>
            <w:shd w:val="clear" w:color="auto" w:fill="E5F5FF"/>
          </w:tcPr>
          <w:p>
            <w:pPr>
              <w:pStyle w:val="BDOITable"/>
            </w:pPr>
            <w:r>
              <w:rPr>
                <w:sz w:val="17"/>
              </w:rPr>
              <w:t>INTERNAL_ERROR</w:t>
            </w:r>
          </w:p>
        </w:tc>
        <w:tc>
          <w:tcPr>
            <w:tcW w:type="dxa" w:w="6572"/>
            <w:tcMar>
              <w:top w:w="50" w:type="dxa"/>
              <w:bottom w:w="50" w:type="dxa"/>
              <w:left w:w="90" w:type="dxa"/>
              <w:right w:w="90" w:type="dxa"/>
            </w:tcMar>
            <w:shd w:val="clear" w:color="auto" w:fill="E5F5FF"/>
          </w:tcPr>
          <w:p>
            <w:pPr>
              <w:pStyle w:val="BDOITable"/>
            </w:pPr>
            <w:r>
              <w:rPr>
                <w:sz w:val="17"/>
              </w:rPr>
              <w:t>Unexpected error; reference is also in the log line for support</w:t>
            </w:r>
          </w:p>
        </w:tc>
      </w:tr>
      <w:tr>
        <w:trPr>
          <w:cantSplit w:val="true"/>
        </w:trPr>
        <w:tc>
          <w:tcPr>
            <w:tcW w:type="dxa" w:w="907"/>
            <w:tcMar>
              <w:top w:w="50" w:type="dxa"/>
              <w:bottom w:w="50" w:type="dxa"/>
              <w:left w:w="90" w:type="dxa"/>
              <w:right w:w="90" w:type="dxa"/>
            </w:tcMar>
          </w:tcPr>
          <w:p>
            <w:pPr>
              <w:pStyle w:val="BDOITable"/>
            </w:pPr>
            <w:r>
              <w:rPr>
                <w:b/>
                <w:sz w:val="17"/>
              </w:rPr>
              <w:t>503</w:t>
            </w:r>
          </w:p>
        </w:tc>
        <w:tc>
          <w:tcPr>
            <w:tcW w:type="dxa" w:w="2493"/>
            <w:tcMar>
              <w:top w:w="50" w:type="dxa"/>
              <w:bottom w:w="50" w:type="dxa"/>
              <w:left w:w="90" w:type="dxa"/>
              <w:right w:w="90" w:type="dxa"/>
            </w:tcMar>
          </w:tcPr>
          <w:p>
            <w:pPr>
              <w:pStyle w:val="BDOITable"/>
            </w:pPr>
            <w:r>
              <w:rPr>
                <w:sz w:val="17"/>
              </w:rPr>
              <w:t>SIGN_IN_CHECK_UNAVAILABLE</w:t>
            </w:r>
          </w:p>
        </w:tc>
        <w:tc>
          <w:tcPr>
            <w:tcW w:type="dxa" w:w="6572"/>
            <w:tcMar>
              <w:top w:w="50" w:type="dxa"/>
              <w:bottom w:w="50" w:type="dxa"/>
              <w:left w:w="90" w:type="dxa"/>
              <w:right w:w="90" w:type="dxa"/>
            </w:tcMar>
          </w:tcPr>
          <w:p>
            <w:pPr>
              <w:pStyle w:val="BDOITable"/>
            </w:pPr>
            <w:r>
              <w:rPr>
                <w:sz w:val="17"/>
              </w:rPr>
              <w:t>The session store cannot be read; the client retries</w:t>
            </w:r>
          </w:p>
        </w:tc>
      </w:tr>
    </w:tbl>
    <w:p>
      <w:pPr>
        <w:pStyle w:val="BDOISpacer"/>
      </w:pPr>
    </w:p>
    <w:p>
      <w:pPr>
        <w:pStyle w:val="Heading2"/>
      </w:pPr>
      <w:bookmarkStart w:id="117" w:name="_Toc000117"/>
      <w:r>
        <w:rPr/>
        <w:t>5.5 Pagination, sorting and filtering</w:t>
      </w:r>
      <w:bookmarkEnd w:id="117"/>
    </w:p>
    <w:p>
      <w:pPr>
        <w:tabs>
          <w:tab w:pos="312" w:val="left"/>
        </w:tabs>
        <w:spacing w:after="40"/>
        <w:ind w:left="312" w:hanging="283"/>
      </w:pPr>
      <w:r>
        <w:rPr>
          <w:color w:val="004EA8"/>
        </w:rPr>
        <w:t>•</w:t>
        <w:tab/>
      </w:r>
      <w:r>
        <w:rPr/>
        <w:t>List operations take page (zero-based) and size, and sort=field,asc or sort=field,desc; the default size is 20 and the maximum 2,000.</w:t>
      </w:r>
    </w:p>
    <w:p>
      <w:pPr>
        <w:tabs>
          <w:tab w:pos="312" w:val="left"/>
        </w:tabs>
        <w:spacing w:after="40"/>
        <w:ind w:left="312" w:hanging="283"/>
      </w:pPr>
      <w:r>
        <w:rPr>
          <w:color w:val="004EA8"/>
        </w:rPr>
        <w:t>•</w:t>
        <w:tab/>
      </w:r>
      <w:r>
        <w:rPr/>
        <w:t>A paged answer is an envelope with content, page, size, totalElements and totalPages, independent of the framework.</w:t>
      </w:r>
    </w:p>
    <w:p>
      <w:pPr>
        <w:tabs>
          <w:tab w:pos="312" w:val="left"/>
        </w:tabs>
        <w:spacing w:after="40"/>
        <w:ind w:left="312" w:hanging="283"/>
      </w:pPr>
      <w:r>
        <w:rPr>
          <w:color w:val="004EA8"/>
        </w:rPr>
        <w:t>•</w:t>
        <w:tab/>
      </w:r>
      <w:r>
        <w:rPr/>
        <w:t>Filters are query parameters named after the fields (status, companyId, branchId, dateFrom, dateTo); companyId and branchId are checked against the data scope.</w:t>
      </w:r>
    </w:p>
    <w:p>
      <w:pPr>
        <w:tabs>
          <w:tab w:pos="312" w:val="left"/>
        </w:tabs>
        <w:spacing w:after="120"/>
        <w:ind w:left="312" w:hanging="283"/>
      </w:pPr>
      <w:r>
        <w:rPr>
          <w:color w:val="004EA8"/>
        </w:rPr>
        <w:t>•</w:t>
        <w:tab/>
      </w:r>
      <w:r>
        <w:rPr/>
        <w:t>Large exports are reports run as jobs; the answer is a link to the file in S3, not a page of thousands of rows.</w:t>
      </w:r>
    </w:p>
    <w:p>
      <w:pPr>
        <w:pStyle w:val="Heading2"/>
      </w:pPr>
      <w:bookmarkStart w:id="118" w:name="_Toc000118"/>
      <w:r>
        <w:rPr/>
        <w:t>5.6 Idempotency and concurrency</w:t>
      </w:r>
      <w:bookmarkEnd w:id="118"/>
    </w:p>
    <w:p>
      <w:pPr>
        <w:tabs>
          <w:tab w:pos="312" w:val="left"/>
        </w:tabs>
        <w:spacing w:after="40"/>
        <w:ind w:left="312" w:hanging="283"/>
      </w:pPr>
      <w:r>
        <w:rPr>
          <w:color w:val="004EA8"/>
        </w:rPr>
        <w:t>•</w:t>
        <w:tab/>
      </w:r>
      <w:r>
        <w:rPr/>
        <w:t>GET is safe and can be repeated.</w:t>
      </w:r>
    </w:p>
    <w:p>
      <w:pPr>
        <w:tabs>
          <w:tab w:pos="312" w:val="left"/>
        </w:tabs>
        <w:spacing w:after="40"/>
        <w:ind w:left="312" w:hanging="283"/>
      </w:pPr>
      <w:r>
        <w:rPr>
          <w:color w:val="004EA8"/>
        </w:rPr>
        <w:t>•</w:t>
        <w:tab/>
      </w:r>
      <w:r>
        <w:rPr/>
        <w:t>Creations carry a business reference (receipt number, source reference of an inbound file or request, request number) that BIBS refuses twice with 409 DUPLICATE, so a retry after a time-out never creates a second record.</w:t>
      </w:r>
    </w:p>
    <w:p>
      <w:pPr>
        <w:tabs>
          <w:tab w:pos="312" w:val="left"/>
        </w:tabs>
        <w:spacing w:after="40"/>
        <w:ind w:left="312" w:hanging="283"/>
      </w:pPr>
      <w:r>
        <w:rPr>
          <w:color w:val="004EA8"/>
        </w:rPr>
        <w:t>•</w:t>
        <w:tab/>
      </w:r>
      <w:r>
        <w:rPr/>
        <w:t>Updates carry the version of the record read; a stale version is refused with 409 CONCURRENT_MODIFICATION.</w:t>
      </w:r>
    </w:p>
    <w:p>
      <w:pPr>
        <w:tabs>
          <w:tab w:pos="312" w:val="left"/>
        </w:tabs>
        <w:spacing w:after="40"/>
        <w:ind w:left="312" w:hanging="283"/>
      </w:pPr>
      <w:r>
        <w:rPr>
          <w:color w:val="004EA8"/>
        </w:rPr>
        <w:t>•</w:t>
        <w:tab/>
      </w:r>
      <w:r>
        <w:rPr/>
        <w:t>Business actions check the current stage of the record (workflow), so repeating an action that already took effect is refused with a business code instead of acting twice.</w:t>
      </w:r>
    </w:p>
    <w:p>
      <w:pPr>
        <w:tabs>
          <w:tab w:pos="312" w:val="left"/>
        </w:tabs>
        <w:spacing w:after="40"/>
        <w:ind w:left="312" w:hanging="283"/>
      </w:pPr>
      <w:r>
        <w:rPr>
          <w:color w:val="004EA8"/>
        </w:rPr>
        <w:t>•</w:t>
        <w:tab/>
      </w:r>
      <w:r>
        <w:rPr/>
        <w:t>System integration creations carry an Idempotency-Key header (a UUID of the caller); BIBS keeps the key and its answer for 24 hours and returns the same answer to a repeat (standard for every integration API, AP-03).</w:t>
      </w:r>
    </w:p>
    <w:p>
      <w:pPr>
        <w:tabs>
          <w:tab w:pos="312" w:val="left"/>
        </w:tabs>
        <w:spacing w:after="120"/>
        <w:ind w:left="312" w:hanging="283"/>
      </w:pPr>
      <w:r>
        <w:rPr>
          <w:color w:val="004EA8"/>
        </w:rPr>
        <w:t>•</w:t>
        <w:tab/>
      </w:r>
      <w:r>
        <w:rPr/>
        <w:t>Events are delivered at least once; consumers deduplicate on the event identifier.</w:t>
      </w:r>
    </w:p>
    <w:p>
      <w:pPr>
        <w:pStyle w:val="Heading2"/>
      </w:pPr>
      <w:bookmarkStart w:id="119" w:name="_Toc000119"/>
      <w:r>
        <w:rPr/>
        <w:t>5.7 Security</w:t>
      </w:r>
      <w:bookmarkEnd w:id="119"/>
    </w:p>
    <w:p>
      <w:pPr>
        <w:pStyle w:val="Caption"/>
        <w:keepNext/>
        <w:spacing w:after="60"/>
      </w:pPr>
      <w:r>
        <w:rPr>
          <w:b/>
          <w:i w:val="0"/>
        </w:rPr>
        <w:t xml:space="preserve">Table 7: </w:t>
      </w:r>
      <w:r>
        <w:rPr/>
        <w:t>Security of the operations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804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8046"/>
            <w:shd w:val="clear" w:color="auto" w:fill="004EA8"/>
            <w:tcMar>
              <w:top w:w="50" w:type="dxa"/>
              <w:bottom w:w="50" w:type="dxa"/>
              <w:left w:w="90" w:type="dxa"/>
              <w:right w:w="90" w:type="dxa"/>
            </w:tcMar>
            <w:vAlign w:val="center"/>
          </w:tcPr>
          <w:p>
            <w:pPr>
              <w:pStyle w:val="BDOITableHeader"/>
            </w:pPr>
            <w:r>
              <w:rPr>
                <w:b/>
                <w:color w:val="FFFFFF"/>
                <w:sz w:val="17"/>
              </w:rPr>
              <w:t>Rule</w:t>
            </w:r>
          </w:p>
        </w:tc>
      </w:tr>
      <w:tr>
        <w:trPr>
          <w:cantSplit w:val="true"/>
        </w:trPr>
        <w:tc>
          <w:tcPr>
            <w:tcW w:type="dxa" w:w="1926"/>
            <w:tcMar>
              <w:top w:w="50" w:type="dxa"/>
              <w:bottom w:w="50" w:type="dxa"/>
              <w:left w:w="90" w:type="dxa"/>
              <w:right w:w="90" w:type="dxa"/>
            </w:tcMar>
          </w:tcPr>
          <w:p>
            <w:pPr>
              <w:pStyle w:val="BDOITable"/>
            </w:pPr>
            <w:r>
              <w:rPr>
                <w:b/>
                <w:sz w:val="17"/>
              </w:rPr>
              <w:t>User authentication</w:t>
            </w:r>
          </w:p>
        </w:tc>
        <w:tc>
          <w:tcPr>
            <w:tcW w:type="dxa" w:w="8046"/>
            <w:tcMar>
              <w:top w:w="50" w:type="dxa"/>
              <w:bottom w:w="50" w:type="dxa"/>
              <w:left w:w="90" w:type="dxa"/>
              <w:right w:w="90" w:type="dxa"/>
            </w:tcMar>
          </w:tcPr>
          <w:p>
            <w:pPr>
              <w:pStyle w:val="BDOITable"/>
            </w:pPr>
            <w:r>
              <w:rPr>
                <w:sz w:val="17"/>
              </w:rPr>
              <w:t>Sign-in by EIAM single sign-on (OIDC, or SAML 2.0) or, for break-glass administrators, password and TOTP; the backend then issues an access token (JWT, HS256, 15 minutes by default, 5 to 60 by parameter) sent as a bearer token, and a refresh token in an HttpOnly, SameSite=Strict cookie limited to the sign-in path, rotated on every renewal; inactivity time-out and an absolute end after 8 hours</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Authorization</w:t>
            </w:r>
          </w:p>
        </w:tc>
        <w:tc>
          <w:tcPr>
            <w:tcW w:type="dxa" w:w="8046"/>
            <w:tcMar>
              <w:top w:w="50" w:type="dxa"/>
              <w:bottom w:w="50" w:type="dxa"/>
              <w:left w:w="90" w:type="dxa"/>
              <w:right w:w="90" w:type="dxa"/>
            </w:tcMar>
            <w:shd w:val="clear" w:color="auto" w:fill="E5F5FF"/>
          </w:tcPr>
          <w:p>
            <w:pPr>
              <w:pStyle w:val="BDOITable"/>
            </w:pPr>
            <w:r>
              <w:rPr>
                <w:sz w:val="17"/>
              </w:rPr>
              <w:t>Every operation names its permission (the Permission column of the catalogue); roles are permission bundles granted by access requests under four eyes; maker-checker and authorization limits apply in the services</w:t>
            </w:r>
          </w:p>
        </w:tc>
      </w:tr>
      <w:tr>
        <w:trPr>
          <w:cantSplit w:val="true"/>
        </w:trPr>
        <w:tc>
          <w:tcPr>
            <w:tcW w:type="dxa" w:w="1926"/>
            <w:tcMar>
              <w:top w:w="50" w:type="dxa"/>
              <w:bottom w:w="50" w:type="dxa"/>
              <w:left w:w="90" w:type="dxa"/>
              <w:right w:w="90" w:type="dxa"/>
            </w:tcMar>
          </w:tcPr>
          <w:p>
            <w:pPr>
              <w:pStyle w:val="BDOITable"/>
            </w:pPr>
            <w:r>
              <w:rPr>
                <w:b/>
                <w:sz w:val="17"/>
              </w:rPr>
              <w:t>Data scope</w:t>
            </w:r>
          </w:p>
        </w:tc>
        <w:tc>
          <w:tcPr>
            <w:tcW w:type="dxa" w:w="8046"/>
            <w:tcMar>
              <w:top w:w="50" w:type="dxa"/>
              <w:bottom w:w="50" w:type="dxa"/>
              <w:left w:w="90" w:type="dxa"/>
              <w:right w:w="90" w:type="dxa"/>
            </w:tcMar>
          </w:tcPr>
          <w:p>
            <w:pPr>
              <w:pStyle w:val="BDOITable"/>
            </w:pPr>
            <w:r>
              <w:rPr>
                <w:sz w:val="17"/>
              </w:rPr>
              <w:t>Company and branch in path, query or body checked centrally; list operations filter on the allowed companies</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System integration</w:t>
            </w:r>
          </w:p>
        </w:tc>
        <w:tc>
          <w:tcPr>
            <w:tcW w:type="dxa" w:w="8046"/>
            <w:tcMar>
              <w:top w:w="50" w:type="dxa"/>
              <w:bottom w:w="50" w:type="dxa"/>
              <w:left w:w="90" w:type="dxa"/>
              <w:right w:w="90" w:type="dxa"/>
            </w:tcMar>
            <w:shd w:val="clear" w:color="auto" w:fill="E5F5FF"/>
          </w:tcPr>
          <w:p>
            <w:pPr>
              <w:pStyle w:val="BDOITable"/>
            </w:pPr>
            <w:r>
              <w:rPr>
                <w:sz w:val="17"/>
              </w:rPr>
              <w:t>OAuth 2.0 access token issued by Apigee X; BIBS checks signature against the Apigee key set, issuer, audience, validity (60-second tolerance), asymmetric algorithms only (RS256), and the scopes configured for the path of the API; answers 401 or 403</w:t>
            </w:r>
          </w:p>
        </w:tc>
      </w:tr>
      <w:tr>
        <w:trPr>
          <w:cantSplit w:val="true"/>
        </w:trPr>
        <w:tc>
          <w:tcPr>
            <w:tcW w:type="dxa" w:w="1926"/>
            <w:tcMar>
              <w:top w:w="50" w:type="dxa"/>
              <w:bottom w:w="50" w:type="dxa"/>
              <w:left w:w="90" w:type="dxa"/>
              <w:right w:w="90" w:type="dxa"/>
            </w:tcMar>
          </w:tcPr>
          <w:p>
            <w:pPr>
              <w:pStyle w:val="BDOITable"/>
            </w:pPr>
            <w:r>
              <w:rPr>
                <w:b/>
                <w:sz w:val="17"/>
              </w:rPr>
              <w:t>Transport and headers</w:t>
            </w:r>
          </w:p>
        </w:tc>
        <w:tc>
          <w:tcPr>
            <w:tcW w:type="dxa" w:w="8046"/>
            <w:tcMar>
              <w:top w:w="50" w:type="dxa"/>
              <w:bottom w:w="50" w:type="dxa"/>
              <w:left w:w="90" w:type="dxa"/>
              <w:right w:w="90" w:type="dxa"/>
            </w:tcMar>
          </w:tcPr>
          <w:p>
            <w:pPr>
              <w:pStyle w:val="BDOITable"/>
            </w:pPr>
            <w:r>
              <w:rPr>
                <w:sz w:val="17"/>
              </w:rPr>
              <w:t>TLS 1.2 or higher; HSTS for one year; Content-Security-Policy default-src 'none' on API answers; X-Content-Type-Options nosniff; no-referrer; CORS limited to the BIBS origin</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Limits</w:t>
            </w:r>
          </w:p>
        </w:tc>
        <w:tc>
          <w:tcPr>
            <w:tcW w:type="dxa" w:w="8046"/>
            <w:tcMar>
              <w:top w:w="50" w:type="dxa"/>
              <w:bottom w:w="50" w:type="dxa"/>
              <w:left w:w="90" w:type="dxa"/>
              <w:right w:w="90" w:type="dxa"/>
            </w:tcMar>
            <w:shd w:val="clear" w:color="auto" w:fill="E5F5FF"/>
          </w:tcPr>
          <w:p>
            <w:pPr>
              <w:pStyle w:val="BDOITable"/>
            </w:pPr>
            <w:r>
              <w:rPr>
                <w:sz w:val="17"/>
              </w:rPr>
              <w:t>Sign-in 20 attempts a minute per address, password reset 10 per 15 minutes; Apigee quotas and spike arrest per product</w:t>
            </w:r>
          </w:p>
        </w:tc>
      </w:tr>
      <w:tr>
        <w:trPr>
          <w:cantSplit w:val="true"/>
        </w:trPr>
        <w:tc>
          <w:tcPr>
            <w:tcW w:type="dxa" w:w="1926"/>
            <w:tcMar>
              <w:top w:w="50" w:type="dxa"/>
              <w:bottom w:w="50" w:type="dxa"/>
              <w:left w:w="90" w:type="dxa"/>
              <w:right w:w="90" w:type="dxa"/>
            </w:tcMar>
          </w:tcPr>
          <w:p>
            <w:pPr>
              <w:pStyle w:val="BDOITable"/>
            </w:pPr>
            <w:r>
              <w:rPr>
                <w:b/>
                <w:sz w:val="17"/>
              </w:rPr>
              <w:t>Output</w:t>
            </w:r>
          </w:p>
        </w:tc>
        <w:tc>
          <w:tcPr>
            <w:tcW w:type="dxa" w:w="8046"/>
            <w:tcMar>
              <w:top w:w="50" w:type="dxa"/>
              <w:bottom w:w="50" w:type="dxa"/>
              <w:left w:w="90" w:type="dxa"/>
              <w:right w:w="90" w:type="dxa"/>
            </w:tcMar>
          </w:tcPr>
          <w:p>
            <w:pPr>
              <w:pStyle w:val="BDOITable"/>
            </w:pPr>
            <w:r>
              <w:rPr>
                <w:sz w:val="17"/>
              </w:rPr>
              <w:t>No stack traces or internal messages in answers; CSV exports protected against formula injection; personal data only where the permission allows it</w:t>
            </w:r>
          </w:p>
        </w:tc>
      </w:tr>
    </w:tbl>
    <w:p>
      <w:pPr>
        <w:pStyle w:val="BDOISpacer"/>
      </w:pPr>
    </w:p>
    <w:p>
      <w:pPr>
        <w:pStyle w:val="Heading2"/>
      </w:pPr>
      <w:bookmarkStart w:id="120" w:name="_Toc000120"/>
      <w:r>
        <w:rPr/>
        <w:t>5.8 Data formats</w:t>
      </w:r>
      <w:bookmarkEnd w:id="120"/>
    </w:p>
    <w:p>
      <w:pPr>
        <w:tabs>
          <w:tab w:pos="312" w:val="left"/>
        </w:tabs>
        <w:spacing w:after="40"/>
        <w:ind w:left="312" w:hanging="283"/>
      </w:pPr>
      <w:r>
        <w:rPr>
          <w:color w:val="004EA8"/>
        </w:rPr>
        <w:t>•</w:t>
        <w:tab/>
      </w:r>
      <w:r>
        <w:rPr/>
        <w:t>JSON in UTF-8. Dates are ISO-8601 dates (2026-10-08); timestamps are ISO-8601 in UTC with Z; the business date is the date in the business zone (Asia/Manila).</w:t>
      </w:r>
    </w:p>
    <w:p>
      <w:pPr>
        <w:tabs>
          <w:tab w:pos="312" w:val="left"/>
        </w:tabs>
        <w:spacing w:after="40"/>
        <w:ind w:left="312" w:hanging="283"/>
      </w:pPr>
      <w:r>
        <w:rPr>
          <w:color w:val="004EA8"/>
        </w:rPr>
        <w:t>•</w:t>
        <w:tab/>
      </w:r>
      <w:r>
        <w:rPr/>
        <w:t>Amounts are decimal numbers with two decimals, never floating point in the backend; every amount comes with its currency (ISO 4217 code); foreign-currency lines carry the base-currency amount too.</w:t>
      </w:r>
    </w:p>
    <w:p>
      <w:pPr>
        <w:tabs>
          <w:tab w:pos="312" w:val="left"/>
        </w:tabs>
        <w:spacing w:after="120"/>
        <w:ind w:left="312" w:hanging="283"/>
      </w:pPr>
      <w:r>
        <w:rPr>
          <w:color w:val="004EA8"/>
        </w:rPr>
        <w:t>•</w:t>
        <w:tab/>
      </w:r>
      <w:r>
        <w:rPr/>
        <w:t>Files are uploaded as multipart form data (Excel template, CSV or TXT where the upload screen allows it) and downloaded through a link valid 5 minutes, or streamed for protected e-mail attachments and ZIP bundles.</w:t>
      </w:r>
    </w:p>
    <w:p>
      <w:pPr>
        <w:pStyle w:val="Heading2"/>
      </w:pPr>
      <w:bookmarkStart w:id="121" w:name="_Toc000121"/>
      <w:r>
        <w:rPr/>
        <w:t>5.9 Tracing and support</w:t>
      </w:r>
      <w:bookmarkEnd w:id="121"/>
    </w:p>
    <w:p>
      <w:r>
        <w:rPr/>
        <w:t>Every answer carries X-Correlation-Id; the same identifier is in the log lines of the request and in the envelope of every integration event it published, so support can follow a request from the screen to the event archive. Unexpected errors also carry a reference that is in the log line.</w:t>
      </w:r>
    </w:p>
    <w:p>
      <w:pPr>
        <w:pStyle w:val="Heading1"/>
        <w:pBdr>
          <w:bottom w:val="single" w:sz="4" w:space="4" w:color="99C1E7"/>
        </w:pBdr>
      </w:pPr>
      <w:bookmarkStart w:id="122" w:name="_Toc000122"/>
      <w:r>
        <w:rPr/>
        <w:t>6 Governance of the API</w:t>
      </w:r>
      <w:bookmarkEnd w:id="122"/>
    </w:p>
    <w:p>
      <w:pPr>
        <w:pStyle w:val="Caption"/>
        <w:keepNext/>
        <w:spacing w:after="60"/>
      </w:pPr>
      <w:r>
        <w:rPr>
          <w:b/>
          <w:i w:val="0"/>
        </w:rPr>
        <w:t xml:space="preserve">Table 8: </w:t>
      </w:r>
      <w:r>
        <w:rPr/>
        <w:t>API responsibilities (R responsible, A accountable, C consulted, I informed)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73"/>
        <w:gridCol w:w="1359"/>
        <w:gridCol w:w="1359"/>
        <w:gridCol w:w="1359"/>
        <w:gridCol w:w="1359"/>
        <w:gridCol w:w="1359"/>
      </w:tblGrid>
      <w:tr>
        <w:trPr>
          <w:tblHeader w:val="true"/>
          <w:cantSplit w:val="true"/>
        </w:trPr>
        <w:tc>
          <w:tcPr>
            <w:tcW w:type="dxa" w:w="3173"/>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BDOI IT integration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 API team</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BDOI Information Security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iorta TechNXT Tech Lead</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iorta TechNXT Solution Architect</w:t>
            </w:r>
          </w:p>
        </w:tc>
      </w:tr>
      <w:tr>
        <w:trPr>
          <w:cantSplit w:val="true"/>
        </w:trPr>
        <w:tc>
          <w:tcPr>
            <w:tcW w:type="dxa" w:w="3173"/>
            <w:tcMar>
              <w:top w:w="50" w:type="dxa"/>
              <w:bottom w:w="50" w:type="dxa"/>
              <w:left w:w="90" w:type="dxa"/>
              <w:right w:w="90" w:type="dxa"/>
            </w:tcMar>
          </w:tcPr>
          <w:p>
            <w:pPr>
              <w:pStyle w:val="BDOITable"/>
            </w:pPr>
            <w:r>
              <w:rPr>
                <w:b/>
                <w:sz w:val="16"/>
              </w:rPr>
              <w:t>API standards (this document)</w:t>
            </w:r>
          </w:p>
        </w:tc>
        <w:tc>
          <w:tcPr>
            <w:tcW w:type="dxa" w:w="1360"/>
            <w:tcMar>
              <w:top w:w="50" w:type="dxa"/>
              <w:bottom w:w="50" w:type="dxa"/>
              <w:left w:w="90" w:type="dxa"/>
              <w:right w:w="90" w:type="dxa"/>
            </w:tcMar>
          </w:tcPr>
          <w:p>
            <w:pPr>
              <w:pStyle w:val="BDOITable"/>
            </w:pPr>
            <w:r>
              <w:rPr>
                <w:sz w:val="16"/>
              </w:rPr>
              <w:t>A</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R</w:t>
            </w:r>
          </w:p>
        </w:tc>
        <w:tc>
          <w:tcPr>
            <w:tcW w:type="dxa" w:w="1360"/>
            <w:tcMar>
              <w:top w:w="50" w:type="dxa"/>
              <w:bottom w:w="50" w:type="dxa"/>
              <w:left w:w="90" w:type="dxa"/>
              <w:right w:w="90" w:type="dxa"/>
            </w:tcMar>
          </w:tcPr>
          <w:p>
            <w:pPr>
              <w:pStyle w:val="BDOITable"/>
            </w:pPr>
            <w:r>
              <w:rPr>
                <w:sz w:val="16"/>
              </w:rPr>
              <w:t>R</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New or changed user interface operation</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A, R</w:t>
            </w:r>
          </w:p>
        </w:tc>
        <w:tc>
          <w:tcPr>
            <w:tcW w:type="dxa" w:w="1360"/>
            <w:tcMar>
              <w:top w:w="50" w:type="dxa"/>
              <w:bottom w:w="50" w:type="dxa"/>
              <w:left w:w="90" w:type="dxa"/>
              <w:right w:w="90" w:type="dxa"/>
            </w:tcMar>
            <w:shd w:val="clear" w:color="auto" w:fill="E5F5FF"/>
          </w:tcPr>
          <w:p>
            <w:pPr>
              <w:pStyle w:val="BDOITable"/>
            </w:pPr>
            <w:r>
              <w:rPr>
                <w:sz w:val="16"/>
              </w:rPr>
              <w:t>C</w:t>
            </w:r>
          </w:p>
        </w:tc>
      </w:tr>
      <w:tr>
        <w:trPr>
          <w:cantSplit w:val="true"/>
        </w:trPr>
        <w:tc>
          <w:tcPr>
            <w:tcW w:type="dxa" w:w="3173"/>
            <w:tcMar>
              <w:top w:w="50" w:type="dxa"/>
              <w:bottom w:w="50" w:type="dxa"/>
              <w:left w:w="90" w:type="dxa"/>
              <w:right w:w="90" w:type="dxa"/>
            </w:tcMar>
          </w:tcPr>
          <w:p>
            <w:pPr>
              <w:pStyle w:val="BDOITable"/>
            </w:pPr>
            <w:r>
              <w:rPr>
                <w:b/>
                <w:sz w:val="16"/>
              </w:rPr>
              <w:t>New system integration API</w:t>
            </w:r>
          </w:p>
        </w:tc>
        <w:tc>
          <w:tcPr>
            <w:tcW w:type="dxa" w:w="1360"/>
            <w:tcMar>
              <w:top w:w="50" w:type="dxa"/>
              <w:bottom w:w="50" w:type="dxa"/>
              <w:left w:w="90" w:type="dxa"/>
              <w:right w:w="90" w:type="dxa"/>
            </w:tcMar>
          </w:tcPr>
          <w:p>
            <w:pPr>
              <w:pStyle w:val="BDOITable"/>
            </w:pPr>
            <w:r>
              <w:rPr>
                <w:sz w:val="16"/>
              </w:rPr>
              <w:t>A</w:t>
            </w:r>
          </w:p>
        </w:tc>
        <w:tc>
          <w:tcPr>
            <w:tcW w:type="dxa" w:w="1360"/>
            <w:tcMar>
              <w:top w:w="50" w:type="dxa"/>
              <w:bottom w:w="50" w:type="dxa"/>
              <w:left w:w="90" w:type="dxa"/>
              <w:right w:w="90" w:type="dxa"/>
            </w:tcMar>
          </w:tcPr>
          <w:p>
            <w:pPr>
              <w:pStyle w:val="BDOITable"/>
            </w:pPr>
            <w:r>
              <w:rPr>
                <w:sz w:val="16"/>
              </w:rPr>
              <w:t>R</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R</w:t>
            </w:r>
          </w:p>
        </w:tc>
        <w:tc>
          <w:tcPr>
            <w:tcW w:type="dxa" w:w="1360"/>
            <w:tcMar>
              <w:top w:w="50" w:type="dxa"/>
              <w:bottom w:w="50" w:type="dxa"/>
              <w:left w:w="90" w:type="dxa"/>
              <w:right w:w="90" w:type="dxa"/>
            </w:tcMar>
          </w:tcPr>
          <w:p>
            <w:pPr>
              <w:pStyle w:val="BDOITable"/>
            </w:pPr>
            <w:r>
              <w:rPr>
                <w:sz w:val="16"/>
              </w:rPr>
              <w:t>C</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Apigee proxy, product, scopes, quotas</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A, R</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173"/>
            <w:tcMar>
              <w:top w:w="50" w:type="dxa"/>
              <w:bottom w:w="50" w:type="dxa"/>
              <w:left w:w="90" w:type="dxa"/>
              <w:right w:w="90" w:type="dxa"/>
            </w:tcMar>
          </w:tcPr>
          <w:p>
            <w:pPr>
              <w:pStyle w:val="BDOITable"/>
            </w:pPr>
            <w:r>
              <w:rPr>
                <w:b/>
                <w:sz w:val="16"/>
              </w:rPr>
              <w:t>API Catalogue and OpenAPI file per release</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A, R</w:t>
            </w:r>
          </w:p>
        </w:tc>
        <w:tc>
          <w:tcPr>
            <w:tcW w:type="dxa" w:w="1360"/>
            <w:tcMar>
              <w:top w:w="50" w:type="dxa"/>
              <w:bottom w:w="50" w:type="dxa"/>
              <w:left w:w="90" w:type="dxa"/>
              <w:right w:w="90" w:type="dxa"/>
            </w:tcMar>
          </w:tcPr>
          <w:p>
            <w:pPr>
              <w:pStyle w:val="BDOITable"/>
            </w:pPr>
            <w:r>
              <w:rPr>
                <w:sz w:val="16"/>
              </w:rPr>
              <w:t>C</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Security review of new operations</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A</w:t>
            </w:r>
          </w:p>
        </w:tc>
        <w:tc>
          <w:tcPr>
            <w:tcW w:type="dxa" w:w="1360"/>
            <w:tcMar>
              <w:top w:w="50" w:type="dxa"/>
              <w:bottom w:w="50" w:type="dxa"/>
              <w:left w:w="90" w:type="dxa"/>
              <w:right w:w="90" w:type="dxa"/>
            </w:tcMar>
            <w:shd w:val="clear" w:color="auto" w:fill="E5F5FF"/>
          </w:tcPr>
          <w:p>
            <w:pPr>
              <w:pStyle w:val="BDOITable"/>
            </w:pPr>
            <w:r>
              <w:rPr>
                <w:sz w:val="16"/>
              </w:rPr>
              <w:t>R</w:t>
            </w:r>
          </w:p>
        </w:tc>
        <w:tc>
          <w:tcPr>
            <w:tcW w:type="dxa" w:w="1360"/>
            <w:tcMar>
              <w:top w:w="50" w:type="dxa"/>
              <w:bottom w:w="50" w:type="dxa"/>
              <w:left w:w="90" w:type="dxa"/>
              <w:right w:w="90" w:type="dxa"/>
            </w:tcMar>
            <w:shd w:val="clear" w:color="auto" w:fill="E5F5FF"/>
          </w:tcPr>
          <w:p>
            <w:pPr>
              <w:pStyle w:val="BDOITable"/>
            </w:pPr>
            <w:r>
              <w:rPr>
                <w:sz w:val="16"/>
              </w:rPr>
              <w:t>C</w:t>
            </w:r>
          </w:p>
        </w:tc>
      </w:tr>
    </w:tbl>
    <w:p>
      <w:pPr>
        <w:pStyle w:val="BDOISpacer"/>
      </w:pPr>
    </w:p>
    <w:p>
      <w:r>
        <w:rPr/>
        <w:t>Rules for a change: a new operation names its permission and is covered by the data scope check (the compile fails otherwise); a breaking change follows the versioning rule; the catalogue and the OpenAPI file are regenerated with the release and listed in the release note.</w:t>
      </w:r>
    </w:p>
    <w:p>
      <w:pPr>
        <w:pStyle w:val="Heading1"/>
        <w:pBdr>
          <w:bottom w:val="single" w:sz="4" w:space="4" w:color="99C1E7"/>
        </w:pBdr>
      </w:pPr>
      <w:bookmarkStart w:id="123" w:name="_Toc000123"/>
      <w:r>
        <w:rPr/>
        <w:t>7 Decisions and open points for BDOI</w:t>
      </w:r>
      <w:bookmarkEnd w:id="123"/>
    </w:p>
    <w:p>
      <w:pPr>
        <w:pStyle w:val="Caption"/>
        <w:keepNext/>
        <w:spacing w:after="60"/>
      </w:pPr>
      <w:r>
        <w:rPr>
          <w:b/>
          <w:i w:val="0"/>
        </w:rPr>
        <w:t xml:space="preserve">Table 9: </w:t>
      </w:r>
      <w:r>
        <w:rPr/>
        <w:t>Decisions and open points for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1699"/>
        <w:gridCol w:w="4759"/>
        <w:gridCol w:w="1586"/>
        <w:gridCol w:w="12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4759"/>
            <w:shd w:val="clear" w:color="auto" w:fill="004EA8"/>
            <w:tcMar>
              <w:top w:w="50" w:type="dxa"/>
              <w:bottom w:w="50" w:type="dxa"/>
              <w:left w:w="90" w:type="dxa"/>
              <w:right w:w="90" w:type="dxa"/>
            </w:tcMar>
            <w:vAlign w:val="center"/>
          </w:tcPr>
          <w:p>
            <w:pPr>
              <w:pStyle w:val="BDOITableHeader"/>
            </w:pPr>
            <w:r>
              <w:rPr>
                <w:b/>
                <w:color w:val="FFFFFF"/>
                <w:sz w:val="16"/>
              </w:rPr>
              <w:t>Our proposal</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Needed by</w:t>
            </w:r>
          </w:p>
        </w:tc>
      </w:tr>
      <w:tr>
        <w:trPr>
          <w:cantSplit w:val="true"/>
        </w:trPr>
        <w:tc>
          <w:tcPr>
            <w:tcW w:type="dxa" w:w="680"/>
            <w:tcMar>
              <w:top w:w="50" w:type="dxa"/>
              <w:bottom w:w="50" w:type="dxa"/>
              <w:left w:w="90" w:type="dxa"/>
              <w:right w:w="90" w:type="dxa"/>
            </w:tcMar>
          </w:tcPr>
          <w:p>
            <w:pPr>
              <w:pStyle w:val="BDOITable"/>
            </w:pPr>
            <w:r>
              <w:rPr>
                <w:b/>
                <w:sz w:val="16"/>
              </w:rPr>
              <w:t>AP-01</w:t>
            </w:r>
          </w:p>
        </w:tc>
        <w:tc>
          <w:tcPr>
            <w:tcW w:type="dxa" w:w="1700"/>
            <w:tcMar>
              <w:top w:w="50" w:type="dxa"/>
              <w:bottom w:w="50" w:type="dxa"/>
              <w:left w:w="90" w:type="dxa"/>
              <w:right w:w="90" w:type="dxa"/>
            </w:tcMar>
          </w:tcPr>
          <w:p>
            <w:pPr>
              <w:pStyle w:val="BDOITable"/>
            </w:pPr>
            <w:r>
              <w:rPr>
                <w:sz w:val="16"/>
              </w:rPr>
              <w:t>OpenAPI file per release</w:t>
            </w:r>
          </w:p>
        </w:tc>
        <w:tc>
          <w:tcPr>
            <w:tcW w:type="dxa" w:w="4759"/>
            <w:tcMar>
              <w:top w:w="50" w:type="dxa"/>
              <w:bottom w:w="50" w:type="dxa"/>
              <w:left w:w="90" w:type="dxa"/>
              <w:right w:w="90" w:type="dxa"/>
            </w:tcMar>
          </w:tcPr>
          <w:p>
            <w:pPr>
              <w:pStyle w:val="BDOITable"/>
            </w:pPr>
            <w:r>
              <w:rPr>
                <w:sz w:val="16"/>
              </w:rPr>
              <w:t>The pipeline starts the release on a dev profile, exports the OpenAPI description and stores it with the release record and the API Catalogue; no environment beyond development serves it</w:t>
            </w:r>
          </w:p>
        </w:tc>
        <w:tc>
          <w:tcPr>
            <w:tcW w:type="dxa" w:w="1586"/>
            <w:tcMar>
              <w:top w:w="50" w:type="dxa"/>
              <w:bottom w:w="50" w:type="dxa"/>
              <w:left w:w="90" w:type="dxa"/>
              <w:right w:w="90" w:type="dxa"/>
            </w:tcMar>
          </w:tcPr>
          <w:p>
            <w:pPr>
              <w:pStyle w:val="BDOITable"/>
            </w:pPr>
            <w:r>
              <w:rPr>
                <w:sz w:val="16"/>
              </w:rPr>
              <w:t>iorta TechNXT Tech Lead; BDOI IT informed</w:t>
            </w:r>
          </w:p>
        </w:tc>
        <w:tc>
          <w:tcPr>
            <w:tcW w:type="dxa" w:w="1246"/>
            <w:tcMar>
              <w:top w:w="50" w:type="dxa"/>
              <w:bottom w:w="50" w:type="dxa"/>
              <w:left w:w="90" w:type="dxa"/>
              <w:right w:w="90" w:type="dxa"/>
            </w:tcMar>
          </w:tcPr>
          <w:p>
            <w:pPr>
              <w:pStyle w:val="BDOITable"/>
            </w:pPr>
            <w:r>
              <w:rPr>
                <w:sz w:val="16"/>
              </w:rPr>
              <w:t>31-Jan-2027</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AP-02</w:t>
            </w:r>
          </w:p>
        </w:tc>
        <w:tc>
          <w:tcPr>
            <w:tcW w:type="dxa" w:w="1700"/>
            <w:tcMar>
              <w:top w:w="50" w:type="dxa"/>
              <w:bottom w:w="50" w:type="dxa"/>
              <w:left w:w="90" w:type="dxa"/>
              <w:right w:w="90" w:type="dxa"/>
            </w:tcMar>
            <w:shd w:val="clear" w:color="auto" w:fill="E5F5FF"/>
          </w:tcPr>
          <w:p>
            <w:pPr>
              <w:pStyle w:val="BDOITable"/>
            </w:pPr>
            <w:r>
              <w:rPr>
                <w:sz w:val="16"/>
              </w:rPr>
              <w:t>Title of the OpenAPI description</w:t>
            </w:r>
          </w:p>
        </w:tc>
        <w:tc>
          <w:tcPr>
            <w:tcW w:type="dxa" w:w="4759"/>
            <w:tcMar>
              <w:top w:w="50" w:type="dxa"/>
              <w:bottom w:w="50" w:type="dxa"/>
              <w:left w:w="90" w:type="dxa"/>
              <w:right w:w="90" w:type="dxa"/>
            </w:tcMar>
            <w:shd w:val="clear" w:color="auto" w:fill="E5F5FF"/>
          </w:tcPr>
          <w:p>
            <w:pPr>
              <w:pStyle w:val="BDOITable"/>
            </w:pPr>
            <w:r>
              <w:rPr>
                <w:sz w:val="16"/>
              </w:rPr>
              <w:t>"BIBS API" with the BIBS release version and BDOI contact, instead of the platform title</w:t>
            </w:r>
          </w:p>
        </w:tc>
        <w:tc>
          <w:tcPr>
            <w:tcW w:type="dxa" w:w="1586"/>
            <w:tcMar>
              <w:top w:w="50" w:type="dxa"/>
              <w:bottom w:w="50" w:type="dxa"/>
              <w:left w:w="90" w:type="dxa"/>
              <w:right w:w="90" w:type="dxa"/>
            </w:tcMar>
            <w:shd w:val="clear" w:color="auto" w:fill="E5F5FF"/>
          </w:tcPr>
          <w:p>
            <w:pPr>
              <w:pStyle w:val="BDOITable"/>
            </w:pPr>
            <w:r>
              <w:rPr>
                <w:sz w:val="16"/>
              </w:rPr>
              <w:t>iorta TechNXT</w:t>
            </w:r>
          </w:p>
        </w:tc>
        <w:tc>
          <w:tcPr>
            <w:tcW w:type="dxa" w:w="1246"/>
            <w:tcMar>
              <w:top w:w="50" w:type="dxa"/>
              <w:bottom w:w="50" w:type="dxa"/>
              <w:left w:w="90" w:type="dxa"/>
              <w:right w:w="90" w:type="dxa"/>
            </w:tcMar>
            <w:shd w:val="clear" w:color="auto" w:fill="E5F5FF"/>
          </w:tcPr>
          <w:p>
            <w:pPr>
              <w:pStyle w:val="BDOITable"/>
            </w:pPr>
            <w:r>
              <w:rPr>
                <w:sz w:val="16"/>
              </w:rPr>
              <w:t>31-Jan-2027</w:t>
            </w:r>
          </w:p>
        </w:tc>
      </w:tr>
      <w:tr>
        <w:trPr>
          <w:cantSplit w:val="true"/>
        </w:trPr>
        <w:tc>
          <w:tcPr>
            <w:tcW w:type="dxa" w:w="680"/>
            <w:tcMar>
              <w:top w:w="50" w:type="dxa"/>
              <w:bottom w:w="50" w:type="dxa"/>
              <w:left w:w="90" w:type="dxa"/>
              <w:right w:w="90" w:type="dxa"/>
            </w:tcMar>
          </w:tcPr>
          <w:p>
            <w:pPr>
              <w:pStyle w:val="BDOITable"/>
            </w:pPr>
            <w:r>
              <w:rPr>
                <w:b/>
                <w:sz w:val="16"/>
              </w:rPr>
              <w:t>AP-03</w:t>
            </w:r>
          </w:p>
        </w:tc>
        <w:tc>
          <w:tcPr>
            <w:tcW w:type="dxa" w:w="1700"/>
            <w:tcMar>
              <w:top w:w="50" w:type="dxa"/>
              <w:bottom w:w="50" w:type="dxa"/>
              <w:left w:w="90" w:type="dxa"/>
              <w:right w:w="90" w:type="dxa"/>
            </w:tcMar>
          </w:tcPr>
          <w:p>
            <w:pPr>
              <w:pStyle w:val="BDOITable"/>
            </w:pPr>
            <w:r>
              <w:rPr>
                <w:sz w:val="16"/>
              </w:rPr>
              <w:t>Idempotency-Key on system integration</w:t>
            </w:r>
          </w:p>
        </w:tc>
        <w:tc>
          <w:tcPr>
            <w:tcW w:type="dxa" w:w="4759"/>
            <w:tcMar>
              <w:top w:w="50" w:type="dxa"/>
              <w:bottom w:w="50" w:type="dxa"/>
              <w:left w:w="90" w:type="dxa"/>
              <w:right w:w="90" w:type="dxa"/>
            </w:tcMar>
          </w:tcPr>
          <w:p>
            <w:pPr>
              <w:pStyle w:val="BDOITable"/>
            </w:pPr>
            <w:r>
              <w:rPr>
                <w:sz w:val="16"/>
              </w:rPr>
              <w:t>Every creation through integration/v1 carries an Idempotency-Key; BIBS keeps key and answer for 24 hours</w:t>
            </w:r>
          </w:p>
        </w:tc>
        <w:tc>
          <w:tcPr>
            <w:tcW w:type="dxa" w:w="1586"/>
            <w:tcMar>
              <w:top w:w="50" w:type="dxa"/>
              <w:bottom w:w="50" w:type="dxa"/>
              <w:left w:w="90" w:type="dxa"/>
              <w:right w:w="90" w:type="dxa"/>
            </w:tcMar>
          </w:tcPr>
          <w:p>
            <w:pPr>
              <w:pStyle w:val="BDOITable"/>
            </w:pPr>
            <w:r>
              <w:rPr>
                <w:sz w:val="16"/>
              </w:rPr>
              <w:t>BDOI IT integration, BDO API team</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AP-04</w:t>
            </w:r>
          </w:p>
        </w:tc>
        <w:tc>
          <w:tcPr>
            <w:tcW w:type="dxa" w:w="1700"/>
            <w:tcMar>
              <w:top w:w="50" w:type="dxa"/>
              <w:bottom w:w="50" w:type="dxa"/>
              <w:left w:w="90" w:type="dxa"/>
              <w:right w:w="90" w:type="dxa"/>
            </w:tcMar>
            <w:shd w:val="clear" w:color="auto" w:fill="E5F5FF"/>
          </w:tcPr>
          <w:p>
            <w:pPr>
              <w:pStyle w:val="BDOITable"/>
            </w:pPr>
            <w:r>
              <w:rPr>
                <w:sz w:val="16"/>
              </w:rPr>
              <w:t>Deprecation period</w:t>
            </w:r>
          </w:p>
        </w:tc>
        <w:tc>
          <w:tcPr>
            <w:tcW w:type="dxa" w:w="4759"/>
            <w:tcMar>
              <w:top w:w="50" w:type="dxa"/>
              <w:bottom w:w="50" w:type="dxa"/>
              <w:left w:w="90" w:type="dxa"/>
              <w:right w:w="90" w:type="dxa"/>
            </w:tcMar>
            <w:shd w:val="clear" w:color="auto" w:fill="E5F5FF"/>
          </w:tcPr>
          <w:p>
            <w:pPr>
              <w:pStyle w:val="BDOITable"/>
            </w:pPr>
            <w:r>
              <w:rPr>
                <w:sz w:val="16"/>
              </w:rPr>
              <w:t>A deprecated system integration version stays for at least two releases or three months, whichever is longer</w:t>
            </w:r>
          </w:p>
        </w:tc>
        <w:tc>
          <w:tcPr>
            <w:tcW w:type="dxa" w:w="1586"/>
            <w:tcMar>
              <w:top w:w="50" w:type="dxa"/>
              <w:bottom w:w="50" w:type="dxa"/>
              <w:left w:w="90" w:type="dxa"/>
              <w:right w:w="90" w:type="dxa"/>
            </w:tcMar>
            <w:shd w:val="clear" w:color="auto" w:fill="E5F5FF"/>
          </w:tcPr>
          <w:p>
            <w:pPr>
              <w:pStyle w:val="BDOITable"/>
            </w:pPr>
            <w:r>
              <w:rPr>
                <w:sz w:val="16"/>
              </w:rPr>
              <w:t>BDOI IT integration</w:t>
            </w:r>
          </w:p>
        </w:tc>
        <w:tc>
          <w:tcPr>
            <w:tcW w:type="dxa" w:w="1246"/>
            <w:tcMar>
              <w:top w:w="50" w:type="dxa"/>
              <w:bottom w:w="50" w:type="dxa"/>
              <w:left w:w="90" w:type="dxa"/>
              <w:right w:w="90" w:type="dxa"/>
            </w:tcMar>
            <w:shd w:val="clear" w:color="auto" w:fill="E5F5FF"/>
          </w:tcPr>
          <w:p>
            <w:pPr>
              <w:pStyle w:val="BDOITable"/>
            </w:pPr>
            <w:r>
              <w:rPr>
                <w:sz w:val="16"/>
              </w:rPr>
              <w:t>30-Nov-2026</w:t>
            </w:r>
          </w:p>
        </w:tc>
      </w:tr>
      <w:tr>
        <w:trPr>
          <w:cantSplit w:val="true"/>
        </w:trPr>
        <w:tc>
          <w:tcPr>
            <w:tcW w:type="dxa" w:w="680"/>
            <w:tcMar>
              <w:top w:w="50" w:type="dxa"/>
              <w:bottom w:w="50" w:type="dxa"/>
              <w:left w:w="90" w:type="dxa"/>
              <w:right w:w="90" w:type="dxa"/>
            </w:tcMar>
          </w:tcPr>
          <w:p>
            <w:pPr>
              <w:pStyle w:val="BDOITable"/>
            </w:pPr>
            <w:r>
              <w:rPr>
                <w:b/>
                <w:sz w:val="16"/>
              </w:rPr>
              <w:t>AP-05</w:t>
            </w:r>
          </w:p>
        </w:tc>
        <w:tc>
          <w:tcPr>
            <w:tcW w:type="dxa" w:w="1700"/>
            <w:tcMar>
              <w:top w:w="50" w:type="dxa"/>
              <w:bottom w:w="50" w:type="dxa"/>
              <w:left w:w="90" w:type="dxa"/>
              <w:right w:w="90" w:type="dxa"/>
            </w:tcMar>
          </w:tcPr>
          <w:p>
            <w:pPr>
              <w:pStyle w:val="BDOITable"/>
            </w:pPr>
            <w:r>
              <w:rPr>
                <w:sz w:val="16"/>
              </w:rPr>
              <w:t>Apigee developer portal</w:t>
            </w:r>
          </w:p>
        </w:tc>
        <w:tc>
          <w:tcPr>
            <w:tcW w:type="dxa" w:w="4759"/>
            <w:tcMar>
              <w:top w:w="50" w:type="dxa"/>
              <w:bottom w:w="50" w:type="dxa"/>
              <w:left w:w="90" w:type="dxa"/>
              <w:right w:w="90" w:type="dxa"/>
            </w:tcMar>
          </w:tcPr>
          <w:p>
            <w:pPr>
              <w:pStyle w:val="BDOITable"/>
            </w:pPr>
            <w:r>
              <w:rPr>
                <w:sz w:val="16"/>
              </w:rPr>
              <w:t>Each published BIBS API with its OpenAPI document on the Apigee developer portal of BDO</w:t>
            </w:r>
          </w:p>
        </w:tc>
        <w:tc>
          <w:tcPr>
            <w:tcW w:type="dxa" w:w="1586"/>
            <w:tcMar>
              <w:top w:w="50" w:type="dxa"/>
              <w:bottom w:w="50" w:type="dxa"/>
              <w:left w:w="90" w:type="dxa"/>
              <w:right w:w="90" w:type="dxa"/>
            </w:tcMar>
          </w:tcPr>
          <w:p>
            <w:pPr>
              <w:pStyle w:val="BDOITable"/>
            </w:pPr>
            <w:r>
              <w:rPr>
                <w:sz w:val="16"/>
              </w:rPr>
              <w:t>BDO API team</w:t>
            </w:r>
          </w:p>
        </w:tc>
        <w:tc>
          <w:tcPr>
            <w:tcW w:type="dxa" w:w="1246"/>
            <w:tcMar>
              <w:top w:w="50" w:type="dxa"/>
              <w:bottom w:w="50" w:type="dxa"/>
              <w:left w:w="90" w:type="dxa"/>
              <w:right w:w="90" w:type="dxa"/>
            </w:tcMar>
          </w:tcPr>
          <w:p>
            <w:pPr>
              <w:pStyle w:val="BDOITable"/>
            </w:pPr>
            <w:r>
              <w:rPr>
                <w:sz w:val="16"/>
              </w:rPr>
              <w:t>31-Mar-2027</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AP-06</w:t>
            </w:r>
          </w:p>
        </w:tc>
        <w:tc>
          <w:tcPr>
            <w:tcW w:type="dxa" w:w="1700"/>
            <w:tcMar>
              <w:top w:w="50" w:type="dxa"/>
              <w:bottom w:w="50" w:type="dxa"/>
              <w:left w:w="90" w:type="dxa"/>
              <w:right w:w="90" w:type="dxa"/>
            </w:tcMar>
            <w:shd w:val="clear" w:color="auto" w:fill="E5F5FF"/>
          </w:tcPr>
          <w:p>
            <w:pPr>
              <w:pStyle w:val="BDOITable"/>
            </w:pPr>
            <w:r>
              <w:rPr>
                <w:sz w:val="16"/>
              </w:rPr>
              <w:t>Quotas</w:t>
            </w:r>
          </w:p>
        </w:tc>
        <w:tc>
          <w:tcPr>
            <w:tcW w:type="dxa" w:w="4759"/>
            <w:tcMar>
              <w:top w:w="50" w:type="dxa"/>
              <w:bottom w:w="50" w:type="dxa"/>
              <w:left w:w="90" w:type="dxa"/>
              <w:right w:w="90" w:type="dxa"/>
            </w:tcMar>
            <w:shd w:val="clear" w:color="auto" w:fill="E5F5FF"/>
          </w:tcPr>
          <w:p>
            <w:pPr>
              <w:pStyle w:val="BDOITable"/>
            </w:pPr>
            <w:r>
              <w:rPr>
                <w:sz w:val="16"/>
              </w:rPr>
              <w:t>Default Apigee quota of 600 calls a minute per client application with spike arrest of 20 a second; adjusted per interface in its specification</w:t>
            </w:r>
          </w:p>
        </w:tc>
        <w:tc>
          <w:tcPr>
            <w:tcW w:type="dxa" w:w="1586"/>
            <w:tcMar>
              <w:top w:w="50" w:type="dxa"/>
              <w:bottom w:w="50" w:type="dxa"/>
              <w:left w:w="90" w:type="dxa"/>
              <w:right w:w="90" w:type="dxa"/>
            </w:tcMar>
            <w:shd w:val="clear" w:color="auto" w:fill="E5F5FF"/>
          </w:tcPr>
          <w:p>
            <w:pPr>
              <w:pStyle w:val="BDOITable"/>
            </w:pPr>
            <w:r>
              <w:rPr>
                <w:sz w:val="16"/>
              </w:rPr>
              <w:t>BDO API team</w:t>
            </w:r>
          </w:p>
        </w:tc>
        <w:tc>
          <w:tcPr>
            <w:tcW w:type="dxa" w:w="1246"/>
            <w:tcMar>
              <w:top w:w="50" w:type="dxa"/>
              <w:bottom w:w="50" w:type="dxa"/>
              <w:left w:w="90" w:type="dxa"/>
              <w:right w:w="90" w:type="dxa"/>
            </w:tcMar>
            <w:shd w:val="clear" w:color="auto" w:fill="E5F5FF"/>
          </w:tcPr>
          <w:p>
            <w:pPr>
              <w:pStyle w:val="BDOITable"/>
            </w:pPr>
            <w:r>
              <w:rPr>
                <w:sz w:val="16"/>
              </w:rPr>
              <w:t>30-Nov-2026</w:t>
            </w:r>
          </w:p>
        </w:tc>
      </w:tr>
    </w:tbl>
    <w:p>
      <w:pPr>
        <w:pStyle w:val="BDOISpacer"/>
      </w:pPr>
    </w:p>
    <w:p>
      <w:pPr>
        <w:pStyle w:val="Heading1"/>
        <w:pBdr>
          <w:bottom w:val="single" w:sz="4" w:space="4" w:color="99C1E7"/>
        </w:pBdr>
      </w:pPr>
      <w:bookmarkStart w:id="124" w:name="_Toc000124"/>
      <w:r>
        <w:rPr/>
        <w:t>Glossary</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API</w:t>
            </w:r>
          </w:p>
        </w:tc>
        <w:tc>
          <w:tcPr>
            <w:tcW w:type="dxa" w:w="7932"/>
            <w:tcMar>
              <w:top w:w="50" w:type="dxa"/>
              <w:bottom w:w="50" w:type="dxa"/>
              <w:left w:w="90" w:type="dxa"/>
              <w:right w:w="90" w:type="dxa"/>
            </w:tcMar>
          </w:tcPr>
          <w:p>
            <w:pPr>
              <w:pStyle w:val="BDOITable"/>
            </w:pPr>
            <w:r>
              <w:rPr>
                <w:sz w:val="18"/>
              </w:rPr>
              <w:t>Application programming interface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JWT</w:t>
            </w:r>
          </w:p>
        </w:tc>
        <w:tc>
          <w:tcPr>
            <w:tcW w:type="dxa" w:w="7932"/>
            <w:tcMar>
              <w:top w:w="50" w:type="dxa"/>
              <w:bottom w:w="50" w:type="dxa"/>
              <w:left w:w="90" w:type="dxa"/>
              <w:right w:w="90" w:type="dxa"/>
            </w:tcMar>
            <w:shd w:val="clear" w:color="auto" w:fill="E5F5FF"/>
          </w:tcPr>
          <w:p>
            <w:pPr>
              <w:pStyle w:val="BDOITable"/>
            </w:pPr>
            <w:r>
              <w:rPr>
                <w:sz w:val="18"/>
              </w:rPr>
              <w:t>JSON Web Token</w:t>
            </w:r>
          </w:p>
        </w:tc>
      </w:tr>
      <w:tr>
        <w:trPr>
          <w:cantSplit w:val="true"/>
        </w:trPr>
        <w:tc>
          <w:tcPr>
            <w:tcW w:type="dxa" w:w="2040"/>
            <w:tcMar>
              <w:top w:w="50" w:type="dxa"/>
              <w:bottom w:w="50" w:type="dxa"/>
              <w:left w:w="90" w:type="dxa"/>
              <w:right w:w="90" w:type="dxa"/>
            </w:tcMar>
          </w:tcPr>
          <w:p>
            <w:pPr>
              <w:pStyle w:val="BDOITable"/>
            </w:pPr>
            <w:r>
              <w:rPr>
                <w:b/>
                <w:sz w:val="18"/>
              </w:rPr>
              <w:t>OIDC</w:t>
            </w:r>
          </w:p>
        </w:tc>
        <w:tc>
          <w:tcPr>
            <w:tcW w:type="dxa" w:w="7932"/>
            <w:tcMar>
              <w:top w:w="50" w:type="dxa"/>
              <w:bottom w:w="50" w:type="dxa"/>
              <w:left w:w="90" w:type="dxa"/>
              <w:right w:w="90" w:type="dxa"/>
            </w:tcMar>
          </w:tcPr>
          <w:p>
            <w:pPr>
              <w:pStyle w:val="BDOITable"/>
            </w:pPr>
            <w:r>
              <w:rPr>
                <w:sz w:val="18"/>
              </w:rPr>
              <w:t>OpenID Connect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OpenAPI</w:t>
            </w:r>
          </w:p>
        </w:tc>
        <w:tc>
          <w:tcPr>
            <w:tcW w:type="dxa" w:w="7932"/>
            <w:tcMar>
              <w:top w:w="50" w:type="dxa"/>
              <w:bottom w:w="50" w:type="dxa"/>
              <w:left w:w="90" w:type="dxa"/>
              <w:right w:w="90" w:type="dxa"/>
            </w:tcMar>
            <w:shd w:val="clear" w:color="auto" w:fill="E5F5FF"/>
          </w:tcPr>
          <w:p>
            <w:pPr>
              <w:pStyle w:val="BDOITable"/>
            </w:pPr>
            <w:r>
              <w:rPr>
                <w:sz w:val="18"/>
              </w:rPr>
              <w:t>Standard description format of HTTP APIs (version 3)</w:t>
            </w:r>
          </w:p>
        </w:tc>
      </w:tr>
      <w:tr>
        <w:trPr>
          <w:cantSplit w:val="true"/>
        </w:trPr>
        <w:tc>
          <w:tcPr>
            <w:tcW w:type="dxa" w:w="2040"/>
            <w:tcMar>
              <w:top w:w="50" w:type="dxa"/>
              <w:bottom w:w="50" w:type="dxa"/>
              <w:left w:w="90" w:type="dxa"/>
              <w:right w:w="90" w:type="dxa"/>
            </w:tcMar>
          </w:tcPr>
          <w:p>
            <w:pPr>
              <w:pStyle w:val="BDOITable"/>
            </w:pPr>
            <w:r>
              <w:rPr>
                <w:b/>
                <w:sz w:val="18"/>
              </w:rPr>
              <w:t>RFC 7807</w:t>
            </w:r>
          </w:p>
        </w:tc>
        <w:tc>
          <w:tcPr>
            <w:tcW w:type="dxa" w:w="7932"/>
            <w:tcMar>
              <w:top w:w="50" w:type="dxa"/>
              <w:bottom w:w="50" w:type="dxa"/>
              <w:left w:w="90" w:type="dxa"/>
              <w:right w:w="90" w:type="dxa"/>
            </w:tcMar>
          </w:tcPr>
          <w:p>
            <w:pPr>
              <w:pStyle w:val="BDOITable"/>
            </w:pPr>
            <w:r>
              <w:rPr>
                <w:sz w:val="18"/>
              </w:rPr>
              <w:t>Problem details for HTTP APIs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SAML</w:t>
            </w:r>
          </w:p>
        </w:tc>
        <w:tc>
          <w:tcPr>
            <w:tcW w:type="dxa" w:w="7932"/>
            <w:tcMar>
              <w:top w:w="50" w:type="dxa"/>
              <w:bottom w:w="50" w:type="dxa"/>
              <w:left w:w="90" w:type="dxa"/>
              <w:right w:w="90" w:type="dxa"/>
            </w:tcMar>
            <w:shd w:val="clear" w:color="auto" w:fill="E5F5FF"/>
          </w:tcPr>
          <w:p>
            <w:pPr>
              <w:pStyle w:val="BDOITable"/>
            </w:pPr>
            <w:r>
              <w:rPr>
                <w:sz w:val="18"/>
              </w:rPr>
              <w:t>Security Assertion Markup Language 2.0</w:t>
            </w:r>
          </w:p>
        </w:tc>
      </w:tr>
      <w:tr>
        <w:trPr>
          <w:cantSplit w:val="true"/>
        </w:trPr>
        <w:tc>
          <w:tcPr>
            <w:tcW w:type="dxa" w:w="2040"/>
            <w:tcMar>
              <w:top w:w="50" w:type="dxa"/>
              <w:bottom w:w="50" w:type="dxa"/>
              <w:left w:w="90" w:type="dxa"/>
              <w:right w:w="90" w:type="dxa"/>
            </w:tcMar>
          </w:tcPr>
          <w:p>
            <w:pPr>
              <w:pStyle w:val="BDOITable"/>
            </w:pPr>
            <w:r>
              <w:rPr>
                <w:b/>
                <w:sz w:val="18"/>
              </w:rPr>
              <w:t>TOTP</w:t>
            </w:r>
          </w:p>
        </w:tc>
        <w:tc>
          <w:tcPr>
            <w:tcW w:type="dxa" w:w="7932"/>
            <w:tcMar>
              <w:top w:w="50" w:type="dxa"/>
              <w:bottom w:w="50" w:type="dxa"/>
              <w:left w:w="90" w:type="dxa"/>
              <w:right w:w="90" w:type="dxa"/>
            </w:tcMar>
          </w:tcPr>
          <w:p>
            <w:pPr>
              <w:pStyle w:val="BDOITable"/>
            </w:pPr>
            <w:r>
              <w:rPr>
                <w:sz w:val="18"/>
              </w:rPr>
              <w:t>Time-based one-time password</w:t>
            </w: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Architecture set, document 5 of 6</w:t>
    </w:r>
    <w:r>
      <w:rPr>
        <w:color w:val="656565"/>
        <w:sz w:val="16"/>
      </w:rPr>
      <w:t xml:space="preserve">   API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Architecture BRD-00 API Specification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