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INFRASTRUCTURE ARCHITECTURE</w:t>
      </w:r>
    </w:p>
    <w:p>
      <w:pPr>
        <w:spacing w:after="80" w:line="240" w:lineRule="auto"/>
      </w:pPr>
      <w:r>
        <w:rPr>
          <w:b/>
          <w:color w:val="004EA8"/>
          <w:sz w:val="56"/>
        </w:rPr>
        <w:t>Infrastructure Architecture</w:t>
      </w:r>
    </w:p>
    <w:p>
      <w:pPr>
        <w:spacing w:after="40"/>
      </w:pPr>
      <w:r>
        <w:rPr>
          <w:color w:val="2E2E2E"/>
          <w:sz w:val="28"/>
        </w:rPr>
        <w:t>Hosting, network zones, sizing, data services, high availability, backup, monitoring and the component baseline of BIBS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BIBS-ARC-03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DevOps Engineer; iorta TechNXT Tech Lead</w:t>
            </w:r>
          </w:p>
        </w:tc>
        <w:tc>
          <w:tcPr>
            <w:tcW w:type="dxa" w:w="1700"/>
            <w:tcMar>
              <w:top w:w="50" w:type="dxa"/>
              <w:bottom w:w="50" w:type="dxa"/>
              <w:left w:w="90" w:type="dxa"/>
              <w:right w:w="90" w:type="dxa"/>
            </w:tcMar>
          </w:tcPr>
          <w:p>
            <w:pPr>
              <w:pStyle w:val="BDOITable"/>
            </w:pPr>
            <w:r>
              <w:rPr>
                <w:sz w:val="18"/>
              </w:rPr>
              <w:t>BDO IT Cloud and Digital Operations Engineering (pending)</w:t>
            </w:r>
          </w:p>
        </w:tc>
        <w:tc>
          <w:tcPr>
            <w:tcW w:type="dxa" w:w="2606"/>
            <w:tcMar>
              <w:top w:w="50" w:type="dxa"/>
              <w:bottom w:w="50" w:type="dxa"/>
              <w:left w:w="90" w:type="dxa"/>
              <w:right w:w="90" w:type="dxa"/>
            </w:tcMar>
          </w:tcPr>
          <w:p>
            <w:pPr>
              <w:pStyle w:val="BDOITable"/>
            </w:pPr>
            <w:r>
              <w:rPr>
                <w:sz w:val="18"/>
              </w:rPr>
              <w:t>First issue, aligned with the IER workbook v20 and the component baseline of 8 October 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Cloud and Digital Operations Engineering (IER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IT</w:t>
            </w:r>
          </w:p>
        </w:tc>
        <w:tc>
          <w:tcPr>
            <w:tcW w:type="dxa" w:w="2833"/>
            <w:tcMar>
              <w:top w:w="50" w:type="dxa"/>
              <w:bottom w:w="50" w:type="dxa"/>
              <w:left w:w="90" w:type="dxa"/>
              <w:right w:w="90" w:type="dxa"/>
            </w:tcMar>
          </w:tcPr>
          <w:p>
            <w:pPr>
              <w:pStyle w:val="BDOITable"/>
            </w:pPr>
            <w:r>
              <w:rPr>
                <w:sz w:val="18"/>
              </w:rPr>
              <w:t>Hosting, sizing, IER restatement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Enterprise Architecture</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 IT</w:t>
            </w:r>
          </w:p>
        </w:tc>
        <w:tc>
          <w:tcPr>
            <w:tcW w:type="dxa" w:w="2833"/>
            <w:tcMar>
              <w:top w:w="50" w:type="dxa"/>
              <w:bottom w:w="50" w:type="dxa"/>
              <w:left w:w="90" w:type="dxa"/>
              <w:right w:w="90" w:type="dxa"/>
            </w:tcMar>
            <w:shd w:val="clear" w:color="auto" w:fill="E5F5FF"/>
          </w:tcPr>
          <w:p>
            <w:pPr>
              <w:pStyle w:val="BDOITable"/>
            </w:pPr>
            <w:r>
              <w:rPr>
                <w:sz w:val="18"/>
              </w:rPr>
              <w:t>Infrastructure baseline</w:t>
            </w:r>
          </w:p>
        </w:tc>
      </w:tr>
      <w:tr>
        <w:trPr>
          <w:cantSplit w:val="true"/>
        </w:trPr>
        <w:tc>
          <w:tcPr>
            <w:tcW w:type="dxa" w:w="2606"/>
            <w:tcMar>
              <w:top w:w="50" w:type="dxa"/>
              <w:bottom w:w="50" w:type="dxa"/>
              <w:left w:w="90" w:type="dxa"/>
              <w:right w:w="90" w:type="dxa"/>
            </w:tcMar>
          </w:tcPr>
          <w:p>
            <w:pPr>
              <w:pStyle w:val="BDOITable"/>
            </w:pPr>
            <w:r>
              <w:rPr>
                <w:sz w:val="18"/>
              </w:rPr>
              <w:t>Information Security Office</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 IT</w:t>
            </w:r>
          </w:p>
        </w:tc>
        <w:tc>
          <w:tcPr>
            <w:tcW w:type="dxa" w:w="2833"/>
            <w:tcMar>
              <w:top w:w="50" w:type="dxa"/>
              <w:bottom w:w="50" w:type="dxa"/>
              <w:left w:w="90" w:type="dxa"/>
              <w:right w:w="90" w:type="dxa"/>
            </w:tcMar>
          </w:tcPr>
          <w:p>
            <w:pPr>
              <w:pStyle w:val="BDOITable"/>
            </w:pPr>
            <w:r>
              <w:rPr>
                <w:sz w:val="18"/>
              </w:rPr>
              <w:t>Zones, trust boundaries, encryption, keys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Network team</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 IT</w:t>
            </w:r>
          </w:p>
        </w:tc>
        <w:tc>
          <w:tcPr>
            <w:tcW w:type="dxa" w:w="2833"/>
            <w:tcMar>
              <w:top w:w="50" w:type="dxa"/>
              <w:bottom w:w="50" w:type="dxa"/>
              <w:left w:w="90" w:type="dxa"/>
              <w:right w:w="90" w:type="dxa"/>
            </w:tcMar>
            <w:shd w:val="clear" w:color="auto" w:fill="E5F5FF"/>
          </w:tcPr>
          <w:p>
            <w:pPr>
              <w:pStyle w:val="BDOITable"/>
            </w:pPr>
            <w:r>
              <w:rPr>
                <w:sz w:val="18"/>
              </w:rPr>
              <w:t>Connectivity, private routes, address ranges</w:t>
            </w:r>
          </w:p>
        </w:tc>
      </w:tr>
      <w:tr>
        <w:trPr>
          <w:cantSplit w:val="true"/>
        </w:trPr>
        <w:tc>
          <w:tcPr>
            <w:tcW w:type="dxa" w:w="2606"/>
            <w:tcMar>
              <w:top w:w="50" w:type="dxa"/>
              <w:bottom w:w="50" w:type="dxa"/>
              <w:left w:w="90" w:type="dxa"/>
              <w:right w:w="90" w:type="dxa"/>
            </w:tcMar>
          </w:tcPr>
          <w:p>
            <w:pPr>
              <w:pStyle w:val="BDOITable"/>
            </w:pPr>
            <w:r>
              <w:rPr>
                <w:sz w:val="18"/>
              </w:rPr>
              <w:t>IT Operations and DBA</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 IT</w:t>
            </w:r>
          </w:p>
        </w:tc>
        <w:tc>
          <w:tcPr>
            <w:tcW w:type="dxa" w:w="2833"/>
            <w:tcMar>
              <w:top w:w="50" w:type="dxa"/>
              <w:bottom w:w="50" w:type="dxa"/>
              <w:left w:w="90" w:type="dxa"/>
              <w:right w:w="90" w:type="dxa"/>
            </w:tcMar>
          </w:tcPr>
          <w:p>
            <w:pPr>
              <w:pStyle w:val="BDOITable"/>
            </w:pPr>
            <w:r>
              <w:rPr>
                <w:sz w:val="18"/>
              </w:rPr>
              <w:t>Backups, DR, monitoring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Environments and operations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 and audience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1.3 Sources</w:t>
        </w:r>
        <w:r>
          <w:t xml:space="preserve">	</w:t>
        </w:r>
        <w:r>
          <w:t xml:space="preserve">4</w:t>
        </w:r>
      </w:hyperlink>
    </w:p>
    <w:p>
      <w:pPr>
        <w:pStyle w:val="toc2"/>
      </w:pPr>
      <w:hyperlink w:anchor="_Toc000105" w:history="1">
        <w:r>
          <w:t xml:space="preserve">1.4 Conventions</w:t>
        </w:r>
        <w:r>
          <w:t xml:space="preserve">	</w:t>
        </w:r>
        <w:r>
          <w:t xml:space="preserve">4</w:t>
        </w:r>
      </w:hyperlink>
    </w:p>
    <w:p>
      <w:pPr>
        <w:pStyle w:val="toc1"/>
      </w:pPr>
      <w:hyperlink w:anchor="_Toc000106" w:history="1">
        <w:r>
          <w:t xml:space="preserve">2 Hosting model</w:t>
        </w:r>
        <w:r>
          <w:t xml:space="preserve">	</w:t>
        </w:r>
        <w:r>
          <w:t xml:space="preserve">4</w:t>
        </w:r>
      </w:hyperlink>
    </w:p>
    <w:p>
      <w:pPr>
        <w:pStyle w:val="toc1"/>
      </w:pPr>
      <w:hyperlink w:anchor="_Toc000107" w:history="1">
        <w:r>
          <w:t xml:space="preserve">3 Environments</w:t>
        </w:r>
        <w:r>
          <w:t xml:space="preserve">	</w:t>
        </w:r>
        <w:r>
          <w:t xml:space="preserve">5</w:t>
        </w:r>
      </w:hyperlink>
    </w:p>
    <w:p>
      <w:pPr>
        <w:pStyle w:val="toc1"/>
      </w:pPr>
      <w:hyperlink w:anchor="_Toc000108" w:history="1">
        <w:r>
          <w:t xml:space="preserve">4 Network zones and trust boundaries</w:t>
        </w:r>
        <w:r>
          <w:t xml:space="preserve">	</w:t>
        </w:r>
        <w:r>
          <w:t xml:space="preserve">6</w:t>
        </w:r>
      </w:hyperlink>
    </w:p>
    <w:p>
      <w:pPr>
        <w:pStyle w:val="toc1"/>
      </w:pPr>
      <w:hyperlink w:anchor="_Toc000109" w:history="1">
        <w:r>
          <w:t xml:space="preserve">5 Compute and storage sizing</w:t>
        </w:r>
        <w:r>
          <w:t xml:space="preserve">	</w:t>
        </w:r>
        <w:r>
          <w:t xml:space="preserve">7</w:t>
        </w:r>
      </w:hyperlink>
    </w:p>
    <w:p>
      <w:pPr>
        <w:pStyle w:val="toc2"/>
      </w:pPr>
      <w:hyperlink w:anchor="_Toc000110" w:history="1">
        <w:r>
          <w:t xml:space="preserve">5.1 IER figures and the proposed BIBS sizing</w:t>
        </w:r>
        <w:r>
          <w:t xml:space="preserve">	</w:t>
        </w:r>
        <w:r>
          <w:t xml:space="preserve">7</w:t>
        </w:r>
      </w:hyperlink>
    </w:p>
    <w:p>
      <w:pPr>
        <w:pStyle w:val="toc2"/>
      </w:pPr>
      <w:hyperlink w:anchor="_Toc000111" w:history="1">
        <w:r>
          <w:t xml:space="preserve">5.2 How the sizes were derived</w:t>
        </w:r>
        <w:r>
          <w:t xml:space="preserve">	</w:t>
        </w:r>
        <w:r>
          <w:t xml:space="preserve">8</w:t>
        </w:r>
      </w:hyperlink>
    </w:p>
    <w:p>
      <w:pPr>
        <w:pStyle w:val="toc1"/>
      </w:pPr>
      <w:hyperlink w:anchor="_Toc000112" w:history="1">
        <w:r>
          <w:t xml:space="preserve">6 Data services</w:t>
        </w:r>
        <w:r>
          <w:t xml:space="preserve">	</w:t>
        </w:r>
        <w:r>
          <w:t xml:space="preserve">9</w:t>
        </w:r>
      </w:hyperlink>
    </w:p>
    <w:p>
      <w:pPr>
        <w:pStyle w:val="toc2"/>
      </w:pPr>
      <w:hyperlink w:anchor="_Toc000113" w:history="1">
        <w:r>
          <w:t xml:space="preserve">6.1 PostgreSQL 16: high availability and backups</w:t>
        </w:r>
        <w:r>
          <w:t xml:space="preserve">	</w:t>
        </w:r>
        <w:r>
          <w:t xml:space="preserve">9</w:t>
        </w:r>
      </w:hyperlink>
    </w:p>
    <w:p>
      <w:pPr>
        <w:pStyle w:val="toc2"/>
      </w:pPr>
      <w:hyperlink w:anchor="_Toc000114" w:history="1">
        <w:r>
          <w:t xml:space="preserve">6.2 Valkey 8</w:t>
        </w:r>
        <w:r>
          <w:t xml:space="preserve">	</w:t>
        </w:r>
        <w:r>
          <w:t xml:space="preserve">9</w:t>
        </w:r>
      </w:hyperlink>
    </w:p>
    <w:p>
      <w:pPr>
        <w:pStyle w:val="toc2"/>
      </w:pPr>
      <w:hyperlink w:anchor="_Toc000115" w:history="1">
        <w:r>
          <w:t xml:space="preserve">6.3 Apache Kafka 3.9 (KRaft)</w:t>
        </w:r>
        <w:r>
          <w:t xml:space="preserve">	</w:t>
        </w:r>
        <w:r>
          <w:t xml:space="preserve">10</w:t>
        </w:r>
      </w:hyperlink>
    </w:p>
    <w:p>
      <w:pPr>
        <w:pStyle w:val="toc2"/>
      </w:pPr>
      <w:hyperlink w:anchor="_Toc000116" w:history="1">
        <w:r>
          <w:t xml:space="preserve">6.4 Object and file storage (Amazon S3)</w:t>
        </w:r>
        <w:r>
          <w:t xml:space="preserve">	</w:t>
        </w:r>
        <w:r>
          <w:t xml:space="preserve">10</w:t>
        </w:r>
      </w:hyperlink>
    </w:p>
    <w:p>
      <w:pPr>
        <w:pStyle w:val="toc1"/>
      </w:pPr>
      <w:hyperlink w:anchor="_Toc000117" w:history="1">
        <w:r>
          <w:t xml:space="preserve">7 High availability and disaster recovery</w:t>
        </w:r>
        <w:r>
          <w:t xml:space="preserve">	</w:t>
        </w:r>
        <w:r>
          <w:t xml:space="preserve">11</w:t>
        </w:r>
      </w:hyperlink>
    </w:p>
    <w:p>
      <w:pPr>
        <w:pStyle w:val="toc1"/>
      </w:pPr>
      <w:hyperlink w:anchor="_Toc000118" w:history="1">
        <w:r>
          <w:t xml:space="preserve">8 Monitoring</w:t>
        </w:r>
        <w:r>
          <w:t xml:space="preserve">	</w:t>
        </w:r>
        <w:r>
          <w:t xml:space="preserve">12</w:t>
        </w:r>
      </w:hyperlink>
    </w:p>
    <w:p>
      <w:pPr>
        <w:pStyle w:val="toc1"/>
      </w:pPr>
      <w:hyperlink w:anchor="_Toc000119" w:history="1">
        <w:r>
          <w:t xml:space="preserve">9 Security infrastructure</w:t>
        </w:r>
        <w:r>
          <w:t xml:space="preserve">	</w:t>
        </w:r>
        <w:r>
          <w:t xml:space="preserve">13</w:t>
        </w:r>
      </w:hyperlink>
    </w:p>
    <w:p>
      <w:pPr>
        <w:pStyle w:val="toc1"/>
      </w:pPr>
      <w:hyperlink w:anchor="_Toc000120" w:history="1">
        <w:r>
          <w:t xml:space="preserve">10 Component baseline</w:t>
        </w:r>
        <w:r>
          <w:t xml:space="preserve">	</w:t>
        </w:r>
        <w:r>
          <w:t xml:space="preserve">13</w:t>
        </w:r>
      </w:hyperlink>
    </w:p>
    <w:p>
      <w:pPr>
        <w:pStyle w:val="toc1"/>
      </w:pPr>
      <w:hyperlink w:anchor="_Toc000121" w:history="1">
        <w:r>
          <w:t xml:space="preserve">11 Responsibilities</w:t>
        </w:r>
        <w:r>
          <w:t xml:space="preserve">	</w:t>
        </w:r>
        <w:r>
          <w:t xml:space="preserve">14</w:t>
        </w:r>
      </w:hyperlink>
    </w:p>
    <w:p>
      <w:pPr>
        <w:pStyle w:val="toc1"/>
      </w:pPr>
      <w:hyperlink w:anchor="_Toc000122" w:history="1">
        <w:r>
          <w:t xml:space="preserve">12 Decisions and open points for BDOI</w:t>
        </w:r>
        <w:r>
          <w:t xml:space="preserve">	</w:t>
        </w:r>
        <w:r>
          <w:t xml:space="preserve">15</w:t>
        </w:r>
      </w:hyperlink>
    </w:p>
    <w:p>
      <w:pPr>
        <w:pStyle w:val="toc1"/>
      </w:pPr>
      <w:hyperlink w:anchor="_Toc000123" w:history="1">
        <w:r>
          <w:t xml:space="preserve">Glossary</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 and audience</w:t>
      </w:r>
      <w:bookmarkEnd w:id="102"/>
    </w:p>
    <w:p>
      <w:r>
        <w:rPr/>
        <w:t>This document describes the infrastructure that runs BIBS, for BDO IT Cloud and Digital Operations Engineering (owner of the IER workbook), the network team, the Information Security Office, the DBAs and IT Operations. It states the hosting model, the network zones and trust boundaries, the sizing of each environment derived from the IER workbook, the data services and their high availability and backups, disaster recovery, monitoring, and the component baseline with licences and support horizons.</w:t>
      </w:r>
    </w:p>
    <w:p>
      <w:pPr>
        <w:pStyle w:val="Heading2"/>
      </w:pPr>
      <w:bookmarkStart w:id="103" w:name="_Toc000103"/>
      <w:r>
        <w:rPr/>
        <w:t>1.2 Scope</w:t>
      </w:r>
      <w:bookmarkEnd w:id="103"/>
    </w:p>
    <w:p>
      <w:r>
        <w:rPr/>
        <w:t>All six environments (DEV, SIT, UAT, Pre-Prod, PROD, DR) on AWS, the EKS clusters at node level, PostgreSQL 16, Valkey 8, Apache Kafka 3.9 (KRaft), Amazon S3, keys and secrets, connectivity to the BDO network and Apigee X, and the monitoring stack. Kubernetes resources inside the clusters are in the Deployment Architecture.</w:t>
      </w:r>
    </w:p>
    <w:p>
      <w:pPr>
        <w:pStyle w:val="Heading2"/>
      </w:pPr>
      <w:bookmarkStart w:id="104" w:name="_Toc000104"/>
      <w:r>
        <w:rPr/>
        <w:t>1.3 Sources</w:t>
      </w:r>
      <w:bookmarkEnd w:id="104"/>
    </w:p>
    <w:p>
      <w:pPr>
        <w:pStyle w:val="Caption"/>
        <w:keepNext/>
        <w:spacing w:after="60"/>
      </w:pPr>
      <w:r>
        <w:rPr>
          <w:b/>
          <w:i w:val="0"/>
        </w:rPr>
        <w:t xml:space="preserve">Table 1: </w:t>
      </w:r>
      <w:r>
        <w:rPr/>
        <w:t>Sources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66"/>
        <w:gridCol w:w="3966"/>
        <w:gridCol w:w="5439"/>
      </w:tblGrid>
      <w:tr>
        <w:trPr>
          <w:tblHeader w:val="true"/>
          <w:cantSplit w:val="true"/>
        </w:trPr>
        <w:tc>
          <w:tcPr>
            <w:tcW w:type="dxa" w:w="567"/>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5439"/>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567"/>
            <w:tcMar>
              <w:top w:w="50" w:type="dxa"/>
              <w:bottom w:w="50" w:type="dxa"/>
              <w:left w:w="90" w:type="dxa"/>
              <w:right w:w="90" w:type="dxa"/>
            </w:tcMar>
          </w:tcPr>
          <w:p>
            <w:pPr>
              <w:pStyle w:val="BDOITable"/>
            </w:pPr>
            <w:r>
              <w:rPr>
                <w:b/>
                <w:sz w:val="18"/>
              </w:rPr>
              <w:t>S1</w:t>
            </w:r>
          </w:p>
        </w:tc>
        <w:tc>
          <w:tcPr>
            <w:tcW w:type="dxa" w:w="3966"/>
            <w:tcMar>
              <w:top w:w="50" w:type="dxa"/>
              <w:bottom w:w="50" w:type="dxa"/>
              <w:left w:w="90" w:type="dxa"/>
              <w:right w:w="90" w:type="dxa"/>
            </w:tcMar>
          </w:tcPr>
          <w:p>
            <w:pPr>
              <w:pStyle w:val="BDOITable"/>
            </w:pPr>
            <w:r>
              <w:rPr>
                <w:sz w:val="18"/>
              </w:rPr>
              <w:t>IER workbook v20: HW and SW Requirements, Kubernetes sheets (DEV, SIT, UAT, PROD Y1-Y5), environment sheets, assumptions, VDI requirements</w:t>
            </w:r>
          </w:p>
        </w:tc>
        <w:tc>
          <w:tcPr>
            <w:tcW w:type="dxa" w:w="5439"/>
            <w:tcMar>
              <w:top w:w="50" w:type="dxa"/>
              <w:bottom w:w="50" w:type="dxa"/>
              <w:left w:w="90" w:type="dxa"/>
              <w:right w:w="90" w:type="dxa"/>
            </w:tcMar>
          </w:tcPr>
          <w:p>
            <w:pPr>
              <w:pStyle w:val="BDOITable"/>
            </w:pPr>
            <w:r>
              <w:rPr>
                <w:sz w:val="18"/>
              </w:rPr>
              <w:t>Sizing, hours, growth, recovery objectives</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S2</w:t>
            </w:r>
          </w:p>
        </w:tc>
        <w:tc>
          <w:tcPr>
            <w:tcW w:type="dxa" w:w="3966"/>
            <w:tcMar>
              <w:top w:w="50" w:type="dxa"/>
              <w:bottom w:w="50" w:type="dxa"/>
              <w:left w:w="90" w:type="dxa"/>
              <w:right w:w="90" w:type="dxa"/>
            </w:tcMar>
            <w:shd w:val="clear" w:color="auto" w:fill="E5F5FF"/>
          </w:tcPr>
          <w:p>
            <w:pPr>
              <w:pStyle w:val="BDOITable"/>
            </w:pPr>
            <w:r>
              <w:rPr>
                <w:sz w:val="18"/>
              </w:rPr>
              <w:t>Programme Alignment pack v1.0, chapter 6 (IER against BIBS) and questions IQ25 to IQ35</w:t>
            </w:r>
          </w:p>
        </w:tc>
        <w:tc>
          <w:tcPr>
            <w:tcW w:type="dxa" w:w="5439"/>
            <w:tcMar>
              <w:top w:w="50" w:type="dxa"/>
              <w:bottom w:w="50" w:type="dxa"/>
              <w:left w:w="90" w:type="dxa"/>
              <w:right w:w="90" w:type="dxa"/>
            </w:tcMar>
            <w:shd w:val="clear" w:color="auto" w:fill="E5F5FF"/>
          </w:tcPr>
          <w:p>
            <w:pPr>
              <w:pStyle w:val="BDOITable"/>
            </w:pPr>
            <w:r>
              <w:rPr>
                <w:sz w:val="18"/>
              </w:rPr>
              <w:t>Changes to the IER, open questions</w:t>
            </w:r>
          </w:p>
        </w:tc>
      </w:tr>
      <w:tr>
        <w:trPr>
          <w:cantSplit w:val="true"/>
        </w:trPr>
        <w:tc>
          <w:tcPr>
            <w:tcW w:type="dxa" w:w="567"/>
            <w:tcMar>
              <w:top w:w="50" w:type="dxa"/>
              <w:bottom w:w="50" w:type="dxa"/>
              <w:left w:w="90" w:type="dxa"/>
              <w:right w:w="90" w:type="dxa"/>
            </w:tcMar>
          </w:tcPr>
          <w:p>
            <w:pPr>
              <w:pStyle w:val="BDOITable"/>
            </w:pPr>
            <w:r>
              <w:rPr>
                <w:b/>
                <w:sz w:val="18"/>
              </w:rPr>
              <w:t>S3</w:t>
            </w:r>
          </w:p>
        </w:tc>
        <w:tc>
          <w:tcPr>
            <w:tcW w:type="dxa" w:w="3966"/>
            <w:tcMar>
              <w:top w:w="50" w:type="dxa"/>
              <w:bottom w:w="50" w:type="dxa"/>
              <w:left w:w="90" w:type="dxa"/>
              <w:right w:w="90" w:type="dxa"/>
            </w:tcMar>
          </w:tcPr>
          <w:p>
            <w:pPr>
              <w:pStyle w:val="BDOITable"/>
            </w:pPr>
            <w:r>
              <w:rPr>
                <w:sz w:val="18"/>
              </w:rPr>
              <w:t>Document storage decision record (approved 26-Sep-2026)</w:t>
            </w:r>
          </w:p>
        </w:tc>
        <w:tc>
          <w:tcPr>
            <w:tcW w:type="dxa" w:w="5439"/>
            <w:tcMar>
              <w:top w:w="50" w:type="dxa"/>
              <w:bottom w:w="50" w:type="dxa"/>
              <w:left w:w="90" w:type="dxa"/>
              <w:right w:w="90" w:type="dxa"/>
            </w:tcMar>
          </w:tcPr>
          <w:p>
            <w:pPr>
              <w:pStyle w:val="BDOITable"/>
            </w:pPr>
            <w:r>
              <w:rPr>
                <w:sz w:val="18"/>
              </w:rPr>
              <w:t>Buckets, keys, Object Lock, replication, malware scanning</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S4</w:t>
            </w:r>
          </w:p>
        </w:tc>
        <w:tc>
          <w:tcPr>
            <w:tcW w:type="dxa" w:w="3966"/>
            <w:tcMar>
              <w:top w:w="50" w:type="dxa"/>
              <w:bottom w:w="50" w:type="dxa"/>
              <w:left w:w="90" w:type="dxa"/>
              <w:right w:w="90" w:type="dxa"/>
            </w:tcMar>
            <w:shd w:val="clear" w:color="auto" w:fill="E5F5FF"/>
          </w:tcPr>
          <w:p>
            <w:pPr>
              <w:pStyle w:val="BDOITable"/>
            </w:pPr>
            <w:r>
              <w:rPr>
                <w:sz w:val="18"/>
              </w:rPr>
              <w:t>Application architecture option decision (26-Sep-2026)</w:t>
            </w:r>
          </w:p>
        </w:tc>
        <w:tc>
          <w:tcPr>
            <w:tcW w:type="dxa" w:w="5439"/>
            <w:tcMar>
              <w:top w:w="50" w:type="dxa"/>
              <w:bottom w:w="50" w:type="dxa"/>
              <w:left w:w="90" w:type="dxa"/>
              <w:right w:w="90" w:type="dxa"/>
            </w:tcMar>
            <w:shd w:val="clear" w:color="auto" w:fill="E5F5FF"/>
          </w:tcPr>
          <w:p>
            <w:pPr>
              <w:pStyle w:val="BDOITable"/>
            </w:pPr>
            <w:r>
              <w:rPr>
                <w:sz w:val="18"/>
              </w:rPr>
              <w:t>Edge, encryption in transit, network policies</w:t>
            </w:r>
          </w:p>
        </w:tc>
      </w:tr>
      <w:tr>
        <w:trPr>
          <w:cantSplit w:val="true"/>
        </w:trPr>
        <w:tc>
          <w:tcPr>
            <w:tcW w:type="dxa" w:w="567"/>
            <w:tcMar>
              <w:top w:w="50" w:type="dxa"/>
              <w:bottom w:w="50" w:type="dxa"/>
              <w:left w:w="90" w:type="dxa"/>
              <w:right w:w="90" w:type="dxa"/>
            </w:tcMar>
          </w:tcPr>
          <w:p>
            <w:pPr>
              <w:pStyle w:val="BDOITable"/>
            </w:pPr>
            <w:r>
              <w:rPr>
                <w:b/>
                <w:sz w:val="18"/>
              </w:rPr>
              <w:t>S5</w:t>
            </w:r>
          </w:p>
        </w:tc>
        <w:tc>
          <w:tcPr>
            <w:tcW w:type="dxa" w:w="3966"/>
            <w:tcMar>
              <w:top w:w="50" w:type="dxa"/>
              <w:bottom w:w="50" w:type="dxa"/>
              <w:left w:w="90" w:type="dxa"/>
              <w:right w:w="90" w:type="dxa"/>
            </w:tcMar>
          </w:tcPr>
          <w:p>
            <w:pPr>
              <w:pStyle w:val="BDOITable"/>
            </w:pPr>
            <w:r>
              <w:rPr>
                <w:sz w:val="18"/>
              </w:rPr>
              <w:t>Client decisions of 8-Oct-2026</w:t>
            </w:r>
          </w:p>
        </w:tc>
        <w:tc>
          <w:tcPr>
            <w:tcW w:type="dxa" w:w="5439"/>
            <w:tcMar>
              <w:top w:w="50" w:type="dxa"/>
              <w:bottom w:w="50" w:type="dxa"/>
              <w:left w:w="90" w:type="dxa"/>
              <w:right w:w="90" w:type="dxa"/>
            </w:tcMar>
          </w:tcPr>
          <w:p>
            <w:pPr>
              <w:pStyle w:val="BDOITable"/>
            </w:pPr>
            <w:r>
              <w:rPr>
                <w:sz w:val="18"/>
              </w:rPr>
              <w:t>Component baseline (Valkey, Kafka 3.9, Gateway API)</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S6</w:t>
            </w:r>
          </w:p>
        </w:tc>
        <w:tc>
          <w:tcPr>
            <w:tcW w:type="dxa" w:w="3966"/>
            <w:tcMar>
              <w:top w:w="50" w:type="dxa"/>
              <w:bottom w:w="50" w:type="dxa"/>
              <w:left w:w="90" w:type="dxa"/>
              <w:right w:w="90" w:type="dxa"/>
            </w:tcMar>
            <w:shd w:val="clear" w:color="auto" w:fill="E5F5FF"/>
          </w:tcPr>
          <w:p>
            <w:pPr>
              <w:pStyle w:val="BDOITable"/>
            </w:pPr>
            <w:r>
              <w:rPr>
                <w:sz w:val="18"/>
              </w:rPr>
              <w:t>BIBS deployment guide, runbook, platform cache and events architecture</w:t>
            </w:r>
          </w:p>
        </w:tc>
        <w:tc>
          <w:tcPr>
            <w:tcW w:type="dxa" w:w="5439"/>
            <w:tcMar>
              <w:top w:w="50" w:type="dxa"/>
              <w:bottom w:w="50" w:type="dxa"/>
              <w:left w:w="90" w:type="dxa"/>
              <w:right w:w="90" w:type="dxa"/>
            </w:tcMar>
            <w:shd w:val="clear" w:color="auto" w:fill="E5F5FF"/>
          </w:tcPr>
          <w:p>
            <w:pPr>
              <w:pStyle w:val="BDOITable"/>
            </w:pPr>
            <w:r>
              <w:rPr>
                <w:sz w:val="18"/>
              </w:rPr>
              <w:t>Database roles, backups, Valkey and Kafka behaviour</w:t>
            </w:r>
          </w:p>
        </w:tc>
      </w:tr>
      <w:tr>
        <w:trPr>
          <w:cantSplit w:val="true"/>
        </w:trPr>
        <w:tc>
          <w:tcPr>
            <w:tcW w:type="dxa" w:w="567"/>
            <w:tcMar>
              <w:top w:w="50" w:type="dxa"/>
              <w:bottom w:w="50" w:type="dxa"/>
              <w:left w:w="90" w:type="dxa"/>
              <w:right w:w="90" w:type="dxa"/>
            </w:tcMar>
          </w:tcPr>
          <w:p>
            <w:pPr>
              <w:pStyle w:val="BDOITable"/>
            </w:pPr>
            <w:r>
              <w:rPr>
                <w:b/>
                <w:sz w:val="18"/>
              </w:rPr>
              <w:t>S7</w:t>
            </w:r>
          </w:p>
        </w:tc>
        <w:tc>
          <w:tcPr>
            <w:tcW w:type="dxa" w:w="3966"/>
            <w:tcMar>
              <w:top w:w="50" w:type="dxa"/>
              <w:bottom w:w="50" w:type="dxa"/>
              <w:left w:w="90" w:type="dxa"/>
              <w:right w:w="90" w:type="dxa"/>
            </w:tcMar>
          </w:tcPr>
          <w:p>
            <w:pPr>
              <w:pStyle w:val="BDOITable"/>
            </w:pPr>
            <w:r>
              <w:rPr>
                <w:sz w:val="18"/>
              </w:rPr>
              <w:t>Umbrella Core Replacement BRD p.42-46 and the hosting appendix</w:t>
            </w:r>
          </w:p>
        </w:tc>
        <w:tc>
          <w:tcPr>
            <w:tcW w:type="dxa" w:w="5439"/>
            <w:tcMar>
              <w:top w:w="50" w:type="dxa"/>
              <w:bottom w:w="50" w:type="dxa"/>
              <w:left w:w="90" w:type="dxa"/>
              <w:right w:w="90" w:type="dxa"/>
            </w:tcMar>
          </w:tcPr>
          <w:p>
            <w:pPr>
              <w:pStyle w:val="BDOITable"/>
            </w:pPr>
            <w:r>
              <w:rPr>
                <w:sz w:val="18"/>
              </w:rPr>
              <w:t>Users, volumes, retention, backup, data residency</w:t>
            </w:r>
          </w:p>
        </w:tc>
      </w:tr>
    </w:tbl>
    <w:p>
      <w:pPr>
        <w:pStyle w:val="BDOISpacer"/>
      </w:pPr>
    </w:p>
    <w:p>
      <w:pPr>
        <w:pStyle w:val="Heading2"/>
      </w:pPr>
      <w:bookmarkStart w:id="105" w:name="_Toc000105"/>
      <w:r>
        <w:rPr/>
        <w:t>1.4 Conventions</w:t>
      </w:r>
      <w:bookmarkEnd w:id="105"/>
    </w:p>
    <w:p>
      <w:r>
        <w:rPr/>
        <w:t>Open points of this document are numbered IA-01 to IA-10 (chapter 12). Sizes are vCPU and GiB; storage in GB as in the IER.</w:t>
      </w:r>
    </w:p>
    <w:p>
      <w:pPr>
        <w:pStyle w:val="Heading1"/>
        <w:pBdr>
          <w:bottom w:val="single" w:sz="4" w:space="4" w:color="99C1E7"/>
        </w:pBdr>
      </w:pPr>
      <w:bookmarkStart w:id="106" w:name="_Toc000106"/>
      <w:r>
        <w:rPr/>
        <w:t>2 Hosting model</w:t>
      </w:r>
      <w:bookmarkEnd w:id="106"/>
    </w:p>
    <w:p>
      <w:r>
        <w:rPr/>
        <w:t>BIBS runs in BDOI's AWS organisation in the Asia Pacific (Singapore) region, ap-southeast-1, on managed services (ADR-18). Philippine data stays in the approved regions; access is restricted to personnel in the Philippines (hosting appendix).</w:t>
      </w:r>
    </w:p>
    <w:p>
      <w:pPr>
        <w:pStyle w:val="Caption"/>
        <w:keepNext/>
        <w:spacing w:after="60"/>
      </w:pPr>
      <w:r>
        <w:rPr>
          <w:b/>
          <w:i w:val="0"/>
        </w:rPr>
        <w:t xml:space="preserve">Table 2: </w:t>
      </w:r>
      <w:r>
        <w:rPr/>
        <w:t>Hosting model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3626"/>
        <w:gridCol w:w="4306"/>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7"/>
              </w:rPr>
              <w:t>Layer</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7"/>
              </w:rPr>
              <w:t>Service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7"/>
              </w:rPr>
              <w:t>Notes</w:t>
            </w:r>
          </w:p>
        </w:tc>
      </w:tr>
      <w:tr>
        <w:trPr>
          <w:cantSplit w:val="true"/>
        </w:trPr>
        <w:tc>
          <w:tcPr>
            <w:tcW w:type="dxa" w:w="2040"/>
            <w:tcMar>
              <w:top w:w="50" w:type="dxa"/>
              <w:bottom w:w="50" w:type="dxa"/>
              <w:left w:w="90" w:type="dxa"/>
              <w:right w:w="90" w:type="dxa"/>
            </w:tcMar>
          </w:tcPr>
          <w:p>
            <w:pPr>
              <w:pStyle w:val="BDOITable"/>
            </w:pPr>
            <w:r>
              <w:rPr>
                <w:b/>
                <w:sz w:val="17"/>
              </w:rPr>
              <w:t>Containers</w:t>
            </w:r>
          </w:p>
        </w:tc>
        <w:tc>
          <w:tcPr>
            <w:tcW w:type="dxa" w:w="3626"/>
            <w:tcMar>
              <w:top w:w="50" w:type="dxa"/>
              <w:bottom w:w="50" w:type="dxa"/>
              <w:left w:w="90" w:type="dxa"/>
              <w:right w:w="90" w:type="dxa"/>
            </w:tcMar>
          </w:tcPr>
          <w:p>
            <w:pPr>
              <w:pStyle w:val="BDOITable"/>
            </w:pPr>
            <w:r>
              <w:rPr>
                <w:sz w:val="17"/>
              </w:rPr>
              <w:t>Amazon EKS, managed node groups across three availability zones</w:t>
            </w:r>
          </w:p>
        </w:tc>
        <w:tc>
          <w:tcPr>
            <w:tcW w:type="dxa" w:w="4306"/>
            <w:tcMar>
              <w:top w:w="50" w:type="dxa"/>
              <w:bottom w:w="50" w:type="dxa"/>
              <w:left w:w="90" w:type="dxa"/>
              <w:right w:w="90" w:type="dxa"/>
            </w:tcMar>
          </w:tcPr>
          <w:p>
            <w:pPr>
              <w:pStyle w:val="BDOITable"/>
            </w:pPr>
            <w:r>
              <w:rPr>
                <w:sz w:val="17"/>
              </w:rPr>
              <w:t>Kubernetes version supported by EKS; upgraded within its 14-month standard support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Relational data</w:t>
            </w:r>
          </w:p>
        </w:tc>
        <w:tc>
          <w:tcPr>
            <w:tcW w:type="dxa" w:w="3626"/>
            <w:tcMar>
              <w:top w:w="50" w:type="dxa"/>
              <w:bottom w:w="50" w:type="dxa"/>
              <w:left w:w="90" w:type="dxa"/>
              <w:right w:w="90" w:type="dxa"/>
            </w:tcMar>
            <w:shd w:val="clear" w:color="auto" w:fill="E5F5FF"/>
          </w:tcPr>
          <w:p>
            <w:pPr>
              <w:pStyle w:val="BDOITable"/>
            </w:pPr>
            <w:r>
              <w:rPr>
                <w:sz w:val="17"/>
              </w:rPr>
              <w:t>Amazon RDS for PostgreSQL 16</w:t>
            </w:r>
          </w:p>
        </w:tc>
        <w:tc>
          <w:tcPr>
            <w:tcW w:type="dxa" w:w="4306"/>
            <w:tcMar>
              <w:top w:w="50" w:type="dxa"/>
              <w:bottom w:w="50" w:type="dxa"/>
              <w:left w:w="90" w:type="dxa"/>
              <w:right w:w="90" w:type="dxa"/>
            </w:tcMar>
            <w:shd w:val="clear" w:color="auto" w:fill="E5F5FF"/>
          </w:tcPr>
          <w:p>
            <w:pPr>
              <w:pStyle w:val="BDOITable"/>
            </w:pPr>
            <w:r>
              <w:rPr>
                <w:sz w:val="17"/>
              </w:rPr>
              <w:t>Single-AZ in DEV, SIT, UAT; Multi-AZ in Pre-Prod and PROD; cross-region read replica for DR</w:t>
            </w:r>
          </w:p>
        </w:tc>
      </w:tr>
      <w:tr>
        <w:trPr>
          <w:cantSplit w:val="true"/>
        </w:trPr>
        <w:tc>
          <w:tcPr>
            <w:tcW w:type="dxa" w:w="2040"/>
            <w:tcMar>
              <w:top w:w="50" w:type="dxa"/>
              <w:bottom w:w="50" w:type="dxa"/>
              <w:left w:w="90" w:type="dxa"/>
              <w:right w:w="90" w:type="dxa"/>
            </w:tcMar>
          </w:tcPr>
          <w:p>
            <w:pPr>
              <w:pStyle w:val="BDOITable"/>
            </w:pPr>
            <w:r>
              <w:rPr>
                <w:b/>
                <w:sz w:val="17"/>
              </w:rPr>
              <w:t>Cache and shared state</w:t>
            </w:r>
          </w:p>
        </w:tc>
        <w:tc>
          <w:tcPr>
            <w:tcW w:type="dxa" w:w="3626"/>
            <w:tcMar>
              <w:top w:w="50" w:type="dxa"/>
              <w:bottom w:w="50" w:type="dxa"/>
              <w:left w:w="90" w:type="dxa"/>
              <w:right w:w="90" w:type="dxa"/>
            </w:tcMar>
          </w:tcPr>
          <w:p>
            <w:pPr>
              <w:pStyle w:val="BDOITable"/>
            </w:pPr>
            <w:r>
              <w:rPr>
                <w:sz w:val="17"/>
              </w:rPr>
              <w:t>Amazon ElastiCache for Valkey 8</w:t>
            </w:r>
          </w:p>
        </w:tc>
        <w:tc>
          <w:tcPr>
            <w:tcW w:type="dxa" w:w="4306"/>
            <w:tcMar>
              <w:top w:w="50" w:type="dxa"/>
              <w:bottom w:w="50" w:type="dxa"/>
              <w:left w:w="90" w:type="dxa"/>
              <w:right w:w="90" w:type="dxa"/>
            </w:tcMar>
          </w:tcPr>
          <w:p>
            <w:pPr>
              <w:pStyle w:val="BDOITable"/>
            </w:pPr>
            <w:r>
              <w:rPr>
                <w:sz w:val="17"/>
              </w:rPr>
              <w:t>Cluster mode disabled; primary and replica in Pre-Prod and PROD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Event streaming</w:t>
            </w:r>
          </w:p>
        </w:tc>
        <w:tc>
          <w:tcPr>
            <w:tcW w:type="dxa" w:w="3626"/>
            <w:tcMar>
              <w:top w:w="50" w:type="dxa"/>
              <w:bottom w:w="50" w:type="dxa"/>
              <w:left w:w="90" w:type="dxa"/>
              <w:right w:w="90" w:type="dxa"/>
            </w:tcMar>
            <w:shd w:val="clear" w:color="auto" w:fill="E5F5FF"/>
          </w:tcPr>
          <w:p>
            <w:pPr>
              <w:pStyle w:val="BDOITable"/>
            </w:pPr>
            <w:r>
              <w:rPr>
                <w:sz w:val="17"/>
              </w:rPr>
              <w:t>Amazon MSK, Apache Kafka 3.9 in KRaft mode</w:t>
            </w:r>
          </w:p>
        </w:tc>
        <w:tc>
          <w:tcPr>
            <w:tcW w:type="dxa" w:w="4306"/>
            <w:tcMar>
              <w:top w:w="50" w:type="dxa"/>
              <w:bottom w:w="50" w:type="dxa"/>
              <w:left w:w="90" w:type="dxa"/>
              <w:right w:w="90" w:type="dxa"/>
            </w:tcMar>
            <w:shd w:val="clear" w:color="auto" w:fill="E5F5FF"/>
          </w:tcPr>
          <w:p>
            <w:pPr>
              <w:pStyle w:val="BDOITable"/>
            </w:pPr>
            <w:r>
              <w:rPr>
                <w:sz w:val="17"/>
              </w:rPr>
              <w:t>2 brokers in DEV, SIT, UAT; 3 brokers in Pre-Prod, PROD and DR</w:t>
            </w:r>
          </w:p>
        </w:tc>
      </w:tr>
      <w:tr>
        <w:trPr>
          <w:cantSplit w:val="true"/>
        </w:trPr>
        <w:tc>
          <w:tcPr>
            <w:tcW w:type="dxa" w:w="2040"/>
            <w:tcMar>
              <w:top w:w="50" w:type="dxa"/>
              <w:bottom w:w="50" w:type="dxa"/>
              <w:left w:w="90" w:type="dxa"/>
              <w:right w:w="90" w:type="dxa"/>
            </w:tcMar>
          </w:tcPr>
          <w:p>
            <w:pPr>
              <w:pStyle w:val="BDOITable"/>
            </w:pPr>
            <w:r>
              <w:rPr>
                <w:b/>
                <w:sz w:val="17"/>
              </w:rPr>
              <w:t>Files</w:t>
            </w:r>
          </w:p>
        </w:tc>
        <w:tc>
          <w:tcPr>
            <w:tcW w:type="dxa" w:w="3626"/>
            <w:tcMar>
              <w:top w:w="50" w:type="dxa"/>
              <w:bottom w:w="50" w:type="dxa"/>
              <w:left w:w="90" w:type="dxa"/>
              <w:right w:w="90" w:type="dxa"/>
            </w:tcMar>
          </w:tcPr>
          <w:p>
            <w:pPr>
              <w:pStyle w:val="BDOITable"/>
            </w:pPr>
            <w:r>
              <w:rPr>
                <w:sz w:val="17"/>
              </w:rPr>
              <w:t>Amazon S3, four buckets per environment</w:t>
            </w:r>
          </w:p>
        </w:tc>
        <w:tc>
          <w:tcPr>
            <w:tcW w:type="dxa" w:w="4306"/>
            <w:tcMar>
              <w:top w:w="50" w:type="dxa"/>
              <w:bottom w:w="50" w:type="dxa"/>
              <w:left w:w="90" w:type="dxa"/>
              <w:right w:w="90" w:type="dxa"/>
            </w:tcMar>
          </w:tcPr>
          <w:p>
            <w:pPr>
              <w:pStyle w:val="BDOITable"/>
            </w:pPr>
            <w:r>
              <w:rPr>
                <w:sz w:val="17"/>
              </w:rPr>
              <w:t>SSE-KMS, Object Lock, GuardDuty Malware Protection, cross-region replication from PROD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Keys and secrets</w:t>
            </w:r>
          </w:p>
        </w:tc>
        <w:tc>
          <w:tcPr>
            <w:tcW w:type="dxa" w:w="3626"/>
            <w:tcMar>
              <w:top w:w="50" w:type="dxa"/>
              <w:bottom w:w="50" w:type="dxa"/>
              <w:left w:w="90" w:type="dxa"/>
              <w:right w:w="90" w:type="dxa"/>
            </w:tcMar>
            <w:shd w:val="clear" w:color="auto" w:fill="E5F5FF"/>
          </w:tcPr>
          <w:p>
            <w:pPr>
              <w:pStyle w:val="BDOITable"/>
            </w:pPr>
            <w:r>
              <w:rPr>
                <w:sz w:val="17"/>
              </w:rPr>
              <w:t>AWS KMS (customer-managed keys owned by BDOI), AWS Secrets Manager, AWS Private CA</w:t>
            </w:r>
          </w:p>
        </w:tc>
        <w:tc>
          <w:tcPr>
            <w:tcW w:type="dxa" w:w="4306"/>
            <w:tcMar>
              <w:top w:w="50" w:type="dxa"/>
              <w:bottom w:w="50" w:type="dxa"/>
              <w:left w:w="90" w:type="dxa"/>
              <w:right w:w="90" w:type="dxa"/>
            </w:tcMar>
            <w:shd w:val="clear" w:color="auto" w:fill="E5F5FF"/>
          </w:tcPr>
          <w:p>
            <w:pPr>
              <w:pStyle w:val="BDOITable"/>
            </w:pPr>
            <w:r>
              <w:rPr>
                <w:sz w:val="17"/>
              </w:rPr>
              <w:t>One key per environment and bucket class; multi-Region keys for DR</w:t>
            </w:r>
          </w:p>
        </w:tc>
      </w:tr>
      <w:tr>
        <w:trPr>
          <w:cantSplit w:val="true"/>
        </w:trPr>
        <w:tc>
          <w:tcPr>
            <w:tcW w:type="dxa" w:w="2040"/>
            <w:tcMar>
              <w:top w:w="50" w:type="dxa"/>
              <w:bottom w:w="50" w:type="dxa"/>
              <w:left w:w="90" w:type="dxa"/>
              <w:right w:w="90" w:type="dxa"/>
            </w:tcMar>
          </w:tcPr>
          <w:p>
            <w:pPr>
              <w:pStyle w:val="BDOITable"/>
            </w:pPr>
            <w:r>
              <w:rPr>
                <w:b/>
                <w:sz w:val="17"/>
              </w:rPr>
              <w:t>Edge</w:t>
            </w:r>
          </w:p>
        </w:tc>
        <w:tc>
          <w:tcPr>
            <w:tcW w:type="dxa" w:w="3626"/>
            <w:tcMar>
              <w:top w:w="50" w:type="dxa"/>
              <w:bottom w:w="50" w:type="dxa"/>
              <w:left w:w="90" w:type="dxa"/>
              <w:right w:w="90" w:type="dxa"/>
            </w:tcMar>
          </w:tcPr>
          <w:p>
            <w:pPr>
              <w:pStyle w:val="BDOITable"/>
            </w:pPr>
            <w:r>
              <w:rPr>
                <w:sz w:val="17"/>
              </w:rPr>
              <w:t>Route 53 private zone, AWS WAF, internal Application Load Balancer through the Gateway API</w:t>
            </w:r>
          </w:p>
        </w:tc>
        <w:tc>
          <w:tcPr>
            <w:tcW w:type="dxa" w:w="4306"/>
            <w:tcMar>
              <w:top w:w="50" w:type="dxa"/>
              <w:bottom w:w="50" w:type="dxa"/>
              <w:left w:w="90" w:type="dxa"/>
              <w:right w:w="90" w:type="dxa"/>
            </w:tcMar>
          </w:tcPr>
          <w:p>
            <w:pPr>
              <w:pStyle w:val="BDOITable"/>
            </w:pPr>
            <w:r>
              <w:rPr>
                <w:sz w:val="17"/>
              </w:rPr>
              <w:t>No public exposure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Images</w:t>
            </w:r>
          </w:p>
        </w:tc>
        <w:tc>
          <w:tcPr>
            <w:tcW w:type="dxa" w:w="3626"/>
            <w:tcMar>
              <w:top w:w="50" w:type="dxa"/>
              <w:bottom w:w="50" w:type="dxa"/>
              <w:left w:w="90" w:type="dxa"/>
              <w:right w:w="90" w:type="dxa"/>
            </w:tcMar>
            <w:shd w:val="clear" w:color="auto" w:fill="E5F5FF"/>
          </w:tcPr>
          <w:p>
            <w:pPr>
              <w:pStyle w:val="BDOITable"/>
            </w:pPr>
            <w:r>
              <w:rPr>
                <w:sz w:val="17"/>
              </w:rPr>
              <w:t>Amazon ECR with image scanning and replication to the DR region</w:t>
            </w:r>
          </w:p>
        </w:tc>
        <w:tc>
          <w:tcPr>
            <w:tcW w:type="dxa" w:w="4306"/>
            <w:tcMar>
              <w:top w:w="50" w:type="dxa"/>
              <w:bottom w:w="50" w:type="dxa"/>
              <w:left w:w="90" w:type="dxa"/>
              <w:right w:w="90" w:type="dxa"/>
            </w:tcMar>
            <w:shd w:val="clear" w:color="auto" w:fill="E5F5FF"/>
          </w:tcPr>
          <w:p>
            <w:pPr>
              <w:pStyle w:val="BDOITable"/>
            </w:pPr>
            <w:r>
              <w:rPr>
                <w:sz w:val="17"/>
              </w:rPr>
              <w:t>Immutable tags</w:t>
            </w:r>
          </w:p>
        </w:tc>
      </w:tr>
      <w:tr>
        <w:trPr>
          <w:cantSplit w:val="true"/>
        </w:trPr>
        <w:tc>
          <w:tcPr>
            <w:tcW w:type="dxa" w:w="2040"/>
            <w:tcMar>
              <w:top w:w="50" w:type="dxa"/>
              <w:bottom w:w="50" w:type="dxa"/>
              <w:left w:w="90" w:type="dxa"/>
              <w:right w:w="90" w:type="dxa"/>
            </w:tcMar>
          </w:tcPr>
          <w:p>
            <w:pPr>
              <w:pStyle w:val="BDOITable"/>
            </w:pPr>
            <w:r>
              <w:rPr>
                <w:b/>
                <w:sz w:val="17"/>
              </w:rPr>
              <w:t>Management</w:t>
            </w:r>
          </w:p>
        </w:tc>
        <w:tc>
          <w:tcPr>
            <w:tcW w:type="dxa" w:w="3626"/>
            <w:tcMar>
              <w:top w:w="50" w:type="dxa"/>
              <w:bottom w:w="50" w:type="dxa"/>
              <w:left w:w="90" w:type="dxa"/>
              <w:right w:w="90" w:type="dxa"/>
            </w:tcMar>
          </w:tcPr>
          <w:p>
            <w:pPr>
              <w:pStyle w:val="BDOITable"/>
            </w:pPr>
            <w:r>
              <w:rPr>
                <w:sz w:val="17"/>
              </w:rPr>
              <w:t>Bastion through AWS Systems Manager (no inbound ports), pipeline runner, VDI for the project team</w:t>
            </w:r>
          </w:p>
        </w:tc>
        <w:tc>
          <w:tcPr>
            <w:tcW w:type="dxa" w:w="4306"/>
            <w:tcMar>
              <w:top w:w="50" w:type="dxa"/>
              <w:bottom w:w="50" w:type="dxa"/>
              <w:left w:w="90" w:type="dxa"/>
              <w:right w:w="90" w:type="dxa"/>
            </w:tcMar>
          </w:tcPr>
          <w:p>
            <w:pPr>
              <w:pStyle w:val="BDOITable"/>
            </w:pPr>
            <w:r>
              <w:rPr>
                <w:sz w:val="17"/>
              </w:rPr>
              <w:t>15 VDI users (IER)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Monitoring</w:t>
            </w:r>
          </w:p>
        </w:tc>
        <w:tc>
          <w:tcPr>
            <w:tcW w:type="dxa" w:w="3626"/>
            <w:tcMar>
              <w:top w:w="50" w:type="dxa"/>
              <w:bottom w:w="50" w:type="dxa"/>
              <w:left w:w="90" w:type="dxa"/>
              <w:right w:w="90" w:type="dxa"/>
            </w:tcMar>
            <w:shd w:val="clear" w:color="auto" w:fill="E5F5FF"/>
          </w:tcPr>
          <w:p>
            <w:pPr>
              <w:pStyle w:val="BDOITable"/>
            </w:pPr>
            <w:r>
              <w:rPr>
                <w:sz w:val="17"/>
              </w:rPr>
              <w:t>Dynatrace (BDO standard of the IER cluster sheets), Amazon CloudWatch, AWS CloudTrail</w:t>
            </w:r>
          </w:p>
        </w:tc>
        <w:tc>
          <w:tcPr>
            <w:tcW w:type="dxa" w:w="4306"/>
            <w:tcMar>
              <w:top w:w="50" w:type="dxa"/>
              <w:bottom w:w="50" w:type="dxa"/>
              <w:left w:w="90" w:type="dxa"/>
              <w:right w:w="90" w:type="dxa"/>
            </w:tcMar>
            <w:shd w:val="clear" w:color="auto" w:fill="E5F5FF"/>
          </w:tcPr>
          <w:p>
            <w:pPr>
              <w:pStyle w:val="BDOITable"/>
            </w:pPr>
            <w:r>
              <w:rPr>
                <w:sz w:val="17"/>
              </w:rPr>
              <w:t>Tool choice IQ30</w:t>
            </w:r>
          </w:p>
        </w:tc>
      </w:tr>
    </w:tbl>
    <w:p>
      <w:pPr>
        <w:pStyle w:val="BDOISpacer"/>
      </w:pPr>
    </w:p>
    <w:p>
      <w:r>
        <w:rPr>
          <w:b/>
        </w:rPr>
        <w:t>Account structure (proposed, IA-01).</w:t>
      </w:r>
      <w:r>
        <w:rPr/>
        <w:t xml:space="preserve"> One AWS account for non-production (DEV, SIT, UAT), one for Pre-Prod and one for production, with the DR region in the production account; each account with its own KMS keys and Secrets Manager, so that production keys and data are never reachable from a test environment.</w:t>
      </w:r>
    </w:p>
    <w:p>
      <w:r>
        <w:rPr>
          <w:b/>
        </w:rPr>
        <w:t>Responsibilities.</w:t>
      </w:r>
      <w:r>
        <w:rPr/>
        <w:t xml:space="preserve"> AWS operates the managed services; BDO IT Cloud and Digital Operations provisions and operates the accounts, networks, clusters and data services (infrastructure as code, IA-02); iorta TechNXT provides the application, its manifests, the sizing and the runbooks, and supports operations.</w:t>
      </w:r>
    </w:p>
    <w:p>
      <w:pPr>
        <w:pStyle w:val="Heading1"/>
        <w:pBdr>
          <w:bottom w:val="single" w:sz="4" w:space="4" w:color="99C1E7"/>
        </w:pBdr>
      </w:pPr>
      <w:bookmarkStart w:id="107" w:name="_Toc000107"/>
      <w:r>
        <w:rPr/>
        <w:t>3 Environments</w:t>
      </w:r>
      <w:bookmarkEnd w:id="107"/>
    </w:p>
    <w:p>
      <w:pPr>
        <w:pStyle w:val="Caption"/>
        <w:keepNext/>
        <w:spacing w:after="60"/>
      </w:pPr>
      <w:r>
        <w:rPr>
          <w:b/>
          <w:i w:val="0"/>
        </w:rPr>
        <w:t xml:space="preserve">Table 3: </w:t>
      </w:r>
      <w:r>
        <w:rPr/>
        <w:t>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88"/>
        <w:gridCol w:w="2689"/>
        <w:gridCol w:w="1848"/>
        <w:gridCol w:w="1568"/>
        <w:gridCol w:w="1288"/>
        <w:gridCol w:w="1288"/>
      </w:tblGrid>
      <w:tr>
        <w:trPr>
          <w:tblHeader w:val="true"/>
          <w:cantSplit w:val="true"/>
        </w:trPr>
        <w:tc>
          <w:tcPr>
            <w:tcW w:type="dxa" w:w="1289"/>
            <w:shd w:val="clear" w:color="auto" w:fill="004EA8"/>
            <w:tcMar>
              <w:top w:w="50" w:type="dxa"/>
              <w:bottom w:w="50" w:type="dxa"/>
              <w:left w:w="90" w:type="dxa"/>
              <w:right w:w="90" w:type="dxa"/>
            </w:tcMar>
            <w:vAlign w:val="center"/>
          </w:tcPr>
          <w:p>
            <w:pPr>
              <w:pStyle w:val="BDOITableHeader"/>
            </w:pPr>
            <w:r>
              <w:rPr>
                <w:b/>
                <w:color w:val="FFFFFF"/>
                <w:sz w:val="16"/>
              </w:rPr>
              <w:t>Environment</w:t>
            </w:r>
          </w:p>
        </w:tc>
        <w:tc>
          <w:tcPr>
            <w:tcW w:type="dxa" w:w="2689"/>
            <w:shd w:val="clear" w:color="auto" w:fill="004EA8"/>
            <w:tcMar>
              <w:top w:w="50" w:type="dxa"/>
              <w:bottom w:w="50" w:type="dxa"/>
              <w:left w:w="90" w:type="dxa"/>
              <w:right w:w="90" w:type="dxa"/>
            </w:tcMar>
            <w:vAlign w:val="center"/>
          </w:tcPr>
          <w:p>
            <w:pPr>
              <w:pStyle w:val="BDOITableHeader"/>
            </w:pPr>
            <w:r>
              <w:rPr>
                <w:b/>
                <w:color w:val="FFFFFF"/>
                <w:sz w:val="16"/>
              </w:rPr>
              <w:t>Purpose</w:t>
            </w:r>
          </w:p>
        </w:tc>
        <w:tc>
          <w:tcPr>
            <w:tcW w:type="dxa" w:w="1849"/>
            <w:shd w:val="clear" w:color="auto" w:fill="004EA8"/>
            <w:tcMar>
              <w:top w:w="50" w:type="dxa"/>
              <w:bottom w:w="50" w:type="dxa"/>
              <w:left w:w="90" w:type="dxa"/>
              <w:right w:w="90" w:type="dxa"/>
            </w:tcMar>
            <w:vAlign w:val="center"/>
          </w:tcPr>
          <w:p>
            <w:pPr>
              <w:pStyle w:val="BDOITableHeader"/>
            </w:pPr>
            <w:r>
              <w:rPr>
                <w:b/>
                <w:color w:val="FFFFFF"/>
                <w:sz w:val="16"/>
              </w:rPr>
              <w:t>Data</w:t>
            </w:r>
          </w:p>
        </w:tc>
        <w:tc>
          <w:tcPr>
            <w:tcW w:type="dxa" w:w="1569"/>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289"/>
            <w:shd w:val="clear" w:color="auto" w:fill="004EA8"/>
            <w:tcMar>
              <w:top w:w="50" w:type="dxa"/>
              <w:bottom w:w="50" w:type="dxa"/>
              <w:left w:w="90" w:type="dxa"/>
              <w:right w:w="90" w:type="dxa"/>
            </w:tcMar>
            <w:vAlign w:val="center"/>
          </w:tcPr>
          <w:p>
            <w:pPr>
              <w:pStyle w:val="BDOITableHeader"/>
            </w:pPr>
            <w:r>
              <w:rPr>
                <w:b/>
                <w:color w:val="FFFFFF"/>
                <w:sz w:val="16"/>
              </w:rPr>
              <w:t>Availability</w:t>
            </w:r>
          </w:p>
        </w:tc>
        <w:tc>
          <w:tcPr>
            <w:tcW w:type="dxa" w:w="1289"/>
            <w:shd w:val="clear" w:color="auto" w:fill="004EA8"/>
            <w:tcMar>
              <w:top w:w="50" w:type="dxa"/>
              <w:bottom w:w="50" w:type="dxa"/>
              <w:left w:w="90" w:type="dxa"/>
              <w:right w:w="90" w:type="dxa"/>
            </w:tcMar>
            <w:vAlign w:val="center"/>
          </w:tcPr>
          <w:p>
            <w:pPr>
              <w:pStyle w:val="BDOITableHeader"/>
            </w:pPr>
            <w:r>
              <w:rPr>
                <w:b/>
                <w:color w:val="FFFFFF"/>
                <w:sz w:val="16"/>
              </w:rPr>
              <w:t>Owner</w:t>
            </w:r>
          </w:p>
        </w:tc>
      </w:tr>
      <w:tr>
        <w:trPr>
          <w:cantSplit w:val="true"/>
        </w:trPr>
        <w:tc>
          <w:tcPr>
            <w:tcW w:type="dxa" w:w="1289"/>
            <w:tcMar>
              <w:top w:w="50" w:type="dxa"/>
              <w:bottom w:w="50" w:type="dxa"/>
              <w:left w:w="90" w:type="dxa"/>
              <w:right w:w="90" w:type="dxa"/>
            </w:tcMar>
          </w:tcPr>
          <w:p>
            <w:pPr>
              <w:pStyle w:val="BDOITable"/>
            </w:pPr>
            <w:r>
              <w:rPr>
                <w:b/>
                <w:sz w:val="16"/>
              </w:rPr>
              <w:t>DEV</w:t>
            </w:r>
          </w:p>
        </w:tc>
        <w:tc>
          <w:tcPr>
            <w:tcW w:type="dxa" w:w="2689"/>
            <w:tcMar>
              <w:top w:w="50" w:type="dxa"/>
              <w:bottom w:w="50" w:type="dxa"/>
              <w:left w:w="90" w:type="dxa"/>
              <w:right w:w="90" w:type="dxa"/>
            </w:tcMar>
          </w:tcPr>
          <w:p>
            <w:pPr>
              <w:pStyle w:val="BDOITable"/>
            </w:pPr>
            <w:r>
              <w:rPr>
                <w:sz w:val="16"/>
              </w:rPr>
              <w:t>Development and integration of changes by the project team</w:t>
            </w:r>
          </w:p>
        </w:tc>
        <w:tc>
          <w:tcPr>
            <w:tcW w:type="dxa" w:w="1849"/>
            <w:tcMar>
              <w:top w:w="50" w:type="dxa"/>
              <w:bottom w:w="50" w:type="dxa"/>
              <w:left w:w="90" w:type="dxa"/>
              <w:right w:w="90" w:type="dxa"/>
            </w:tcMar>
          </w:tcPr>
          <w:p>
            <w:pPr>
              <w:pStyle w:val="BDOITable"/>
            </w:pPr>
            <w:r>
              <w:rPr>
                <w:sz w:val="16"/>
              </w:rPr>
              <w:t>Seed data (SIT/UAT users)</w:t>
            </w:r>
          </w:p>
        </w:tc>
        <w:tc>
          <w:tcPr>
            <w:tcW w:type="dxa" w:w="1569"/>
            <w:tcMar>
              <w:top w:w="50" w:type="dxa"/>
              <w:bottom w:w="50" w:type="dxa"/>
              <w:left w:w="90" w:type="dxa"/>
              <w:right w:w="90" w:type="dxa"/>
            </w:tcMar>
          </w:tcPr>
          <w:p>
            <w:pPr>
              <w:pStyle w:val="BDOITable"/>
            </w:pPr>
            <w:r>
              <w:rPr>
                <w:sz w:val="16"/>
              </w:rPr>
              <w:t>12 x 5</w:t>
            </w:r>
          </w:p>
        </w:tc>
        <w:tc>
          <w:tcPr>
            <w:tcW w:type="dxa" w:w="1289"/>
            <w:tcMar>
              <w:top w:w="50" w:type="dxa"/>
              <w:bottom w:w="50" w:type="dxa"/>
              <w:left w:w="90" w:type="dxa"/>
              <w:right w:w="90" w:type="dxa"/>
            </w:tcMar>
          </w:tcPr>
          <w:p>
            <w:pPr>
              <w:pStyle w:val="BDOITable"/>
            </w:pPr>
            <w:r>
              <w:rPr>
                <w:sz w:val="16"/>
              </w:rPr>
              <w:t>Single-AZ</w:t>
            </w:r>
          </w:p>
        </w:tc>
        <w:tc>
          <w:tcPr>
            <w:tcW w:type="dxa" w:w="1289"/>
            <w:tcMar>
              <w:top w:w="50" w:type="dxa"/>
              <w:bottom w:w="50" w:type="dxa"/>
              <w:left w:w="90" w:type="dxa"/>
              <w:right w:w="90" w:type="dxa"/>
            </w:tcMar>
          </w:tcPr>
          <w:p>
            <w:pPr>
              <w:pStyle w:val="BDOITable"/>
            </w:pPr>
            <w:r>
              <w:rPr>
                <w:sz w:val="16"/>
              </w:rPr>
              <w:t>iorta TechNXT</w:t>
            </w:r>
          </w:p>
        </w:tc>
      </w:tr>
      <w:tr>
        <w:trPr>
          <w:cantSplit w:val="true"/>
        </w:trPr>
        <w:tc>
          <w:tcPr>
            <w:tcW w:type="dxa" w:w="1289"/>
            <w:tcMar>
              <w:top w:w="50" w:type="dxa"/>
              <w:bottom w:w="50" w:type="dxa"/>
              <w:left w:w="90" w:type="dxa"/>
              <w:right w:w="90" w:type="dxa"/>
            </w:tcMar>
            <w:shd w:val="clear" w:color="auto" w:fill="E5F5FF"/>
          </w:tcPr>
          <w:p>
            <w:pPr>
              <w:pStyle w:val="BDOITable"/>
            </w:pPr>
            <w:r>
              <w:rPr>
                <w:b/>
                <w:sz w:val="16"/>
              </w:rPr>
              <w:t>SIT</w:t>
            </w:r>
          </w:p>
        </w:tc>
        <w:tc>
          <w:tcPr>
            <w:tcW w:type="dxa" w:w="2689"/>
            <w:tcMar>
              <w:top w:w="50" w:type="dxa"/>
              <w:bottom w:w="50" w:type="dxa"/>
              <w:left w:w="90" w:type="dxa"/>
              <w:right w:w="90" w:type="dxa"/>
            </w:tcMar>
            <w:shd w:val="clear" w:color="auto" w:fill="E5F5FF"/>
          </w:tcPr>
          <w:p>
            <w:pPr>
              <w:pStyle w:val="BDOITable"/>
            </w:pPr>
            <w:r>
              <w:rPr>
                <w:sz w:val="16"/>
              </w:rPr>
              <w:t>System integration test per drop; trial migrations 1 and 2</w:t>
            </w:r>
          </w:p>
        </w:tc>
        <w:tc>
          <w:tcPr>
            <w:tcW w:type="dxa" w:w="1849"/>
            <w:tcMar>
              <w:top w:w="50" w:type="dxa"/>
              <w:bottom w:w="50" w:type="dxa"/>
              <w:left w:w="90" w:type="dxa"/>
              <w:right w:w="90" w:type="dxa"/>
            </w:tcMar>
            <w:shd w:val="clear" w:color="auto" w:fill="E5F5FF"/>
          </w:tcPr>
          <w:p>
            <w:pPr>
              <w:pStyle w:val="BDOITable"/>
            </w:pPr>
            <w:r>
              <w:rPr>
                <w:sz w:val="16"/>
              </w:rPr>
              <w:t>Seed data and masked trial-migration data</w:t>
            </w:r>
          </w:p>
        </w:tc>
        <w:tc>
          <w:tcPr>
            <w:tcW w:type="dxa" w:w="1569"/>
            <w:tcMar>
              <w:top w:w="50" w:type="dxa"/>
              <w:bottom w:w="50" w:type="dxa"/>
              <w:left w:w="90" w:type="dxa"/>
              <w:right w:w="90" w:type="dxa"/>
            </w:tcMar>
            <w:shd w:val="clear" w:color="auto" w:fill="E5F5FF"/>
          </w:tcPr>
          <w:p>
            <w:pPr>
              <w:pStyle w:val="BDOITable"/>
            </w:pPr>
            <w:r>
              <w:rPr>
                <w:sz w:val="16"/>
              </w:rPr>
              <w:t>12 x 5, extended for batch and trial migrations</w:t>
            </w:r>
          </w:p>
        </w:tc>
        <w:tc>
          <w:tcPr>
            <w:tcW w:type="dxa" w:w="1289"/>
            <w:tcMar>
              <w:top w:w="50" w:type="dxa"/>
              <w:bottom w:w="50" w:type="dxa"/>
              <w:left w:w="90" w:type="dxa"/>
              <w:right w:w="90" w:type="dxa"/>
            </w:tcMar>
            <w:shd w:val="clear" w:color="auto" w:fill="E5F5FF"/>
          </w:tcPr>
          <w:p>
            <w:pPr>
              <w:pStyle w:val="BDOITable"/>
            </w:pPr>
            <w:r>
              <w:rPr>
                <w:sz w:val="16"/>
              </w:rPr>
              <w:t>Single-AZ</w:t>
            </w:r>
          </w:p>
        </w:tc>
        <w:tc>
          <w:tcPr>
            <w:tcW w:type="dxa" w:w="1289"/>
            <w:tcMar>
              <w:top w:w="50" w:type="dxa"/>
              <w:bottom w:w="50" w:type="dxa"/>
              <w:left w:w="90" w:type="dxa"/>
              <w:right w:w="90" w:type="dxa"/>
            </w:tcMar>
            <w:shd w:val="clear" w:color="auto" w:fill="E5F5FF"/>
          </w:tcPr>
          <w:p>
            <w:pPr>
              <w:pStyle w:val="BDOITable"/>
            </w:pPr>
            <w:r>
              <w:rPr>
                <w:sz w:val="16"/>
              </w:rPr>
              <w:t>iorta TechNXT, BDOI IT for the interfaces</w:t>
            </w:r>
          </w:p>
        </w:tc>
      </w:tr>
      <w:tr>
        <w:trPr>
          <w:cantSplit w:val="true"/>
        </w:trPr>
        <w:tc>
          <w:tcPr>
            <w:tcW w:type="dxa" w:w="1289"/>
            <w:tcMar>
              <w:top w:w="50" w:type="dxa"/>
              <w:bottom w:w="50" w:type="dxa"/>
              <w:left w:w="90" w:type="dxa"/>
              <w:right w:w="90" w:type="dxa"/>
            </w:tcMar>
          </w:tcPr>
          <w:p>
            <w:pPr>
              <w:pStyle w:val="BDOITable"/>
            </w:pPr>
            <w:r>
              <w:rPr>
                <w:b/>
                <w:sz w:val="16"/>
              </w:rPr>
              <w:t>UAT</w:t>
            </w:r>
          </w:p>
        </w:tc>
        <w:tc>
          <w:tcPr>
            <w:tcW w:type="dxa" w:w="2689"/>
            <w:tcMar>
              <w:top w:w="50" w:type="dxa"/>
              <w:bottom w:w="50" w:type="dxa"/>
              <w:left w:w="90" w:type="dxa"/>
              <w:right w:w="90" w:type="dxa"/>
            </w:tcMar>
          </w:tcPr>
          <w:p>
            <w:pPr>
              <w:pStyle w:val="BDOITable"/>
            </w:pPr>
            <w:r>
              <w:rPr>
                <w:sz w:val="16"/>
              </w:rPr>
              <w:t>User acceptance test end to end; trial migration 3 and the re-load</w:t>
            </w:r>
          </w:p>
        </w:tc>
        <w:tc>
          <w:tcPr>
            <w:tcW w:type="dxa" w:w="1849"/>
            <w:tcMar>
              <w:top w:w="50" w:type="dxa"/>
              <w:bottom w:w="50" w:type="dxa"/>
              <w:left w:w="90" w:type="dxa"/>
              <w:right w:w="90" w:type="dxa"/>
            </w:tcMar>
          </w:tcPr>
          <w:p>
            <w:pPr>
              <w:pStyle w:val="BDOITable"/>
            </w:pPr>
            <w:r>
              <w:rPr>
                <w:sz w:val="16"/>
              </w:rPr>
              <w:t>Masked migrated data</w:t>
            </w:r>
          </w:p>
        </w:tc>
        <w:tc>
          <w:tcPr>
            <w:tcW w:type="dxa" w:w="1569"/>
            <w:tcMar>
              <w:top w:w="50" w:type="dxa"/>
              <w:bottom w:w="50" w:type="dxa"/>
              <w:left w:w="90" w:type="dxa"/>
              <w:right w:w="90" w:type="dxa"/>
            </w:tcMar>
          </w:tcPr>
          <w:p>
            <w:pPr>
              <w:pStyle w:val="BDOITable"/>
            </w:pPr>
            <w:r>
              <w:rPr>
                <w:sz w:val="16"/>
              </w:rPr>
              <w:t>12 x 5, extended for month-end cycles</w:t>
            </w:r>
          </w:p>
        </w:tc>
        <w:tc>
          <w:tcPr>
            <w:tcW w:type="dxa" w:w="1289"/>
            <w:tcMar>
              <w:top w:w="50" w:type="dxa"/>
              <w:bottom w:w="50" w:type="dxa"/>
              <w:left w:w="90" w:type="dxa"/>
              <w:right w:w="90" w:type="dxa"/>
            </w:tcMar>
          </w:tcPr>
          <w:p>
            <w:pPr>
              <w:pStyle w:val="BDOITable"/>
            </w:pPr>
            <w:r>
              <w:rPr>
                <w:sz w:val="16"/>
              </w:rPr>
              <w:t>Single-AZ</w:t>
            </w:r>
          </w:p>
        </w:tc>
        <w:tc>
          <w:tcPr>
            <w:tcW w:type="dxa" w:w="1289"/>
            <w:tcMar>
              <w:top w:w="50" w:type="dxa"/>
              <w:bottom w:w="50" w:type="dxa"/>
              <w:left w:w="90" w:type="dxa"/>
              <w:right w:w="90" w:type="dxa"/>
            </w:tcMar>
          </w:tcPr>
          <w:p>
            <w:pPr>
              <w:pStyle w:val="BDOITable"/>
            </w:pPr>
            <w:r>
              <w:rPr>
                <w:sz w:val="16"/>
              </w:rPr>
              <w:t>BDOI business owners</w:t>
            </w:r>
          </w:p>
        </w:tc>
      </w:tr>
      <w:tr>
        <w:trPr>
          <w:cantSplit w:val="true"/>
        </w:trPr>
        <w:tc>
          <w:tcPr>
            <w:tcW w:type="dxa" w:w="1289"/>
            <w:tcMar>
              <w:top w:w="50" w:type="dxa"/>
              <w:bottom w:w="50" w:type="dxa"/>
              <w:left w:w="90" w:type="dxa"/>
              <w:right w:w="90" w:type="dxa"/>
            </w:tcMar>
            <w:shd w:val="clear" w:color="auto" w:fill="E5F5FF"/>
          </w:tcPr>
          <w:p>
            <w:pPr>
              <w:pStyle w:val="BDOITable"/>
            </w:pPr>
            <w:r>
              <w:rPr>
                <w:b/>
                <w:sz w:val="16"/>
              </w:rPr>
              <w:t>Pre-Prod</w:t>
            </w:r>
          </w:p>
        </w:tc>
        <w:tc>
          <w:tcPr>
            <w:tcW w:type="dxa" w:w="2689"/>
            <w:tcMar>
              <w:top w:w="50" w:type="dxa"/>
              <w:bottom w:w="50" w:type="dxa"/>
              <w:left w:w="90" w:type="dxa"/>
              <w:right w:w="90" w:type="dxa"/>
            </w:tcMar>
            <w:shd w:val="clear" w:color="auto" w:fill="E5F5FF"/>
          </w:tcPr>
          <w:p>
            <w:pPr>
              <w:pStyle w:val="BDOITable"/>
            </w:pPr>
            <w:r>
              <w:rPr>
                <w:sz w:val="16"/>
              </w:rPr>
              <w:t>Performance and penetration tests, dress rehearsal of the cut-over</w:t>
            </w:r>
          </w:p>
        </w:tc>
        <w:tc>
          <w:tcPr>
            <w:tcW w:type="dxa" w:w="1849"/>
            <w:tcMar>
              <w:top w:w="50" w:type="dxa"/>
              <w:bottom w:w="50" w:type="dxa"/>
              <w:left w:w="90" w:type="dxa"/>
              <w:right w:w="90" w:type="dxa"/>
            </w:tcMar>
            <w:shd w:val="clear" w:color="auto" w:fill="E5F5FF"/>
          </w:tcPr>
          <w:p>
            <w:pPr>
              <w:pStyle w:val="BDOITable"/>
            </w:pPr>
            <w:r>
              <w:rPr>
                <w:sz w:val="16"/>
              </w:rPr>
              <w:t>Production-sized, masked</w:t>
            </w:r>
          </w:p>
        </w:tc>
        <w:tc>
          <w:tcPr>
            <w:tcW w:type="dxa" w:w="1569"/>
            <w:tcMar>
              <w:top w:w="50" w:type="dxa"/>
              <w:bottom w:w="50" w:type="dxa"/>
              <w:left w:w="90" w:type="dxa"/>
              <w:right w:w="90" w:type="dxa"/>
            </w:tcMar>
            <w:shd w:val="clear" w:color="auto" w:fill="E5F5FF"/>
          </w:tcPr>
          <w:p>
            <w:pPr>
              <w:pStyle w:val="BDOITable"/>
            </w:pPr>
            <w:r>
              <w:rPr>
                <w:sz w:val="16"/>
              </w:rPr>
              <w:t>12 x 5, extended for tests and rehearsal</w:t>
            </w:r>
          </w:p>
        </w:tc>
        <w:tc>
          <w:tcPr>
            <w:tcW w:type="dxa" w:w="1289"/>
            <w:tcMar>
              <w:top w:w="50" w:type="dxa"/>
              <w:bottom w:w="50" w:type="dxa"/>
              <w:left w:w="90" w:type="dxa"/>
              <w:right w:w="90" w:type="dxa"/>
            </w:tcMar>
            <w:shd w:val="clear" w:color="auto" w:fill="E5F5FF"/>
          </w:tcPr>
          <w:p>
            <w:pPr>
              <w:pStyle w:val="BDOITable"/>
            </w:pPr>
            <w:r>
              <w:rPr>
                <w:sz w:val="16"/>
              </w:rPr>
              <w:t>Multi-AZ</w:t>
            </w:r>
          </w:p>
        </w:tc>
        <w:tc>
          <w:tcPr>
            <w:tcW w:type="dxa" w:w="1289"/>
            <w:tcMar>
              <w:top w:w="50" w:type="dxa"/>
              <w:bottom w:w="50" w:type="dxa"/>
              <w:left w:w="90" w:type="dxa"/>
              <w:right w:w="90" w:type="dxa"/>
            </w:tcMar>
            <w:shd w:val="clear" w:color="auto" w:fill="E5F5FF"/>
          </w:tcPr>
          <w:p>
            <w:pPr>
              <w:pStyle w:val="BDOITable"/>
            </w:pPr>
            <w:r>
              <w:rPr>
                <w:sz w:val="16"/>
              </w:rPr>
              <w:t>BDOI IT</w:t>
            </w:r>
          </w:p>
        </w:tc>
      </w:tr>
      <w:tr>
        <w:trPr>
          <w:cantSplit w:val="true"/>
        </w:trPr>
        <w:tc>
          <w:tcPr>
            <w:tcW w:type="dxa" w:w="1289"/>
            <w:tcMar>
              <w:top w:w="50" w:type="dxa"/>
              <w:bottom w:w="50" w:type="dxa"/>
              <w:left w:w="90" w:type="dxa"/>
              <w:right w:w="90" w:type="dxa"/>
            </w:tcMar>
          </w:tcPr>
          <w:p>
            <w:pPr>
              <w:pStyle w:val="BDOITable"/>
            </w:pPr>
            <w:r>
              <w:rPr>
                <w:b/>
                <w:sz w:val="16"/>
              </w:rPr>
              <w:t>PROD</w:t>
            </w:r>
          </w:p>
        </w:tc>
        <w:tc>
          <w:tcPr>
            <w:tcW w:type="dxa" w:w="2689"/>
            <w:tcMar>
              <w:top w:w="50" w:type="dxa"/>
              <w:bottom w:w="50" w:type="dxa"/>
              <w:left w:w="90" w:type="dxa"/>
              <w:right w:w="90" w:type="dxa"/>
            </w:tcMar>
          </w:tcPr>
          <w:p>
            <w:pPr>
              <w:pStyle w:val="BDOITable"/>
            </w:pPr>
            <w:r>
              <w:rPr>
                <w:sz w:val="16"/>
              </w:rPr>
              <w:t>Production</w:t>
            </w:r>
          </w:p>
        </w:tc>
        <w:tc>
          <w:tcPr>
            <w:tcW w:type="dxa" w:w="1849"/>
            <w:tcMar>
              <w:top w:w="50" w:type="dxa"/>
              <w:bottom w:w="50" w:type="dxa"/>
              <w:left w:w="90" w:type="dxa"/>
              <w:right w:w="90" w:type="dxa"/>
            </w:tcMar>
          </w:tcPr>
          <w:p>
            <w:pPr>
              <w:pStyle w:val="BDOITable"/>
            </w:pPr>
            <w:r>
              <w:rPr>
                <w:sz w:val="16"/>
              </w:rPr>
              <w:t>Production data</w:t>
            </w:r>
          </w:p>
        </w:tc>
        <w:tc>
          <w:tcPr>
            <w:tcW w:type="dxa" w:w="1569"/>
            <w:tcMar>
              <w:top w:w="50" w:type="dxa"/>
              <w:bottom w:w="50" w:type="dxa"/>
              <w:left w:w="90" w:type="dxa"/>
              <w:right w:w="90" w:type="dxa"/>
            </w:tcMar>
          </w:tcPr>
          <w:p>
            <w:pPr>
              <w:pStyle w:val="BDOITable"/>
            </w:pPr>
            <w:r>
              <w:rPr>
                <w:sz w:val="16"/>
              </w:rPr>
              <w:t>24 x 7</w:t>
            </w:r>
          </w:p>
        </w:tc>
        <w:tc>
          <w:tcPr>
            <w:tcW w:type="dxa" w:w="1289"/>
            <w:tcMar>
              <w:top w:w="50" w:type="dxa"/>
              <w:bottom w:w="50" w:type="dxa"/>
              <w:left w:w="90" w:type="dxa"/>
              <w:right w:w="90" w:type="dxa"/>
            </w:tcMar>
          </w:tcPr>
          <w:p>
            <w:pPr>
              <w:pStyle w:val="BDOITable"/>
            </w:pPr>
            <w:r>
              <w:rPr>
                <w:sz w:val="16"/>
              </w:rPr>
              <w:t>Multi-AZ, three availability zones</w:t>
            </w:r>
          </w:p>
        </w:tc>
        <w:tc>
          <w:tcPr>
            <w:tcW w:type="dxa" w:w="1289"/>
            <w:tcMar>
              <w:top w:w="50" w:type="dxa"/>
              <w:bottom w:w="50" w:type="dxa"/>
              <w:left w:w="90" w:type="dxa"/>
              <w:right w:w="90" w:type="dxa"/>
            </w:tcMar>
          </w:tcPr>
          <w:p>
            <w:pPr>
              <w:pStyle w:val="BDOITable"/>
            </w:pPr>
            <w:r>
              <w:rPr>
                <w:sz w:val="16"/>
              </w:rPr>
              <w:t>BDOI IT operations</w:t>
            </w:r>
          </w:p>
        </w:tc>
      </w:tr>
      <w:tr>
        <w:trPr>
          <w:cantSplit w:val="true"/>
        </w:trPr>
        <w:tc>
          <w:tcPr>
            <w:tcW w:type="dxa" w:w="1289"/>
            <w:tcMar>
              <w:top w:w="50" w:type="dxa"/>
              <w:bottom w:w="50" w:type="dxa"/>
              <w:left w:w="90" w:type="dxa"/>
              <w:right w:w="90" w:type="dxa"/>
            </w:tcMar>
            <w:shd w:val="clear" w:color="auto" w:fill="E5F5FF"/>
          </w:tcPr>
          <w:p>
            <w:pPr>
              <w:pStyle w:val="BDOITable"/>
            </w:pPr>
            <w:r>
              <w:rPr>
                <w:b/>
                <w:sz w:val="16"/>
              </w:rPr>
              <w:t>DR</w:t>
            </w:r>
          </w:p>
        </w:tc>
        <w:tc>
          <w:tcPr>
            <w:tcW w:type="dxa" w:w="2689"/>
            <w:tcMar>
              <w:top w:w="50" w:type="dxa"/>
              <w:bottom w:w="50" w:type="dxa"/>
              <w:left w:w="90" w:type="dxa"/>
              <w:right w:w="90" w:type="dxa"/>
            </w:tcMar>
            <w:shd w:val="clear" w:color="auto" w:fill="E5F5FF"/>
          </w:tcPr>
          <w:p>
            <w:pPr>
              <w:pStyle w:val="BDOITable"/>
            </w:pPr>
            <w:r>
              <w:rPr>
                <w:sz w:val="16"/>
              </w:rPr>
              <w:t>Warm standby of production in the DR region</w:t>
            </w:r>
          </w:p>
        </w:tc>
        <w:tc>
          <w:tcPr>
            <w:tcW w:type="dxa" w:w="1849"/>
            <w:tcMar>
              <w:top w:w="50" w:type="dxa"/>
              <w:bottom w:w="50" w:type="dxa"/>
              <w:left w:w="90" w:type="dxa"/>
              <w:right w:w="90" w:type="dxa"/>
            </w:tcMar>
            <w:shd w:val="clear" w:color="auto" w:fill="E5F5FF"/>
          </w:tcPr>
          <w:p>
            <w:pPr>
              <w:pStyle w:val="BDOITable"/>
            </w:pPr>
            <w:r>
              <w:rPr>
                <w:sz w:val="16"/>
              </w:rPr>
              <w:t>Replica of production</w:t>
            </w:r>
          </w:p>
        </w:tc>
        <w:tc>
          <w:tcPr>
            <w:tcW w:type="dxa" w:w="1569"/>
            <w:tcMar>
              <w:top w:w="50" w:type="dxa"/>
              <w:bottom w:w="50" w:type="dxa"/>
              <w:left w:w="90" w:type="dxa"/>
              <w:right w:w="90" w:type="dxa"/>
            </w:tcMar>
            <w:shd w:val="clear" w:color="auto" w:fill="E5F5FF"/>
          </w:tcPr>
          <w:p>
            <w:pPr>
              <w:pStyle w:val="BDOITable"/>
            </w:pPr>
            <w:r>
              <w:rPr>
                <w:sz w:val="16"/>
              </w:rPr>
              <w:t>12 x 7 standby; 24 x 7 after failover</w:t>
            </w:r>
          </w:p>
        </w:tc>
        <w:tc>
          <w:tcPr>
            <w:tcW w:type="dxa" w:w="1289"/>
            <w:tcMar>
              <w:top w:w="50" w:type="dxa"/>
              <w:bottom w:w="50" w:type="dxa"/>
              <w:left w:w="90" w:type="dxa"/>
              <w:right w:w="90" w:type="dxa"/>
            </w:tcMar>
            <w:shd w:val="clear" w:color="auto" w:fill="E5F5FF"/>
          </w:tcPr>
          <w:p>
            <w:pPr>
              <w:pStyle w:val="BDOITable"/>
            </w:pPr>
            <w:r>
              <w:rPr>
                <w:sz w:val="16"/>
              </w:rPr>
              <w:t>Multi-AZ after failover</w:t>
            </w:r>
          </w:p>
        </w:tc>
        <w:tc>
          <w:tcPr>
            <w:tcW w:type="dxa" w:w="1289"/>
            <w:tcMar>
              <w:top w:w="50" w:type="dxa"/>
              <w:bottom w:w="50" w:type="dxa"/>
              <w:left w:w="90" w:type="dxa"/>
              <w:right w:w="90" w:type="dxa"/>
            </w:tcMar>
            <w:shd w:val="clear" w:color="auto" w:fill="E5F5FF"/>
          </w:tcPr>
          <w:p>
            <w:pPr>
              <w:pStyle w:val="BDOITable"/>
            </w:pPr>
            <w:r>
              <w:rPr>
                <w:sz w:val="16"/>
              </w:rPr>
              <w:t>BDOI IT operations</w:t>
            </w:r>
          </w:p>
        </w:tc>
      </w:tr>
    </w:tbl>
    <w:p>
      <w:pPr>
        <w:pStyle w:val="BDOISpacer"/>
      </w:pPr>
    </w:p>
    <w:p>
      <w:r>
        <w:rPr/>
        <w:t>The 12 x 5 hours of the IER apply to the EKS nodes and RDS instances of the non-production environments; MSK and ElastiCache cannot be stopped and run 24 x 7. Extended hours are booked for batch and month-end test cycles, trial migrations (weekend loads) and the dress rehearsal; the night jobs are moved into the working window by configuration (IQ27, DA-07). Training uses a separate database on the UAT cluster with seed data (IA-09).</w:t>
      </w:r>
    </w:p>
    <w:p>
      <w:pPr>
        <w:pStyle w:val="Heading1"/>
        <w:pBdr>
          <w:bottom w:val="single" w:sz="4" w:space="4" w:color="99C1E7"/>
        </w:pBdr>
      </w:pPr>
      <w:bookmarkStart w:id="108" w:name="_Toc000108"/>
      <w:r>
        <w:rPr/>
        <w:t>4 Network zones and trust boundaries</w:t>
      </w:r>
      <w:bookmarkEnd w:id="108"/>
    </w:p>
    <w:p>
      <w:pPr>
        <w:keepNext/>
        <w:spacing w:before="80" w:after="0"/>
        <w:jc w:val="center"/>
      </w:pPr>
      <w:r>
        <w:drawing>
          <wp:inline xmlns:a="http://schemas.openxmlformats.org/drawingml/2006/main" xmlns:pic="http://schemas.openxmlformats.org/drawingml/2006/picture">
            <wp:extent cx="5760000" cy="2810019"/>
            <wp:docPr id="3" name="Picture 3"/>
            <wp:cNvGraphicFramePr>
              <a:graphicFrameLocks noChangeAspect="1"/>
            </wp:cNvGraphicFramePr>
            <a:graphic>
              <a:graphicData uri="http://schemas.openxmlformats.org/drawingml/2006/picture">
                <pic:pic>
                  <pic:nvPicPr>
                    <pic:cNvPr id="0" name="ia_network_1070.jpg"/>
                    <pic:cNvPicPr/>
                  </pic:nvPicPr>
                  <pic:blipFill>
                    <a:blip r:embed="rId15"/>
                    <a:stretch>
                      <a:fillRect/>
                    </a:stretch>
                  </pic:blipFill>
                  <pic:spPr>
                    <a:xfrm>
                      <a:off x="0" y="0"/>
                      <a:ext cx="5760000" cy="2810019"/>
                    </a:xfrm>
                    <a:prstGeom prst="rect"/>
                  </pic:spPr>
                </pic:pic>
              </a:graphicData>
            </a:graphic>
          </wp:inline>
        </w:drawing>
      </w:r>
    </w:p>
    <w:p>
      <w:pPr>
        <w:pStyle w:val="Caption"/>
        <w:jc w:val="center"/>
      </w:pPr>
      <w:r>
        <w:rPr>
          <w:b/>
          <w:i w:val="0"/>
        </w:rPr>
        <w:t xml:space="preserve">Figure 1: </w:t>
      </w:r>
      <w:r>
        <w:rPr/>
        <w:t>Network zones and trust boundaries</w:t>
      </w:r>
    </w:p>
    <w:p>
      <w:pPr>
        <w:pStyle w:val="Caption"/>
        <w:keepNext/>
        <w:spacing w:after="60"/>
      </w:pPr>
      <w:r>
        <w:rPr>
          <w:b/>
          <w:i w:val="0"/>
        </w:rPr>
        <w:t xml:space="preserve">Table 4: </w:t>
      </w:r>
      <w:r>
        <w:rPr/>
        <w:t>Network zones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3853"/>
        <w:gridCol w:w="4193"/>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7"/>
              </w:rPr>
              <w:t>Zone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7"/>
              </w:rPr>
              <w:t>Contains</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7"/>
              </w:rPr>
              <w:t>Controls</w:t>
            </w:r>
          </w:p>
        </w:tc>
      </w:tr>
      <w:tr>
        <w:trPr>
          <w:cantSplit w:val="true"/>
        </w:trPr>
        <w:tc>
          <w:tcPr>
            <w:tcW w:type="dxa" w:w="1926"/>
            <w:tcMar>
              <w:top w:w="50" w:type="dxa"/>
              <w:bottom w:w="50" w:type="dxa"/>
              <w:left w:w="90" w:type="dxa"/>
              <w:right w:w="90" w:type="dxa"/>
            </w:tcMar>
          </w:tcPr>
          <w:p>
            <w:pPr>
              <w:pStyle w:val="BDOITable"/>
            </w:pPr>
            <w:r>
              <w:rPr>
                <w:b/>
                <w:sz w:val="17"/>
              </w:rPr>
              <w:t>Z1 BDO corporate network</w:t>
            </w:r>
          </w:p>
        </w:tc>
        <w:tc>
          <w:tcPr>
            <w:tcW w:type="dxa" w:w="3853"/>
            <w:tcMar>
              <w:top w:w="50" w:type="dxa"/>
              <w:bottom w:w="50" w:type="dxa"/>
              <w:left w:w="90" w:type="dxa"/>
              <w:right w:w="90" w:type="dxa"/>
            </w:tcMar>
          </w:tcPr>
          <w:p>
            <w:pPr>
              <w:pStyle w:val="BDOITable"/>
            </w:pPr>
            <w:r>
              <w:rPr>
                <w:sz w:val="17"/>
              </w:rPr>
              <w:t>User workstations, VDI, BDO on-premises systems (bank channels, LMS, PMS, CCM, file server)</w:t>
            </w:r>
          </w:p>
        </w:tc>
        <w:tc>
          <w:tcPr>
            <w:tcW w:type="dxa" w:w="4193"/>
            <w:tcMar>
              <w:top w:w="50" w:type="dxa"/>
              <w:bottom w:w="50" w:type="dxa"/>
              <w:left w:w="90" w:type="dxa"/>
              <w:right w:w="90" w:type="dxa"/>
            </w:tcMar>
          </w:tcPr>
          <w:p>
            <w:pPr>
              <w:pStyle w:val="BDOITable"/>
            </w:pPr>
            <w:r>
              <w:rPr>
                <w:sz w:val="17"/>
              </w:rPr>
              <w:t>BDO perimeter; Direct Connect or VPN to AWS</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Z2 Apigee X</w:t>
            </w:r>
          </w:p>
        </w:tc>
        <w:tc>
          <w:tcPr>
            <w:tcW w:type="dxa" w:w="3853"/>
            <w:tcMar>
              <w:top w:w="50" w:type="dxa"/>
              <w:bottom w:w="50" w:type="dxa"/>
              <w:left w:w="90" w:type="dxa"/>
              <w:right w:w="90" w:type="dxa"/>
            </w:tcMar>
            <w:shd w:val="clear" w:color="auto" w:fill="E5F5FF"/>
          </w:tcPr>
          <w:p>
            <w:pPr>
              <w:pStyle w:val="BDOITable"/>
            </w:pPr>
            <w:r>
              <w:rPr>
                <w:sz w:val="17"/>
              </w:rPr>
              <w:t>BDO API proxies in Google Cloud</w:t>
            </w:r>
          </w:p>
        </w:tc>
        <w:tc>
          <w:tcPr>
            <w:tcW w:type="dxa" w:w="4193"/>
            <w:tcMar>
              <w:top w:w="50" w:type="dxa"/>
              <w:bottom w:w="50" w:type="dxa"/>
              <w:left w:w="90" w:type="dxa"/>
              <w:right w:w="90" w:type="dxa"/>
            </w:tcMar>
            <w:shd w:val="clear" w:color="auto" w:fill="E5F5FF"/>
          </w:tcPr>
          <w:p>
            <w:pPr>
              <w:pStyle w:val="BDOITable"/>
            </w:pPr>
            <w:r>
              <w:rPr>
                <w:sz w:val="17"/>
              </w:rPr>
              <w:t>OAuth 2.0 client credentials, quotas, spike arrest, analytics; private interconnect to AWS (HA VPN or Interconnect and Direct Connect through the BDO backbone)</w:t>
            </w:r>
          </w:p>
        </w:tc>
      </w:tr>
      <w:tr>
        <w:trPr>
          <w:cantSplit w:val="true"/>
        </w:trPr>
        <w:tc>
          <w:tcPr>
            <w:tcW w:type="dxa" w:w="1926"/>
            <w:tcMar>
              <w:top w:w="50" w:type="dxa"/>
              <w:bottom w:w="50" w:type="dxa"/>
              <w:left w:w="90" w:type="dxa"/>
              <w:right w:w="90" w:type="dxa"/>
            </w:tcMar>
          </w:tcPr>
          <w:p>
            <w:pPr>
              <w:pStyle w:val="BDOITable"/>
            </w:pPr>
            <w:r>
              <w:rPr>
                <w:b/>
                <w:sz w:val="17"/>
              </w:rPr>
              <w:t>Z3 Edge subnets</w:t>
            </w:r>
          </w:p>
        </w:tc>
        <w:tc>
          <w:tcPr>
            <w:tcW w:type="dxa" w:w="3853"/>
            <w:tcMar>
              <w:top w:w="50" w:type="dxa"/>
              <w:bottom w:w="50" w:type="dxa"/>
              <w:left w:w="90" w:type="dxa"/>
              <w:right w:w="90" w:type="dxa"/>
            </w:tcMar>
          </w:tcPr>
          <w:p>
            <w:pPr>
              <w:pStyle w:val="BDOITable"/>
            </w:pPr>
            <w:r>
              <w:rPr>
                <w:sz w:val="17"/>
              </w:rPr>
              <w:t>Route 53 private zone, internal load balancer with AWS WAF</w:t>
            </w:r>
          </w:p>
        </w:tc>
        <w:tc>
          <w:tcPr>
            <w:tcW w:type="dxa" w:w="4193"/>
            <w:tcMar>
              <w:top w:w="50" w:type="dxa"/>
              <w:bottom w:w="50" w:type="dxa"/>
              <w:left w:w="90" w:type="dxa"/>
              <w:right w:w="90" w:type="dxa"/>
            </w:tcMar>
          </w:tcPr>
          <w:p>
            <w:pPr>
              <w:pStyle w:val="BDOITable"/>
            </w:pPr>
            <w:r>
              <w:rPr>
                <w:sz w:val="17"/>
              </w:rPr>
              <w:t>HTTPS 443 only; source ranges limited to Z1 and Z2</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Z4 Application subnets</w:t>
            </w:r>
          </w:p>
        </w:tc>
        <w:tc>
          <w:tcPr>
            <w:tcW w:type="dxa" w:w="3853"/>
            <w:tcMar>
              <w:top w:w="50" w:type="dxa"/>
              <w:bottom w:w="50" w:type="dxa"/>
              <w:left w:w="90" w:type="dxa"/>
              <w:right w:w="90" w:type="dxa"/>
            </w:tcMar>
            <w:shd w:val="clear" w:color="auto" w:fill="E5F5FF"/>
          </w:tcPr>
          <w:p>
            <w:pPr>
              <w:pStyle w:val="BDOITable"/>
            </w:pPr>
            <w:r>
              <w:rPr>
                <w:sz w:val="17"/>
              </w:rPr>
              <w:t>EKS worker nodes, namespace bibs</w:t>
            </w:r>
          </w:p>
        </w:tc>
        <w:tc>
          <w:tcPr>
            <w:tcW w:type="dxa" w:w="4193"/>
            <w:tcMar>
              <w:top w:w="50" w:type="dxa"/>
              <w:bottom w:w="50" w:type="dxa"/>
              <w:left w:w="90" w:type="dxa"/>
              <w:right w:w="90" w:type="dxa"/>
            </w:tcMar>
            <w:shd w:val="clear" w:color="auto" w:fill="E5F5FF"/>
          </w:tcPr>
          <w:p>
            <w:pPr>
              <w:pStyle w:val="BDOITable"/>
            </w:pPr>
            <w:r>
              <w:rPr>
                <w:sz w:val="17"/>
              </w:rPr>
              <w:t>Network policies deny by default; security groups for pods; restricted Pod Security; IRSA</w:t>
            </w:r>
          </w:p>
        </w:tc>
      </w:tr>
      <w:tr>
        <w:trPr>
          <w:cantSplit w:val="true"/>
        </w:trPr>
        <w:tc>
          <w:tcPr>
            <w:tcW w:type="dxa" w:w="1926"/>
            <w:tcMar>
              <w:top w:w="50" w:type="dxa"/>
              <w:bottom w:w="50" w:type="dxa"/>
              <w:left w:w="90" w:type="dxa"/>
              <w:right w:w="90" w:type="dxa"/>
            </w:tcMar>
          </w:tcPr>
          <w:p>
            <w:pPr>
              <w:pStyle w:val="BDOITable"/>
            </w:pPr>
            <w:r>
              <w:rPr>
                <w:b/>
                <w:sz w:val="17"/>
              </w:rPr>
              <w:t>Z5 Data subnets</w:t>
            </w:r>
          </w:p>
        </w:tc>
        <w:tc>
          <w:tcPr>
            <w:tcW w:type="dxa" w:w="3853"/>
            <w:tcMar>
              <w:top w:w="50" w:type="dxa"/>
              <w:bottom w:w="50" w:type="dxa"/>
              <w:left w:w="90" w:type="dxa"/>
              <w:right w:w="90" w:type="dxa"/>
            </w:tcMar>
          </w:tcPr>
          <w:p>
            <w:pPr>
              <w:pStyle w:val="BDOITable"/>
            </w:pPr>
            <w:r>
              <w:rPr>
                <w:sz w:val="17"/>
              </w:rPr>
              <w:t>RDS, ElastiCache, MSK</w:t>
            </w:r>
          </w:p>
        </w:tc>
        <w:tc>
          <w:tcPr>
            <w:tcW w:type="dxa" w:w="4193"/>
            <w:tcMar>
              <w:top w:w="50" w:type="dxa"/>
              <w:bottom w:w="50" w:type="dxa"/>
              <w:left w:w="90" w:type="dxa"/>
              <w:right w:w="90" w:type="dxa"/>
            </w:tcMar>
          </w:tcPr>
          <w:p>
            <w:pPr>
              <w:pStyle w:val="BDOITable"/>
            </w:pPr>
            <w:r>
              <w:rPr>
                <w:sz w:val="17"/>
              </w:rPr>
              <w:t>Security groups admit Z4 only; no route out; TLS required</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Z6 Private access to AWS services</w:t>
            </w:r>
          </w:p>
        </w:tc>
        <w:tc>
          <w:tcPr>
            <w:tcW w:type="dxa" w:w="3853"/>
            <w:tcMar>
              <w:top w:w="50" w:type="dxa"/>
              <w:bottom w:w="50" w:type="dxa"/>
              <w:left w:w="90" w:type="dxa"/>
              <w:right w:w="90" w:type="dxa"/>
            </w:tcMar>
            <w:shd w:val="clear" w:color="auto" w:fill="E5F5FF"/>
          </w:tcPr>
          <w:p>
            <w:pPr>
              <w:pStyle w:val="BDOITable"/>
            </w:pPr>
            <w:r>
              <w:rPr>
                <w:sz w:val="17"/>
              </w:rPr>
              <w:t>S3 gateway; PrivateLink interfaces for KMS, STS, Secrets Manager, ECR and CloudWatch Logs</w:t>
            </w:r>
          </w:p>
        </w:tc>
        <w:tc>
          <w:tcPr>
            <w:tcW w:type="dxa" w:w="4193"/>
            <w:tcMar>
              <w:top w:w="50" w:type="dxa"/>
              <w:bottom w:w="50" w:type="dxa"/>
              <w:left w:w="90" w:type="dxa"/>
              <w:right w:w="90" w:type="dxa"/>
            </w:tcMar>
            <w:shd w:val="clear" w:color="auto" w:fill="E5F5FF"/>
          </w:tcPr>
          <w:p>
            <w:pPr>
              <w:pStyle w:val="BDOITable"/>
            </w:pPr>
            <w:r>
              <w:rPr>
                <w:sz w:val="17"/>
              </w:rPr>
              <w:t>Bucket policies deny non-TLS requests and access from outside the VPC</w:t>
            </w:r>
          </w:p>
        </w:tc>
      </w:tr>
      <w:tr>
        <w:trPr>
          <w:cantSplit w:val="true"/>
        </w:trPr>
        <w:tc>
          <w:tcPr>
            <w:tcW w:type="dxa" w:w="1926"/>
            <w:tcMar>
              <w:top w:w="50" w:type="dxa"/>
              <w:bottom w:w="50" w:type="dxa"/>
              <w:left w:w="90" w:type="dxa"/>
              <w:right w:w="90" w:type="dxa"/>
            </w:tcMar>
          </w:tcPr>
          <w:p>
            <w:pPr>
              <w:pStyle w:val="BDOITable"/>
            </w:pPr>
            <w:r>
              <w:rPr>
                <w:b/>
                <w:sz w:val="17"/>
              </w:rPr>
              <w:t>Z7 Management</w:t>
            </w:r>
          </w:p>
        </w:tc>
        <w:tc>
          <w:tcPr>
            <w:tcW w:type="dxa" w:w="3853"/>
            <w:tcMar>
              <w:top w:w="50" w:type="dxa"/>
              <w:bottom w:w="50" w:type="dxa"/>
              <w:left w:w="90" w:type="dxa"/>
              <w:right w:w="90" w:type="dxa"/>
            </w:tcMar>
          </w:tcPr>
          <w:p>
            <w:pPr>
              <w:pStyle w:val="BDOITable"/>
            </w:pPr>
            <w:r>
              <w:rPr>
                <w:sz w:val="17"/>
              </w:rPr>
              <w:t>Bastion through SSM, pipeline runner</w:t>
            </w:r>
          </w:p>
        </w:tc>
        <w:tc>
          <w:tcPr>
            <w:tcW w:type="dxa" w:w="4193"/>
            <w:tcMar>
              <w:top w:w="50" w:type="dxa"/>
              <w:bottom w:w="50" w:type="dxa"/>
              <w:left w:w="90" w:type="dxa"/>
              <w:right w:w="90" w:type="dxa"/>
            </w:tcMar>
          </w:tcPr>
          <w:p>
            <w:pPr>
              <w:pStyle w:val="BDOITable"/>
            </w:pPr>
            <w:r>
              <w:rPr>
                <w:sz w:val="17"/>
              </w:rPr>
              <w:t>No inbound ports; session logging; MFA</w:t>
            </w:r>
          </w:p>
        </w:tc>
      </w:tr>
    </w:tbl>
    <w:p>
      <w:pPr>
        <w:pStyle w:val="BDOISpacer"/>
      </w:pPr>
    </w:p>
    <w:p>
      <w:pPr>
        <w:pStyle w:val="Caption"/>
        <w:keepNext/>
        <w:spacing w:after="60"/>
      </w:pPr>
      <w:r>
        <w:rPr>
          <w:b/>
          <w:i w:val="0"/>
        </w:rPr>
        <w:t xml:space="preserve">Table 5: </w:t>
      </w:r>
      <w:r>
        <w:rPr/>
        <w:t>Trust boundaries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33"/>
        <w:gridCol w:w="2833"/>
        <w:gridCol w:w="6006"/>
      </w:tblGrid>
      <w:tr>
        <w:trPr>
          <w:tblHeader w:val="true"/>
          <w:cantSplit w:val="true"/>
        </w:trPr>
        <w:tc>
          <w:tcPr>
            <w:tcW w:type="dxa" w:w="1133"/>
            <w:shd w:val="clear" w:color="auto" w:fill="004EA8"/>
            <w:tcMar>
              <w:top w:w="50" w:type="dxa"/>
              <w:bottom w:w="50" w:type="dxa"/>
              <w:left w:w="90" w:type="dxa"/>
              <w:right w:w="90" w:type="dxa"/>
            </w:tcMar>
            <w:vAlign w:val="center"/>
          </w:tcPr>
          <w:p>
            <w:pPr>
              <w:pStyle w:val="BDOITableHeader"/>
            </w:pPr>
            <w:r>
              <w:rPr>
                <w:b/>
                <w:color w:val="FFFFFF"/>
                <w:sz w:val="17"/>
              </w:rPr>
              <w:t>Boundary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7"/>
              </w:rPr>
              <w:t>Between</w:t>
            </w:r>
          </w:p>
        </w:tc>
        <w:tc>
          <w:tcPr>
            <w:tcW w:type="dxa" w:w="6006"/>
            <w:shd w:val="clear" w:color="auto" w:fill="004EA8"/>
            <w:tcMar>
              <w:top w:w="50" w:type="dxa"/>
              <w:bottom w:w="50" w:type="dxa"/>
              <w:left w:w="90" w:type="dxa"/>
              <w:right w:w="90" w:type="dxa"/>
            </w:tcMar>
            <w:vAlign w:val="center"/>
          </w:tcPr>
          <w:p>
            <w:pPr>
              <w:pStyle w:val="BDOITableHeader"/>
            </w:pPr>
            <w:r>
              <w:rPr>
                <w:b/>
                <w:color w:val="FFFFFF"/>
                <w:sz w:val="17"/>
              </w:rPr>
              <w:t>Controls at the boundary</w:t>
            </w:r>
          </w:p>
        </w:tc>
      </w:tr>
      <w:tr>
        <w:trPr>
          <w:cantSplit w:val="true"/>
        </w:trPr>
        <w:tc>
          <w:tcPr>
            <w:tcW w:type="dxa" w:w="1133"/>
            <w:tcMar>
              <w:top w:w="50" w:type="dxa"/>
              <w:bottom w:w="50" w:type="dxa"/>
              <w:left w:w="90" w:type="dxa"/>
              <w:right w:w="90" w:type="dxa"/>
            </w:tcMar>
          </w:tcPr>
          <w:p>
            <w:pPr>
              <w:pStyle w:val="BDOITable"/>
            </w:pPr>
            <w:r>
              <w:rPr>
                <w:b/>
                <w:sz w:val="17"/>
              </w:rPr>
              <w:t>TB1</w:t>
            </w:r>
          </w:p>
        </w:tc>
        <w:tc>
          <w:tcPr>
            <w:tcW w:type="dxa" w:w="2833"/>
            <w:tcMar>
              <w:top w:w="50" w:type="dxa"/>
              <w:bottom w:w="50" w:type="dxa"/>
              <w:left w:w="90" w:type="dxa"/>
              <w:right w:w="90" w:type="dxa"/>
            </w:tcMar>
          </w:tcPr>
          <w:p>
            <w:pPr>
              <w:pStyle w:val="BDOITable"/>
            </w:pPr>
            <w:r>
              <w:rPr>
                <w:sz w:val="17"/>
              </w:rPr>
              <w:t>Users (Z1) and the edge (Z3)</w:t>
            </w:r>
          </w:p>
        </w:tc>
        <w:tc>
          <w:tcPr>
            <w:tcW w:type="dxa" w:w="6006"/>
            <w:tcMar>
              <w:top w:w="50" w:type="dxa"/>
              <w:bottom w:w="50" w:type="dxa"/>
              <w:left w:w="90" w:type="dxa"/>
              <w:right w:w="90" w:type="dxa"/>
            </w:tcMar>
          </w:tcPr>
          <w:p>
            <w:pPr>
              <w:pStyle w:val="BDOITable"/>
            </w:pPr>
            <w:r>
              <w:rPr>
                <w:sz w:val="17"/>
              </w:rPr>
              <w:t>TLS 1.2+ with the BDO certificate; AWS WAF managed rules and rate rule; EIAM sign-in, TOTP for privileged users; 15-minute access tokens</w:t>
            </w:r>
          </w:p>
        </w:tc>
      </w:tr>
      <w:tr>
        <w:trPr>
          <w:cantSplit w:val="true"/>
        </w:trPr>
        <w:tc>
          <w:tcPr>
            <w:tcW w:type="dxa" w:w="1133"/>
            <w:tcMar>
              <w:top w:w="50" w:type="dxa"/>
              <w:bottom w:w="50" w:type="dxa"/>
              <w:left w:w="90" w:type="dxa"/>
              <w:right w:w="90" w:type="dxa"/>
            </w:tcMar>
            <w:shd w:val="clear" w:color="auto" w:fill="E5F5FF"/>
          </w:tcPr>
          <w:p>
            <w:pPr>
              <w:pStyle w:val="BDOITable"/>
            </w:pPr>
            <w:r>
              <w:rPr>
                <w:b/>
                <w:sz w:val="17"/>
              </w:rPr>
              <w:t>TB2</w:t>
            </w:r>
          </w:p>
        </w:tc>
        <w:tc>
          <w:tcPr>
            <w:tcW w:type="dxa" w:w="2833"/>
            <w:tcMar>
              <w:top w:w="50" w:type="dxa"/>
              <w:bottom w:w="50" w:type="dxa"/>
              <w:left w:w="90" w:type="dxa"/>
              <w:right w:w="90" w:type="dxa"/>
            </w:tcMar>
            <w:shd w:val="clear" w:color="auto" w:fill="E5F5FF"/>
          </w:tcPr>
          <w:p>
            <w:pPr>
              <w:pStyle w:val="BDOITable"/>
            </w:pPr>
            <w:r>
              <w:rPr>
                <w:sz w:val="17"/>
              </w:rPr>
              <w:t>Apigee X (Z2) and BIBS</w:t>
            </w:r>
          </w:p>
        </w:tc>
        <w:tc>
          <w:tcPr>
            <w:tcW w:type="dxa" w:w="6006"/>
            <w:tcMar>
              <w:top w:w="50" w:type="dxa"/>
              <w:bottom w:w="50" w:type="dxa"/>
              <w:left w:w="90" w:type="dxa"/>
              <w:right w:w="90" w:type="dxa"/>
            </w:tcMar>
            <w:shd w:val="clear" w:color="auto" w:fill="E5F5FF"/>
          </w:tcPr>
          <w:p>
            <w:pPr>
              <w:pStyle w:val="BDOITable"/>
            </w:pPr>
            <w:r>
              <w:rPr>
                <w:sz w:val="17"/>
              </w:rPr>
              <w:t>Private route only; WAF admits the integration prefix only from the Apigee ranges; BIBS validates the Apigee token (issuer, audience, scopes per API); outbound calls to BDO systems also through Apigee</w:t>
            </w:r>
          </w:p>
        </w:tc>
      </w:tr>
      <w:tr>
        <w:trPr>
          <w:cantSplit w:val="true"/>
        </w:trPr>
        <w:tc>
          <w:tcPr>
            <w:tcW w:type="dxa" w:w="1133"/>
            <w:tcMar>
              <w:top w:w="50" w:type="dxa"/>
              <w:bottom w:w="50" w:type="dxa"/>
              <w:left w:w="90" w:type="dxa"/>
              <w:right w:w="90" w:type="dxa"/>
            </w:tcMar>
          </w:tcPr>
          <w:p>
            <w:pPr>
              <w:pStyle w:val="BDOITable"/>
            </w:pPr>
            <w:r>
              <w:rPr>
                <w:b/>
                <w:sz w:val="17"/>
              </w:rPr>
              <w:t>TB3</w:t>
            </w:r>
          </w:p>
        </w:tc>
        <w:tc>
          <w:tcPr>
            <w:tcW w:type="dxa" w:w="2833"/>
            <w:tcMar>
              <w:top w:w="50" w:type="dxa"/>
              <w:bottom w:w="50" w:type="dxa"/>
              <w:left w:w="90" w:type="dxa"/>
              <w:right w:w="90" w:type="dxa"/>
            </w:tcMar>
          </w:tcPr>
          <w:p>
            <w:pPr>
              <w:pStyle w:val="BDOITable"/>
            </w:pPr>
            <w:r>
              <w:rPr>
                <w:sz w:val="17"/>
              </w:rPr>
              <w:t>Edge (Z3) and the pods (Z4)</w:t>
            </w:r>
          </w:p>
        </w:tc>
        <w:tc>
          <w:tcPr>
            <w:tcW w:type="dxa" w:w="6006"/>
            <w:tcMar>
              <w:top w:w="50" w:type="dxa"/>
              <w:bottom w:w="50" w:type="dxa"/>
              <w:left w:w="90" w:type="dxa"/>
              <w:right w:w="90" w:type="dxa"/>
            </w:tcMar>
          </w:tcPr>
          <w:p>
            <w:pPr>
              <w:pStyle w:val="BDOITable"/>
            </w:pPr>
            <w:r>
              <w:rPr>
                <w:sz w:val="17"/>
              </w:rPr>
              <w:t>HTTPS to the pods with certificates from AWS Private CA; network policy admits only the load balancer subnets</w:t>
            </w:r>
          </w:p>
        </w:tc>
      </w:tr>
      <w:tr>
        <w:trPr>
          <w:cantSplit w:val="true"/>
        </w:trPr>
        <w:tc>
          <w:tcPr>
            <w:tcW w:type="dxa" w:w="1133"/>
            <w:tcMar>
              <w:top w:w="50" w:type="dxa"/>
              <w:bottom w:w="50" w:type="dxa"/>
              <w:left w:w="90" w:type="dxa"/>
              <w:right w:w="90" w:type="dxa"/>
            </w:tcMar>
            <w:shd w:val="clear" w:color="auto" w:fill="E5F5FF"/>
          </w:tcPr>
          <w:p>
            <w:pPr>
              <w:pStyle w:val="BDOITable"/>
            </w:pPr>
            <w:r>
              <w:rPr>
                <w:b/>
                <w:sz w:val="17"/>
              </w:rPr>
              <w:t>TB4</w:t>
            </w:r>
          </w:p>
        </w:tc>
        <w:tc>
          <w:tcPr>
            <w:tcW w:type="dxa" w:w="2833"/>
            <w:tcMar>
              <w:top w:w="50" w:type="dxa"/>
              <w:bottom w:w="50" w:type="dxa"/>
              <w:left w:w="90" w:type="dxa"/>
              <w:right w:w="90" w:type="dxa"/>
            </w:tcMar>
            <w:shd w:val="clear" w:color="auto" w:fill="E5F5FF"/>
          </w:tcPr>
          <w:p>
            <w:pPr>
              <w:pStyle w:val="BDOITable"/>
            </w:pPr>
            <w:r>
              <w:rPr>
                <w:sz w:val="17"/>
              </w:rPr>
              <w:t>Pods (Z4) and data services (Z5)</w:t>
            </w:r>
          </w:p>
        </w:tc>
        <w:tc>
          <w:tcPr>
            <w:tcW w:type="dxa" w:w="6006"/>
            <w:tcMar>
              <w:top w:w="50" w:type="dxa"/>
              <w:bottom w:w="50" w:type="dxa"/>
              <w:left w:w="90" w:type="dxa"/>
              <w:right w:w="90" w:type="dxa"/>
            </w:tcMar>
            <w:shd w:val="clear" w:color="auto" w:fill="E5F5FF"/>
          </w:tcPr>
          <w:p>
            <w:pPr>
              <w:pStyle w:val="BDOITable"/>
            </w:pPr>
            <w:r>
              <w:rPr>
                <w:sz w:val="17"/>
              </w:rPr>
              <w:t>TLS verify-full to RDS, TLS and AUTH to Valkey, SASL_SSL to MSK; least-privilege database login; credentials from Secrets Manager</w:t>
            </w:r>
          </w:p>
        </w:tc>
      </w:tr>
      <w:tr>
        <w:trPr>
          <w:cantSplit w:val="true"/>
        </w:trPr>
        <w:tc>
          <w:tcPr>
            <w:tcW w:type="dxa" w:w="1133"/>
            <w:tcMar>
              <w:top w:w="50" w:type="dxa"/>
              <w:bottom w:w="50" w:type="dxa"/>
              <w:left w:w="90" w:type="dxa"/>
              <w:right w:w="90" w:type="dxa"/>
            </w:tcMar>
          </w:tcPr>
          <w:p>
            <w:pPr>
              <w:pStyle w:val="BDOITable"/>
            </w:pPr>
            <w:r>
              <w:rPr>
                <w:b/>
                <w:sz w:val="17"/>
              </w:rPr>
              <w:t>TB5</w:t>
            </w:r>
          </w:p>
        </w:tc>
        <w:tc>
          <w:tcPr>
            <w:tcW w:type="dxa" w:w="2833"/>
            <w:tcMar>
              <w:top w:w="50" w:type="dxa"/>
              <w:bottom w:w="50" w:type="dxa"/>
              <w:left w:w="90" w:type="dxa"/>
              <w:right w:w="90" w:type="dxa"/>
            </w:tcMar>
          </w:tcPr>
          <w:p>
            <w:pPr>
              <w:pStyle w:val="BDOITable"/>
            </w:pPr>
            <w:r>
              <w:rPr>
                <w:sz w:val="17"/>
              </w:rPr>
              <w:t>Pods (Z4) and AWS services (Z6)</w:t>
            </w:r>
          </w:p>
        </w:tc>
        <w:tc>
          <w:tcPr>
            <w:tcW w:type="dxa" w:w="6006"/>
            <w:tcMar>
              <w:top w:w="50" w:type="dxa"/>
              <w:bottom w:w="50" w:type="dxa"/>
              <w:left w:w="90" w:type="dxa"/>
              <w:right w:w="90" w:type="dxa"/>
            </w:tcMar>
          </w:tcPr>
          <w:p>
            <w:pPr>
              <w:pStyle w:val="BDOITable"/>
            </w:pPr>
            <w:r>
              <w:rPr>
                <w:sz w:val="17"/>
              </w:rPr>
              <w:t>IAM role per workload (IRSA), least privilege per bucket and key; KMS key policies held by BDOI security</w:t>
            </w:r>
          </w:p>
        </w:tc>
      </w:tr>
      <w:tr>
        <w:trPr>
          <w:cantSplit w:val="true"/>
        </w:trPr>
        <w:tc>
          <w:tcPr>
            <w:tcW w:type="dxa" w:w="1133"/>
            <w:tcMar>
              <w:top w:w="50" w:type="dxa"/>
              <w:bottom w:w="50" w:type="dxa"/>
              <w:left w:w="90" w:type="dxa"/>
              <w:right w:w="90" w:type="dxa"/>
            </w:tcMar>
            <w:shd w:val="clear" w:color="auto" w:fill="E5F5FF"/>
          </w:tcPr>
          <w:p>
            <w:pPr>
              <w:pStyle w:val="BDOITable"/>
            </w:pPr>
            <w:r>
              <w:rPr>
                <w:b/>
                <w:sz w:val="17"/>
              </w:rPr>
              <w:t>TB6</w:t>
            </w:r>
          </w:p>
        </w:tc>
        <w:tc>
          <w:tcPr>
            <w:tcW w:type="dxa" w:w="2833"/>
            <w:tcMar>
              <w:top w:w="50" w:type="dxa"/>
              <w:bottom w:w="50" w:type="dxa"/>
              <w:left w:w="90" w:type="dxa"/>
              <w:right w:w="90" w:type="dxa"/>
            </w:tcMar>
            <w:shd w:val="clear" w:color="auto" w:fill="E5F5FF"/>
          </w:tcPr>
          <w:p>
            <w:pPr>
              <w:pStyle w:val="BDOITable"/>
            </w:pPr>
            <w:r>
              <w:rPr>
                <w:sz w:val="17"/>
              </w:rPr>
              <w:t>Pods (Z4) and BDO on-premises systems (Z1)</w:t>
            </w:r>
          </w:p>
        </w:tc>
        <w:tc>
          <w:tcPr>
            <w:tcW w:type="dxa" w:w="6006"/>
            <w:tcMar>
              <w:top w:w="50" w:type="dxa"/>
              <w:bottom w:w="50" w:type="dxa"/>
              <w:left w:w="90" w:type="dxa"/>
              <w:right w:w="90" w:type="dxa"/>
            </w:tcMar>
            <w:shd w:val="clear" w:color="auto" w:fill="E5F5FF"/>
          </w:tcPr>
          <w:p>
            <w:pPr>
              <w:pStyle w:val="BDOITable"/>
            </w:pPr>
            <w:r>
              <w:rPr>
                <w:sz w:val="17"/>
              </w:rPr>
              <w:t>Through Apigee X (APIs) or the CCM relay (SMTP 587 with STARTTLS); files through the S3 buckets with malware scanning</w:t>
            </w:r>
          </w:p>
        </w:tc>
      </w:tr>
    </w:tbl>
    <w:p>
      <w:pPr>
        <w:pStyle w:val="BDOISpacer"/>
      </w:pPr>
    </w:p>
    <w:p>
      <w:r>
        <w:rPr/>
        <w:t>There is no inbound route from the internet to any zone and no outbound internet access from the pods: images come from ECR and AWS services through PrivateLink. Subnet ranges, the Direct Connect or VPN route and the Apigee source ranges are BDO network values (Deployment Architecture, chapter 7).</w:t>
      </w:r>
    </w:p>
    <w:p>
      <w:pPr>
        <w:pStyle w:val="Heading1"/>
        <w:pBdr>
          <w:bottom w:val="single" w:sz="4" w:space="4" w:color="99C1E7"/>
        </w:pBdr>
      </w:pPr>
      <w:bookmarkStart w:id="109" w:name="_Toc000109"/>
      <w:r>
        <w:rPr/>
        <w:t>5 Compute and storage sizing</w:t>
      </w:r>
      <w:bookmarkEnd w:id="109"/>
    </w:p>
    <w:p>
      <w:pPr>
        <w:pStyle w:val="Heading2"/>
      </w:pPr>
      <w:bookmarkStart w:id="110" w:name="_Toc000110"/>
      <w:r>
        <w:rPr/>
        <w:t>5.1 IER figures and the proposed BIBS sizing</w:t>
      </w:r>
      <w:bookmarkEnd w:id="110"/>
    </w:p>
    <w:p>
      <w:r>
        <w:rPr/>
        <w:t>The IER sized about ten microservices. BIBS runs four workloads from two images (ADR-01, ADR-15), so the Kubernetes rows are restated; the data services keep the IER sizes adjusted to the component baseline. Growth is 15 % a year over 60 months (IER).</w:t>
      </w:r>
    </w:p>
    <w:p>
      <w:pPr>
        <w:pStyle w:val="Caption"/>
        <w:keepNext/>
        <w:spacing w:after="60"/>
      </w:pPr>
      <w:r>
        <w:rPr>
          <w:b/>
          <w:i w:val="0"/>
        </w:rPr>
        <w:t xml:space="preserve">Table 6: </w:t>
      </w:r>
      <w:r>
        <w:rPr/>
        <w:t>IER requests against the proposed sizing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59"/>
        <w:gridCol w:w="4079"/>
        <w:gridCol w:w="4533"/>
      </w:tblGrid>
      <w:tr>
        <w:trPr>
          <w:tblHeader w:val="true"/>
          <w:cantSplit w:val="true"/>
        </w:trPr>
        <w:tc>
          <w:tcPr>
            <w:tcW w:type="dxa" w:w="1360"/>
            <w:shd w:val="clear" w:color="auto" w:fill="004EA8"/>
            <w:tcMar>
              <w:top w:w="50" w:type="dxa"/>
              <w:bottom w:w="50" w:type="dxa"/>
              <w:left w:w="90" w:type="dxa"/>
              <w:right w:w="90" w:type="dxa"/>
            </w:tcMar>
            <w:vAlign w:val="center"/>
          </w:tcPr>
          <w:p>
            <w:pPr>
              <w:pStyle w:val="BDOITableHeader"/>
            </w:pPr>
            <w:r>
              <w:rPr>
                <w:b/>
                <w:color w:val="FFFFFF"/>
                <w:sz w:val="16"/>
              </w:rPr>
              <w:t>Item</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6"/>
              </w:rPr>
              <w:t>IER workbook v20</w:t>
            </w:r>
          </w:p>
        </w:tc>
        <w:tc>
          <w:tcPr>
            <w:tcW w:type="dxa" w:w="4533"/>
            <w:shd w:val="clear" w:color="auto" w:fill="004EA8"/>
            <w:tcMar>
              <w:top w:w="50" w:type="dxa"/>
              <w:bottom w:w="50" w:type="dxa"/>
              <w:left w:w="90" w:type="dxa"/>
              <w:right w:w="90" w:type="dxa"/>
            </w:tcMar>
            <w:vAlign w:val="center"/>
          </w:tcPr>
          <w:p>
            <w:pPr>
              <w:pStyle w:val="BDOITableHeader"/>
            </w:pPr>
            <w:r>
              <w:rPr>
                <w:b/>
                <w:color w:val="FFFFFF"/>
                <w:sz w:val="16"/>
              </w:rPr>
              <w:t>Proposed for BIBS</w:t>
            </w:r>
          </w:p>
        </w:tc>
      </w:tr>
      <w:tr>
        <w:trPr>
          <w:cantSplit w:val="true"/>
        </w:trPr>
        <w:tc>
          <w:tcPr>
            <w:tcW w:type="dxa" w:w="1360"/>
            <w:tcMar>
              <w:top w:w="50" w:type="dxa"/>
              <w:bottom w:w="50" w:type="dxa"/>
              <w:left w:w="90" w:type="dxa"/>
              <w:right w:w="90" w:type="dxa"/>
            </w:tcMar>
          </w:tcPr>
          <w:p>
            <w:pPr>
              <w:pStyle w:val="BDOITable"/>
            </w:pPr>
            <w:r>
              <w:rPr>
                <w:b/>
                <w:sz w:val="16"/>
              </w:rPr>
              <w:t>EKS worker nodes PROD Y1</w:t>
            </w:r>
          </w:p>
        </w:tc>
        <w:tc>
          <w:tcPr>
            <w:tcW w:type="dxa" w:w="4079"/>
            <w:tcMar>
              <w:top w:w="50" w:type="dxa"/>
              <w:bottom w:w="50" w:type="dxa"/>
              <w:left w:w="90" w:type="dxa"/>
              <w:right w:w="90" w:type="dxa"/>
            </w:tcMar>
          </w:tcPr>
          <w:p>
            <w:pPr>
              <w:pStyle w:val="BDOITable"/>
            </w:pPr>
            <w:r>
              <w:rPr>
                <w:sz w:val="16"/>
              </w:rPr>
              <w:t>3 x m5.4xlarge (16 vCPU, 64 GiB) for ten bv-* services; Y5 6 nodes</w:t>
            </w:r>
          </w:p>
        </w:tc>
        <w:tc>
          <w:tcPr>
            <w:tcW w:type="dxa" w:w="4533"/>
            <w:tcMar>
              <w:top w:w="50" w:type="dxa"/>
              <w:bottom w:w="50" w:type="dxa"/>
              <w:left w:w="90" w:type="dxa"/>
              <w:right w:w="90" w:type="dxa"/>
            </w:tcMar>
          </w:tcPr>
          <w:p>
            <w:pPr>
              <w:pStyle w:val="BDOITable"/>
            </w:pPr>
            <w:r>
              <w:rPr>
                <w:sz w:val="16"/>
              </w:rPr>
              <w:t>3 to 6 x m5.2xlarge (8 vCPU, 32 GiB), one or more per zone; Y5 4 to 8 nodes (DA-05)</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EKS worker nodes UAT</w:t>
            </w:r>
          </w:p>
        </w:tc>
        <w:tc>
          <w:tcPr>
            <w:tcW w:type="dxa" w:w="4079"/>
            <w:tcMar>
              <w:top w:w="50" w:type="dxa"/>
              <w:bottom w:w="50" w:type="dxa"/>
              <w:left w:w="90" w:type="dxa"/>
              <w:right w:w="90" w:type="dxa"/>
            </w:tcMar>
            <w:shd w:val="clear" w:color="auto" w:fill="E5F5FF"/>
          </w:tcPr>
          <w:p>
            <w:pPr>
              <w:pStyle w:val="BDOITable"/>
            </w:pPr>
            <w:r>
              <w:rPr>
                <w:sz w:val="16"/>
              </w:rPr>
              <w:t>2 x m5.4xlarge</w:t>
            </w:r>
          </w:p>
        </w:tc>
        <w:tc>
          <w:tcPr>
            <w:tcW w:type="dxa" w:w="4533"/>
            <w:tcMar>
              <w:top w:w="50" w:type="dxa"/>
              <w:bottom w:w="50" w:type="dxa"/>
              <w:left w:w="90" w:type="dxa"/>
              <w:right w:w="90" w:type="dxa"/>
            </w:tcMar>
            <w:shd w:val="clear" w:color="auto" w:fill="E5F5FF"/>
          </w:tcPr>
          <w:p>
            <w:pPr>
              <w:pStyle w:val="BDOITable"/>
            </w:pPr>
            <w:r>
              <w:rPr>
                <w:sz w:val="16"/>
              </w:rPr>
              <w:t>3 x m5.xlarge, one per zone</w:t>
            </w:r>
          </w:p>
        </w:tc>
      </w:tr>
      <w:tr>
        <w:trPr>
          <w:cantSplit w:val="true"/>
        </w:trPr>
        <w:tc>
          <w:tcPr>
            <w:tcW w:type="dxa" w:w="1360"/>
            <w:tcMar>
              <w:top w:w="50" w:type="dxa"/>
              <w:bottom w:w="50" w:type="dxa"/>
              <w:left w:w="90" w:type="dxa"/>
              <w:right w:w="90" w:type="dxa"/>
            </w:tcMar>
          </w:tcPr>
          <w:p>
            <w:pPr>
              <w:pStyle w:val="BDOITable"/>
            </w:pPr>
            <w:r>
              <w:rPr>
                <w:b/>
                <w:sz w:val="16"/>
              </w:rPr>
              <w:t>EKS worker nodes DEV, SIT</w:t>
            </w:r>
          </w:p>
        </w:tc>
        <w:tc>
          <w:tcPr>
            <w:tcW w:type="dxa" w:w="4079"/>
            <w:tcMar>
              <w:top w:w="50" w:type="dxa"/>
              <w:bottom w:w="50" w:type="dxa"/>
              <w:left w:w="90" w:type="dxa"/>
              <w:right w:w="90" w:type="dxa"/>
            </w:tcMar>
          </w:tcPr>
          <w:p>
            <w:pPr>
              <w:pStyle w:val="BDOITable"/>
            </w:pPr>
            <w:r>
              <w:rPr>
                <w:sz w:val="16"/>
              </w:rPr>
              <w:t>2 nodes each</w:t>
            </w:r>
          </w:p>
        </w:tc>
        <w:tc>
          <w:tcPr>
            <w:tcW w:type="dxa" w:w="4533"/>
            <w:tcMar>
              <w:top w:w="50" w:type="dxa"/>
              <w:bottom w:w="50" w:type="dxa"/>
              <w:left w:w="90" w:type="dxa"/>
              <w:right w:w="90" w:type="dxa"/>
            </w:tcMar>
          </w:tcPr>
          <w:p>
            <w:pPr>
              <w:pStyle w:val="BDOITable"/>
            </w:pPr>
            <w:r>
              <w:rPr>
                <w:sz w:val="16"/>
              </w:rPr>
              <w:t>2 x m5.xlarge (SIT up to 3)</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Persistent volumes</w:t>
            </w:r>
          </w:p>
        </w:tc>
        <w:tc>
          <w:tcPr>
            <w:tcW w:type="dxa" w:w="4079"/>
            <w:tcMar>
              <w:top w:w="50" w:type="dxa"/>
              <w:bottom w:w="50" w:type="dxa"/>
              <w:left w:w="90" w:type="dxa"/>
              <w:right w:w="90" w:type="dxa"/>
            </w:tcMar>
            <w:shd w:val="clear" w:color="auto" w:fill="E5F5FF"/>
          </w:tcPr>
          <w:p>
            <w:pPr>
              <w:pStyle w:val="BDOITable"/>
            </w:pPr>
            <w:r>
              <w:rPr>
                <w:sz w:val="16"/>
              </w:rPr>
              <w:t>EFS "Total PV" of 21,800 GB (DEV) to 87,200 GB (PROD Y5)</w:t>
            </w:r>
          </w:p>
        </w:tc>
        <w:tc>
          <w:tcPr>
            <w:tcW w:type="dxa" w:w="4533"/>
            <w:tcMar>
              <w:top w:w="50" w:type="dxa"/>
              <w:bottom w:w="50" w:type="dxa"/>
              <w:left w:w="90" w:type="dxa"/>
              <w:right w:w="90" w:type="dxa"/>
            </w:tcMar>
            <w:shd w:val="clear" w:color="auto" w:fill="E5F5FF"/>
          </w:tcPr>
          <w:p>
            <w:pPr>
              <w:pStyle w:val="BDOITable"/>
            </w:pPr>
            <w:r>
              <w:rPr>
                <w:sz w:val="16"/>
              </w:rPr>
              <w:t>None: pods are stateless, files are in S3; the EFS totals came from a formula error (maximum replicas x CPU limit)</w:t>
            </w:r>
          </w:p>
        </w:tc>
      </w:tr>
      <w:tr>
        <w:trPr>
          <w:cantSplit w:val="true"/>
        </w:trPr>
        <w:tc>
          <w:tcPr>
            <w:tcW w:type="dxa" w:w="1360"/>
            <w:tcMar>
              <w:top w:w="50" w:type="dxa"/>
              <w:bottom w:w="50" w:type="dxa"/>
              <w:left w:w="90" w:type="dxa"/>
              <w:right w:w="90" w:type="dxa"/>
            </w:tcMar>
          </w:tcPr>
          <w:p>
            <w:pPr>
              <w:pStyle w:val="BDOITable"/>
            </w:pPr>
            <w:r>
              <w:rPr>
                <w:b/>
                <w:sz w:val="16"/>
              </w:rPr>
              <w:t>PostgreSQL PROD</w:t>
            </w:r>
          </w:p>
        </w:tc>
        <w:tc>
          <w:tcPr>
            <w:tcW w:type="dxa" w:w="4079"/>
            <w:tcMar>
              <w:top w:w="50" w:type="dxa"/>
              <w:bottom w:w="50" w:type="dxa"/>
              <w:left w:w="90" w:type="dxa"/>
              <w:right w:w="90" w:type="dxa"/>
            </w:tcMar>
          </w:tcPr>
          <w:p>
            <w:pPr>
              <w:pStyle w:val="BDOITable"/>
            </w:pPr>
            <w:r>
              <w:rPr>
                <w:sz w:val="16"/>
              </w:rPr>
              <w:t>16 vCPU, 128 GB, 2,000 GB, Multi-AZ</w:t>
            </w:r>
          </w:p>
        </w:tc>
        <w:tc>
          <w:tcPr>
            <w:tcW w:type="dxa" w:w="4533"/>
            <w:tcMar>
              <w:top w:w="50" w:type="dxa"/>
              <w:bottom w:w="50" w:type="dxa"/>
              <w:left w:w="90" w:type="dxa"/>
              <w:right w:w="90" w:type="dxa"/>
            </w:tcMar>
          </w:tcPr>
          <w:p>
            <w:pPr>
              <w:pStyle w:val="BDOITable"/>
            </w:pPr>
            <w:r>
              <w:rPr>
                <w:sz w:val="16"/>
              </w:rPr>
              <w:t>Same; storage autoscaling on; re-sized once Trial migration 2 measures the migrated volume without file content (IA-04)</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PostgreSQL Pre-Prod / UAT / SIT / DEV</w:t>
            </w:r>
          </w:p>
        </w:tc>
        <w:tc>
          <w:tcPr>
            <w:tcW w:type="dxa" w:w="4079"/>
            <w:tcMar>
              <w:top w:w="50" w:type="dxa"/>
              <w:bottom w:w="50" w:type="dxa"/>
              <w:left w:w="90" w:type="dxa"/>
              <w:right w:w="90" w:type="dxa"/>
            </w:tcMar>
            <w:shd w:val="clear" w:color="auto" w:fill="E5F5FF"/>
          </w:tcPr>
          <w:p>
            <w:pPr>
              <w:pStyle w:val="BDOITable"/>
            </w:pPr>
            <w:r>
              <w:rPr>
                <w:sz w:val="16"/>
              </w:rPr>
              <w:t>8, 64, 1,000 Multi-AZ / 8, 32, 500 / 4, 16, 200 / 4, 16, 200</w:t>
            </w:r>
          </w:p>
        </w:tc>
        <w:tc>
          <w:tcPr>
            <w:tcW w:type="dxa" w:w="4533"/>
            <w:tcMar>
              <w:top w:w="50" w:type="dxa"/>
              <w:bottom w:w="50" w:type="dxa"/>
              <w:left w:w="90" w:type="dxa"/>
              <w:right w:w="90" w:type="dxa"/>
            </w:tcMar>
            <w:shd w:val="clear" w:color="auto" w:fill="E5F5FF"/>
          </w:tcPr>
          <w:p>
            <w:pPr>
              <w:pStyle w:val="BDOITable"/>
            </w:pPr>
            <w:r>
              <w:rPr>
                <w:sz w:val="16"/>
              </w:rPr>
              <w:t>Same</w:t>
            </w:r>
          </w:p>
        </w:tc>
      </w:tr>
      <w:tr>
        <w:trPr>
          <w:cantSplit w:val="true"/>
        </w:trPr>
        <w:tc>
          <w:tcPr>
            <w:tcW w:type="dxa" w:w="1360"/>
            <w:tcMar>
              <w:top w:w="50" w:type="dxa"/>
              <w:bottom w:w="50" w:type="dxa"/>
              <w:left w:w="90" w:type="dxa"/>
              <w:right w:w="90" w:type="dxa"/>
            </w:tcMar>
          </w:tcPr>
          <w:p>
            <w:pPr>
              <w:pStyle w:val="BDOITable"/>
            </w:pPr>
            <w:r>
              <w:rPr>
                <w:b/>
                <w:sz w:val="16"/>
              </w:rPr>
              <w:t>Cache and streaming PROD</w:t>
            </w:r>
          </w:p>
        </w:tc>
        <w:tc>
          <w:tcPr>
            <w:tcW w:type="dxa" w:w="4079"/>
            <w:tcMar>
              <w:top w:w="50" w:type="dxa"/>
              <w:bottom w:w="50" w:type="dxa"/>
              <w:left w:w="90" w:type="dxa"/>
              <w:right w:w="90" w:type="dxa"/>
            </w:tcMar>
          </w:tcPr>
          <w:p>
            <w:pPr>
              <w:pStyle w:val="BDOITable"/>
            </w:pPr>
            <w:r>
              <w:rPr>
                <w:sz w:val="16"/>
              </w:rPr>
              <w:t>ElastiCache for Redis 7 (cluster) + MSK 3 brokers (Kafka 3.6), 8 vCPU, 32 GB, 1,000 GB</w:t>
            </w:r>
          </w:p>
        </w:tc>
        <w:tc>
          <w:tcPr>
            <w:tcW w:type="dxa" w:w="4533"/>
            <w:tcMar>
              <w:top w:w="50" w:type="dxa"/>
              <w:bottom w:w="50" w:type="dxa"/>
              <w:left w:w="90" w:type="dxa"/>
              <w:right w:w="90" w:type="dxa"/>
            </w:tcMar>
          </w:tcPr>
          <w:p>
            <w:pPr>
              <w:pStyle w:val="BDOITable"/>
            </w:pPr>
            <w:r>
              <w:rPr>
                <w:sz w:val="16"/>
              </w:rPr>
              <w:t>ElastiCache for Valkey 8, cache.r7g.large primary and replica, cluster mode disabled; MSK Kafka 3.9 KRaft, 3 x kafka.m5.large, 100 GB per broker</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DR</w:t>
            </w:r>
          </w:p>
        </w:tc>
        <w:tc>
          <w:tcPr>
            <w:tcW w:type="dxa" w:w="4079"/>
            <w:tcMar>
              <w:top w:w="50" w:type="dxa"/>
              <w:bottom w:w="50" w:type="dxa"/>
              <w:left w:w="90" w:type="dxa"/>
              <w:right w:w="90" w:type="dxa"/>
            </w:tcMar>
            <w:shd w:val="clear" w:color="auto" w:fill="E5F5FF"/>
          </w:tcPr>
          <w:p>
            <w:pPr>
              <w:pStyle w:val="BDOITable"/>
            </w:pPr>
            <w:r>
              <w:rPr>
                <w:sz w:val="16"/>
              </w:rPr>
              <w:t>Cross-region read replica 16 vCPU, 128 GB, 2,000 GB; cache and streaming 3 brokers</w:t>
            </w:r>
          </w:p>
        </w:tc>
        <w:tc>
          <w:tcPr>
            <w:tcW w:type="dxa" w:w="4533"/>
            <w:tcMar>
              <w:top w:w="50" w:type="dxa"/>
              <w:bottom w:w="50" w:type="dxa"/>
              <w:left w:w="90" w:type="dxa"/>
              <w:right w:w="90" w:type="dxa"/>
            </w:tcMar>
            <w:shd w:val="clear" w:color="auto" w:fill="E5F5FF"/>
          </w:tcPr>
          <w:p>
            <w:pPr>
              <w:pStyle w:val="BDOITable"/>
            </w:pPr>
            <w:r>
              <w:rPr>
                <w:sz w:val="16"/>
              </w:rPr>
              <w:t>Read replica as IER; Valkey and MSK created at failover; EKS standby with 2 nodes</w:t>
            </w:r>
          </w:p>
        </w:tc>
      </w:tr>
      <w:tr>
        <w:trPr>
          <w:cantSplit w:val="true"/>
        </w:trPr>
        <w:tc>
          <w:tcPr>
            <w:tcW w:type="dxa" w:w="1360"/>
            <w:tcMar>
              <w:top w:w="50" w:type="dxa"/>
              <w:bottom w:w="50" w:type="dxa"/>
              <w:left w:w="90" w:type="dxa"/>
              <w:right w:w="90" w:type="dxa"/>
            </w:tcMar>
          </w:tcPr>
          <w:p>
            <w:pPr>
              <w:pStyle w:val="BDOITable"/>
            </w:pPr>
            <w:r>
              <w:rPr>
                <w:b/>
                <w:sz w:val="16"/>
              </w:rPr>
              <w:t>Bastion and runner</w:t>
            </w:r>
          </w:p>
        </w:tc>
        <w:tc>
          <w:tcPr>
            <w:tcW w:type="dxa" w:w="4079"/>
            <w:tcMar>
              <w:top w:w="50" w:type="dxa"/>
              <w:bottom w:w="50" w:type="dxa"/>
              <w:left w:w="90" w:type="dxa"/>
              <w:right w:w="90" w:type="dxa"/>
            </w:tcMar>
          </w:tcPr>
          <w:p>
            <w:pPr>
              <w:pStyle w:val="BDOITable"/>
            </w:pPr>
            <w:r>
              <w:rPr>
                <w:sz w:val="16"/>
              </w:rPr>
              <w:t>4 vCPU, 16 GB, 200 GB, RHEL 9</w:t>
            </w:r>
          </w:p>
        </w:tc>
        <w:tc>
          <w:tcPr>
            <w:tcW w:type="dxa" w:w="4533"/>
            <w:tcMar>
              <w:top w:w="50" w:type="dxa"/>
              <w:bottom w:w="50" w:type="dxa"/>
              <w:left w:w="90" w:type="dxa"/>
              <w:right w:w="90" w:type="dxa"/>
            </w:tcMar>
          </w:tcPr>
          <w:p>
            <w:pPr>
              <w:pStyle w:val="BDOITable"/>
            </w:pPr>
            <w:r>
              <w:rPr>
                <w:sz w:val="16"/>
              </w:rPr>
              <w:t>Same (SSM, kubectl, kustomize)</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VDI</w:t>
            </w:r>
          </w:p>
        </w:tc>
        <w:tc>
          <w:tcPr>
            <w:tcW w:type="dxa" w:w="4079"/>
            <w:tcMar>
              <w:top w:w="50" w:type="dxa"/>
              <w:bottom w:w="50" w:type="dxa"/>
              <w:left w:w="90" w:type="dxa"/>
              <w:right w:w="90" w:type="dxa"/>
            </w:tcMar>
            <w:shd w:val="clear" w:color="auto" w:fill="E5F5FF"/>
          </w:tcPr>
          <w:p>
            <w:pPr>
              <w:pStyle w:val="BDOITable"/>
            </w:pPr>
            <w:r>
              <w:rPr>
                <w:sz w:val="16"/>
              </w:rPr>
              <w:t>15 users: 8 developers (24 months), 4 testers (18), 3 production support (60)</w:t>
            </w:r>
          </w:p>
        </w:tc>
        <w:tc>
          <w:tcPr>
            <w:tcW w:type="dxa" w:w="4533"/>
            <w:tcMar>
              <w:top w:w="50" w:type="dxa"/>
              <w:bottom w:w="50" w:type="dxa"/>
              <w:left w:w="90" w:type="dxa"/>
              <w:right w:w="90" w:type="dxa"/>
            </w:tcMar>
            <w:shd w:val="clear" w:color="auto" w:fill="E5F5FF"/>
          </w:tcPr>
          <w:p>
            <w:pPr>
              <w:pStyle w:val="BDOITable"/>
            </w:pPr>
            <w:r>
              <w:rPr>
                <w:sz w:val="16"/>
              </w:rPr>
              <w:t>Same; software list Temurin 21, Maven 3.9, Node 22 (Node 24 from April 2027), no Angular, no JDK 17 (IQ28)</w:t>
            </w:r>
          </w:p>
        </w:tc>
      </w:tr>
    </w:tbl>
    <w:p>
      <w:pPr>
        <w:pStyle w:val="BDOISpacer"/>
      </w:pPr>
    </w:p>
    <w:p>
      <w:pPr>
        <w:pStyle w:val="Caption"/>
        <w:keepNext/>
        <w:spacing w:after="60"/>
      </w:pPr>
      <w:r>
        <w:rPr>
          <w:b/>
          <w:i w:val="0"/>
        </w:rPr>
        <w:t xml:space="preserve">Table 7: </w:t>
      </w:r>
      <w:r>
        <w:rPr/>
        <w:t>Proposed Kubernetes sizing per environment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59"/>
        <w:gridCol w:w="1359"/>
        <w:gridCol w:w="1019"/>
        <w:gridCol w:w="1246"/>
        <w:gridCol w:w="1359"/>
        <w:gridCol w:w="3626"/>
      </w:tblGrid>
      <w:tr>
        <w:trPr>
          <w:tblHeader w:val="true"/>
          <w:cantSplit w:val="true"/>
        </w:trPr>
        <w:tc>
          <w:tcPr>
            <w:tcW w:type="dxa" w:w="1360"/>
            <w:shd w:val="clear" w:color="auto" w:fill="004EA8"/>
            <w:tcMar>
              <w:top w:w="50" w:type="dxa"/>
              <w:bottom w:w="50" w:type="dxa"/>
              <w:left w:w="90" w:type="dxa"/>
              <w:right w:w="90" w:type="dxa"/>
            </w:tcMar>
            <w:vAlign w:val="center"/>
          </w:tcPr>
          <w:p>
            <w:pPr>
              <w:pStyle w:val="BDOITableHeader"/>
            </w:pPr>
            <w:r>
              <w:rPr>
                <w:b/>
                <w:color w:val="FFFFFF"/>
                <w:sz w:val="16"/>
              </w:rPr>
              <w:t>Environment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bibs-web pods (min / max)</w:t>
            </w:r>
          </w:p>
        </w:tc>
        <w:tc>
          <w:tcPr>
            <w:tcW w:type="dxa" w:w="1020"/>
            <w:shd w:val="clear" w:color="auto" w:fill="004EA8"/>
            <w:tcMar>
              <w:top w:w="50" w:type="dxa"/>
              <w:bottom w:w="50" w:type="dxa"/>
              <w:left w:w="90" w:type="dxa"/>
              <w:right w:w="90" w:type="dxa"/>
            </w:tcMar>
            <w:vAlign w:val="center"/>
          </w:tcPr>
          <w:p>
            <w:pPr>
              <w:pStyle w:val="BDOITableHeader"/>
            </w:pPr>
            <w:r>
              <w:rPr>
                <w:b/>
                <w:color w:val="FFFFFF"/>
                <w:sz w:val="16"/>
              </w:rPr>
              <w:t>bibs-jobs pods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bibs-integration pods</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bibs-frontend pods (min / max)</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6"/>
              </w:rPr>
              <w:t>Worker nodes</w:t>
            </w:r>
          </w:p>
        </w:tc>
      </w:tr>
      <w:tr>
        <w:trPr>
          <w:cantSplit w:val="true"/>
        </w:trPr>
        <w:tc>
          <w:tcPr>
            <w:tcW w:type="dxa" w:w="1360"/>
            <w:tcMar>
              <w:top w:w="50" w:type="dxa"/>
              <w:bottom w:w="50" w:type="dxa"/>
              <w:left w:w="90" w:type="dxa"/>
              <w:right w:w="90" w:type="dxa"/>
            </w:tcMar>
          </w:tcPr>
          <w:p>
            <w:pPr>
              <w:pStyle w:val="BDOITable"/>
            </w:pPr>
            <w:r>
              <w:rPr>
                <w:b/>
                <w:sz w:val="16"/>
              </w:rPr>
              <w:t>DEV</w:t>
            </w:r>
          </w:p>
        </w:tc>
        <w:tc>
          <w:tcPr>
            <w:tcW w:type="dxa" w:w="1360"/>
            <w:tcMar>
              <w:top w:w="50" w:type="dxa"/>
              <w:bottom w:w="50" w:type="dxa"/>
              <w:left w:w="90" w:type="dxa"/>
              <w:right w:w="90" w:type="dxa"/>
            </w:tcMar>
          </w:tcPr>
          <w:p>
            <w:pPr>
              <w:pStyle w:val="BDOITable"/>
            </w:pPr>
            <w:r>
              <w:rPr>
                <w:sz w:val="16"/>
              </w:rPr>
              <w:t>1 / 2</w:t>
            </w:r>
          </w:p>
        </w:tc>
        <w:tc>
          <w:tcPr>
            <w:tcW w:type="dxa" w:w="1020"/>
            <w:tcMar>
              <w:top w:w="50" w:type="dxa"/>
              <w:bottom w:w="50" w:type="dxa"/>
              <w:left w:w="90" w:type="dxa"/>
              <w:right w:w="90" w:type="dxa"/>
            </w:tcMar>
          </w:tcPr>
          <w:p>
            <w:pPr>
              <w:pStyle w:val="BDOITable"/>
            </w:pPr>
            <w:r>
              <w:rPr>
                <w:sz w:val="16"/>
              </w:rPr>
              <w:t>1</w:t>
            </w:r>
          </w:p>
        </w:tc>
        <w:tc>
          <w:tcPr>
            <w:tcW w:type="dxa" w:w="1246"/>
            <w:tcMar>
              <w:top w:w="50" w:type="dxa"/>
              <w:bottom w:w="50" w:type="dxa"/>
              <w:left w:w="90" w:type="dxa"/>
              <w:right w:w="90" w:type="dxa"/>
            </w:tcMar>
          </w:tcPr>
          <w:p>
            <w:pPr>
              <w:pStyle w:val="BDOITable"/>
            </w:pPr>
            <w:r>
              <w:rPr>
                <w:sz w:val="16"/>
              </w:rPr>
              <w:t>1</w:t>
            </w:r>
          </w:p>
        </w:tc>
        <w:tc>
          <w:tcPr>
            <w:tcW w:type="dxa" w:w="1360"/>
            <w:tcMar>
              <w:top w:w="50" w:type="dxa"/>
              <w:bottom w:w="50" w:type="dxa"/>
              <w:left w:w="90" w:type="dxa"/>
              <w:right w:w="90" w:type="dxa"/>
            </w:tcMar>
          </w:tcPr>
          <w:p>
            <w:pPr>
              <w:pStyle w:val="BDOITable"/>
            </w:pPr>
            <w:r>
              <w:rPr>
                <w:sz w:val="16"/>
              </w:rPr>
              <w:t>1 / 2</w:t>
            </w:r>
          </w:p>
        </w:tc>
        <w:tc>
          <w:tcPr>
            <w:tcW w:type="dxa" w:w="3626"/>
            <w:tcMar>
              <w:top w:w="50" w:type="dxa"/>
              <w:bottom w:w="50" w:type="dxa"/>
              <w:left w:w="90" w:type="dxa"/>
              <w:right w:w="90" w:type="dxa"/>
            </w:tcMar>
          </w:tcPr>
          <w:p>
            <w:pPr>
              <w:pStyle w:val="BDOITable"/>
            </w:pPr>
            <w:r>
              <w:rPr>
                <w:sz w:val="16"/>
              </w:rPr>
              <w:t>2 x m5.xlarge (4 vCPU, 16 GiB)</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SIT</w:t>
            </w:r>
          </w:p>
        </w:tc>
        <w:tc>
          <w:tcPr>
            <w:tcW w:type="dxa" w:w="1360"/>
            <w:tcMar>
              <w:top w:w="50" w:type="dxa"/>
              <w:bottom w:w="50" w:type="dxa"/>
              <w:left w:w="90" w:type="dxa"/>
              <w:right w:w="90" w:type="dxa"/>
            </w:tcMar>
            <w:shd w:val="clear" w:color="auto" w:fill="E5F5FF"/>
          </w:tcPr>
          <w:p>
            <w:pPr>
              <w:pStyle w:val="BDOITable"/>
            </w:pPr>
            <w:r>
              <w:rPr>
                <w:sz w:val="16"/>
              </w:rPr>
              <w:t>2 / 3</w:t>
            </w:r>
          </w:p>
        </w:tc>
        <w:tc>
          <w:tcPr>
            <w:tcW w:type="dxa" w:w="1020"/>
            <w:tcMar>
              <w:top w:w="50" w:type="dxa"/>
              <w:bottom w:w="50" w:type="dxa"/>
              <w:left w:w="90" w:type="dxa"/>
              <w:right w:w="90" w:type="dxa"/>
            </w:tcMar>
            <w:shd w:val="clear" w:color="auto" w:fill="E5F5FF"/>
          </w:tcPr>
          <w:p>
            <w:pPr>
              <w:pStyle w:val="BDOITable"/>
            </w:pPr>
            <w:r>
              <w:rPr>
                <w:sz w:val="16"/>
              </w:rPr>
              <w:t>2</w:t>
            </w:r>
          </w:p>
        </w:tc>
        <w:tc>
          <w:tcPr>
            <w:tcW w:type="dxa" w:w="1246"/>
            <w:tcMar>
              <w:top w:w="50" w:type="dxa"/>
              <w:bottom w:w="50" w:type="dxa"/>
              <w:left w:w="90" w:type="dxa"/>
              <w:right w:w="90" w:type="dxa"/>
            </w:tcMar>
            <w:shd w:val="clear" w:color="auto" w:fill="E5F5FF"/>
          </w:tcPr>
          <w:p>
            <w:pPr>
              <w:pStyle w:val="BDOITable"/>
            </w:pPr>
            <w:r>
              <w:rPr>
                <w:sz w:val="16"/>
              </w:rPr>
              <w:t>1</w:t>
            </w:r>
          </w:p>
        </w:tc>
        <w:tc>
          <w:tcPr>
            <w:tcW w:type="dxa" w:w="1360"/>
            <w:tcMar>
              <w:top w:w="50" w:type="dxa"/>
              <w:bottom w:w="50" w:type="dxa"/>
              <w:left w:w="90" w:type="dxa"/>
              <w:right w:w="90" w:type="dxa"/>
            </w:tcMar>
            <w:shd w:val="clear" w:color="auto" w:fill="E5F5FF"/>
          </w:tcPr>
          <w:p>
            <w:pPr>
              <w:pStyle w:val="BDOITable"/>
            </w:pPr>
            <w:r>
              <w:rPr>
                <w:sz w:val="16"/>
              </w:rPr>
              <w:t>2 / 2</w:t>
            </w:r>
          </w:p>
        </w:tc>
        <w:tc>
          <w:tcPr>
            <w:tcW w:type="dxa" w:w="3626"/>
            <w:tcMar>
              <w:top w:w="50" w:type="dxa"/>
              <w:bottom w:w="50" w:type="dxa"/>
              <w:left w:w="90" w:type="dxa"/>
              <w:right w:w="90" w:type="dxa"/>
            </w:tcMar>
            <w:shd w:val="clear" w:color="auto" w:fill="E5F5FF"/>
          </w:tcPr>
          <w:p>
            <w:pPr>
              <w:pStyle w:val="BDOITable"/>
            </w:pPr>
            <w:r>
              <w:rPr>
                <w:sz w:val="16"/>
              </w:rPr>
              <w:t>2 to 3 x m5.xlarge (4 vCPU, 16 GiB)</w:t>
            </w:r>
          </w:p>
        </w:tc>
      </w:tr>
      <w:tr>
        <w:trPr>
          <w:cantSplit w:val="true"/>
        </w:trPr>
        <w:tc>
          <w:tcPr>
            <w:tcW w:type="dxa" w:w="1360"/>
            <w:tcMar>
              <w:top w:w="50" w:type="dxa"/>
              <w:bottom w:w="50" w:type="dxa"/>
              <w:left w:w="90" w:type="dxa"/>
              <w:right w:w="90" w:type="dxa"/>
            </w:tcMar>
          </w:tcPr>
          <w:p>
            <w:pPr>
              <w:pStyle w:val="BDOITable"/>
            </w:pPr>
            <w:r>
              <w:rPr>
                <w:b/>
                <w:sz w:val="16"/>
              </w:rPr>
              <w:t>UAT</w:t>
            </w:r>
          </w:p>
        </w:tc>
        <w:tc>
          <w:tcPr>
            <w:tcW w:type="dxa" w:w="1360"/>
            <w:tcMar>
              <w:top w:w="50" w:type="dxa"/>
              <w:bottom w:w="50" w:type="dxa"/>
              <w:left w:w="90" w:type="dxa"/>
              <w:right w:w="90" w:type="dxa"/>
            </w:tcMar>
          </w:tcPr>
          <w:p>
            <w:pPr>
              <w:pStyle w:val="BDOITable"/>
            </w:pPr>
            <w:r>
              <w:rPr>
                <w:sz w:val="16"/>
              </w:rPr>
              <w:t>2 / 4</w:t>
            </w:r>
          </w:p>
        </w:tc>
        <w:tc>
          <w:tcPr>
            <w:tcW w:type="dxa" w:w="1020"/>
            <w:tcMar>
              <w:top w:w="50" w:type="dxa"/>
              <w:bottom w:w="50" w:type="dxa"/>
              <w:left w:w="90" w:type="dxa"/>
              <w:right w:w="90" w:type="dxa"/>
            </w:tcMar>
          </w:tcPr>
          <w:p>
            <w:pPr>
              <w:pStyle w:val="BDOITable"/>
            </w:pPr>
            <w:r>
              <w:rPr>
                <w:sz w:val="16"/>
              </w:rPr>
              <w:t>2</w:t>
            </w:r>
          </w:p>
        </w:tc>
        <w:tc>
          <w:tcPr>
            <w:tcW w:type="dxa" w:w="1246"/>
            <w:tcMar>
              <w:top w:w="50" w:type="dxa"/>
              <w:bottom w:w="50" w:type="dxa"/>
              <w:left w:w="90" w:type="dxa"/>
              <w:right w:w="90" w:type="dxa"/>
            </w:tcMar>
          </w:tcPr>
          <w:p>
            <w:pPr>
              <w:pStyle w:val="BDOITable"/>
            </w:pPr>
            <w:r>
              <w:rPr>
                <w:sz w:val="16"/>
              </w:rPr>
              <w:t>2</w:t>
            </w:r>
          </w:p>
        </w:tc>
        <w:tc>
          <w:tcPr>
            <w:tcW w:type="dxa" w:w="1360"/>
            <w:tcMar>
              <w:top w:w="50" w:type="dxa"/>
              <w:bottom w:w="50" w:type="dxa"/>
              <w:left w:w="90" w:type="dxa"/>
              <w:right w:w="90" w:type="dxa"/>
            </w:tcMar>
          </w:tcPr>
          <w:p>
            <w:pPr>
              <w:pStyle w:val="BDOITable"/>
            </w:pPr>
            <w:r>
              <w:rPr>
                <w:sz w:val="16"/>
              </w:rPr>
              <w:t>2 / 4</w:t>
            </w:r>
          </w:p>
        </w:tc>
        <w:tc>
          <w:tcPr>
            <w:tcW w:type="dxa" w:w="3626"/>
            <w:tcMar>
              <w:top w:w="50" w:type="dxa"/>
              <w:bottom w:w="50" w:type="dxa"/>
              <w:left w:w="90" w:type="dxa"/>
              <w:right w:w="90" w:type="dxa"/>
            </w:tcMar>
          </w:tcPr>
          <w:p>
            <w:pPr>
              <w:pStyle w:val="BDOITable"/>
            </w:pPr>
            <w:r>
              <w:rPr>
                <w:sz w:val="16"/>
              </w:rPr>
              <w:t>3 x m5.xlarge (4 vCPU, 16 GiB), one per zone</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Pre-Prod</w:t>
            </w:r>
          </w:p>
        </w:tc>
        <w:tc>
          <w:tcPr>
            <w:tcW w:type="dxa" w:w="1360"/>
            <w:tcMar>
              <w:top w:w="50" w:type="dxa"/>
              <w:bottom w:w="50" w:type="dxa"/>
              <w:left w:w="90" w:type="dxa"/>
              <w:right w:w="90" w:type="dxa"/>
            </w:tcMar>
            <w:shd w:val="clear" w:color="auto" w:fill="E5F5FF"/>
          </w:tcPr>
          <w:p>
            <w:pPr>
              <w:pStyle w:val="BDOITable"/>
            </w:pPr>
            <w:r>
              <w:rPr>
                <w:sz w:val="16"/>
              </w:rPr>
              <w:t>3 / 10</w:t>
            </w:r>
          </w:p>
        </w:tc>
        <w:tc>
          <w:tcPr>
            <w:tcW w:type="dxa" w:w="1020"/>
            <w:tcMar>
              <w:top w:w="50" w:type="dxa"/>
              <w:bottom w:w="50" w:type="dxa"/>
              <w:left w:w="90" w:type="dxa"/>
              <w:right w:w="90" w:type="dxa"/>
            </w:tcMar>
            <w:shd w:val="clear" w:color="auto" w:fill="E5F5FF"/>
          </w:tcPr>
          <w:p>
            <w:pPr>
              <w:pStyle w:val="BDOITable"/>
            </w:pPr>
            <w:r>
              <w:rPr>
                <w:sz w:val="16"/>
              </w:rPr>
              <w:t>2</w:t>
            </w:r>
          </w:p>
        </w:tc>
        <w:tc>
          <w:tcPr>
            <w:tcW w:type="dxa" w:w="1246"/>
            <w:tcMar>
              <w:top w:w="50" w:type="dxa"/>
              <w:bottom w:w="50" w:type="dxa"/>
              <w:left w:w="90" w:type="dxa"/>
              <w:right w:w="90" w:type="dxa"/>
            </w:tcMar>
            <w:shd w:val="clear" w:color="auto" w:fill="E5F5FF"/>
          </w:tcPr>
          <w:p>
            <w:pPr>
              <w:pStyle w:val="BDOITable"/>
            </w:pPr>
            <w:r>
              <w:rPr>
                <w:sz w:val="16"/>
              </w:rPr>
              <w:t>2</w:t>
            </w:r>
          </w:p>
        </w:tc>
        <w:tc>
          <w:tcPr>
            <w:tcW w:type="dxa" w:w="1360"/>
            <w:tcMar>
              <w:top w:w="50" w:type="dxa"/>
              <w:bottom w:w="50" w:type="dxa"/>
              <w:left w:w="90" w:type="dxa"/>
              <w:right w:w="90" w:type="dxa"/>
            </w:tcMar>
            <w:shd w:val="clear" w:color="auto" w:fill="E5F5FF"/>
          </w:tcPr>
          <w:p>
            <w:pPr>
              <w:pStyle w:val="BDOITable"/>
            </w:pPr>
            <w:r>
              <w:rPr>
                <w:sz w:val="16"/>
              </w:rPr>
              <w:t>2 / 4</w:t>
            </w:r>
          </w:p>
        </w:tc>
        <w:tc>
          <w:tcPr>
            <w:tcW w:type="dxa" w:w="3626"/>
            <w:tcMar>
              <w:top w:w="50" w:type="dxa"/>
              <w:bottom w:w="50" w:type="dxa"/>
              <w:left w:w="90" w:type="dxa"/>
              <w:right w:w="90" w:type="dxa"/>
            </w:tcMar>
            <w:shd w:val="clear" w:color="auto" w:fill="E5F5FF"/>
          </w:tcPr>
          <w:p>
            <w:pPr>
              <w:pStyle w:val="BDOITable"/>
            </w:pPr>
            <w:r>
              <w:rPr>
                <w:sz w:val="16"/>
              </w:rPr>
              <w:t>3 to 6 x m5.2xlarge (8 vCPU, 32 GiB)</w:t>
            </w:r>
          </w:p>
        </w:tc>
      </w:tr>
      <w:tr>
        <w:trPr>
          <w:cantSplit w:val="true"/>
        </w:trPr>
        <w:tc>
          <w:tcPr>
            <w:tcW w:type="dxa" w:w="1360"/>
            <w:tcMar>
              <w:top w:w="50" w:type="dxa"/>
              <w:bottom w:w="50" w:type="dxa"/>
              <w:left w:w="90" w:type="dxa"/>
              <w:right w:w="90" w:type="dxa"/>
            </w:tcMar>
          </w:tcPr>
          <w:p>
            <w:pPr>
              <w:pStyle w:val="BDOITable"/>
            </w:pPr>
            <w:r>
              <w:rPr>
                <w:b/>
                <w:sz w:val="16"/>
              </w:rPr>
              <w:t>PROD Y1</w:t>
            </w:r>
          </w:p>
        </w:tc>
        <w:tc>
          <w:tcPr>
            <w:tcW w:type="dxa" w:w="1360"/>
            <w:tcMar>
              <w:top w:w="50" w:type="dxa"/>
              <w:bottom w:w="50" w:type="dxa"/>
              <w:left w:w="90" w:type="dxa"/>
              <w:right w:w="90" w:type="dxa"/>
            </w:tcMar>
          </w:tcPr>
          <w:p>
            <w:pPr>
              <w:pStyle w:val="BDOITable"/>
            </w:pPr>
            <w:r>
              <w:rPr>
                <w:sz w:val="16"/>
              </w:rPr>
              <w:t>3 / 10</w:t>
            </w:r>
          </w:p>
        </w:tc>
        <w:tc>
          <w:tcPr>
            <w:tcW w:type="dxa" w:w="1020"/>
            <w:tcMar>
              <w:top w:w="50" w:type="dxa"/>
              <w:bottom w:w="50" w:type="dxa"/>
              <w:left w:w="90" w:type="dxa"/>
              <w:right w:w="90" w:type="dxa"/>
            </w:tcMar>
          </w:tcPr>
          <w:p>
            <w:pPr>
              <w:pStyle w:val="BDOITable"/>
            </w:pPr>
            <w:r>
              <w:rPr>
                <w:sz w:val="16"/>
              </w:rPr>
              <w:t>2</w:t>
            </w:r>
          </w:p>
        </w:tc>
        <w:tc>
          <w:tcPr>
            <w:tcW w:type="dxa" w:w="1246"/>
            <w:tcMar>
              <w:top w:w="50" w:type="dxa"/>
              <w:bottom w:w="50" w:type="dxa"/>
              <w:left w:w="90" w:type="dxa"/>
              <w:right w:w="90" w:type="dxa"/>
            </w:tcMar>
          </w:tcPr>
          <w:p>
            <w:pPr>
              <w:pStyle w:val="BDOITable"/>
            </w:pPr>
            <w:r>
              <w:rPr>
                <w:sz w:val="16"/>
              </w:rPr>
              <w:t>2</w:t>
            </w:r>
          </w:p>
        </w:tc>
        <w:tc>
          <w:tcPr>
            <w:tcW w:type="dxa" w:w="1360"/>
            <w:tcMar>
              <w:top w:w="50" w:type="dxa"/>
              <w:bottom w:w="50" w:type="dxa"/>
              <w:left w:w="90" w:type="dxa"/>
              <w:right w:w="90" w:type="dxa"/>
            </w:tcMar>
          </w:tcPr>
          <w:p>
            <w:pPr>
              <w:pStyle w:val="BDOITable"/>
            </w:pPr>
            <w:r>
              <w:rPr>
                <w:sz w:val="16"/>
              </w:rPr>
              <w:t>2 / 4</w:t>
            </w:r>
          </w:p>
        </w:tc>
        <w:tc>
          <w:tcPr>
            <w:tcW w:type="dxa" w:w="3626"/>
            <w:tcMar>
              <w:top w:w="50" w:type="dxa"/>
              <w:bottom w:w="50" w:type="dxa"/>
              <w:left w:w="90" w:type="dxa"/>
              <w:right w:w="90" w:type="dxa"/>
            </w:tcMar>
          </w:tcPr>
          <w:p>
            <w:pPr>
              <w:pStyle w:val="BDOITable"/>
            </w:pPr>
            <w:r>
              <w:rPr>
                <w:sz w:val="16"/>
              </w:rPr>
              <w:t>3 to 6 x m5.2xlarge (8 vCPU, 32 GiB), one or more per zone</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PROD Y5</w:t>
            </w:r>
          </w:p>
        </w:tc>
        <w:tc>
          <w:tcPr>
            <w:tcW w:type="dxa" w:w="1360"/>
            <w:tcMar>
              <w:top w:w="50" w:type="dxa"/>
              <w:bottom w:w="50" w:type="dxa"/>
              <w:left w:w="90" w:type="dxa"/>
              <w:right w:w="90" w:type="dxa"/>
            </w:tcMar>
            <w:shd w:val="clear" w:color="auto" w:fill="E5F5FF"/>
          </w:tcPr>
          <w:p>
            <w:pPr>
              <w:pStyle w:val="BDOITable"/>
            </w:pPr>
            <w:r>
              <w:rPr>
                <w:sz w:val="16"/>
              </w:rPr>
              <w:t>4 / 12</w:t>
            </w:r>
          </w:p>
        </w:tc>
        <w:tc>
          <w:tcPr>
            <w:tcW w:type="dxa" w:w="1020"/>
            <w:tcMar>
              <w:top w:w="50" w:type="dxa"/>
              <w:bottom w:w="50" w:type="dxa"/>
              <w:left w:w="90" w:type="dxa"/>
              <w:right w:w="90" w:type="dxa"/>
            </w:tcMar>
            <w:shd w:val="clear" w:color="auto" w:fill="E5F5FF"/>
          </w:tcPr>
          <w:p>
            <w:pPr>
              <w:pStyle w:val="BDOITable"/>
            </w:pPr>
            <w:r>
              <w:rPr>
                <w:sz w:val="16"/>
              </w:rPr>
              <w:t>2</w:t>
            </w:r>
          </w:p>
        </w:tc>
        <w:tc>
          <w:tcPr>
            <w:tcW w:type="dxa" w:w="1246"/>
            <w:tcMar>
              <w:top w:w="50" w:type="dxa"/>
              <w:bottom w:w="50" w:type="dxa"/>
              <w:left w:w="90" w:type="dxa"/>
              <w:right w:w="90" w:type="dxa"/>
            </w:tcMar>
            <w:shd w:val="clear" w:color="auto" w:fill="E5F5FF"/>
          </w:tcPr>
          <w:p>
            <w:pPr>
              <w:pStyle w:val="BDOITable"/>
            </w:pPr>
            <w:r>
              <w:rPr>
                <w:sz w:val="16"/>
              </w:rPr>
              <w:t>2</w:t>
            </w:r>
          </w:p>
        </w:tc>
        <w:tc>
          <w:tcPr>
            <w:tcW w:type="dxa" w:w="1360"/>
            <w:tcMar>
              <w:top w:w="50" w:type="dxa"/>
              <w:bottom w:w="50" w:type="dxa"/>
              <w:left w:w="90" w:type="dxa"/>
              <w:right w:w="90" w:type="dxa"/>
            </w:tcMar>
            <w:shd w:val="clear" w:color="auto" w:fill="E5F5FF"/>
          </w:tcPr>
          <w:p>
            <w:pPr>
              <w:pStyle w:val="BDOITable"/>
            </w:pPr>
            <w:r>
              <w:rPr>
                <w:sz w:val="16"/>
              </w:rPr>
              <w:t>2 / 4</w:t>
            </w:r>
          </w:p>
        </w:tc>
        <w:tc>
          <w:tcPr>
            <w:tcW w:type="dxa" w:w="3626"/>
            <w:tcMar>
              <w:top w:w="50" w:type="dxa"/>
              <w:bottom w:w="50" w:type="dxa"/>
              <w:left w:w="90" w:type="dxa"/>
              <w:right w:w="90" w:type="dxa"/>
            </w:tcMar>
            <w:shd w:val="clear" w:color="auto" w:fill="E5F5FF"/>
          </w:tcPr>
          <w:p>
            <w:pPr>
              <w:pStyle w:val="BDOITable"/>
            </w:pPr>
            <w:r>
              <w:rPr>
                <w:sz w:val="16"/>
              </w:rPr>
              <w:t>4 to 8 x m5.2xlarge (15 % growth a year, proved by the performance test)</w:t>
            </w:r>
          </w:p>
        </w:tc>
      </w:tr>
      <w:tr>
        <w:trPr>
          <w:cantSplit w:val="true"/>
        </w:trPr>
        <w:tc>
          <w:tcPr>
            <w:tcW w:type="dxa" w:w="1360"/>
            <w:tcMar>
              <w:top w:w="50" w:type="dxa"/>
              <w:bottom w:w="50" w:type="dxa"/>
              <w:left w:w="90" w:type="dxa"/>
              <w:right w:w="90" w:type="dxa"/>
            </w:tcMar>
          </w:tcPr>
          <w:p>
            <w:pPr>
              <w:pStyle w:val="BDOITable"/>
            </w:pPr>
            <w:r>
              <w:rPr>
                <w:b/>
                <w:sz w:val="16"/>
              </w:rPr>
              <w:t>DR standby</w:t>
            </w:r>
          </w:p>
        </w:tc>
        <w:tc>
          <w:tcPr>
            <w:tcW w:type="dxa" w:w="1360"/>
            <w:tcMar>
              <w:top w:w="50" w:type="dxa"/>
              <w:bottom w:w="50" w:type="dxa"/>
              <w:left w:w="90" w:type="dxa"/>
              <w:right w:w="90" w:type="dxa"/>
            </w:tcMar>
          </w:tcPr>
          <w:p>
            <w:pPr>
              <w:pStyle w:val="BDOITable"/>
            </w:pPr>
            <w:r>
              <w:rPr>
                <w:sz w:val="16"/>
              </w:rPr>
              <w:t>1 / 10</w:t>
            </w:r>
          </w:p>
        </w:tc>
        <w:tc>
          <w:tcPr>
            <w:tcW w:type="dxa" w:w="1020"/>
            <w:tcMar>
              <w:top w:w="50" w:type="dxa"/>
              <w:bottom w:w="50" w:type="dxa"/>
              <w:left w:w="90" w:type="dxa"/>
              <w:right w:w="90" w:type="dxa"/>
            </w:tcMar>
          </w:tcPr>
          <w:p>
            <w:pPr>
              <w:pStyle w:val="BDOITable"/>
            </w:pPr>
            <w:r>
              <w:rPr>
                <w:sz w:val="16"/>
              </w:rPr>
              <w:t>0</w:t>
            </w:r>
          </w:p>
        </w:tc>
        <w:tc>
          <w:tcPr>
            <w:tcW w:type="dxa" w:w="1246"/>
            <w:tcMar>
              <w:top w:w="50" w:type="dxa"/>
              <w:bottom w:w="50" w:type="dxa"/>
              <w:left w:w="90" w:type="dxa"/>
              <w:right w:w="90" w:type="dxa"/>
            </w:tcMar>
          </w:tcPr>
          <w:p>
            <w:pPr>
              <w:pStyle w:val="BDOITable"/>
            </w:pPr>
            <w:r>
              <w:rPr>
                <w:sz w:val="16"/>
              </w:rPr>
              <w:t>0</w:t>
            </w:r>
          </w:p>
        </w:tc>
        <w:tc>
          <w:tcPr>
            <w:tcW w:type="dxa" w:w="1360"/>
            <w:tcMar>
              <w:top w:w="50" w:type="dxa"/>
              <w:bottom w:w="50" w:type="dxa"/>
              <w:left w:w="90" w:type="dxa"/>
              <w:right w:w="90" w:type="dxa"/>
            </w:tcMar>
          </w:tcPr>
          <w:p>
            <w:pPr>
              <w:pStyle w:val="BDOITable"/>
            </w:pPr>
            <w:r>
              <w:rPr>
                <w:sz w:val="16"/>
              </w:rPr>
              <w:t>1 / 4</w:t>
            </w:r>
          </w:p>
        </w:tc>
        <w:tc>
          <w:tcPr>
            <w:tcW w:type="dxa" w:w="3626"/>
            <w:tcMar>
              <w:top w:w="50" w:type="dxa"/>
              <w:bottom w:w="50" w:type="dxa"/>
              <w:left w:w="90" w:type="dxa"/>
              <w:right w:w="90" w:type="dxa"/>
            </w:tcMar>
          </w:tcPr>
          <w:p>
            <w:pPr>
              <w:pStyle w:val="BDOITable"/>
            </w:pPr>
            <w:r>
              <w:rPr>
                <w:sz w:val="16"/>
              </w:rPr>
              <w:t>2 x m5.2xlarge, scaled to the PROD node count at failover</w:t>
            </w:r>
          </w:p>
        </w:tc>
      </w:tr>
    </w:tbl>
    <w:p>
      <w:pPr>
        <w:pStyle w:val="BDOISpacer"/>
      </w:pPr>
    </w:p>
    <w:p>
      <w:pPr>
        <w:pStyle w:val="Caption"/>
        <w:keepNext/>
        <w:spacing w:after="60"/>
      </w:pPr>
      <w:r>
        <w:rPr>
          <w:b/>
          <w:i w:val="0"/>
        </w:rPr>
        <w:t xml:space="preserve">Table 8: </w:t>
      </w:r>
      <w:r>
        <w:rPr/>
        <w:t>Data services per environment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3"/>
        <w:gridCol w:w="2719"/>
        <w:gridCol w:w="2209"/>
        <w:gridCol w:w="2379"/>
        <w:gridCol w:w="1359"/>
      </w:tblGrid>
      <w:tr>
        <w:trPr>
          <w:tblHeader w:val="true"/>
          <w:cantSplit w:val="true"/>
        </w:trPr>
        <w:tc>
          <w:tcPr>
            <w:tcW w:type="dxa" w:w="1303"/>
            <w:shd w:val="clear" w:color="auto" w:fill="004EA8"/>
            <w:tcMar>
              <w:top w:w="50" w:type="dxa"/>
              <w:bottom w:w="50" w:type="dxa"/>
              <w:left w:w="90" w:type="dxa"/>
              <w:right w:w="90" w:type="dxa"/>
            </w:tcMar>
            <w:vAlign w:val="center"/>
          </w:tcPr>
          <w:p>
            <w:pPr>
              <w:pStyle w:val="BDOITableHeader"/>
            </w:pPr>
            <w:r>
              <w:rPr>
                <w:b/>
                <w:color w:val="FFFFFF"/>
                <w:sz w:val="15"/>
              </w:rPr>
              <w:t>Environment</w:t>
            </w:r>
          </w:p>
        </w:tc>
        <w:tc>
          <w:tcPr>
            <w:tcW w:type="dxa" w:w="2720"/>
            <w:shd w:val="clear" w:color="auto" w:fill="004EA8"/>
            <w:tcMar>
              <w:top w:w="50" w:type="dxa"/>
              <w:bottom w:w="50" w:type="dxa"/>
              <w:left w:w="90" w:type="dxa"/>
              <w:right w:w="90" w:type="dxa"/>
            </w:tcMar>
            <w:vAlign w:val="center"/>
          </w:tcPr>
          <w:p>
            <w:pPr>
              <w:pStyle w:val="BDOITableHeader"/>
            </w:pPr>
            <w:r>
              <w:rPr>
                <w:b/>
                <w:color w:val="FFFFFF"/>
                <w:sz w:val="15"/>
              </w:rPr>
              <w:t>PostgreSQL</w:t>
            </w:r>
          </w:p>
        </w:tc>
        <w:tc>
          <w:tcPr>
            <w:tcW w:type="dxa" w:w="2210"/>
            <w:shd w:val="clear" w:color="auto" w:fill="004EA8"/>
            <w:tcMar>
              <w:top w:w="50" w:type="dxa"/>
              <w:bottom w:w="50" w:type="dxa"/>
              <w:left w:w="90" w:type="dxa"/>
              <w:right w:w="90" w:type="dxa"/>
            </w:tcMar>
            <w:vAlign w:val="center"/>
          </w:tcPr>
          <w:p>
            <w:pPr>
              <w:pStyle w:val="BDOITableHeader"/>
            </w:pPr>
            <w:r>
              <w:rPr>
                <w:b/>
                <w:color w:val="FFFFFF"/>
                <w:sz w:val="15"/>
              </w:rPr>
              <w:t>Valkey</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5"/>
              </w:rPr>
              <w:t>Kafka</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S3</w:t>
            </w:r>
          </w:p>
        </w:tc>
      </w:tr>
      <w:tr>
        <w:trPr>
          <w:cantSplit w:val="true"/>
        </w:trPr>
        <w:tc>
          <w:tcPr>
            <w:tcW w:type="dxa" w:w="1303"/>
            <w:tcMar>
              <w:top w:w="50" w:type="dxa"/>
              <w:bottom w:w="50" w:type="dxa"/>
              <w:left w:w="90" w:type="dxa"/>
              <w:right w:w="90" w:type="dxa"/>
            </w:tcMar>
          </w:tcPr>
          <w:p>
            <w:pPr>
              <w:pStyle w:val="BDOITable"/>
            </w:pPr>
            <w:r>
              <w:rPr>
                <w:b/>
                <w:sz w:val="15"/>
              </w:rPr>
              <w:t>DEV</w:t>
            </w:r>
          </w:p>
        </w:tc>
        <w:tc>
          <w:tcPr>
            <w:tcW w:type="dxa" w:w="2720"/>
            <w:tcMar>
              <w:top w:w="50" w:type="dxa"/>
              <w:bottom w:w="50" w:type="dxa"/>
              <w:left w:w="90" w:type="dxa"/>
              <w:right w:w="90" w:type="dxa"/>
            </w:tcMar>
          </w:tcPr>
          <w:p>
            <w:pPr>
              <w:pStyle w:val="BDOITable"/>
            </w:pPr>
            <w:r>
              <w:rPr>
                <w:sz w:val="15"/>
              </w:rPr>
              <w:t>RDS PostgreSQL 16, Single-AZ, 4 vCPU, 16 GiB, 200 GB gp3</w:t>
            </w:r>
          </w:p>
        </w:tc>
        <w:tc>
          <w:tcPr>
            <w:tcW w:type="dxa" w:w="2210"/>
            <w:tcMar>
              <w:top w:w="50" w:type="dxa"/>
              <w:bottom w:w="50" w:type="dxa"/>
              <w:left w:w="90" w:type="dxa"/>
              <w:right w:w="90" w:type="dxa"/>
            </w:tcMar>
          </w:tcPr>
          <w:p>
            <w:pPr>
              <w:pStyle w:val="BDOITable"/>
            </w:pPr>
            <w:r>
              <w:rPr>
                <w:sz w:val="15"/>
              </w:rPr>
              <w:t>ElastiCache for Valkey 8, one node cache.t4g.medium</w:t>
            </w:r>
          </w:p>
        </w:tc>
        <w:tc>
          <w:tcPr>
            <w:tcW w:type="dxa" w:w="2380"/>
            <w:tcMar>
              <w:top w:w="50" w:type="dxa"/>
              <w:bottom w:w="50" w:type="dxa"/>
              <w:left w:w="90" w:type="dxa"/>
              <w:right w:w="90" w:type="dxa"/>
            </w:tcMar>
          </w:tcPr>
          <w:p>
            <w:pPr>
              <w:pStyle w:val="BDOITable"/>
            </w:pPr>
            <w:r>
              <w:rPr>
                <w:sz w:val="15"/>
              </w:rPr>
              <w:t>MSK Kafka 3.9 KRaft, 2 brokers kafka.t3.small, replication factor 2</w:t>
            </w:r>
          </w:p>
        </w:tc>
        <w:tc>
          <w:tcPr>
            <w:tcW w:type="dxa" w:w="1360"/>
            <w:tcMar>
              <w:top w:w="50" w:type="dxa"/>
              <w:bottom w:w="50" w:type="dxa"/>
              <w:left w:w="90" w:type="dxa"/>
              <w:right w:w="90" w:type="dxa"/>
            </w:tcMar>
          </w:tcPr>
          <w:p>
            <w:pPr>
              <w:pStyle w:val="BDOITable"/>
            </w:pPr>
            <w:r>
              <w:rPr>
                <w:sz w:val="15"/>
              </w:rPr>
              <w:t>Four buckets, SSE-KMS</w:t>
            </w:r>
          </w:p>
        </w:tc>
      </w:tr>
      <w:tr>
        <w:trPr>
          <w:cantSplit w:val="true"/>
        </w:trPr>
        <w:tc>
          <w:tcPr>
            <w:tcW w:type="dxa" w:w="1303"/>
            <w:tcMar>
              <w:top w:w="50" w:type="dxa"/>
              <w:bottom w:w="50" w:type="dxa"/>
              <w:left w:w="90" w:type="dxa"/>
              <w:right w:w="90" w:type="dxa"/>
            </w:tcMar>
            <w:shd w:val="clear" w:color="auto" w:fill="E5F5FF"/>
          </w:tcPr>
          <w:p>
            <w:pPr>
              <w:pStyle w:val="BDOITable"/>
            </w:pPr>
            <w:r>
              <w:rPr>
                <w:b/>
                <w:sz w:val="15"/>
              </w:rPr>
              <w:t>SIT</w:t>
            </w:r>
          </w:p>
        </w:tc>
        <w:tc>
          <w:tcPr>
            <w:tcW w:type="dxa" w:w="2720"/>
            <w:tcMar>
              <w:top w:w="50" w:type="dxa"/>
              <w:bottom w:w="50" w:type="dxa"/>
              <w:left w:w="90" w:type="dxa"/>
              <w:right w:w="90" w:type="dxa"/>
            </w:tcMar>
            <w:shd w:val="clear" w:color="auto" w:fill="E5F5FF"/>
          </w:tcPr>
          <w:p>
            <w:pPr>
              <w:pStyle w:val="BDOITable"/>
            </w:pPr>
            <w:r>
              <w:rPr>
                <w:sz w:val="15"/>
              </w:rPr>
              <w:t>RDS PostgreSQL 16, Single-AZ, 4 vCPU, 16 GiB, 200 GB gp3</w:t>
            </w:r>
          </w:p>
        </w:tc>
        <w:tc>
          <w:tcPr>
            <w:tcW w:type="dxa" w:w="2210"/>
            <w:tcMar>
              <w:top w:w="50" w:type="dxa"/>
              <w:bottom w:w="50" w:type="dxa"/>
              <w:left w:w="90" w:type="dxa"/>
              <w:right w:w="90" w:type="dxa"/>
            </w:tcMar>
            <w:shd w:val="clear" w:color="auto" w:fill="E5F5FF"/>
          </w:tcPr>
          <w:p>
            <w:pPr>
              <w:pStyle w:val="BDOITable"/>
            </w:pPr>
            <w:r>
              <w:rPr>
                <w:sz w:val="15"/>
              </w:rPr>
              <w:t>ElastiCache for Valkey 8, one node cache.t4g.medium</w:t>
            </w:r>
          </w:p>
        </w:tc>
        <w:tc>
          <w:tcPr>
            <w:tcW w:type="dxa" w:w="2380"/>
            <w:tcMar>
              <w:top w:w="50" w:type="dxa"/>
              <w:bottom w:w="50" w:type="dxa"/>
              <w:left w:w="90" w:type="dxa"/>
              <w:right w:w="90" w:type="dxa"/>
            </w:tcMar>
            <w:shd w:val="clear" w:color="auto" w:fill="E5F5FF"/>
          </w:tcPr>
          <w:p>
            <w:pPr>
              <w:pStyle w:val="BDOITable"/>
            </w:pPr>
            <w:r>
              <w:rPr>
                <w:sz w:val="15"/>
              </w:rPr>
              <w:t>MSK Kafka 3.9 KRaft, 2 brokers kafka.t3.small, replication factor 2</w:t>
            </w:r>
          </w:p>
        </w:tc>
        <w:tc>
          <w:tcPr>
            <w:tcW w:type="dxa" w:w="1360"/>
            <w:tcMar>
              <w:top w:w="50" w:type="dxa"/>
              <w:bottom w:w="50" w:type="dxa"/>
              <w:left w:w="90" w:type="dxa"/>
              <w:right w:w="90" w:type="dxa"/>
            </w:tcMar>
            <w:shd w:val="clear" w:color="auto" w:fill="E5F5FF"/>
          </w:tcPr>
          <w:p>
            <w:pPr>
              <w:pStyle w:val="BDOITable"/>
            </w:pPr>
            <w:r>
              <w:rPr>
                <w:sz w:val="15"/>
              </w:rPr>
              <w:t>Four buckets, SSE-KMS</w:t>
            </w:r>
          </w:p>
        </w:tc>
      </w:tr>
      <w:tr>
        <w:trPr>
          <w:cantSplit w:val="true"/>
        </w:trPr>
        <w:tc>
          <w:tcPr>
            <w:tcW w:type="dxa" w:w="1303"/>
            <w:tcMar>
              <w:top w:w="50" w:type="dxa"/>
              <w:bottom w:w="50" w:type="dxa"/>
              <w:left w:w="90" w:type="dxa"/>
              <w:right w:w="90" w:type="dxa"/>
            </w:tcMar>
          </w:tcPr>
          <w:p>
            <w:pPr>
              <w:pStyle w:val="BDOITable"/>
            </w:pPr>
            <w:r>
              <w:rPr>
                <w:b/>
                <w:sz w:val="15"/>
              </w:rPr>
              <w:t>UAT</w:t>
            </w:r>
          </w:p>
        </w:tc>
        <w:tc>
          <w:tcPr>
            <w:tcW w:type="dxa" w:w="2720"/>
            <w:tcMar>
              <w:top w:w="50" w:type="dxa"/>
              <w:bottom w:w="50" w:type="dxa"/>
              <w:left w:w="90" w:type="dxa"/>
              <w:right w:w="90" w:type="dxa"/>
            </w:tcMar>
          </w:tcPr>
          <w:p>
            <w:pPr>
              <w:pStyle w:val="BDOITable"/>
            </w:pPr>
            <w:r>
              <w:rPr>
                <w:sz w:val="15"/>
              </w:rPr>
              <w:t>RDS PostgreSQL 16, Single-AZ, 8 vCPU, 32 GiB, 500 GB gp3</w:t>
            </w:r>
          </w:p>
        </w:tc>
        <w:tc>
          <w:tcPr>
            <w:tcW w:type="dxa" w:w="2210"/>
            <w:tcMar>
              <w:top w:w="50" w:type="dxa"/>
              <w:bottom w:w="50" w:type="dxa"/>
              <w:left w:w="90" w:type="dxa"/>
              <w:right w:w="90" w:type="dxa"/>
            </w:tcMar>
          </w:tcPr>
          <w:p>
            <w:pPr>
              <w:pStyle w:val="BDOITable"/>
            </w:pPr>
            <w:r>
              <w:rPr>
                <w:sz w:val="15"/>
              </w:rPr>
              <w:t>ElastiCache for Valkey 8, primary and replica cache.t4g.medium</w:t>
            </w:r>
          </w:p>
        </w:tc>
        <w:tc>
          <w:tcPr>
            <w:tcW w:type="dxa" w:w="2380"/>
            <w:tcMar>
              <w:top w:w="50" w:type="dxa"/>
              <w:bottom w:w="50" w:type="dxa"/>
              <w:left w:w="90" w:type="dxa"/>
              <w:right w:w="90" w:type="dxa"/>
            </w:tcMar>
          </w:tcPr>
          <w:p>
            <w:pPr>
              <w:pStyle w:val="BDOITable"/>
            </w:pPr>
            <w:r>
              <w:rPr>
                <w:sz w:val="15"/>
              </w:rPr>
              <w:t>MSK Kafka 3.9 KRaft, 2 brokers kafka.m5.large, replication factor 2</w:t>
            </w:r>
          </w:p>
        </w:tc>
        <w:tc>
          <w:tcPr>
            <w:tcW w:type="dxa" w:w="1360"/>
            <w:tcMar>
              <w:top w:w="50" w:type="dxa"/>
              <w:bottom w:w="50" w:type="dxa"/>
              <w:left w:w="90" w:type="dxa"/>
              <w:right w:w="90" w:type="dxa"/>
            </w:tcMar>
          </w:tcPr>
          <w:p>
            <w:pPr>
              <w:pStyle w:val="BDOITable"/>
            </w:pPr>
            <w:r>
              <w:rPr>
                <w:sz w:val="15"/>
              </w:rPr>
              <w:t>Four buckets, SSE-KMS</w:t>
            </w:r>
          </w:p>
        </w:tc>
      </w:tr>
      <w:tr>
        <w:trPr>
          <w:cantSplit w:val="true"/>
        </w:trPr>
        <w:tc>
          <w:tcPr>
            <w:tcW w:type="dxa" w:w="1303"/>
            <w:tcMar>
              <w:top w:w="50" w:type="dxa"/>
              <w:bottom w:w="50" w:type="dxa"/>
              <w:left w:w="90" w:type="dxa"/>
              <w:right w:w="90" w:type="dxa"/>
            </w:tcMar>
            <w:shd w:val="clear" w:color="auto" w:fill="E5F5FF"/>
          </w:tcPr>
          <w:p>
            <w:pPr>
              <w:pStyle w:val="BDOITable"/>
            </w:pPr>
            <w:r>
              <w:rPr>
                <w:b/>
                <w:sz w:val="15"/>
              </w:rPr>
              <w:t>Pre-Prod</w:t>
            </w:r>
          </w:p>
        </w:tc>
        <w:tc>
          <w:tcPr>
            <w:tcW w:type="dxa" w:w="2720"/>
            <w:tcMar>
              <w:top w:w="50" w:type="dxa"/>
              <w:bottom w:w="50" w:type="dxa"/>
              <w:left w:w="90" w:type="dxa"/>
              <w:right w:w="90" w:type="dxa"/>
            </w:tcMar>
            <w:shd w:val="clear" w:color="auto" w:fill="E5F5FF"/>
          </w:tcPr>
          <w:p>
            <w:pPr>
              <w:pStyle w:val="BDOITable"/>
            </w:pPr>
            <w:r>
              <w:rPr>
                <w:sz w:val="15"/>
              </w:rPr>
              <w:t>RDS PostgreSQL 16, Multi-AZ, 8 vCPU, 64 GiB, 1,000 GB gp3</w:t>
            </w:r>
          </w:p>
        </w:tc>
        <w:tc>
          <w:tcPr>
            <w:tcW w:type="dxa" w:w="2210"/>
            <w:tcMar>
              <w:top w:w="50" w:type="dxa"/>
              <w:bottom w:w="50" w:type="dxa"/>
              <w:left w:w="90" w:type="dxa"/>
              <w:right w:w="90" w:type="dxa"/>
            </w:tcMar>
            <w:shd w:val="clear" w:color="auto" w:fill="E5F5FF"/>
          </w:tcPr>
          <w:p>
            <w:pPr>
              <w:pStyle w:val="BDOITable"/>
            </w:pPr>
            <w:r>
              <w:rPr>
                <w:sz w:val="15"/>
              </w:rPr>
              <w:t>ElastiCache for Valkey 8, primary and replica cache.r7g.large, Multi-AZ</w:t>
            </w:r>
          </w:p>
        </w:tc>
        <w:tc>
          <w:tcPr>
            <w:tcW w:type="dxa" w:w="2380"/>
            <w:tcMar>
              <w:top w:w="50" w:type="dxa"/>
              <w:bottom w:w="50" w:type="dxa"/>
              <w:left w:w="90" w:type="dxa"/>
              <w:right w:w="90" w:type="dxa"/>
            </w:tcMar>
            <w:shd w:val="clear" w:color="auto" w:fill="E5F5FF"/>
          </w:tcPr>
          <w:p>
            <w:pPr>
              <w:pStyle w:val="BDOITable"/>
            </w:pPr>
            <w:r>
              <w:rPr>
                <w:sz w:val="15"/>
              </w:rPr>
              <w:t>MSK Kafka 3.9 KRaft, 3 brokers kafka.m5.large, replication factor 3</w:t>
            </w:r>
          </w:p>
        </w:tc>
        <w:tc>
          <w:tcPr>
            <w:tcW w:type="dxa" w:w="1360"/>
            <w:tcMar>
              <w:top w:w="50" w:type="dxa"/>
              <w:bottom w:w="50" w:type="dxa"/>
              <w:left w:w="90" w:type="dxa"/>
              <w:right w:w="90" w:type="dxa"/>
            </w:tcMar>
            <w:shd w:val="clear" w:color="auto" w:fill="E5F5FF"/>
          </w:tcPr>
          <w:p>
            <w:pPr>
              <w:pStyle w:val="BDOITable"/>
            </w:pPr>
            <w:r>
              <w:rPr>
                <w:sz w:val="15"/>
              </w:rPr>
              <w:t>Four buckets, SSE-KMS, Object Lock</w:t>
            </w:r>
          </w:p>
        </w:tc>
      </w:tr>
      <w:tr>
        <w:trPr>
          <w:cantSplit w:val="true"/>
        </w:trPr>
        <w:tc>
          <w:tcPr>
            <w:tcW w:type="dxa" w:w="1303"/>
            <w:tcMar>
              <w:top w:w="50" w:type="dxa"/>
              <w:bottom w:w="50" w:type="dxa"/>
              <w:left w:w="90" w:type="dxa"/>
              <w:right w:w="90" w:type="dxa"/>
            </w:tcMar>
          </w:tcPr>
          <w:p>
            <w:pPr>
              <w:pStyle w:val="BDOITable"/>
            </w:pPr>
            <w:r>
              <w:rPr>
                <w:b/>
                <w:sz w:val="15"/>
              </w:rPr>
              <w:t>PROD</w:t>
            </w:r>
          </w:p>
        </w:tc>
        <w:tc>
          <w:tcPr>
            <w:tcW w:type="dxa" w:w="2720"/>
            <w:tcMar>
              <w:top w:w="50" w:type="dxa"/>
              <w:bottom w:w="50" w:type="dxa"/>
              <w:left w:w="90" w:type="dxa"/>
              <w:right w:w="90" w:type="dxa"/>
            </w:tcMar>
          </w:tcPr>
          <w:p>
            <w:pPr>
              <w:pStyle w:val="BDOITable"/>
            </w:pPr>
            <w:r>
              <w:rPr>
                <w:sz w:val="15"/>
              </w:rPr>
              <w:t>RDS PostgreSQL 16, Multi-AZ, 16 vCPU, 128 GiB, 2,000 GB gp3 (re-sized once the document content is in S3)</w:t>
            </w:r>
          </w:p>
        </w:tc>
        <w:tc>
          <w:tcPr>
            <w:tcW w:type="dxa" w:w="2210"/>
            <w:tcMar>
              <w:top w:w="50" w:type="dxa"/>
              <w:bottom w:w="50" w:type="dxa"/>
              <w:left w:w="90" w:type="dxa"/>
              <w:right w:w="90" w:type="dxa"/>
            </w:tcMar>
          </w:tcPr>
          <w:p>
            <w:pPr>
              <w:pStyle w:val="BDOITable"/>
            </w:pPr>
            <w:r>
              <w:rPr>
                <w:sz w:val="15"/>
              </w:rPr>
              <w:t>ElastiCache for Valkey 8, primary and replica cache.r7g.large, Multi-AZ, cluster mode disabled</w:t>
            </w:r>
          </w:p>
        </w:tc>
        <w:tc>
          <w:tcPr>
            <w:tcW w:type="dxa" w:w="2380"/>
            <w:tcMar>
              <w:top w:w="50" w:type="dxa"/>
              <w:bottom w:w="50" w:type="dxa"/>
              <w:left w:w="90" w:type="dxa"/>
              <w:right w:w="90" w:type="dxa"/>
            </w:tcMar>
          </w:tcPr>
          <w:p>
            <w:pPr>
              <w:pStyle w:val="BDOITable"/>
            </w:pPr>
            <w:r>
              <w:rPr>
                <w:sz w:val="15"/>
              </w:rPr>
              <w:t>MSK Kafka 3.9 KRaft, 3 brokers kafka.m5.large, replication factor 3, minimum in-sync replicas 2</w:t>
            </w:r>
          </w:p>
        </w:tc>
        <w:tc>
          <w:tcPr>
            <w:tcW w:type="dxa" w:w="1360"/>
            <w:tcMar>
              <w:top w:w="50" w:type="dxa"/>
              <w:bottom w:w="50" w:type="dxa"/>
              <w:left w:w="90" w:type="dxa"/>
              <w:right w:w="90" w:type="dxa"/>
            </w:tcMar>
          </w:tcPr>
          <w:p>
            <w:pPr>
              <w:pStyle w:val="BDOITable"/>
            </w:pPr>
            <w:r>
              <w:rPr>
                <w:sz w:val="15"/>
              </w:rPr>
              <w:t>Four buckets, SSE-KMS, Object Lock, cross-region replication</w:t>
            </w:r>
          </w:p>
        </w:tc>
      </w:tr>
      <w:tr>
        <w:trPr>
          <w:cantSplit w:val="true"/>
        </w:trPr>
        <w:tc>
          <w:tcPr>
            <w:tcW w:type="dxa" w:w="1303"/>
            <w:tcMar>
              <w:top w:w="50" w:type="dxa"/>
              <w:bottom w:w="50" w:type="dxa"/>
              <w:left w:w="90" w:type="dxa"/>
              <w:right w:w="90" w:type="dxa"/>
            </w:tcMar>
            <w:shd w:val="clear" w:color="auto" w:fill="E5F5FF"/>
          </w:tcPr>
          <w:p>
            <w:pPr>
              <w:pStyle w:val="BDOITable"/>
            </w:pPr>
            <w:r>
              <w:rPr>
                <w:b/>
                <w:sz w:val="15"/>
              </w:rPr>
              <w:t>DR</w:t>
            </w:r>
          </w:p>
        </w:tc>
        <w:tc>
          <w:tcPr>
            <w:tcW w:type="dxa" w:w="2720"/>
            <w:tcMar>
              <w:top w:w="50" w:type="dxa"/>
              <w:bottom w:w="50" w:type="dxa"/>
              <w:left w:w="90" w:type="dxa"/>
              <w:right w:w="90" w:type="dxa"/>
            </w:tcMar>
            <w:shd w:val="clear" w:color="auto" w:fill="E5F5FF"/>
          </w:tcPr>
          <w:p>
            <w:pPr>
              <w:pStyle w:val="BDOITable"/>
            </w:pPr>
            <w:r>
              <w:rPr>
                <w:sz w:val="15"/>
              </w:rPr>
              <w:t>RDS cross-region read replica, 16 vCPU, 128 GiB, 2,000 GB; promoted at failover</w:t>
            </w:r>
          </w:p>
        </w:tc>
        <w:tc>
          <w:tcPr>
            <w:tcW w:type="dxa" w:w="2210"/>
            <w:tcMar>
              <w:top w:w="50" w:type="dxa"/>
              <w:bottom w:w="50" w:type="dxa"/>
              <w:left w:w="90" w:type="dxa"/>
              <w:right w:w="90" w:type="dxa"/>
            </w:tcMar>
            <w:shd w:val="clear" w:color="auto" w:fill="E5F5FF"/>
          </w:tcPr>
          <w:p>
            <w:pPr>
              <w:pStyle w:val="BDOITable"/>
            </w:pPr>
            <w:r>
              <w:rPr>
                <w:sz w:val="15"/>
              </w:rPr>
              <w:t>ElastiCache for Valkey 8 created at failover (caches refill)</w:t>
            </w:r>
          </w:p>
        </w:tc>
        <w:tc>
          <w:tcPr>
            <w:tcW w:type="dxa" w:w="2380"/>
            <w:tcMar>
              <w:top w:w="50" w:type="dxa"/>
              <w:bottom w:w="50" w:type="dxa"/>
              <w:left w:w="90" w:type="dxa"/>
              <w:right w:w="90" w:type="dxa"/>
            </w:tcMar>
            <w:shd w:val="clear" w:color="auto" w:fill="E5F5FF"/>
          </w:tcPr>
          <w:p>
            <w:pPr>
              <w:pStyle w:val="BDOITable"/>
            </w:pPr>
            <w:r>
              <w:rPr>
                <w:sz w:val="15"/>
              </w:rPr>
              <w:t>MSK Kafka 3.9 created at failover; undelivered events resent from the outbox</w:t>
            </w:r>
          </w:p>
        </w:tc>
        <w:tc>
          <w:tcPr>
            <w:tcW w:type="dxa" w:w="1360"/>
            <w:tcMar>
              <w:top w:w="50" w:type="dxa"/>
              <w:bottom w:w="50" w:type="dxa"/>
              <w:left w:w="90" w:type="dxa"/>
              <w:right w:w="90" w:type="dxa"/>
            </w:tcMar>
            <w:shd w:val="clear" w:color="auto" w:fill="E5F5FF"/>
          </w:tcPr>
          <w:p>
            <w:pPr>
              <w:pStyle w:val="BDOITable"/>
            </w:pPr>
            <w:r>
              <w:rPr>
                <w:sz w:val="15"/>
              </w:rPr>
              <w:t>Replica buckets (replication time control 15 minutes)</w:t>
            </w:r>
          </w:p>
        </w:tc>
      </w:tr>
    </w:tbl>
    <w:p>
      <w:pPr>
        <w:pStyle w:val="BDOISpacer"/>
      </w:pPr>
    </w:p>
    <w:p>
      <w:pPr>
        <w:pStyle w:val="Heading2"/>
      </w:pPr>
      <w:bookmarkStart w:id="111" w:name="_Toc000111"/>
      <w:r>
        <w:rPr/>
        <w:t>5.2 How the sizes were derived</w:t>
      </w:r>
      <w:bookmarkEnd w:id="111"/>
    </w:p>
    <w:p>
      <w:pPr>
        <w:tabs>
          <w:tab w:pos="312" w:val="left"/>
        </w:tabs>
        <w:spacing w:after="40"/>
        <w:ind w:left="312" w:hanging="283"/>
      </w:pPr>
      <w:r>
        <w:rPr>
          <w:color w:val="004EA8"/>
        </w:rPr>
        <w:t>•</w:t>
        <w:tab/>
      </w:r>
      <w:r>
        <w:rPr>
          <w:b/>
        </w:rPr>
        <w:t>Users and load.</w:t>
      </w:r>
      <w:r>
        <w:rPr/>
        <w:t xml:space="preserve"> 429 concurrent sessions at peak (SA-02), screens p95 under 2 seconds; the peak hours are 08:00-10:00 and 15:00-17:00 and the month-end (BRD-6, BRD-3). bibs-web scales from 3 to 10 pods of 1 to 2 vCPU; the performance test on Pre-Prod (November - December 2027) confirms the figures.</w:t>
      </w:r>
    </w:p>
    <w:p>
      <w:pPr>
        <w:tabs>
          <w:tab w:pos="312" w:val="left"/>
        </w:tabs>
        <w:spacing w:after="40"/>
        <w:ind w:left="312" w:hanging="283"/>
      </w:pPr>
      <w:r>
        <w:rPr>
          <w:color w:val="004EA8"/>
        </w:rPr>
        <w:t>•</w:t>
        <w:tab/>
      </w:r>
      <w:r>
        <w:rPr>
          <w:b/>
        </w:rPr>
        <w:t>Volumes.</w:t>
      </w:r>
      <w:r>
        <w:rPr/>
        <w:t xml:space="preserve"> 21,200 new-business and 25,800 renewal transactions a month, 144,400 CSF interactions a year, 15 % growth a year. Kafka carries ten topics of three partitions; at these volumes 100 GB per broker holds more than the 7-day retention.</w:t>
      </w:r>
    </w:p>
    <w:p>
      <w:pPr>
        <w:tabs>
          <w:tab w:pos="312" w:val="left"/>
        </w:tabs>
        <w:spacing w:after="40"/>
        <w:ind w:left="312" w:hanging="283"/>
      </w:pPr>
      <w:r>
        <w:rPr>
          <w:color w:val="004EA8"/>
        </w:rPr>
        <w:t>•</w:t>
        <w:tab/>
      </w:r>
      <w:r>
        <w:rPr>
          <w:b/>
        </w:rPr>
        <w:t>Database.</w:t>
      </w:r>
      <w:r>
        <w:rPr/>
        <w:t xml:space="preserve"> One database for all modules; file content is in S3, so the database holds records, journals, ledger entries, audit trail and file metadata only.</w:t>
      </w:r>
    </w:p>
    <w:p>
      <w:pPr>
        <w:tabs>
          <w:tab w:pos="312" w:val="left"/>
        </w:tabs>
        <w:spacing w:after="120"/>
        <w:ind w:left="312" w:hanging="283"/>
      </w:pPr>
      <w:r>
        <w:rPr>
          <w:color w:val="004EA8"/>
        </w:rPr>
        <w:t>•</w:t>
        <w:tab/>
      </w:r>
      <w:r>
        <w:rPr>
          <w:b/>
        </w:rPr>
        <w:t>Files.</w:t>
      </w:r>
      <w:r>
        <w:rPr/>
        <w:t xml:space="preserve"> The S3 volume is set by the existing document volumes copied before go-live and the yearly growth; the estimate is made from the legacy file inventory (IA-05).</w:t>
      </w:r>
    </w:p>
    <w:p>
      <w:pPr>
        <w:pStyle w:val="Heading1"/>
        <w:pBdr>
          <w:bottom w:val="single" w:sz="4" w:space="4" w:color="99C1E7"/>
        </w:pBdr>
      </w:pPr>
      <w:bookmarkStart w:id="112" w:name="_Toc000112"/>
      <w:r>
        <w:rPr/>
        <w:t>6 Data services</w:t>
      </w:r>
      <w:bookmarkEnd w:id="112"/>
    </w:p>
    <w:p>
      <w:pPr>
        <w:pStyle w:val="Heading2"/>
      </w:pPr>
      <w:bookmarkStart w:id="113" w:name="_Toc000113"/>
      <w:r>
        <w:rPr/>
        <w:t>6.1 PostgreSQL 16: high availability and backups</w:t>
      </w:r>
      <w:bookmarkEnd w:id="113"/>
    </w:p>
    <w:p>
      <w:pPr>
        <w:pStyle w:val="Caption"/>
        <w:keepNext/>
        <w:spacing w:after="60"/>
      </w:pPr>
      <w:r>
        <w:rPr>
          <w:b/>
          <w:i w:val="0"/>
        </w:rPr>
        <w:t xml:space="preserve">Table 9: </w:t>
      </w:r>
      <w:r>
        <w:rPr/>
        <w:t>PostgreSQL 16 on Amazon 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Aspect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Set-up</w:t>
            </w:r>
          </w:p>
        </w:tc>
      </w:tr>
      <w:tr>
        <w:trPr>
          <w:cantSplit w:val="true"/>
        </w:trPr>
        <w:tc>
          <w:tcPr>
            <w:tcW w:type="dxa" w:w="2266"/>
            <w:tcMar>
              <w:top w:w="50" w:type="dxa"/>
              <w:bottom w:w="50" w:type="dxa"/>
              <w:left w:w="90" w:type="dxa"/>
              <w:right w:w="90" w:type="dxa"/>
            </w:tcMar>
          </w:tcPr>
          <w:p>
            <w:pPr>
              <w:pStyle w:val="BDOITable"/>
            </w:pPr>
            <w:r>
              <w:rPr>
                <w:b/>
                <w:sz w:val="17"/>
              </w:rPr>
              <w:t>Availability</w:t>
            </w:r>
          </w:p>
        </w:tc>
        <w:tc>
          <w:tcPr>
            <w:tcW w:type="dxa" w:w="7706"/>
            <w:tcMar>
              <w:top w:w="50" w:type="dxa"/>
              <w:bottom w:w="50" w:type="dxa"/>
              <w:left w:w="90" w:type="dxa"/>
              <w:right w:w="90" w:type="dxa"/>
            </w:tcMar>
          </w:tcPr>
          <w:p>
            <w:pPr>
              <w:pStyle w:val="BDOITable"/>
            </w:pPr>
            <w:r>
              <w:rPr>
                <w:sz w:val="17"/>
              </w:rPr>
              <w:t>Multi-AZ in Pre-Prod and PROD: synchronous standby in a second zone, automatic failover in about one to two minutes; the application reconnects through its pool</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Encryption</w:t>
            </w:r>
          </w:p>
        </w:tc>
        <w:tc>
          <w:tcPr>
            <w:tcW w:type="dxa" w:w="7706"/>
            <w:tcMar>
              <w:top w:w="50" w:type="dxa"/>
              <w:bottom w:w="50" w:type="dxa"/>
              <w:left w:w="90" w:type="dxa"/>
              <w:right w:w="90" w:type="dxa"/>
            </w:tcMar>
            <w:shd w:val="clear" w:color="auto" w:fill="E5F5FF"/>
          </w:tcPr>
          <w:p>
            <w:pPr>
              <w:pStyle w:val="BDOITable"/>
            </w:pPr>
            <w:r>
              <w:rPr>
                <w:sz w:val="17"/>
              </w:rPr>
              <w:t>At rest with the BDOI customer-managed KMS key of the environment; in transit required (force-SSL parameter on, clients verify-full with the RDS CA bundle)</w:t>
            </w:r>
          </w:p>
        </w:tc>
      </w:tr>
      <w:tr>
        <w:trPr>
          <w:cantSplit w:val="true"/>
        </w:trPr>
        <w:tc>
          <w:tcPr>
            <w:tcW w:type="dxa" w:w="2266"/>
            <w:tcMar>
              <w:top w:w="50" w:type="dxa"/>
              <w:bottom w:w="50" w:type="dxa"/>
              <w:left w:w="90" w:type="dxa"/>
              <w:right w:w="90" w:type="dxa"/>
            </w:tcMar>
          </w:tcPr>
          <w:p>
            <w:pPr>
              <w:pStyle w:val="BDOITable"/>
            </w:pPr>
            <w:r>
              <w:rPr>
                <w:b/>
                <w:sz w:val="17"/>
              </w:rPr>
              <w:t>Logins and roles</w:t>
            </w:r>
          </w:p>
        </w:tc>
        <w:tc>
          <w:tcPr>
            <w:tcW w:type="dxa" w:w="7706"/>
            <w:tcMar>
              <w:top w:w="50" w:type="dxa"/>
              <w:bottom w:w="50" w:type="dxa"/>
              <w:left w:w="90" w:type="dxa"/>
              <w:right w:w="90" w:type="dxa"/>
            </w:tcMar>
          </w:tcPr>
          <w:p>
            <w:pPr>
              <w:pStyle w:val="BDOITable"/>
            </w:pPr>
            <w:r>
              <w:rPr>
                <w:sz w:val="17"/>
              </w:rPr>
              <w:t>Schema owner login (migrations at start-up only); runtime group role without login holding row access only; application login, member of the runtime role, used by the connection pools. The runtime login cannot change the schema, truncate tables or disable the immutability triggers of the audit trail and the ledger</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Point-in-time recovery</w:t>
            </w:r>
          </w:p>
        </w:tc>
        <w:tc>
          <w:tcPr>
            <w:tcW w:type="dxa" w:w="7706"/>
            <w:tcMar>
              <w:top w:w="50" w:type="dxa"/>
              <w:bottom w:w="50" w:type="dxa"/>
              <w:left w:w="90" w:type="dxa"/>
              <w:right w:w="90" w:type="dxa"/>
            </w:tcMar>
            <w:shd w:val="clear" w:color="auto" w:fill="E5F5FF"/>
          </w:tcPr>
          <w:p>
            <w:pPr>
              <w:pStyle w:val="BDOITable"/>
            </w:pPr>
            <w:r>
              <w:rPr>
                <w:sz w:val="17"/>
              </w:rPr>
              <w:t>Automated backups with continuous transaction-log archiving, retention 35 days; restore to any second within the window</w:t>
            </w:r>
          </w:p>
        </w:tc>
      </w:tr>
      <w:tr>
        <w:trPr>
          <w:cantSplit w:val="true"/>
        </w:trPr>
        <w:tc>
          <w:tcPr>
            <w:tcW w:type="dxa" w:w="2266"/>
            <w:tcMar>
              <w:top w:w="50" w:type="dxa"/>
              <w:bottom w:w="50" w:type="dxa"/>
              <w:left w:w="90" w:type="dxa"/>
              <w:right w:w="90" w:type="dxa"/>
            </w:tcMar>
          </w:tcPr>
          <w:p>
            <w:pPr>
              <w:pStyle w:val="BDOITable"/>
            </w:pPr>
            <w:r>
              <w:rPr>
                <w:b/>
                <w:sz w:val="17"/>
              </w:rPr>
              <w:t>Snapshots</w:t>
            </w:r>
          </w:p>
        </w:tc>
        <w:tc>
          <w:tcPr>
            <w:tcW w:type="dxa" w:w="7706"/>
            <w:tcMar>
              <w:top w:w="50" w:type="dxa"/>
              <w:bottom w:w="50" w:type="dxa"/>
              <w:left w:w="90" w:type="dxa"/>
              <w:right w:w="90" w:type="dxa"/>
            </w:tcMar>
          </w:tcPr>
          <w:p>
            <w:pPr>
              <w:pStyle w:val="BDOITable"/>
            </w:pPr>
            <w:r>
              <w:rPr>
                <w:sz w:val="17"/>
              </w:rPr>
              <w:t>AWS Backup plan: every 4 hours kept 35 days; daily kept 35 days; monthly kept 7 years in a vault with Vault Lock, copied to the DR region; a manual snapshot before every PROD release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DR replica</w:t>
            </w:r>
          </w:p>
        </w:tc>
        <w:tc>
          <w:tcPr>
            <w:tcW w:type="dxa" w:w="7706"/>
            <w:tcMar>
              <w:top w:w="50" w:type="dxa"/>
              <w:bottom w:w="50" w:type="dxa"/>
              <w:left w:w="90" w:type="dxa"/>
              <w:right w:w="90" w:type="dxa"/>
            </w:tcMar>
            <w:shd w:val="clear" w:color="auto" w:fill="E5F5FF"/>
          </w:tcPr>
          <w:p>
            <w:pPr>
              <w:pStyle w:val="BDOITable"/>
            </w:pPr>
            <w:r>
              <w:rPr>
                <w:sz w:val="17"/>
              </w:rPr>
              <w:t>Cross-region read replica in the DR region (asynchronous, lag normally seconds); promoted at failover</w:t>
            </w:r>
          </w:p>
        </w:tc>
      </w:tr>
      <w:tr>
        <w:trPr>
          <w:cantSplit w:val="true"/>
        </w:trPr>
        <w:tc>
          <w:tcPr>
            <w:tcW w:type="dxa" w:w="2266"/>
            <w:tcMar>
              <w:top w:w="50" w:type="dxa"/>
              <w:bottom w:w="50" w:type="dxa"/>
              <w:left w:w="90" w:type="dxa"/>
              <w:right w:w="90" w:type="dxa"/>
            </w:tcMar>
          </w:tcPr>
          <w:p>
            <w:pPr>
              <w:pStyle w:val="BDOITable"/>
            </w:pPr>
            <w:r>
              <w:rPr>
                <w:b/>
                <w:sz w:val="17"/>
              </w:rPr>
              <w:t>Restore tests</w:t>
            </w:r>
          </w:p>
        </w:tc>
        <w:tc>
          <w:tcPr>
            <w:tcW w:type="dxa" w:w="7706"/>
            <w:tcMar>
              <w:top w:w="50" w:type="dxa"/>
              <w:bottom w:w="50" w:type="dxa"/>
              <w:left w:w="90" w:type="dxa"/>
              <w:right w:w="90" w:type="dxa"/>
            </w:tcMar>
          </w:tcPr>
          <w:p>
            <w:pPr>
              <w:pStyle w:val="BDOITable"/>
            </w:pPr>
            <w:r>
              <w:rPr>
                <w:sz w:val="17"/>
              </w:rPr>
              <w:t>Quarterly restore of the latest snapshot into Pre-Prod with reconciliation of ledger totals; yearly DR failover test</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Monitoring</w:t>
            </w:r>
          </w:p>
        </w:tc>
        <w:tc>
          <w:tcPr>
            <w:tcW w:type="dxa" w:w="7706"/>
            <w:tcMar>
              <w:top w:w="50" w:type="dxa"/>
              <w:bottom w:w="50" w:type="dxa"/>
              <w:left w:w="90" w:type="dxa"/>
              <w:right w:w="90" w:type="dxa"/>
            </w:tcMar>
            <w:shd w:val="clear" w:color="auto" w:fill="E5F5FF"/>
          </w:tcPr>
          <w:p>
            <w:pPr>
              <w:pStyle w:val="BDOITable"/>
            </w:pPr>
            <w:r>
              <w:rPr>
                <w:sz w:val="17"/>
              </w:rPr>
              <w:t>Performance Insights; CloudWatch alarms on CPU, free memory, free storage, connections, replica lag and deadlocks</w:t>
            </w:r>
          </w:p>
        </w:tc>
      </w:tr>
      <w:tr>
        <w:trPr>
          <w:cantSplit w:val="true"/>
        </w:trPr>
        <w:tc>
          <w:tcPr>
            <w:tcW w:type="dxa" w:w="2266"/>
            <w:tcMar>
              <w:top w:w="50" w:type="dxa"/>
              <w:bottom w:w="50" w:type="dxa"/>
              <w:left w:w="90" w:type="dxa"/>
              <w:right w:w="90" w:type="dxa"/>
            </w:tcMar>
          </w:tcPr>
          <w:p>
            <w:pPr>
              <w:pStyle w:val="BDOITable"/>
            </w:pPr>
            <w:r>
              <w:rPr>
                <w:b/>
                <w:sz w:val="17"/>
              </w:rPr>
              <w:t>Maintenance</w:t>
            </w:r>
          </w:p>
        </w:tc>
        <w:tc>
          <w:tcPr>
            <w:tcW w:type="dxa" w:w="7706"/>
            <w:tcMar>
              <w:top w:w="50" w:type="dxa"/>
              <w:bottom w:w="50" w:type="dxa"/>
              <w:left w:w="90" w:type="dxa"/>
              <w:right w:w="90" w:type="dxa"/>
            </w:tcMar>
          </w:tcPr>
          <w:p>
            <w:pPr>
              <w:pStyle w:val="BDOITable"/>
            </w:pPr>
            <w:r>
              <w:rPr>
                <w:sz w:val="17"/>
              </w:rPr>
              <w:t>Minor versions applied in the 00:00-04:00 window after Pre-Prod; the major version reviewed at the annual technology review (PostgreSQL 16 community support until 09-Nov-2028)</w:t>
            </w:r>
          </w:p>
        </w:tc>
      </w:tr>
    </w:tbl>
    <w:p>
      <w:pPr>
        <w:pStyle w:val="BDOISpacer"/>
      </w:pPr>
    </w:p>
    <w:p>
      <w:r>
        <w:rPr/>
        <w:t>The backup policy meets the umbrella BRD (every 4 hours, kept 5 years) and the register proposal of 7 years; the retention of the business records themselves follows the retention rules of BIBS (5 years online, 15 offline).</w:t>
      </w:r>
    </w:p>
    <w:p>
      <w:pPr>
        <w:pStyle w:val="Heading2"/>
      </w:pPr>
      <w:bookmarkStart w:id="114" w:name="_Toc000114"/>
      <w:r>
        <w:rPr/>
        <w:t>6.2 Valkey 8</w:t>
      </w:r>
      <w:bookmarkEnd w:id="114"/>
    </w:p>
    <w:p>
      <w:pPr>
        <w:pStyle w:val="Caption"/>
        <w:keepNext/>
        <w:spacing w:after="60"/>
      </w:pPr>
      <w:r>
        <w:rPr>
          <w:b/>
          <w:i w:val="0"/>
        </w:rPr>
        <w:t xml:space="preserve">Table 10: </w:t>
      </w:r>
      <w:r>
        <w:rPr/>
        <w:t>Valkey 8 on Amazon ElastiCache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Aspect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Set-up</w:t>
            </w:r>
          </w:p>
        </w:tc>
      </w:tr>
      <w:tr>
        <w:trPr>
          <w:cantSplit w:val="true"/>
        </w:trPr>
        <w:tc>
          <w:tcPr>
            <w:tcW w:type="dxa" w:w="2266"/>
            <w:tcMar>
              <w:top w:w="50" w:type="dxa"/>
              <w:bottom w:w="50" w:type="dxa"/>
              <w:left w:w="90" w:type="dxa"/>
              <w:right w:w="90" w:type="dxa"/>
            </w:tcMar>
          </w:tcPr>
          <w:p>
            <w:pPr>
              <w:pStyle w:val="BDOITable"/>
            </w:pPr>
            <w:r>
              <w:rPr>
                <w:b/>
                <w:sz w:val="17"/>
              </w:rPr>
              <w:t>Use</w:t>
            </w:r>
          </w:p>
        </w:tc>
        <w:tc>
          <w:tcPr>
            <w:tcW w:type="dxa" w:w="7706"/>
            <w:tcMar>
              <w:top w:w="50" w:type="dxa"/>
              <w:bottom w:w="50" w:type="dxa"/>
              <w:left w:w="90" w:type="dxa"/>
              <w:right w:w="90" w:type="dxa"/>
            </w:tcMar>
          </w:tcPr>
          <w:p>
            <w:pPr>
              <w:pStyle w:val="BDOITable"/>
            </w:pPr>
            <w:r>
              <w:rPr>
                <w:sz w:val="17"/>
              </w:rPr>
              <w:t>Reference-data cache (lists of values, parameters, role permissions, data scope, product versions, organisation units), cluster-wide job locks with fencing tokens, token deny-list after sign-out, sign-in counters and rate limits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Topology</w:t>
            </w:r>
          </w:p>
        </w:tc>
        <w:tc>
          <w:tcPr>
            <w:tcW w:type="dxa" w:w="7706"/>
            <w:tcMar>
              <w:top w:w="50" w:type="dxa"/>
              <w:bottom w:w="50" w:type="dxa"/>
              <w:left w:w="90" w:type="dxa"/>
              <w:right w:w="90" w:type="dxa"/>
            </w:tcMar>
            <w:shd w:val="clear" w:color="auto" w:fill="E5F5FF"/>
          </w:tcPr>
          <w:p>
            <w:pPr>
              <w:pStyle w:val="BDOITable"/>
            </w:pPr>
            <w:r>
              <w:rPr>
                <w:sz w:val="17"/>
              </w:rPr>
              <w:t>Cluster mode disabled (one shard), primary and replica in two zones with automatic failover in Pre-Prod and PROD; single node in DEV and SIT</w:t>
            </w:r>
          </w:p>
        </w:tc>
      </w:tr>
      <w:tr>
        <w:trPr>
          <w:cantSplit w:val="true"/>
        </w:trPr>
        <w:tc>
          <w:tcPr>
            <w:tcW w:type="dxa" w:w="2266"/>
            <w:tcMar>
              <w:top w:w="50" w:type="dxa"/>
              <w:bottom w:w="50" w:type="dxa"/>
              <w:left w:w="90" w:type="dxa"/>
              <w:right w:w="90" w:type="dxa"/>
            </w:tcMar>
          </w:tcPr>
          <w:p>
            <w:pPr>
              <w:pStyle w:val="BDOITable"/>
            </w:pPr>
            <w:r>
              <w:rPr>
                <w:b/>
                <w:sz w:val="17"/>
              </w:rPr>
              <w:t>Security</w:t>
            </w:r>
          </w:p>
        </w:tc>
        <w:tc>
          <w:tcPr>
            <w:tcW w:type="dxa" w:w="7706"/>
            <w:tcMar>
              <w:top w:w="50" w:type="dxa"/>
              <w:bottom w:w="50" w:type="dxa"/>
              <w:left w:w="90" w:type="dxa"/>
              <w:right w:w="90" w:type="dxa"/>
            </w:tcMar>
          </w:tcPr>
          <w:p>
            <w:pPr>
              <w:pStyle w:val="BDOITable"/>
            </w:pPr>
            <w:r>
              <w:rPr>
                <w:sz w:val="17"/>
              </w:rPr>
              <w:t>In-transit encryption and AUTH token (or an RBAC user); at-rest encryption with the BDOI KMS key; security group admits the EKS subnets only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Data loss tolerance</w:t>
            </w:r>
          </w:p>
        </w:tc>
        <w:tc>
          <w:tcPr>
            <w:tcW w:type="dxa" w:w="7706"/>
            <w:tcMar>
              <w:top w:w="50" w:type="dxa"/>
              <w:bottom w:w="50" w:type="dxa"/>
              <w:left w:w="90" w:type="dxa"/>
              <w:right w:w="90" w:type="dxa"/>
            </w:tcMar>
            <w:shd w:val="clear" w:color="auto" w:fill="E5F5FF"/>
          </w:tcPr>
          <w:p>
            <w:pPr>
              <w:pStyle w:val="BDOITable"/>
            </w:pPr>
            <w:r>
              <w:rPr>
                <w:sz w:val="17"/>
              </w:rPr>
              <w:t>No persistence needed: caches refill from the database, locks expire within their 2-minute lease, the deny-list falls back to the session log in PostgreSQL</w:t>
            </w:r>
          </w:p>
        </w:tc>
      </w:tr>
      <w:tr>
        <w:trPr>
          <w:cantSplit w:val="true"/>
        </w:trPr>
        <w:tc>
          <w:tcPr>
            <w:tcW w:type="dxa" w:w="2266"/>
            <w:tcMar>
              <w:top w:w="50" w:type="dxa"/>
              <w:bottom w:w="50" w:type="dxa"/>
              <w:left w:w="90" w:type="dxa"/>
              <w:right w:w="90" w:type="dxa"/>
            </w:tcMar>
          </w:tcPr>
          <w:p>
            <w:pPr>
              <w:pStyle w:val="BDOITable"/>
            </w:pPr>
            <w:r>
              <w:rPr>
                <w:b/>
                <w:sz w:val="17"/>
              </w:rPr>
              <w:t>Eviction</w:t>
            </w:r>
          </w:p>
        </w:tc>
        <w:tc>
          <w:tcPr>
            <w:tcW w:type="dxa" w:w="7706"/>
            <w:tcMar>
              <w:top w:w="50" w:type="dxa"/>
              <w:bottom w:w="50" w:type="dxa"/>
              <w:left w:w="90" w:type="dxa"/>
              <w:right w:w="90" w:type="dxa"/>
            </w:tcMar>
          </w:tcPr>
          <w:p>
            <w:pPr>
              <w:pStyle w:val="BDOITable"/>
            </w:pPr>
            <w:r>
              <w:rPr>
                <w:sz w:val="17"/>
              </w:rPr>
              <w:t>volatile-lru (proposed): every key carries a time to live (caches, locks, deny-list, counters)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Key prefix</w:t>
            </w:r>
          </w:p>
        </w:tc>
        <w:tc>
          <w:tcPr>
            <w:tcW w:type="dxa" w:w="7706"/>
            <w:tcMar>
              <w:top w:w="50" w:type="dxa"/>
              <w:bottom w:w="50" w:type="dxa"/>
              <w:left w:w="90" w:type="dxa"/>
              <w:right w:w="90" w:type="dxa"/>
            </w:tcMar>
            <w:shd w:val="clear" w:color="auto" w:fill="E5F5FF"/>
          </w:tcPr>
          <w:p>
            <w:pPr>
              <w:pStyle w:val="BDOITable"/>
            </w:pPr>
            <w:r>
              <w:rPr>
                <w:sz w:val="17"/>
              </w:rPr>
              <w:t>Set per environment by configuration, so a shared cache can never mix environments</w:t>
            </w:r>
          </w:p>
        </w:tc>
      </w:tr>
    </w:tbl>
    <w:p>
      <w:pPr>
        <w:pStyle w:val="BDOISpacer"/>
      </w:pPr>
    </w:p>
    <w:p>
      <w:pPr>
        <w:pStyle w:val="Heading2"/>
      </w:pPr>
      <w:bookmarkStart w:id="115" w:name="_Toc000115"/>
      <w:r>
        <w:rPr/>
        <w:t>6.3 Apache Kafka 3.9 (KRaft)</w:t>
      </w:r>
      <w:bookmarkEnd w:id="115"/>
    </w:p>
    <w:p>
      <w:pPr>
        <w:pStyle w:val="Caption"/>
        <w:keepNext/>
        <w:spacing w:after="60"/>
      </w:pPr>
      <w:r>
        <w:rPr>
          <w:b/>
          <w:i w:val="0"/>
        </w:rPr>
        <w:t xml:space="preserve">Table 11: </w:t>
      </w:r>
      <w:r>
        <w:rPr/>
        <w:t>Apache Kafka 3.9 on Amazon MSK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Aspect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Set-up</w:t>
            </w:r>
          </w:p>
        </w:tc>
      </w:tr>
      <w:tr>
        <w:trPr>
          <w:cantSplit w:val="true"/>
        </w:trPr>
        <w:tc>
          <w:tcPr>
            <w:tcW w:type="dxa" w:w="2266"/>
            <w:tcMar>
              <w:top w:w="50" w:type="dxa"/>
              <w:bottom w:w="50" w:type="dxa"/>
              <w:left w:w="90" w:type="dxa"/>
              <w:right w:w="90" w:type="dxa"/>
            </w:tcMar>
          </w:tcPr>
          <w:p>
            <w:pPr>
              <w:pStyle w:val="BDOITable"/>
            </w:pPr>
            <w:r>
              <w:rPr>
                <w:b/>
                <w:sz w:val="17"/>
              </w:rPr>
              <w:t>Mode</w:t>
            </w:r>
          </w:p>
        </w:tc>
        <w:tc>
          <w:tcPr>
            <w:tcW w:type="dxa" w:w="7706"/>
            <w:tcMar>
              <w:top w:w="50" w:type="dxa"/>
              <w:bottom w:w="50" w:type="dxa"/>
              <w:left w:w="90" w:type="dxa"/>
              <w:right w:w="90" w:type="dxa"/>
            </w:tcMar>
          </w:tcPr>
          <w:p>
            <w:pPr>
              <w:pStyle w:val="BDOITable"/>
            </w:pPr>
            <w:r>
              <w:rPr>
                <w:sz w:val="17"/>
              </w:rPr>
              <w:t>KRaft (no ZooKeeper), Kafka 3.9</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Brokers</w:t>
            </w:r>
          </w:p>
        </w:tc>
        <w:tc>
          <w:tcPr>
            <w:tcW w:type="dxa" w:w="7706"/>
            <w:tcMar>
              <w:top w:w="50" w:type="dxa"/>
              <w:bottom w:w="50" w:type="dxa"/>
              <w:left w:w="90" w:type="dxa"/>
              <w:right w:w="90" w:type="dxa"/>
            </w:tcMar>
            <w:shd w:val="clear" w:color="auto" w:fill="E5F5FF"/>
          </w:tcPr>
          <w:p>
            <w:pPr>
              <w:pStyle w:val="BDOITable"/>
            </w:pPr>
            <w:r>
              <w:rPr>
                <w:sz w:val="17"/>
              </w:rPr>
              <w:t>3 x kafka.m5.large across three zones in Pre-Prod, PROD and DR; 2 brokers in DEV, SIT and UAT</w:t>
            </w:r>
          </w:p>
        </w:tc>
      </w:tr>
      <w:tr>
        <w:trPr>
          <w:cantSplit w:val="true"/>
        </w:trPr>
        <w:tc>
          <w:tcPr>
            <w:tcW w:type="dxa" w:w="2266"/>
            <w:tcMar>
              <w:top w:w="50" w:type="dxa"/>
              <w:bottom w:w="50" w:type="dxa"/>
              <w:left w:w="90" w:type="dxa"/>
              <w:right w:w="90" w:type="dxa"/>
            </w:tcMar>
          </w:tcPr>
          <w:p>
            <w:pPr>
              <w:pStyle w:val="BDOITable"/>
            </w:pPr>
            <w:r>
              <w:rPr>
                <w:b/>
                <w:sz w:val="17"/>
              </w:rPr>
              <w:t>Topics</w:t>
            </w:r>
          </w:p>
        </w:tc>
        <w:tc>
          <w:tcPr>
            <w:tcW w:type="dxa" w:w="7706"/>
            <w:tcMar>
              <w:top w:w="50" w:type="dxa"/>
              <w:bottom w:w="50" w:type="dxa"/>
              <w:left w:w="90" w:type="dxa"/>
              <w:right w:w="90" w:type="dxa"/>
            </w:tcMar>
          </w:tcPr>
          <w:p>
            <w:pPr>
              <w:pStyle w:val="BDOITable"/>
            </w:pPr>
            <w:r>
              <w:rPr>
                <w:sz w:val="17"/>
              </w:rPr>
              <w:t>Ten topics bibs.&lt;domain&gt;.&lt;event&gt;.v1 and their dead-letter topics, created by the application with 3 partitions; replication factor 3 and minimum in-sync replicas 2 (replication factor 2 on two brokers); automatic topic creation off on brokers and clients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Retention</w:t>
            </w:r>
          </w:p>
        </w:tc>
        <w:tc>
          <w:tcPr>
            <w:tcW w:type="dxa" w:w="7706"/>
            <w:tcMar>
              <w:top w:w="50" w:type="dxa"/>
              <w:bottom w:w="50" w:type="dxa"/>
              <w:left w:w="90" w:type="dxa"/>
              <w:right w:w="90" w:type="dxa"/>
            </w:tcMar>
            <w:shd w:val="clear" w:color="auto" w:fill="E5F5FF"/>
          </w:tcPr>
          <w:p>
            <w:pPr>
              <w:pStyle w:val="BDOITable"/>
            </w:pPr>
            <w:r>
              <w:rPr>
                <w:sz w:val="17"/>
              </w:rPr>
              <w:t>7 days on the event topics and 30 days on the dead-letter topics (proposed, IA-06); the outbox and the event archive in PostgreSQL are the long-term record</w:t>
            </w:r>
          </w:p>
        </w:tc>
      </w:tr>
      <w:tr>
        <w:trPr>
          <w:cantSplit w:val="true"/>
        </w:trPr>
        <w:tc>
          <w:tcPr>
            <w:tcW w:type="dxa" w:w="2266"/>
            <w:tcMar>
              <w:top w:w="50" w:type="dxa"/>
              <w:bottom w:w="50" w:type="dxa"/>
              <w:left w:w="90" w:type="dxa"/>
              <w:right w:w="90" w:type="dxa"/>
            </w:tcMar>
          </w:tcPr>
          <w:p>
            <w:pPr>
              <w:pStyle w:val="BDOITable"/>
            </w:pPr>
            <w:r>
              <w:rPr>
                <w:b/>
                <w:sz w:val="17"/>
              </w:rPr>
              <w:t>Security</w:t>
            </w:r>
          </w:p>
        </w:tc>
        <w:tc>
          <w:tcPr>
            <w:tcW w:type="dxa" w:w="7706"/>
            <w:tcMar>
              <w:top w:w="50" w:type="dxa"/>
              <w:bottom w:w="50" w:type="dxa"/>
              <w:left w:w="90" w:type="dxa"/>
              <w:right w:w="90" w:type="dxa"/>
            </w:tcMar>
          </w:tcPr>
          <w:p>
            <w:pPr>
              <w:pStyle w:val="BDOITable"/>
            </w:pPr>
            <w:r>
              <w:rPr>
                <w:sz w:val="17"/>
              </w:rPr>
              <w:t>SASL_SSL with SCRAM-SHA-512 (credentials in Secrets Manager) or IAM authentication; plaintext listeners disabled; encryption at rest with the BDOI KMS key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Producer and consumers</w:t>
            </w:r>
          </w:p>
        </w:tc>
        <w:tc>
          <w:tcPr>
            <w:tcW w:type="dxa" w:w="7706"/>
            <w:tcMar>
              <w:top w:w="50" w:type="dxa"/>
              <w:bottom w:w="50" w:type="dxa"/>
              <w:left w:w="90" w:type="dxa"/>
              <w:right w:w="90" w:type="dxa"/>
            </w:tcMar>
            <w:shd w:val="clear" w:color="auto" w:fill="E5F5FF"/>
          </w:tcPr>
          <w:p>
            <w:pPr>
              <w:pStyle w:val="BDOITable"/>
            </w:pPr>
            <w:r>
              <w:rPr>
                <w:sz w:val="17"/>
              </w:rPr>
              <w:t>Producer with acknowledgements from all in-sync replicas and idempotency; consumer groups bibs-mail-dispatch, bibs-event-archive and bibs-dead-letter-recorder, plus the ECM archive connector</w:t>
            </w:r>
          </w:p>
        </w:tc>
      </w:tr>
      <w:tr>
        <w:trPr>
          <w:cantSplit w:val="true"/>
        </w:trPr>
        <w:tc>
          <w:tcPr>
            <w:tcW w:type="dxa" w:w="2266"/>
            <w:tcMar>
              <w:top w:w="50" w:type="dxa"/>
              <w:bottom w:w="50" w:type="dxa"/>
              <w:left w:w="90" w:type="dxa"/>
              <w:right w:w="90" w:type="dxa"/>
            </w:tcMar>
          </w:tcPr>
          <w:p>
            <w:pPr>
              <w:pStyle w:val="BDOITable"/>
            </w:pPr>
            <w:r>
              <w:rPr>
                <w:b/>
                <w:sz w:val="17"/>
              </w:rPr>
              <w:t>Monitoring</w:t>
            </w:r>
          </w:p>
        </w:tc>
        <w:tc>
          <w:tcPr>
            <w:tcW w:type="dxa" w:w="7706"/>
            <w:tcMar>
              <w:top w:w="50" w:type="dxa"/>
              <w:bottom w:w="50" w:type="dxa"/>
              <w:left w:w="90" w:type="dxa"/>
              <w:right w:w="90" w:type="dxa"/>
            </w:tcMar>
          </w:tcPr>
          <w:p>
            <w:pPr>
              <w:pStyle w:val="BDOITable"/>
            </w:pPr>
            <w:r>
              <w:rPr>
                <w:sz w:val="17"/>
              </w:rPr>
              <w:t>Under-replicated partitions, offline partitions, consumer lag per group, broker disk use</w:t>
            </w:r>
          </w:p>
        </w:tc>
      </w:tr>
    </w:tbl>
    <w:p>
      <w:pPr>
        <w:pStyle w:val="BDOISpacer"/>
      </w:pPr>
    </w:p>
    <w:p>
      <w:pPr>
        <w:pStyle w:val="Heading2"/>
      </w:pPr>
      <w:bookmarkStart w:id="116" w:name="_Toc000116"/>
      <w:r>
        <w:rPr/>
        <w:t>6.4 Object and file storage (Amazon S3)</w:t>
      </w:r>
      <w:bookmarkEnd w:id="116"/>
    </w:p>
    <w:p>
      <w:pPr>
        <w:pStyle w:val="Caption"/>
        <w:keepNext/>
        <w:spacing w:after="60"/>
      </w:pPr>
      <w:r>
        <w:rPr>
          <w:b/>
          <w:i w:val="0"/>
        </w:rPr>
        <w:t xml:space="preserve">Table 12: </w:t>
      </w:r>
      <w:r>
        <w:rPr/>
        <w:t>S3 buckets per environment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3739"/>
        <w:gridCol w:w="396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Bucket</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Lifecycle and protection</w:t>
            </w:r>
          </w:p>
        </w:tc>
      </w:tr>
      <w:tr>
        <w:trPr>
          <w:cantSplit w:val="true"/>
        </w:trPr>
        <w:tc>
          <w:tcPr>
            <w:tcW w:type="dxa" w:w="2266"/>
            <w:tcMar>
              <w:top w:w="50" w:type="dxa"/>
              <w:bottom w:w="50" w:type="dxa"/>
              <w:left w:w="90" w:type="dxa"/>
              <w:right w:w="90" w:type="dxa"/>
            </w:tcMar>
          </w:tcPr>
          <w:p>
            <w:pPr>
              <w:pStyle w:val="BDOITable"/>
            </w:pPr>
            <w:r>
              <w:rPr>
                <w:b/>
                <w:sz w:val="17"/>
              </w:rPr>
              <w:t>bibs-&lt;env&gt;-documents</w:t>
            </w:r>
          </w:p>
        </w:tc>
        <w:tc>
          <w:tcPr>
            <w:tcW w:type="dxa" w:w="3739"/>
            <w:tcMar>
              <w:top w:w="50" w:type="dxa"/>
              <w:bottom w:w="50" w:type="dxa"/>
              <w:left w:w="90" w:type="dxa"/>
              <w:right w:w="90" w:type="dxa"/>
            </w:tcMar>
          </w:tcPr>
          <w:p>
            <w:pPr>
              <w:pStyle w:val="BDOITable"/>
            </w:pPr>
            <w:r>
              <w:rPr>
                <w:sz w:val="17"/>
              </w:rPr>
              <w:t>Attachments, generated documents (slips, invoices, ORs, SOAs, vouchers, letters, STRs), Word and PDF renditions</w:t>
            </w:r>
          </w:p>
        </w:tc>
        <w:tc>
          <w:tcPr>
            <w:tcW w:type="dxa" w:w="3966"/>
            <w:tcMar>
              <w:top w:w="50" w:type="dxa"/>
              <w:bottom w:w="50" w:type="dxa"/>
              <w:left w:w="90" w:type="dxa"/>
              <w:right w:w="90" w:type="dxa"/>
            </w:tcMar>
          </w:tcPr>
          <w:p>
            <w:pPr>
              <w:pStyle w:val="BDOITable"/>
            </w:pPr>
            <w:r>
              <w:rPr>
                <w:sz w:val="17"/>
              </w:rPr>
              <w:t>Versioning; Standard, then Standard-IA after 90 days, Glacier Instant Retrieval after 1 year; Object Lock in governance mode with legal hold; deletion by the BIBS retention rules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bibs-&lt;env&gt;-reports</w:t>
            </w:r>
          </w:p>
        </w:tc>
        <w:tc>
          <w:tcPr>
            <w:tcW w:type="dxa" w:w="3739"/>
            <w:tcMar>
              <w:top w:w="50" w:type="dxa"/>
              <w:bottom w:w="50" w:type="dxa"/>
              <w:left w:w="90" w:type="dxa"/>
              <w:right w:w="90" w:type="dxa"/>
            </w:tcMar>
            <w:shd w:val="clear" w:color="auto" w:fill="E5F5FF"/>
          </w:tcPr>
          <w:p>
            <w:pPr>
              <w:pStyle w:val="BDOITable"/>
            </w:pPr>
            <w:r>
              <w:rPr>
                <w:sz w:val="17"/>
              </w:rPr>
              <w:t>Report runs, scheduled files, batch ZIP files</w:t>
            </w:r>
          </w:p>
        </w:tc>
        <w:tc>
          <w:tcPr>
            <w:tcW w:type="dxa" w:w="3966"/>
            <w:tcMar>
              <w:top w:w="50" w:type="dxa"/>
              <w:bottom w:w="50" w:type="dxa"/>
              <w:left w:w="90" w:type="dxa"/>
              <w:right w:w="90" w:type="dxa"/>
            </w:tcMar>
            <w:shd w:val="clear" w:color="auto" w:fill="E5F5FF"/>
          </w:tcPr>
          <w:p>
            <w:pPr>
              <w:pStyle w:val="BDOITable"/>
            </w:pPr>
            <w:r>
              <w:rPr>
                <w:sz w:val="17"/>
              </w:rPr>
              <w:t>Expiry per the report archive setting (default 400 days)</w:t>
            </w:r>
          </w:p>
        </w:tc>
      </w:tr>
      <w:tr>
        <w:trPr>
          <w:cantSplit w:val="true"/>
        </w:trPr>
        <w:tc>
          <w:tcPr>
            <w:tcW w:type="dxa" w:w="2266"/>
            <w:tcMar>
              <w:top w:w="50" w:type="dxa"/>
              <w:bottom w:w="50" w:type="dxa"/>
              <w:left w:w="90" w:type="dxa"/>
              <w:right w:w="90" w:type="dxa"/>
            </w:tcMar>
          </w:tcPr>
          <w:p>
            <w:pPr>
              <w:pStyle w:val="BDOITable"/>
            </w:pPr>
            <w:r>
              <w:rPr>
                <w:b/>
                <w:sz w:val="17"/>
              </w:rPr>
              <w:t>bibs-&lt;env&gt;-inbound</w:t>
            </w:r>
          </w:p>
        </w:tc>
        <w:tc>
          <w:tcPr>
            <w:tcW w:type="dxa" w:w="3739"/>
            <w:tcMar>
              <w:top w:w="50" w:type="dxa"/>
              <w:bottom w:w="50" w:type="dxa"/>
              <w:left w:w="90" w:type="dxa"/>
              <w:right w:w="90" w:type="dxa"/>
            </w:tcMar>
          </w:tcPr>
          <w:p>
            <w:pPr>
              <w:pStyle w:val="BDOITable"/>
            </w:pPr>
            <w:r>
              <w:rPr>
                <w:sz w:val="17"/>
              </w:rPr>
              <w:t>Bulk uploads, bank and insurer files, watchlist feeds</w:t>
            </w:r>
          </w:p>
        </w:tc>
        <w:tc>
          <w:tcPr>
            <w:tcW w:type="dxa" w:w="3966"/>
            <w:tcMar>
              <w:top w:w="50" w:type="dxa"/>
              <w:bottom w:w="50" w:type="dxa"/>
              <w:left w:w="90" w:type="dxa"/>
              <w:right w:w="90" w:type="dxa"/>
            </w:tcMar>
          </w:tcPr>
          <w:p>
            <w:pPr>
              <w:pStyle w:val="BDOITable"/>
            </w:pPr>
            <w:r>
              <w:rPr>
                <w:sz w:val="17"/>
              </w:rPr>
              <w:t>Incoming and quarantine prefixes; GuardDuty Malware Protection; kept 90 days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bibs-&lt;env&gt;-migration</w:t>
            </w:r>
          </w:p>
        </w:tc>
        <w:tc>
          <w:tcPr>
            <w:tcW w:type="dxa" w:w="3739"/>
            <w:tcMar>
              <w:top w:w="50" w:type="dxa"/>
              <w:bottom w:w="50" w:type="dxa"/>
              <w:left w:w="90" w:type="dxa"/>
              <w:right w:w="90" w:type="dxa"/>
            </w:tcMar>
            <w:shd w:val="clear" w:color="auto" w:fill="E5F5FF"/>
          </w:tcPr>
          <w:p>
            <w:pPr>
              <w:pStyle w:val="BDOITable"/>
            </w:pPr>
            <w:r>
              <w:rPr>
                <w:sz w:val="17"/>
              </w:rPr>
              <w:t>Migration extracts and staging files</w:t>
            </w:r>
          </w:p>
        </w:tc>
        <w:tc>
          <w:tcPr>
            <w:tcW w:type="dxa" w:w="3966"/>
            <w:tcMar>
              <w:top w:w="50" w:type="dxa"/>
              <w:bottom w:w="50" w:type="dxa"/>
              <w:left w:w="90" w:type="dxa"/>
              <w:right w:w="90" w:type="dxa"/>
            </w:tcMar>
            <w:shd w:val="clear" w:color="auto" w:fill="E5F5FF"/>
          </w:tcPr>
          <w:p>
            <w:pPr>
              <w:pStyle w:val="BDOITable"/>
            </w:pPr>
            <w:r>
              <w:rPr>
                <w:sz w:val="17"/>
              </w:rPr>
              <w:t>Expiry after 5 days; migration role only</w:t>
            </w:r>
          </w:p>
        </w:tc>
      </w:tr>
    </w:tbl>
    <w:p>
      <w:pPr>
        <w:pStyle w:val="BDOISpacer"/>
      </w:pPr>
    </w:p>
    <w:p>
      <w:r>
        <w:rPr/>
        <w:t>All buckets: public access blocked at account and bucket level; SSE-KMS with the BDOI key of the bucket class and bucket keys; bucket policies deny unencrypted uploads, non-TLS access and other regions; object keys carry no personal data (company, record type, year, month, random identifier); CloudTrail data events and server access logs kept for audit. PROD documents and reports buckets replicate to the DR region with replication time control (15 minutes). Amazon EFS is not used.</w:t>
      </w:r>
    </w:p>
    <w:p>
      <w:pPr>
        <w:pStyle w:val="Heading1"/>
        <w:pBdr>
          <w:bottom w:val="single" w:sz="4" w:space="4" w:color="99C1E7"/>
        </w:pBdr>
      </w:pPr>
      <w:bookmarkStart w:id="117" w:name="_Toc000117"/>
      <w:r>
        <w:rPr/>
        <w:t>7 High availability and disaster recovery</w:t>
      </w:r>
      <w:bookmarkEnd w:id="117"/>
    </w:p>
    <w:p>
      <w:pPr>
        <w:keepNext/>
        <w:spacing w:before="80" w:after="0"/>
        <w:jc w:val="center"/>
      </w:pPr>
      <w:r>
        <w:drawing>
          <wp:inline xmlns:a="http://schemas.openxmlformats.org/drawingml/2006/main" xmlns:pic="http://schemas.openxmlformats.org/drawingml/2006/picture">
            <wp:extent cx="5760000" cy="2083290"/>
            <wp:docPr id="4" name="Picture 4"/>
            <wp:cNvGraphicFramePr>
              <a:graphicFrameLocks noChangeAspect="1"/>
            </wp:cNvGraphicFramePr>
            <a:graphic>
              <a:graphicData uri="http://schemas.openxmlformats.org/drawingml/2006/picture">
                <pic:pic>
                  <pic:nvPicPr>
                    <pic:cNvPr id="0" name="ia_dr_1070.jpg"/>
                    <pic:cNvPicPr/>
                  </pic:nvPicPr>
                  <pic:blipFill>
                    <a:blip r:embed="rId16"/>
                    <a:stretch>
                      <a:fillRect/>
                    </a:stretch>
                  </pic:blipFill>
                  <pic:spPr>
                    <a:xfrm>
                      <a:off x="0" y="0"/>
                      <a:ext cx="5760000" cy="2083290"/>
                    </a:xfrm>
                    <a:prstGeom prst="rect"/>
                  </pic:spPr>
                </pic:pic>
              </a:graphicData>
            </a:graphic>
          </wp:inline>
        </w:drawing>
      </w:r>
    </w:p>
    <w:p>
      <w:pPr>
        <w:pStyle w:val="Caption"/>
        <w:jc w:val="center"/>
      </w:pPr>
      <w:r>
        <w:rPr>
          <w:b/>
          <w:i w:val="0"/>
        </w:rPr>
        <w:t xml:space="preserve">Figure 2: </w:t>
      </w:r>
      <w:r>
        <w:rPr/>
        <w:t>High availability and disaster recovery</w:t>
      </w:r>
    </w:p>
    <w:p>
      <w:pPr>
        <w:pStyle w:val="Caption"/>
        <w:keepNext/>
        <w:spacing w:after="60"/>
      </w:pPr>
      <w:r>
        <w:rPr>
          <w:b/>
          <w:i w:val="0"/>
        </w:rPr>
        <w:t xml:space="preserve">Table 13: </w:t>
      </w:r>
      <w:r>
        <w:rPr/>
        <w:t>Availability and recovery per component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833"/>
        <w:gridCol w:w="3173"/>
        <w:gridCol w:w="226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6"/>
              </w:rPr>
              <w:t>Component</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6"/>
              </w:rPr>
              <w:t>Within the region</w:t>
            </w:r>
          </w:p>
        </w:tc>
        <w:tc>
          <w:tcPr>
            <w:tcW w:type="dxa" w:w="3173"/>
            <w:shd w:val="clear" w:color="auto" w:fill="004EA8"/>
            <w:tcMar>
              <w:top w:w="50" w:type="dxa"/>
              <w:bottom w:w="50" w:type="dxa"/>
              <w:left w:w="90" w:type="dxa"/>
              <w:right w:w="90" w:type="dxa"/>
            </w:tcMar>
            <w:vAlign w:val="center"/>
          </w:tcPr>
          <w:p>
            <w:pPr>
              <w:pStyle w:val="BDOITableHeader"/>
            </w:pPr>
            <w:r>
              <w:rPr>
                <w:b/>
                <w:color w:val="FFFFFF"/>
                <w:sz w:val="16"/>
              </w:rPr>
              <w:t>DR region</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6"/>
              </w:rPr>
              <w:t>Recovery point</w:t>
            </w:r>
          </w:p>
        </w:tc>
      </w:tr>
      <w:tr>
        <w:trPr>
          <w:cantSplit w:val="true"/>
        </w:trPr>
        <w:tc>
          <w:tcPr>
            <w:tcW w:type="dxa" w:w="1700"/>
            <w:tcMar>
              <w:top w:w="50" w:type="dxa"/>
              <w:bottom w:w="50" w:type="dxa"/>
              <w:left w:w="90" w:type="dxa"/>
              <w:right w:w="90" w:type="dxa"/>
            </w:tcMar>
          </w:tcPr>
          <w:p>
            <w:pPr>
              <w:pStyle w:val="BDOITable"/>
            </w:pPr>
            <w:r>
              <w:rPr>
                <w:b/>
                <w:sz w:val="16"/>
              </w:rPr>
              <w:t>bibs-web, bibs-frontend</w:t>
            </w:r>
          </w:p>
        </w:tc>
        <w:tc>
          <w:tcPr>
            <w:tcW w:type="dxa" w:w="2833"/>
            <w:tcMar>
              <w:top w:w="50" w:type="dxa"/>
              <w:bottom w:w="50" w:type="dxa"/>
              <w:left w:w="90" w:type="dxa"/>
              <w:right w:w="90" w:type="dxa"/>
            </w:tcMar>
          </w:tcPr>
          <w:p>
            <w:pPr>
              <w:pStyle w:val="BDOITable"/>
            </w:pPr>
            <w:r>
              <w:rPr>
                <w:sz w:val="16"/>
              </w:rPr>
              <w:t>3 zones, at least 2 pods, autoscaling</w:t>
            </w:r>
          </w:p>
        </w:tc>
        <w:tc>
          <w:tcPr>
            <w:tcW w:type="dxa" w:w="3173"/>
            <w:tcMar>
              <w:top w:w="50" w:type="dxa"/>
              <w:bottom w:w="50" w:type="dxa"/>
              <w:left w:w="90" w:type="dxa"/>
              <w:right w:w="90" w:type="dxa"/>
            </w:tcMar>
          </w:tcPr>
          <w:p>
            <w:pPr>
              <w:pStyle w:val="BDOITable"/>
            </w:pPr>
            <w:r>
              <w:rPr>
                <w:sz w:val="16"/>
              </w:rPr>
              <w:t>Standby at 1 pod each; scaled to PROD at failover</w:t>
            </w:r>
          </w:p>
        </w:tc>
        <w:tc>
          <w:tcPr>
            <w:tcW w:type="dxa" w:w="2266"/>
            <w:tcMar>
              <w:top w:w="50" w:type="dxa"/>
              <w:bottom w:w="50" w:type="dxa"/>
              <w:left w:w="90" w:type="dxa"/>
              <w:right w:w="90" w:type="dxa"/>
            </w:tcMar>
          </w:tcPr>
          <w:p>
            <w:pPr>
              <w:pStyle w:val="BDOITable"/>
            </w:pPr>
            <w:r>
              <w:rPr>
                <w:sz w:val="16"/>
              </w:rPr>
              <w:t>Stateless</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bibs-jobs, bibs-integration</w:t>
            </w:r>
          </w:p>
        </w:tc>
        <w:tc>
          <w:tcPr>
            <w:tcW w:type="dxa" w:w="2833"/>
            <w:tcMar>
              <w:top w:w="50" w:type="dxa"/>
              <w:bottom w:w="50" w:type="dxa"/>
              <w:left w:w="90" w:type="dxa"/>
              <w:right w:w="90" w:type="dxa"/>
            </w:tcMar>
            <w:shd w:val="clear" w:color="auto" w:fill="E5F5FF"/>
          </w:tcPr>
          <w:p>
            <w:pPr>
              <w:pStyle w:val="BDOITable"/>
            </w:pPr>
            <w:r>
              <w:rPr>
                <w:sz w:val="16"/>
              </w:rPr>
              <w:t>2 pods across zones; job lock</w:t>
            </w:r>
          </w:p>
        </w:tc>
        <w:tc>
          <w:tcPr>
            <w:tcW w:type="dxa" w:w="3173"/>
            <w:tcMar>
              <w:top w:w="50" w:type="dxa"/>
              <w:bottom w:w="50" w:type="dxa"/>
              <w:left w:w="90" w:type="dxa"/>
              <w:right w:w="90" w:type="dxa"/>
            </w:tcMar>
            <w:shd w:val="clear" w:color="auto" w:fill="E5F5FF"/>
          </w:tcPr>
          <w:p>
            <w:pPr>
              <w:pStyle w:val="BDOITable"/>
            </w:pPr>
            <w:r>
              <w:rPr>
                <w:sz w:val="16"/>
              </w:rPr>
              <w:t>0 pods until failover (so jobs and consumers never run twice)</w:t>
            </w:r>
          </w:p>
        </w:tc>
        <w:tc>
          <w:tcPr>
            <w:tcW w:type="dxa" w:w="2266"/>
            <w:tcMar>
              <w:top w:w="50" w:type="dxa"/>
              <w:bottom w:w="50" w:type="dxa"/>
              <w:left w:w="90" w:type="dxa"/>
              <w:right w:w="90" w:type="dxa"/>
            </w:tcMar>
            <w:shd w:val="clear" w:color="auto" w:fill="E5F5FF"/>
          </w:tcPr>
          <w:p>
            <w:pPr>
              <w:pStyle w:val="BDOITable"/>
            </w:pPr>
            <w:r>
              <w:rPr>
                <w:sz w:val="16"/>
              </w:rPr>
              <w:t>Stateless</w:t>
            </w:r>
          </w:p>
        </w:tc>
      </w:tr>
      <w:tr>
        <w:trPr>
          <w:cantSplit w:val="true"/>
        </w:trPr>
        <w:tc>
          <w:tcPr>
            <w:tcW w:type="dxa" w:w="1700"/>
            <w:tcMar>
              <w:top w:w="50" w:type="dxa"/>
              <w:bottom w:w="50" w:type="dxa"/>
              <w:left w:w="90" w:type="dxa"/>
              <w:right w:w="90" w:type="dxa"/>
            </w:tcMar>
          </w:tcPr>
          <w:p>
            <w:pPr>
              <w:pStyle w:val="BDOITable"/>
            </w:pPr>
            <w:r>
              <w:rPr>
                <w:b/>
                <w:sz w:val="16"/>
              </w:rPr>
              <w:t>PostgreSQL</w:t>
            </w:r>
          </w:p>
        </w:tc>
        <w:tc>
          <w:tcPr>
            <w:tcW w:type="dxa" w:w="2833"/>
            <w:tcMar>
              <w:top w:w="50" w:type="dxa"/>
              <w:bottom w:w="50" w:type="dxa"/>
              <w:left w:w="90" w:type="dxa"/>
              <w:right w:w="90" w:type="dxa"/>
            </w:tcMar>
          </w:tcPr>
          <w:p>
            <w:pPr>
              <w:pStyle w:val="BDOITable"/>
            </w:pPr>
            <w:r>
              <w:rPr>
                <w:sz w:val="16"/>
              </w:rPr>
              <w:t>Multi-AZ synchronous standby</w:t>
            </w:r>
          </w:p>
        </w:tc>
        <w:tc>
          <w:tcPr>
            <w:tcW w:type="dxa" w:w="3173"/>
            <w:tcMar>
              <w:top w:w="50" w:type="dxa"/>
              <w:bottom w:w="50" w:type="dxa"/>
              <w:left w:w="90" w:type="dxa"/>
              <w:right w:w="90" w:type="dxa"/>
            </w:tcMar>
          </w:tcPr>
          <w:p>
            <w:pPr>
              <w:pStyle w:val="BDOITable"/>
            </w:pPr>
            <w:r>
              <w:rPr>
                <w:sz w:val="16"/>
              </w:rPr>
              <w:t>Cross-region read replica, promoted</w:t>
            </w:r>
          </w:p>
        </w:tc>
        <w:tc>
          <w:tcPr>
            <w:tcW w:type="dxa" w:w="2266"/>
            <w:tcMar>
              <w:top w:w="50" w:type="dxa"/>
              <w:bottom w:w="50" w:type="dxa"/>
              <w:left w:w="90" w:type="dxa"/>
              <w:right w:w="90" w:type="dxa"/>
            </w:tcMar>
          </w:tcPr>
          <w:p>
            <w:pPr>
              <w:pStyle w:val="BDOITable"/>
            </w:pPr>
            <w:r>
              <w:rPr>
                <w:sz w:val="16"/>
              </w:rPr>
              <w:t>Seconds of replica lag; at most 15 minutes</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Valkey</w:t>
            </w:r>
          </w:p>
        </w:tc>
        <w:tc>
          <w:tcPr>
            <w:tcW w:type="dxa" w:w="2833"/>
            <w:tcMar>
              <w:top w:w="50" w:type="dxa"/>
              <w:bottom w:w="50" w:type="dxa"/>
              <w:left w:w="90" w:type="dxa"/>
              <w:right w:w="90" w:type="dxa"/>
            </w:tcMar>
            <w:shd w:val="clear" w:color="auto" w:fill="E5F5FF"/>
          </w:tcPr>
          <w:p>
            <w:pPr>
              <w:pStyle w:val="BDOITable"/>
            </w:pPr>
            <w:r>
              <w:rPr>
                <w:sz w:val="16"/>
              </w:rPr>
              <w:t>Primary and replica, automatic failover</w:t>
            </w:r>
          </w:p>
        </w:tc>
        <w:tc>
          <w:tcPr>
            <w:tcW w:type="dxa" w:w="3173"/>
            <w:tcMar>
              <w:top w:w="50" w:type="dxa"/>
              <w:bottom w:w="50" w:type="dxa"/>
              <w:left w:w="90" w:type="dxa"/>
              <w:right w:w="90" w:type="dxa"/>
            </w:tcMar>
            <w:shd w:val="clear" w:color="auto" w:fill="E5F5FF"/>
          </w:tcPr>
          <w:p>
            <w:pPr>
              <w:pStyle w:val="BDOITable"/>
            </w:pPr>
            <w:r>
              <w:rPr>
                <w:sz w:val="16"/>
              </w:rPr>
              <w:t>Created at failover</w:t>
            </w:r>
          </w:p>
        </w:tc>
        <w:tc>
          <w:tcPr>
            <w:tcW w:type="dxa" w:w="2266"/>
            <w:tcMar>
              <w:top w:w="50" w:type="dxa"/>
              <w:bottom w:w="50" w:type="dxa"/>
              <w:left w:w="90" w:type="dxa"/>
              <w:right w:w="90" w:type="dxa"/>
            </w:tcMar>
            <w:shd w:val="clear" w:color="auto" w:fill="E5F5FF"/>
          </w:tcPr>
          <w:p>
            <w:pPr>
              <w:pStyle w:val="BDOITable"/>
            </w:pPr>
            <w:r>
              <w:rPr>
                <w:sz w:val="16"/>
              </w:rPr>
              <w:t>Not needed (caches refill)</w:t>
            </w:r>
          </w:p>
        </w:tc>
      </w:tr>
      <w:tr>
        <w:trPr>
          <w:cantSplit w:val="true"/>
        </w:trPr>
        <w:tc>
          <w:tcPr>
            <w:tcW w:type="dxa" w:w="1700"/>
            <w:tcMar>
              <w:top w:w="50" w:type="dxa"/>
              <w:bottom w:w="50" w:type="dxa"/>
              <w:left w:w="90" w:type="dxa"/>
              <w:right w:w="90" w:type="dxa"/>
            </w:tcMar>
          </w:tcPr>
          <w:p>
            <w:pPr>
              <w:pStyle w:val="BDOITable"/>
            </w:pPr>
            <w:r>
              <w:rPr>
                <w:b/>
                <w:sz w:val="16"/>
              </w:rPr>
              <w:t>Kafka</w:t>
            </w:r>
          </w:p>
        </w:tc>
        <w:tc>
          <w:tcPr>
            <w:tcW w:type="dxa" w:w="2833"/>
            <w:tcMar>
              <w:top w:w="50" w:type="dxa"/>
              <w:bottom w:w="50" w:type="dxa"/>
              <w:left w:w="90" w:type="dxa"/>
              <w:right w:w="90" w:type="dxa"/>
            </w:tcMar>
          </w:tcPr>
          <w:p>
            <w:pPr>
              <w:pStyle w:val="BDOITable"/>
            </w:pPr>
            <w:r>
              <w:rPr>
                <w:sz w:val="16"/>
              </w:rPr>
              <w:t>3 brokers, replication factor 3</w:t>
            </w:r>
          </w:p>
        </w:tc>
        <w:tc>
          <w:tcPr>
            <w:tcW w:type="dxa" w:w="3173"/>
            <w:tcMar>
              <w:top w:w="50" w:type="dxa"/>
              <w:bottom w:w="50" w:type="dxa"/>
              <w:left w:w="90" w:type="dxa"/>
              <w:right w:w="90" w:type="dxa"/>
            </w:tcMar>
          </w:tcPr>
          <w:p>
            <w:pPr>
              <w:pStyle w:val="BDOITable"/>
            </w:pPr>
            <w:r>
              <w:rPr>
                <w:sz w:val="16"/>
              </w:rPr>
              <w:t>Created at failover</w:t>
            </w:r>
          </w:p>
        </w:tc>
        <w:tc>
          <w:tcPr>
            <w:tcW w:type="dxa" w:w="2266"/>
            <w:tcMar>
              <w:top w:w="50" w:type="dxa"/>
              <w:bottom w:w="50" w:type="dxa"/>
              <w:left w:w="90" w:type="dxa"/>
              <w:right w:w="90" w:type="dxa"/>
            </w:tcMar>
          </w:tcPr>
          <w:p>
            <w:pPr>
              <w:pStyle w:val="BDOITable"/>
            </w:pPr>
            <w:r>
              <w:rPr>
                <w:sz w:val="16"/>
              </w:rPr>
              <w:t>Undelivered events resent from the outbox</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S3</w:t>
            </w:r>
          </w:p>
        </w:tc>
        <w:tc>
          <w:tcPr>
            <w:tcW w:type="dxa" w:w="2833"/>
            <w:tcMar>
              <w:top w:w="50" w:type="dxa"/>
              <w:bottom w:w="50" w:type="dxa"/>
              <w:left w:w="90" w:type="dxa"/>
              <w:right w:w="90" w:type="dxa"/>
            </w:tcMar>
            <w:shd w:val="clear" w:color="auto" w:fill="E5F5FF"/>
          </w:tcPr>
          <w:p>
            <w:pPr>
              <w:pStyle w:val="BDOITable"/>
            </w:pPr>
            <w:r>
              <w:rPr>
                <w:sz w:val="16"/>
              </w:rPr>
              <w:t>11 nines durability, versioning</w:t>
            </w:r>
          </w:p>
        </w:tc>
        <w:tc>
          <w:tcPr>
            <w:tcW w:type="dxa" w:w="3173"/>
            <w:tcMar>
              <w:top w:w="50" w:type="dxa"/>
              <w:bottom w:w="50" w:type="dxa"/>
              <w:left w:w="90" w:type="dxa"/>
              <w:right w:w="90" w:type="dxa"/>
            </w:tcMar>
            <w:shd w:val="clear" w:color="auto" w:fill="E5F5FF"/>
          </w:tcPr>
          <w:p>
            <w:pPr>
              <w:pStyle w:val="BDOITable"/>
            </w:pPr>
            <w:r>
              <w:rPr>
                <w:sz w:val="16"/>
              </w:rPr>
              <w:t>Replica buckets, replication time control</w:t>
            </w:r>
          </w:p>
        </w:tc>
        <w:tc>
          <w:tcPr>
            <w:tcW w:type="dxa" w:w="2266"/>
            <w:tcMar>
              <w:top w:w="50" w:type="dxa"/>
              <w:bottom w:w="50" w:type="dxa"/>
              <w:left w:w="90" w:type="dxa"/>
              <w:right w:w="90" w:type="dxa"/>
            </w:tcMar>
            <w:shd w:val="clear" w:color="auto" w:fill="E5F5FF"/>
          </w:tcPr>
          <w:p>
            <w:pPr>
              <w:pStyle w:val="BDOITable"/>
            </w:pPr>
            <w:r>
              <w:rPr>
                <w:sz w:val="16"/>
              </w:rPr>
              <w:t>15 minutes</w:t>
            </w:r>
          </w:p>
        </w:tc>
      </w:tr>
      <w:tr>
        <w:trPr>
          <w:cantSplit w:val="true"/>
        </w:trPr>
        <w:tc>
          <w:tcPr>
            <w:tcW w:type="dxa" w:w="1700"/>
            <w:tcMar>
              <w:top w:w="50" w:type="dxa"/>
              <w:bottom w:w="50" w:type="dxa"/>
              <w:left w:w="90" w:type="dxa"/>
              <w:right w:w="90" w:type="dxa"/>
            </w:tcMar>
          </w:tcPr>
          <w:p>
            <w:pPr>
              <w:pStyle w:val="BDOITable"/>
            </w:pPr>
            <w:r>
              <w:rPr>
                <w:b/>
                <w:sz w:val="16"/>
              </w:rPr>
              <w:t>Images, secrets, keys</w:t>
            </w:r>
          </w:p>
        </w:tc>
        <w:tc>
          <w:tcPr>
            <w:tcW w:type="dxa" w:w="2833"/>
            <w:tcMar>
              <w:top w:w="50" w:type="dxa"/>
              <w:bottom w:w="50" w:type="dxa"/>
              <w:left w:w="90" w:type="dxa"/>
              <w:right w:w="90" w:type="dxa"/>
            </w:tcMar>
          </w:tcPr>
          <w:p>
            <w:pPr>
              <w:pStyle w:val="BDOITable"/>
            </w:pPr>
            <w:r>
              <w:rPr>
                <w:sz w:val="16"/>
              </w:rPr>
              <w:t>ECR, Secrets Manager, KMS</w:t>
            </w:r>
          </w:p>
        </w:tc>
        <w:tc>
          <w:tcPr>
            <w:tcW w:type="dxa" w:w="3173"/>
            <w:tcMar>
              <w:top w:w="50" w:type="dxa"/>
              <w:bottom w:w="50" w:type="dxa"/>
              <w:left w:w="90" w:type="dxa"/>
              <w:right w:w="90" w:type="dxa"/>
            </w:tcMar>
          </w:tcPr>
          <w:p>
            <w:pPr>
              <w:pStyle w:val="BDOITable"/>
            </w:pPr>
            <w:r>
              <w:rPr>
                <w:sz w:val="16"/>
              </w:rPr>
              <w:t>ECR replication, secret replicas, multi-Region keys</w:t>
            </w:r>
          </w:p>
        </w:tc>
        <w:tc>
          <w:tcPr>
            <w:tcW w:type="dxa" w:w="2266"/>
            <w:tcMar>
              <w:top w:w="50" w:type="dxa"/>
              <w:bottom w:w="50" w:type="dxa"/>
              <w:left w:w="90" w:type="dxa"/>
              <w:right w:w="90" w:type="dxa"/>
            </w:tcMar>
          </w:tcPr>
          <w:p>
            <w:pPr>
              <w:pStyle w:val="BDOITable"/>
            </w:pPr>
            <w:r>
              <w:rPr>
                <w:sz w:val="16"/>
              </w:rPr>
              <w:t>Current</w:t>
            </w:r>
          </w:p>
        </w:tc>
      </w:tr>
    </w:tbl>
    <w:p>
      <w:pPr>
        <w:pStyle w:val="BDOISpacer"/>
      </w:pPr>
    </w:p>
    <w:p>
      <w:r>
        <w:rPr>
          <w:b/>
        </w:rPr>
        <w:t>Failover plan (targets).</w:t>
      </w:r>
      <w:r>
        <w:rPr/>
        <w:t xml:space="preserve"> The RTO of 4 hours is met by the following steps, rehearsed in the yearly DR test:</w:t>
      </w:r>
    </w:p>
    <w:p>
      <w:pPr>
        <w:pStyle w:val="Caption"/>
        <w:keepNext/>
        <w:spacing w:after="60"/>
      </w:pPr>
      <w:r>
        <w:rPr>
          <w:b/>
          <w:i w:val="0"/>
        </w:rPr>
        <w:t xml:space="preserve">Table 14: </w:t>
      </w:r>
      <w:r>
        <w:rPr/>
        <w:t>DR failover steps and target times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33"/>
        <w:gridCol w:w="5439"/>
        <w:gridCol w:w="3399"/>
      </w:tblGrid>
      <w:tr>
        <w:trPr>
          <w:tblHeader w:val="true"/>
          <w:cantSplit w:val="true"/>
        </w:trPr>
        <w:tc>
          <w:tcPr>
            <w:tcW w:type="dxa" w:w="1133"/>
            <w:shd w:val="clear" w:color="auto" w:fill="004EA8"/>
            <w:tcMar>
              <w:top w:w="50" w:type="dxa"/>
              <w:bottom w:w="50" w:type="dxa"/>
              <w:left w:w="90" w:type="dxa"/>
              <w:right w:w="90" w:type="dxa"/>
            </w:tcMar>
            <w:vAlign w:val="center"/>
          </w:tcPr>
          <w:p>
            <w:pPr>
              <w:pStyle w:val="BDOITableHeader"/>
            </w:pPr>
            <w:r>
              <w:rPr>
                <w:b/>
                <w:color w:val="FFFFFF"/>
                <w:sz w:val="17"/>
              </w:rPr>
              <w:t>Target time</w:t>
            </w:r>
          </w:p>
        </w:tc>
        <w:tc>
          <w:tcPr>
            <w:tcW w:type="dxa" w:w="5439"/>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3400"/>
            <w:shd w:val="clear" w:color="auto" w:fill="004EA8"/>
            <w:tcMar>
              <w:top w:w="50" w:type="dxa"/>
              <w:bottom w:w="50" w:type="dxa"/>
              <w:left w:w="90" w:type="dxa"/>
              <w:right w:w="90" w:type="dxa"/>
            </w:tcMar>
            <w:vAlign w:val="center"/>
          </w:tcPr>
          <w:p>
            <w:pPr>
              <w:pStyle w:val="BDOITableHeader"/>
            </w:pPr>
            <w:r>
              <w:rPr>
                <w:b/>
                <w:color w:val="FFFFFF"/>
                <w:sz w:val="17"/>
              </w:rPr>
              <w:t>Owner</w:t>
            </w:r>
          </w:p>
        </w:tc>
      </w:tr>
      <w:tr>
        <w:trPr>
          <w:cantSplit w:val="true"/>
        </w:trPr>
        <w:tc>
          <w:tcPr>
            <w:tcW w:type="dxa" w:w="1133"/>
            <w:tcMar>
              <w:top w:w="50" w:type="dxa"/>
              <w:bottom w:w="50" w:type="dxa"/>
              <w:left w:w="90" w:type="dxa"/>
              <w:right w:w="90" w:type="dxa"/>
            </w:tcMar>
          </w:tcPr>
          <w:p>
            <w:pPr>
              <w:pStyle w:val="BDOITable"/>
            </w:pPr>
            <w:r>
              <w:rPr>
                <w:b/>
                <w:sz w:val="17"/>
              </w:rPr>
              <w:t>T + 0:30</w:t>
            </w:r>
          </w:p>
        </w:tc>
        <w:tc>
          <w:tcPr>
            <w:tcW w:type="dxa" w:w="5439"/>
            <w:tcMar>
              <w:top w:w="50" w:type="dxa"/>
              <w:bottom w:w="50" w:type="dxa"/>
              <w:left w:w="90" w:type="dxa"/>
              <w:right w:w="90" w:type="dxa"/>
            </w:tcMar>
          </w:tcPr>
          <w:p>
            <w:pPr>
              <w:pStyle w:val="BDOITable"/>
            </w:pPr>
            <w:r>
              <w:rPr>
                <w:sz w:val="17"/>
              </w:rPr>
              <w:t>Incident assessed; failover decided by the DR owner</w:t>
            </w:r>
          </w:p>
        </w:tc>
        <w:tc>
          <w:tcPr>
            <w:tcW w:type="dxa" w:w="3400"/>
            <w:tcMar>
              <w:top w:w="50" w:type="dxa"/>
              <w:bottom w:w="50" w:type="dxa"/>
              <w:left w:w="90" w:type="dxa"/>
              <w:right w:w="90" w:type="dxa"/>
            </w:tcMar>
          </w:tcPr>
          <w:p>
            <w:pPr>
              <w:pStyle w:val="BDOITable"/>
            </w:pPr>
            <w:r>
              <w:rPr>
                <w:sz w:val="17"/>
              </w:rPr>
              <w:t>BDOI IT Operations</w:t>
            </w:r>
          </w:p>
        </w:tc>
      </w:tr>
      <w:tr>
        <w:trPr>
          <w:cantSplit w:val="true"/>
        </w:trPr>
        <w:tc>
          <w:tcPr>
            <w:tcW w:type="dxa" w:w="1133"/>
            <w:tcMar>
              <w:top w:w="50" w:type="dxa"/>
              <w:bottom w:w="50" w:type="dxa"/>
              <w:left w:w="90" w:type="dxa"/>
              <w:right w:w="90" w:type="dxa"/>
            </w:tcMar>
            <w:shd w:val="clear" w:color="auto" w:fill="E5F5FF"/>
          </w:tcPr>
          <w:p>
            <w:pPr>
              <w:pStyle w:val="BDOITable"/>
            </w:pPr>
            <w:r>
              <w:rPr>
                <w:b/>
                <w:sz w:val="17"/>
              </w:rPr>
              <w:t>T + 0:45</w:t>
            </w:r>
          </w:p>
        </w:tc>
        <w:tc>
          <w:tcPr>
            <w:tcW w:type="dxa" w:w="5439"/>
            <w:tcMar>
              <w:top w:w="50" w:type="dxa"/>
              <w:bottom w:w="50" w:type="dxa"/>
              <w:left w:w="90" w:type="dxa"/>
              <w:right w:w="90" w:type="dxa"/>
            </w:tcMar>
            <w:shd w:val="clear" w:color="auto" w:fill="E5F5FF"/>
          </w:tcPr>
          <w:p>
            <w:pPr>
              <w:pStyle w:val="BDOITable"/>
            </w:pPr>
            <w:r>
              <w:rPr>
                <w:sz w:val="17"/>
              </w:rPr>
              <w:t>RDS replica promoted to primary in the DR region</w:t>
            </w:r>
          </w:p>
        </w:tc>
        <w:tc>
          <w:tcPr>
            <w:tcW w:type="dxa" w:w="3400"/>
            <w:tcMar>
              <w:top w:w="50" w:type="dxa"/>
              <w:bottom w:w="50" w:type="dxa"/>
              <w:left w:w="90" w:type="dxa"/>
              <w:right w:w="90" w:type="dxa"/>
            </w:tcMar>
            <w:shd w:val="clear" w:color="auto" w:fill="E5F5FF"/>
          </w:tcPr>
          <w:p>
            <w:pPr>
              <w:pStyle w:val="BDOITable"/>
            </w:pPr>
            <w:r>
              <w:rPr>
                <w:sz w:val="17"/>
              </w:rPr>
              <w:t>DBA</w:t>
            </w:r>
          </w:p>
        </w:tc>
      </w:tr>
      <w:tr>
        <w:trPr>
          <w:cantSplit w:val="true"/>
        </w:trPr>
        <w:tc>
          <w:tcPr>
            <w:tcW w:type="dxa" w:w="1133"/>
            <w:tcMar>
              <w:top w:w="50" w:type="dxa"/>
              <w:bottom w:w="50" w:type="dxa"/>
              <w:left w:w="90" w:type="dxa"/>
              <w:right w:w="90" w:type="dxa"/>
            </w:tcMar>
          </w:tcPr>
          <w:p>
            <w:pPr>
              <w:pStyle w:val="BDOITable"/>
            </w:pPr>
            <w:r>
              <w:rPr>
                <w:b/>
                <w:sz w:val="17"/>
              </w:rPr>
              <w:t>T + 1:30</w:t>
            </w:r>
          </w:p>
        </w:tc>
        <w:tc>
          <w:tcPr>
            <w:tcW w:type="dxa" w:w="5439"/>
            <w:tcMar>
              <w:top w:w="50" w:type="dxa"/>
              <w:bottom w:w="50" w:type="dxa"/>
              <w:left w:w="90" w:type="dxa"/>
              <w:right w:w="90" w:type="dxa"/>
            </w:tcMar>
          </w:tcPr>
          <w:p>
            <w:pPr>
              <w:pStyle w:val="BDOITable"/>
            </w:pPr>
            <w:r>
              <w:rPr>
                <w:sz w:val="17"/>
              </w:rPr>
              <w:t>ElastiCache for Valkey and MSK created from the infrastructure templates; secrets updated with their addresses</w:t>
            </w:r>
          </w:p>
        </w:tc>
        <w:tc>
          <w:tcPr>
            <w:tcW w:type="dxa" w:w="3400"/>
            <w:tcMar>
              <w:top w:w="50" w:type="dxa"/>
              <w:bottom w:w="50" w:type="dxa"/>
              <w:left w:w="90" w:type="dxa"/>
              <w:right w:w="90" w:type="dxa"/>
            </w:tcMar>
          </w:tcPr>
          <w:p>
            <w:pPr>
              <w:pStyle w:val="BDOITable"/>
            </w:pPr>
            <w:r>
              <w:rPr>
                <w:sz w:val="17"/>
              </w:rPr>
              <w:t>BDO IT Cloud</w:t>
            </w:r>
          </w:p>
        </w:tc>
      </w:tr>
      <w:tr>
        <w:trPr>
          <w:cantSplit w:val="true"/>
        </w:trPr>
        <w:tc>
          <w:tcPr>
            <w:tcW w:type="dxa" w:w="1133"/>
            <w:tcMar>
              <w:top w:w="50" w:type="dxa"/>
              <w:bottom w:w="50" w:type="dxa"/>
              <w:left w:w="90" w:type="dxa"/>
              <w:right w:w="90" w:type="dxa"/>
            </w:tcMar>
            <w:shd w:val="clear" w:color="auto" w:fill="E5F5FF"/>
          </w:tcPr>
          <w:p>
            <w:pPr>
              <w:pStyle w:val="BDOITable"/>
            </w:pPr>
            <w:r>
              <w:rPr>
                <w:b/>
                <w:sz w:val="17"/>
              </w:rPr>
              <w:t>T + 2:00</w:t>
            </w:r>
          </w:p>
        </w:tc>
        <w:tc>
          <w:tcPr>
            <w:tcW w:type="dxa" w:w="5439"/>
            <w:tcMar>
              <w:top w:w="50" w:type="dxa"/>
              <w:bottom w:w="50" w:type="dxa"/>
              <w:left w:w="90" w:type="dxa"/>
              <w:right w:w="90" w:type="dxa"/>
            </w:tcMar>
            <w:shd w:val="clear" w:color="auto" w:fill="E5F5FF"/>
          </w:tcPr>
          <w:p>
            <w:pPr>
              <w:pStyle w:val="BDOITable"/>
            </w:pPr>
            <w:r>
              <w:rPr>
                <w:sz w:val="17"/>
              </w:rPr>
              <w:t>DR overlay applied: workloads scaled to the PROD sizing; jobs and integration started</w:t>
            </w:r>
          </w:p>
        </w:tc>
        <w:tc>
          <w:tcPr>
            <w:tcW w:type="dxa" w:w="3400"/>
            <w:tcMar>
              <w:top w:w="50" w:type="dxa"/>
              <w:bottom w:w="50" w:type="dxa"/>
              <w:left w:w="90" w:type="dxa"/>
              <w:right w:w="90" w:type="dxa"/>
            </w:tcMar>
            <w:shd w:val="clear" w:color="auto" w:fill="E5F5FF"/>
          </w:tcPr>
          <w:p>
            <w:pPr>
              <w:pStyle w:val="BDOITable"/>
            </w:pPr>
            <w:r>
              <w:rPr>
                <w:sz w:val="17"/>
              </w:rPr>
              <w:t>Release team</w:t>
            </w:r>
          </w:p>
        </w:tc>
      </w:tr>
      <w:tr>
        <w:trPr>
          <w:cantSplit w:val="true"/>
        </w:trPr>
        <w:tc>
          <w:tcPr>
            <w:tcW w:type="dxa" w:w="1133"/>
            <w:tcMar>
              <w:top w:w="50" w:type="dxa"/>
              <w:bottom w:w="50" w:type="dxa"/>
              <w:left w:w="90" w:type="dxa"/>
              <w:right w:w="90" w:type="dxa"/>
            </w:tcMar>
          </w:tcPr>
          <w:p>
            <w:pPr>
              <w:pStyle w:val="BDOITable"/>
            </w:pPr>
            <w:r>
              <w:rPr>
                <w:b/>
                <w:sz w:val="17"/>
              </w:rPr>
              <w:t>T + 2:15</w:t>
            </w:r>
          </w:p>
        </w:tc>
        <w:tc>
          <w:tcPr>
            <w:tcW w:type="dxa" w:w="5439"/>
            <w:tcMar>
              <w:top w:w="50" w:type="dxa"/>
              <w:bottom w:w="50" w:type="dxa"/>
              <w:left w:w="90" w:type="dxa"/>
              <w:right w:w="90" w:type="dxa"/>
            </w:tcMar>
          </w:tcPr>
          <w:p>
            <w:pPr>
              <w:pStyle w:val="BDOITable"/>
            </w:pPr>
            <w:r>
              <w:rPr>
                <w:sz w:val="17"/>
              </w:rPr>
              <w:t>Route 53 record of the BIBS host name switched to the DR load balancer; Apigee targets switched</w:t>
            </w:r>
          </w:p>
        </w:tc>
        <w:tc>
          <w:tcPr>
            <w:tcW w:type="dxa" w:w="3400"/>
            <w:tcMar>
              <w:top w:w="50" w:type="dxa"/>
              <w:bottom w:w="50" w:type="dxa"/>
              <w:left w:w="90" w:type="dxa"/>
              <w:right w:w="90" w:type="dxa"/>
            </w:tcMar>
          </w:tcPr>
          <w:p>
            <w:pPr>
              <w:pStyle w:val="BDOITable"/>
            </w:pPr>
            <w:r>
              <w:rPr>
                <w:sz w:val="17"/>
              </w:rPr>
              <w:t>BDO network and API teams</w:t>
            </w:r>
          </w:p>
        </w:tc>
      </w:tr>
      <w:tr>
        <w:trPr>
          <w:cantSplit w:val="true"/>
        </w:trPr>
        <w:tc>
          <w:tcPr>
            <w:tcW w:type="dxa" w:w="1133"/>
            <w:tcMar>
              <w:top w:w="50" w:type="dxa"/>
              <w:bottom w:w="50" w:type="dxa"/>
              <w:left w:w="90" w:type="dxa"/>
              <w:right w:w="90" w:type="dxa"/>
            </w:tcMar>
            <w:shd w:val="clear" w:color="auto" w:fill="E5F5FF"/>
          </w:tcPr>
          <w:p>
            <w:pPr>
              <w:pStyle w:val="BDOITable"/>
            </w:pPr>
            <w:r>
              <w:rPr>
                <w:b/>
                <w:sz w:val="17"/>
              </w:rPr>
              <w:t>T + 3:00</w:t>
            </w:r>
          </w:p>
        </w:tc>
        <w:tc>
          <w:tcPr>
            <w:tcW w:type="dxa" w:w="5439"/>
            <w:tcMar>
              <w:top w:w="50" w:type="dxa"/>
              <w:bottom w:w="50" w:type="dxa"/>
              <w:left w:w="90" w:type="dxa"/>
              <w:right w:w="90" w:type="dxa"/>
            </w:tcMar>
            <w:shd w:val="clear" w:color="auto" w:fill="E5F5FF"/>
          </w:tcPr>
          <w:p>
            <w:pPr>
              <w:pStyle w:val="BDOITable"/>
            </w:pPr>
            <w:r>
              <w:rPr>
                <w:sz w:val="17"/>
              </w:rPr>
              <w:t>Smoke test and business verification by key users; outbox resends pending events</w:t>
            </w:r>
          </w:p>
        </w:tc>
        <w:tc>
          <w:tcPr>
            <w:tcW w:type="dxa" w:w="3400"/>
            <w:tcMar>
              <w:top w:w="50" w:type="dxa"/>
              <w:bottom w:w="50" w:type="dxa"/>
              <w:left w:w="90" w:type="dxa"/>
              <w:right w:w="90" w:type="dxa"/>
            </w:tcMar>
            <w:shd w:val="clear" w:color="auto" w:fill="E5F5FF"/>
          </w:tcPr>
          <w:p>
            <w:pPr>
              <w:pStyle w:val="BDOITable"/>
            </w:pPr>
            <w:r>
              <w:rPr>
                <w:sz w:val="17"/>
              </w:rPr>
              <w:t>iorta TechNXT support, BDOI key users</w:t>
            </w:r>
          </w:p>
        </w:tc>
      </w:tr>
      <w:tr>
        <w:trPr>
          <w:cantSplit w:val="true"/>
        </w:trPr>
        <w:tc>
          <w:tcPr>
            <w:tcW w:type="dxa" w:w="1133"/>
            <w:tcMar>
              <w:top w:w="50" w:type="dxa"/>
              <w:bottom w:w="50" w:type="dxa"/>
              <w:left w:w="90" w:type="dxa"/>
              <w:right w:w="90" w:type="dxa"/>
            </w:tcMar>
          </w:tcPr>
          <w:p>
            <w:pPr>
              <w:pStyle w:val="BDOITable"/>
            </w:pPr>
            <w:r>
              <w:rPr>
                <w:b/>
                <w:sz w:val="17"/>
              </w:rPr>
              <w:t>T + 4:00</w:t>
            </w:r>
          </w:p>
        </w:tc>
        <w:tc>
          <w:tcPr>
            <w:tcW w:type="dxa" w:w="5439"/>
            <w:tcMar>
              <w:top w:w="50" w:type="dxa"/>
              <w:bottom w:w="50" w:type="dxa"/>
              <w:left w:w="90" w:type="dxa"/>
              <w:right w:w="90" w:type="dxa"/>
            </w:tcMar>
          </w:tcPr>
          <w:p>
            <w:pPr>
              <w:pStyle w:val="BDOITable"/>
            </w:pPr>
            <w:r>
              <w:rPr>
                <w:sz w:val="17"/>
              </w:rPr>
              <w:t>RTO limit</w:t>
            </w:r>
          </w:p>
        </w:tc>
        <w:tc>
          <w:tcPr>
            <w:tcW w:type="dxa" w:w="3400"/>
            <w:tcMar>
              <w:top w:w="50" w:type="dxa"/>
              <w:bottom w:w="50" w:type="dxa"/>
              <w:left w:w="90" w:type="dxa"/>
              <w:right w:w="90" w:type="dxa"/>
            </w:tcMar>
          </w:tcPr>
          <w:p>
            <w:pPr>
              <w:pStyle w:val="BDOITable"/>
            </w:pPr>
            <w:r>
              <w:rPr>
                <w:sz w:val="17"/>
              </w:rPr>
              <w:t>DR owner</w:t>
            </w:r>
          </w:p>
        </w:tc>
      </w:tr>
    </w:tbl>
    <w:p>
      <w:pPr>
        <w:pStyle w:val="BDOISpacer"/>
      </w:pPr>
    </w:p>
    <w:p>
      <w:r>
        <w:rPr/>
        <w:t>The DR region and its cross-border basis must be approved by BDOI before the DR environment is provisioned (IA-03, IQ26, DSQ01).</w:t>
      </w:r>
    </w:p>
    <w:p>
      <w:pPr>
        <w:pStyle w:val="Heading1"/>
        <w:pBdr>
          <w:bottom w:val="single" w:sz="4" w:space="4" w:color="99C1E7"/>
        </w:pBdr>
      </w:pPr>
      <w:bookmarkStart w:id="118" w:name="_Toc000118"/>
      <w:r>
        <w:rPr/>
        <w:t>8 Monitoring</w:t>
      </w:r>
      <w:bookmarkEnd w:id="118"/>
    </w:p>
    <w:p>
      <w:pPr>
        <w:keepNext/>
        <w:spacing w:before="80" w:after="0"/>
        <w:jc w:val="center"/>
      </w:pPr>
      <w:r>
        <w:drawing>
          <wp:inline xmlns:a="http://schemas.openxmlformats.org/drawingml/2006/main" xmlns:pic="http://schemas.openxmlformats.org/drawingml/2006/picture">
            <wp:extent cx="5400000" cy="2239681"/>
            <wp:docPr id="5" name="Picture 5"/>
            <wp:cNvGraphicFramePr>
              <a:graphicFrameLocks noChangeAspect="1"/>
            </wp:cNvGraphicFramePr>
            <a:graphic>
              <a:graphicData uri="http://schemas.openxmlformats.org/drawingml/2006/picture">
                <pic:pic>
                  <pic:nvPicPr>
                    <pic:cNvPr id="0" name="ia_monitoring_1003.jpg"/>
                    <pic:cNvPicPr/>
                  </pic:nvPicPr>
                  <pic:blipFill>
                    <a:blip r:embed="rId17"/>
                    <a:stretch>
                      <a:fillRect/>
                    </a:stretch>
                  </pic:blipFill>
                  <pic:spPr>
                    <a:xfrm>
                      <a:off x="0" y="0"/>
                      <a:ext cx="5400000" cy="2239681"/>
                    </a:xfrm>
                    <a:prstGeom prst="rect"/>
                  </pic:spPr>
                </pic:pic>
              </a:graphicData>
            </a:graphic>
          </wp:inline>
        </w:drawing>
      </w:r>
    </w:p>
    <w:p>
      <w:pPr>
        <w:pStyle w:val="Caption"/>
        <w:jc w:val="center"/>
      </w:pPr>
      <w:r>
        <w:rPr>
          <w:b/>
          <w:i w:val="0"/>
        </w:rPr>
        <w:t xml:space="preserve">Figure 3: </w:t>
      </w:r>
      <w:r>
        <w:rPr/>
        <w:t>Monitoring and alerting</w:t>
      </w:r>
    </w:p>
    <w:p>
      <w:pPr>
        <w:tabs>
          <w:tab w:pos="312" w:val="left"/>
        </w:tabs>
        <w:spacing w:after="40"/>
        <w:ind w:left="312" w:hanging="283"/>
      </w:pPr>
      <w:r>
        <w:rPr>
          <w:color w:val="004EA8"/>
        </w:rPr>
        <w:t>•</w:t>
        <w:tab/>
      </w:r>
      <w:r>
        <w:rPr>
          <w:b/>
        </w:rPr>
        <w:t>Metrics.</w:t>
      </w:r>
      <w:r>
        <w:rPr/>
        <w:t xml:space="preserve"> Each backend pod exposes Prometheus metrics on the management port 9090, reachable only from the monitoring namespace: JVM, HTTP latency and status by operation, connection pool, journals posted, security store failures. The IER cluster sheets place Dynatrace in every cluster; Dynatrace scrapes the Prometheus metrics and adds APM traces, host and Kubernetes monitoring. CloudWatch holds the managed-service metrics.</w:t>
      </w:r>
    </w:p>
    <w:p>
      <w:pPr>
        <w:tabs>
          <w:tab w:pos="312" w:val="left"/>
        </w:tabs>
        <w:spacing w:after="40"/>
        <w:ind w:left="312" w:hanging="283"/>
      </w:pPr>
      <w:r>
        <w:rPr>
          <w:color w:val="004EA8"/>
        </w:rPr>
        <w:t>•</w:t>
        <w:tab/>
      </w:r>
      <w:r>
        <w:rPr>
          <w:b/>
        </w:rPr>
        <w:t>Logs.</w:t>
      </w:r>
      <w:r>
        <w:rPr/>
        <w:t xml:space="preserve"> One line per event on the console with ISO timestamps and the correlation identifier; line breaks neutralised against log forging. Container logs go to CloudWatch Logs (Fluent Bit) and on to the BDO log platform and SIEM; load balancer, WAF and CloudTrail logs too. Retention: 90 days searchable, then archived for one year (IA-07).</w:t>
      </w:r>
    </w:p>
    <w:p>
      <w:pPr>
        <w:tabs>
          <w:tab w:pos="312" w:val="left"/>
        </w:tabs>
        <w:spacing w:after="120"/>
        <w:ind w:left="312" w:hanging="283"/>
      </w:pPr>
      <w:r>
        <w:rPr>
          <w:color w:val="004EA8"/>
        </w:rPr>
        <w:t>•</w:t>
        <w:tab/>
      </w:r>
      <w:r>
        <w:rPr>
          <w:b/>
        </w:rPr>
        <w:t>In the application.</w:t>
      </w:r>
      <w:r>
        <w:rPr/>
        <w:t xml:space="preserve"> The Scheduled Jobs monitor (run history, skipped and failed runs), the Integration Events screen (outbox, archive, dead letters), exception codes and alerts with notifications, the audit trail.</w:t>
      </w:r>
    </w:p>
    <w:p>
      <w:pPr>
        <w:pStyle w:val="Caption"/>
        <w:keepNext/>
        <w:spacing w:after="60"/>
      </w:pPr>
      <w:r>
        <w:rPr>
          <w:b/>
          <w:i w:val="0"/>
        </w:rPr>
        <w:t xml:space="preserve">Table 15: </w:t>
      </w:r>
      <w:r>
        <w:rPr/>
        <w:t>Alert catalogue (proposed thresholds)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93"/>
        <w:gridCol w:w="4193"/>
        <w:gridCol w:w="1699"/>
        <w:gridCol w:w="1586"/>
      </w:tblGrid>
      <w:tr>
        <w:trPr>
          <w:tblHeader w:val="true"/>
          <w:cantSplit w:val="true"/>
        </w:trPr>
        <w:tc>
          <w:tcPr>
            <w:tcW w:type="dxa" w:w="2493"/>
            <w:shd w:val="clear" w:color="auto" w:fill="004EA8"/>
            <w:tcMar>
              <w:top w:w="50" w:type="dxa"/>
              <w:bottom w:w="50" w:type="dxa"/>
              <w:left w:w="90" w:type="dxa"/>
              <w:right w:w="90" w:type="dxa"/>
            </w:tcMar>
            <w:vAlign w:val="center"/>
          </w:tcPr>
          <w:p>
            <w:pPr>
              <w:pStyle w:val="BDOITableHeader"/>
            </w:pPr>
            <w:r>
              <w:rPr>
                <w:b/>
                <w:color w:val="FFFFFF"/>
                <w:sz w:val="16"/>
              </w:rPr>
              <w:t>Alert</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6"/>
              </w:rPr>
              <w:t>Condition</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6"/>
              </w:rPr>
              <w:t>Severity</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6"/>
              </w:rPr>
              <w:t>Routed to</w:t>
            </w:r>
          </w:p>
        </w:tc>
      </w:tr>
      <w:tr>
        <w:trPr>
          <w:cantSplit w:val="true"/>
        </w:trPr>
        <w:tc>
          <w:tcPr>
            <w:tcW w:type="dxa" w:w="2493"/>
            <w:tcMar>
              <w:top w:w="50" w:type="dxa"/>
              <w:bottom w:w="50" w:type="dxa"/>
              <w:left w:w="90" w:type="dxa"/>
              <w:right w:w="90" w:type="dxa"/>
            </w:tcMar>
          </w:tcPr>
          <w:p>
            <w:pPr>
              <w:pStyle w:val="BDOITable"/>
            </w:pPr>
            <w:r>
              <w:rPr>
                <w:b/>
                <w:sz w:val="16"/>
              </w:rPr>
              <w:t>Service unavailable</w:t>
            </w:r>
          </w:p>
        </w:tc>
        <w:tc>
          <w:tcPr>
            <w:tcW w:type="dxa" w:w="4193"/>
            <w:tcMar>
              <w:top w:w="50" w:type="dxa"/>
              <w:bottom w:w="50" w:type="dxa"/>
              <w:left w:w="90" w:type="dxa"/>
              <w:right w:w="90" w:type="dxa"/>
            </w:tcMar>
          </w:tcPr>
          <w:p>
            <w:pPr>
              <w:pStyle w:val="BDOITable"/>
            </w:pPr>
            <w:r>
              <w:rPr>
                <w:sz w:val="16"/>
              </w:rPr>
              <w:t>Any served workload with no ready pod, or load balancer 5xx above 2 % for 5 minutes</w:t>
            </w:r>
          </w:p>
        </w:tc>
        <w:tc>
          <w:tcPr>
            <w:tcW w:type="dxa" w:w="1700"/>
            <w:tcMar>
              <w:top w:w="50" w:type="dxa"/>
              <w:bottom w:w="50" w:type="dxa"/>
              <w:left w:w="90" w:type="dxa"/>
              <w:right w:w="90" w:type="dxa"/>
            </w:tcMar>
          </w:tcPr>
          <w:p>
            <w:pPr>
              <w:pStyle w:val="BDOITable"/>
            </w:pPr>
            <w:r>
              <w:rPr>
                <w:sz w:val="16"/>
              </w:rPr>
              <w:t>Critical</w:t>
            </w:r>
          </w:p>
        </w:tc>
        <w:tc>
          <w:tcPr>
            <w:tcW w:type="dxa" w:w="1586"/>
            <w:tcMar>
              <w:top w:w="50" w:type="dxa"/>
              <w:bottom w:w="50" w:type="dxa"/>
              <w:left w:w="90" w:type="dxa"/>
              <w:right w:w="90" w:type="dxa"/>
            </w:tcMar>
          </w:tcPr>
          <w:p>
            <w:pPr>
              <w:pStyle w:val="BDOITable"/>
            </w:pPr>
            <w:r>
              <w:rPr>
                <w:sz w:val="16"/>
              </w:rPr>
              <w:t>IT Operations, on call</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Slow screens</w:t>
            </w:r>
          </w:p>
        </w:tc>
        <w:tc>
          <w:tcPr>
            <w:tcW w:type="dxa" w:w="4193"/>
            <w:tcMar>
              <w:top w:w="50" w:type="dxa"/>
              <w:bottom w:w="50" w:type="dxa"/>
              <w:left w:w="90" w:type="dxa"/>
              <w:right w:w="90" w:type="dxa"/>
            </w:tcMar>
            <w:shd w:val="clear" w:color="auto" w:fill="E5F5FF"/>
          </w:tcPr>
          <w:p>
            <w:pPr>
              <w:pStyle w:val="BDOITable"/>
            </w:pPr>
            <w:r>
              <w:rPr>
                <w:sz w:val="16"/>
              </w:rPr>
              <w:t>p95 latency of user operations above 2 seconds for 10 minutes</w:t>
            </w:r>
          </w:p>
        </w:tc>
        <w:tc>
          <w:tcPr>
            <w:tcW w:type="dxa" w:w="1700"/>
            <w:tcMar>
              <w:top w:w="50" w:type="dxa"/>
              <w:bottom w:w="50" w:type="dxa"/>
              <w:left w:w="90" w:type="dxa"/>
              <w:right w:w="90" w:type="dxa"/>
            </w:tcMar>
            <w:shd w:val="clear" w:color="auto" w:fill="E5F5FF"/>
          </w:tcPr>
          <w:p>
            <w:pPr>
              <w:pStyle w:val="BDOITable"/>
            </w:pPr>
            <w:r>
              <w:rPr>
                <w:sz w:val="16"/>
              </w:rPr>
              <w:t>High</w:t>
            </w:r>
          </w:p>
        </w:tc>
        <w:tc>
          <w:tcPr>
            <w:tcW w:type="dxa" w:w="1586"/>
            <w:tcMar>
              <w:top w:w="50" w:type="dxa"/>
              <w:bottom w:w="50" w:type="dxa"/>
              <w:left w:w="90" w:type="dxa"/>
              <w:right w:w="90" w:type="dxa"/>
            </w:tcMar>
            <w:shd w:val="clear" w:color="auto" w:fill="E5F5FF"/>
          </w:tcPr>
          <w:p>
            <w:pPr>
              <w:pStyle w:val="BDOITable"/>
            </w:pPr>
            <w:r>
              <w:rPr>
                <w:sz w:val="16"/>
              </w:rPr>
              <w:t>IT Operations, iorta support</w:t>
            </w:r>
          </w:p>
        </w:tc>
      </w:tr>
      <w:tr>
        <w:trPr>
          <w:cantSplit w:val="true"/>
        </w:trPr>
        <w:tc>
          <w:tcPr>
            <w:tcW w:type="dxa" w:w="2493"/>
            <w:tcMar>
              <w:top w:w="50" w:type="dxa"/>
              <w:bottom w:w="50" w:type="dxa"/>
              <w:left w:w="90" w:type="dxa"/>
              <w:right w:w="90" w:type="dxa"/>
            </w:tcMar>
          </w:tcPr>
          <w:p>
            <w:pPr>
              <w:pStyle w:val="BDOITable"/>
            </w:pPr>
            <w:r>
              <w:rPr>
                <w:b/>
                <w:sz w:val="16"/>
              </w:rPr>
              <w:t>Security store failure</w:t>
            </w:r>
          </w:p>
        </w:tc>
        <w:tc>
          <w:tcPr>
            <w:tcW w:type="dxa" w:w="4193"/>
            <w:tcMar>
              <w:top w:w="50" w:type="dxa"/>
              <w:bottom w:w="50" w:type="dxa"/>
              <w:left w:w="90" w:type="dxa"/>
              <w:right w:w="90" w:type="dxa"/>
            </w:tcMar>
          </w:tcPr>
          <w:p>
            <w:pPr>
              <w:pStyle w:val="BDOITable"/>
            </w:pPr>
            <w:r>
              <w:rPr>
                <w:sz w:val="16"/>
              </w:rPr>
              <w:t>Any increase of the security store failure counter (deny-list, session log or rate counters unreadable)</w:t>
            </w:r>
          </w:p>
        </w:tc>
        <w:tc>
          <w:tcPr>
            <w:tcW w:type="dxa" w:w="1700"/>
            <w:tcMar>
              <w:top w:w="50" w:type="dxa"/>
              <w:bottom w:w="50" w:type="dxa"/>
              <w:left w:w="90" w:type="dxa"/>
              <w:right w:w="90" w:type="dxa"/>
            </w:tcMar>
          </w:tcPr>
          <w:p>
            <w:pPr>
              <w:pStyle w:val="BDOITable"/>
            </w:pPr>
            <w:r>
              <w:rPr>
                <w:sz w:val="16"/>
              </w:rPr>
              <w:t>Critical</w:t>
            </w:r>
          </w:p>
        </w:tc>
        <w:tc>
          <w:tcPr>
            <w:tcW w:type="dxa" w:w="1586"/>
            <w:tcMar>
              <w:top w:w="50" w:type="dxa"/>
              <w:bottom w:w="50" w:type="dxa"/>
              <w:left w:w="90" w:type="dxa"/>
              <w:right w:w="90" w:type="dxa"/>
            </w:tcMar>
          </w:tcPr>
          <w:p>
            <w:pPr>
              <w:pStyle w:val="BDOITable"/>
            </w:pPr>
            <w:r>
              <w:rPr>
                <w:sz w:val="16"/>
              </w:rPr>
              <w:t>IT Operations, Security</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Job failure</w:t>
            </w:r>
          </w:p>
        </w:tc>
        <w:tc>
          <w:tcPr>
            <w:tcW w:type="dxa" w:w="4193"/>
            <w:tcMar>
              <w:top w:w="50" w:type="dxa"/>
              <w:bottom w:w="50" w:type="dxa"/>
              <w:left w:w="90" w:type="dxa"/>
              <w:right w:w="90" w:type="dxa"/>
            </w:tcMar>
            <w:shd w:val="clear" w:color="auto" w:fill="E5F5FF"/>
          </w:tcPr>
          <w:p>
            <w:pPr>
              <w:pStyle w:val="BDOITable"/>
            </w:pPr>
            <w:r>
              <w:rPr>
                <w:sz w:val="16"/>
              </w:rPr>
              <w:t>JOB_FAILURE alert raised by BIBS, or a job skipped on every pod longer than its run time</w:t>
            </w:r>
          </w:p>
        </w:tc>
        <w:tc>
          <w:tcPr>
            <w:tcW w:type="dxa" w:w="1700"/>
            <w:tcMar>
              <w:top w:w="50" w:type="dxa"/>
              <w:bottom w:w="50" w:type="dxa"/>
              <w:left w:w="90" w:type="dxa"/>
              <w:right w:w="90" w:type="dxa"/>
            </w:tcMar>
            <w:shd w:val="clear" w:color="auto" w:fill="E5F5FF"/>
          </w:tcPr>
          <w:p>
            <w:pPr>
              <w:pStyle w:val="BDOITable"/>
            </w:pPr>
            <w:r>
              <w:rPr>
                <w:sz w:val="16"/>
              </w:rPr>
              <w:t>High</w:t>
            </w:r>
          </w:p>
        </w:tc>
        <w:tc>
          <w:tcPr>
            <w:tcW w:type="dxa" w:w="1586"/>
            <w:tcMar>
              <w:top w:w="50" w:type="dxa"/>
              <w:bottom w:w="50" w:type="dxa"/>
              <w:left w:w="90" w:type="dxa"/>
              <w:right w:w="90" w:type="dxa"/>
            </w:tcMar>
            <w:shd w:val="clear" w:color="auto" w:fill="E5F5FF"/>
          </w:tcPr>
          <w:p>
            <w:pPr>
              <w:pStyle w:val="BDOITable"/>
            </w:pPr>
            <w:r>
              <w:rPr>
                <w:sz w:val="16"/>
              </w:rPr>
              <w:t>Job owner unit, iorta support</w:t>
            </w:r>
          </w:p>
        </w:tc>
      </w:tr>
      <w:tr>
        <w:trPr>
          <w:cantSplit w:val="true"/>
        </w:trPr>
        <w:tc>
          <w:tcPr>
            <w:tcW w:type="dxa" w:w="2493"/>
            <w:tcMar>
              <w:top w:w="50" w:type="dxa"/>
              <w:bottom w:w="50" w:type="dxa"/>
              <w:left w:w="90" w:type="dxa"/>
              <w:right w:w="90" w:type="dxa"/>
            </w:tcMar>
          </w:tcPr>
          <w:p>
            <w:pPr>
              <w:pStyle w:val="BDOITable"/>
            </w:pPr>
            <w:r>
              <w:rPr>
                <w:b/>
                <w:sz w:val="16"/>
              </w:rPr>
              <w:t>Outbox backlog</w:t>
            </w:r>
          </w:p>
        </w:tc>
        <w:tc>
          <w:tcPr>
            <w:tcW w:type="dxa" w:w="4193"/>
            <w:tcMar>
              <w:top w:w="50" w:type="dxa"/>
              <w:bottom w:w="50" w:type="dxa"/>
              <w:left w:w="90" w:type="dxa"/>
              <w:right w:w="90" w:type="dxa"/>
            </w:tcMar>
          </w:tcPr>
          <w:p>
            <w:pPr>
              <w:pStyle w:val="BDOITable"/>
            </w:pPr>
            <w:r>
              <w:rPr>
                <w:sz w:val="16"/>
              </w:rPr>
              <w:t>Pending events older than 15 minutes, or any failed outbox row</w:t>
            </w:r>
          </w:p>
        </w:tc>
        <w:tc>
          <w:tcPr>
            <w:tcW w:type="dxa" w:w="1700"/>
            <w:tcMar>
              <w:top w:w="50" w:type="dxa"/>
              <w:bottom w:w="50" w:type="dxa"/>
              <w:left w:w="90" w:type="dxa"/>
              <w:right w:w="90" w:type="dxa"/>
            </w:tcMar>
          </w:tcPr>
          <w:p>
            <w:pPr>
              <w:pStyle w:val="BDOITable"/>
            </w:pPr>
            <w:r>
              <w:rPr>
                <w:sz w:val="16"/>
              </w:rPr>
              <w:t>High</w:t>
            </w:r>
          </w:p>
        </w:tc>
        <w:tc>
          <w:tcPr>
            <w:tcW w:type="dxa" w:w="1586"/>
            <w:tcMar>
              <w:top w:w="50" w:type="dxa"/>
              <w:bottom w:w="50" w:type="dxa"/>
              <w:left w:w="90" w:type="dxa"/>
              <w:right w:w="90" w:type="dxa"/>
            </w:tcMar>
          </w:tcPr>
          <w:p>
            <w:pPr>
              <w:pStyle w:val="BDOITable"/>
            </w:pPr>
            <w:r>
              <w:rPr>
                <w:sz w:val="16"/>
              </w:rPr>
              <w:t>iorta support</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Dead letters</w:t>
            </w:r>
          </w:p>
        </w:tc>
        <w:tc>
          <w:tcPr>
            <w:tcW w:type="dxa" w:w="4193"/>
            <w:tcMar>
              <w:top w:w="50" w:type="dxa"/>
              <w:bottom w:w="50" w:type="dxa"/>
              <w:left w:w="90" w:type="dxa"/>
              <w:right w:w="90" w:type="dxa"/>
            </w:tcMar>
            <w:shd w:val="clear" w:color="auto" w:fill="E5F5FF"/>
          </w:tcPr>
          <w:p>
            <w:pPr>
              <w:pStyle w:val="BDOITable"/>
            </w:pPr>
            <w:r>
              <w:rPr>
                <w:sz w:val="16"/>
              </w:rPr>
              <w:t>A new dead letter</w:t>
            </w:r>
          </w:p>
        </w:tc>
        <w:tc>
          <w:tcPr>
            <w:tcW w:type="dxa" w:w="1700"/>
            <w:tcMar>
              <w:top w:w="50" w:type="dxa"/>
              <w:bottom w:w="50" w:type="dxa"/>
              <w:left w:w="90" w:type="dxa"/>
              <w:right w:w="90" w:type="dxa"/>
            </w:tcMar>
            <w:shd w:val="clear" w:color="auto" w:fill="E5F5FF"/>
          </w:tcPr>
          <w:p>
            <w:pPr>
              <w:pStyle w:val="BDOITable"/>
            </w:pPr>
            <w:r>
              <w:rPr>
                <w:sz w:val="16"/>
              </w:rPr>
              <w:t>Medium</w:t>
            </w:r>
          </w:p>
        </w:tc>
        <w:tc>
          <w:tcPr>
            <w:tcW w:type="dxa" w:w="1586"/>
            <w:tcMar>
              <w:top w:w="50" w:type="dxa"/>
              <w:bottom w:w="50" w:type="dxa"/>
              <w:left w:w="90" w:type="dxa"/>
              <w:right w:w="90" w:type="dxa"/>
            </w:tcMar>
            <w:shd w:val="clear" w:color="auto" w:fill="E5F5FF"/>
          </w:tcPr>
          <w:p>
            <w:pPr>
              <w:pStyle w:val="BDOITable"/>
            </w:pPr>
            <w:r>
              <w:rPr>
                <w:sz w:val="16"/>
              </w:rPr>
              <w:t>iorta support</w:t>
            </w:r>
          </w:p>
        </w:tc>
      </w:tr>
      <w:tr>
        <w:trPr>
          <w:cantSplit w:val="true"/>
        </w:trPr>
        <w:tc>
          <w:tcPr>
            <w:tcW w:type="dxa" w:w="2493"/>
            <w:tcMar>
              <w:top w:w="50" w:type="dxa"/>
              <w:bottom w:w="50" w:type="dxa"/>
              <w:left w:w="90" w:type="dxa"/>
              <w:right w:w="90" w:type="dxa"/>
            </w:tcMar>
          </w:tcPr>
          <w:p>
            <w:pPr>
              <w:pStyle w:val="BDOITable"/>
            </w:pPr>
            <w:r>
              <w:rPr>
                <w:b/>
                <w:sz w:val="16"/>
              </w:rPr>
              <w:t>Database</w:t>
            </w:r>
          </w:p>
        </w:tc>
        <w:tc>
          <w:tcPr>
            <w:tcW w:type="dxa" w:w="4193"/>
            <w:tcMar>
              <w:top w:w="50" w:type="dxa"/>
              <w:bottom w:w="50" w:type="dxa"/>
              <w:left w:w="90" w:type="dxa"/>
              <w:right w:w="90" w:type="dxa"/>
            </w:tcMar>
          </w:tcPr>
          <w:p>
            <w:pPr>
              <w:pStyle w:val="BDOITable"/>
            </w:pPr>
            <w:r>
              <w:rPr>
                <w:sz w:val="16"/>
              </w:rPr>
              <w:t>CPU above 80 % for 15 minutes; free storage under 20 %; replica lag above 5 minutes (RPO risk)</w:t>
            </w:r>
          </w:p>
        </w:tc>
        <w:tc>
          <w:tcPr>
            <w:tcW w:type="dxa" w:w="1700"/>
            <w:tcMar>
              <w:top w:w="50" w:type="dxa"/>
              <w:bottom w:w="50" w:type="dxa"/>
              <w:left w:w="90" w:type="dxa"/>
              <w:right w:w="90" w:type="dxa"/>
            </w:tcMar>
          </w:tcPr>
          <w:p>
            <w:pPr>
              <w:pStyle w:val="BDOITable"/>
            </w:pPr>
            <w:r>
              <w:rPr>
                <w:sz w:val="16"/>
              </w:rPr>
              <w:t>High</w:t>
            </w:r>
          </w:p>
        </w:tc>
        <w:tc>
          <w:tcPr>
            <w:tcW w:type="dxa" w:w="1586"/>
            <w:tcMar>
              <w:top w:w="50" w:type="dxa"/>
              <w:bottom w:w="50" w:type="dxa"/>
              <w:left w:w="90" w:type="dxa"/>
              <w:right w:w="90" w:type="dxa"/>
            </w:tcMar>
          </w:tcPr>
          <w:p>
            <w:pPr>
              <w:pStyle w:val="BDOITable"/>
            </w:pPr>
            <w:r>
              <w:rPr>
                <w:sz w:val="16"/>
              </w:rPr>
              <w:t>DBA</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Valkey</w:t>
            </w:r>
          </w:p>
        </w:tc>
        <w:tc>
          <w:tcPr>
            <w:tcW w:type="dxa" w:w="4193"/>
            <w:tcMar>
              <w:top w:w="50" w:type="dxa"/>
              <w:bottom w:w="50" w:type="dxa"/>
              <w:left w:w="90" w:type="dxa"/>
              <w:right w:w="90" w:type="dxa"/>
            </w:tcMar>
            <w:shd w:val="clear" w:color="auto" w:fill="E5F5FF"/>
          </w:tcPr>
          <w:p>
            <w:pPr>
              <w:pStyle w:val="BDOITable"/>
            </w:pPr>
            <w:r>
              <w:rPr>
                <w:sz w:val="16"/>
              </w:rPr>
              <w:t>Memory above 80 %; failover event</w:t>
            </w:r>
          </w:p>
        </w:tc>
        <w:tc>
          <w:tcPr>
            <w:tcW w:type="dxa" w:w="1700"/>
            <w:tcMar>
              <w:top w:w="50" w:type="dxa"/>
              <w:bottom w:w="50" w:type="dxa"/>
              <w:left w:w="90" w:type="dxa"/>
              <w:right w:w="90" w:type="dxa"/>
            </w:tcMar>
            <w:shd w:val="clear" w:color="auto" w:fill="E5F5FF"/>
          </w:tcPr>
          <w:p>
            <w:pPr>
              <w:pStyle w:val="BDOITable"/>
            </w:pPr>
            <w:r>
              <w:rPr>
                <w:sz w:val="16"/>
              </w:rPr>
              <w:t>Medium</w:t>
            </w:r>
          </w:p>
        </w:tc>
        <w:tc>
          <w:tcPr>
            <w:tcW w:type="dxa" w:w="1586"/>
            <w:tcMar>
              <w:top w:w="50" w:type="dxa"/>
              <w:bottom w:w="50" w:type="dxa"/>
              <w:left w:w="90" w:type="dxa"/>
              <w:right w:w="90" w:type="dxa"/>
            </w:tcMar>
            <w:shd w:val="clear" w:color="auto" w:fill="E5F5FF"/>
          </w:tcPr>
          <w:p>
            <w:pPr>
              <w:pStyle w:val="BDOITable"/>
            </w:pPr>
            <w:r>
              <w:rPr>
                <w:sz w:val="16"/>
              </w:rPr>
              <w:t>IT Operations</w:t>
            </w:r>
          </w:p>
        </w:tc>
      </w:tr>
      <w:tr>
        <w:trPr>
          <w:cantSplit w:val="true"/>
        </w:trPr>
        <w:tc>
          <w:tcPr>
            <w:tcW w:type="dxa" w:w="2493"/>
            <w:tcMar>
              <w:top w:w="50" w:type="dxa"/>
              <w:bottom w:w="50" w:type="dxa"/>
              <w:left w:w="90" w:type="dxa"/>
              <w:right w:w="90" w:type="dxa"/>
            </w:tcMar>
          </w:tcPr>
          <w:p>
            <w:pPr>
              <w:pStyle w:val="BDOITable"/>
            </w:pPr>
            <w:r>
              <w:rPr>
                <w:b/>
                <w:sz w:val="16"/>
              </w:rPr>
              <w:t>Kafka</w:t>
            </w:r>
          </w:p>
        </w:tc>
        <w:tc>
          <w:tcPr>
            <w:tcW w:type="dxa" w:w="4193"/>
            <w:tcMar>
              <w:top w:w="50" w:type="dxa"/>
              <w:bottom w:w="50" w:type="dxa"/>
              <w:left w:w="90" w:type="dxa"/>
              <w:right w:w="90" w:type="dxa"/>
            </w:tcMar>
          </w:tcPr>
          <w:p>
            <w:pPr>
              <w:pStyle w:val="BDOITable"/>
            </w:pPr>
            <w:r>
              <w:rPr>
                <w:sz w:val="16"/>
              </w:rPr>
              <w:t>Under-replicated partitions above 0 for 5 minutes; consumer lag above 1,000 records</w:t>
            </w:r>
          </w:p>
        </w:tc>
        <w:tc>
          <w:tcPr>
            <w:tcW w:type="dxa" w:w="1700"/>
            <w:tcMar>
              <w:top w:w="50" w:type="dxa"/>
              <w:bottom w:w="50" w:type="dxa"/>
              <w:left w:w="90" w:type="dxa"/>
              <w:right w:w="90" w:type="dxa"/>
            </w:tcMar>
          </w:tcPr>
          <w:p>
            <w:pPr>
              <w:pStyle w:val="BDOITable"/>
            </w:pPr>
            <w:r>
              <w:rPr>
                <w:sz w:val="16"/>
              </w:rPr>
              <w:t>High</w:t>
            </w:r>
          </w:p>
        </w:tc>
        <w:tc>
          <w:tcPr>
            <w:tcW w:type="dxa" w:w="1586"/>
            <w:tcMar>
              <w:top w:w="50" w:type="dxa"/>
              <w:bottom w:w="50" w:type="dxa"/>
              <w:left w:w="90" w:type="dxa"/>
              <w:right w:w="90" w:type="dxa"/>
            </w:tcMar>
          </w:tcPr>
          <w:p>
            <w:pPr>
              <w:pStyle w:val="BDOITable"/>
            </w:pPr>
            <w:r>
              <w:rPr>
                <w:sz w:val="16"/>
              </w:rPr>
              <w:t>IT Operations</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Capacity</w:t>
            </w:r>
          </w:p>
        </w:tc>
        <w:tc>
          <w:tcPr>
            <w:tcW w:type="dxa" w:w="4193"/>
            <w:tcMar>
              <w:top w:w="50" w:type="dxa"/>
              <w:bottom w:w="50" w:type="dxa"/>
              <w:left w:w="90" w:type="dxa"/>
              <w:right w:w="90" w:type="dxa"/>
            </w:tcMar>
            <w:shd w:val="clear" w:color="auto" w:fill="E5F5FF"/>
          </w:tcPr>
          <w:p>
            <w:pPr>
              <w:pStyle w:val="BDOITable"/>
            </w:pPr>
            <w:r>
              <w:rPr>
                <w:sz w:val="16"/>
              </w:rPr>
              <w:t>bibs-web at its maximum replicas for 15 minutes; node CPU above 80 %</w:t>
            </w:r>
          </w:p>
        </w:tc>
        <w:tc>
          <w:tcPr>
            <w:tcW w:type="dxa" w:w="1700"/>
            <w:tcMar>
              <w:top w:w="50" w:type="dxa"/>
              <w:bottom w:w="50" w:type="dxa"/>
              <w:left w:w="90" w:type="dxa"/>
              <w:right w:w="90" w:type="dxa"/>
            </w:tcMar>
            <w:shd w:val="clear" w:color="auto" w:fill="E5F5FF"/>
          </w:tcPr>
          <w:p>
            <w:pPr>
              <w:pStyle w:val="BDOITable"/>
            </w:pPr>
            <w:r>
              <w:rPr>
                <w:sz w:val="16"/>
              </w:rPr>
              <w:t>Medium</w:t>
            </w:r>
          </w:p>
        </w:tc>
        <w:tc>
          <w:tcPr>
            <w:tcW w:type="dxa" w:w="1586"/>
            <w:tcMar>
              <w:top w:w="50" w:type="dxa"/>
              <w:bottom w:w="50" w:type="dxa"/>
              <w:left w:w="90" w:type="dxa"/>
              <w:right w:w="90" w:type="dxa"/>
            </w:tcMar>
            <w:shd w:val="clear" w:color="auto" w:fill="E5F5FF"/>
          </w:tcPr>
          <w:p>
            <w:pPr>
              <w:pStyle w:val="BDOITable"/>
            </w:pPr>
            <w:r>
              <w:rPr>
                <w:sz w:val="16"/>
              </w:rPr>
              <w:t>IT Operations</w:t>
            </w:r>
          </w:p>
        </w:tc>
      </w:tr>
      <w:tr>
        <w:trPr>
          <w:cantSplit w:val="true"/>
        </w:trPr>
        <w:tc>
          <w:tcPr>
            <w:tcW w:type="dxa" w:w="2493"/>
            <w:tcMar>
              <w:top w:w="50" w:type="dxa"/>
              <w:bottom w:w="50" w:type="dxa"/>
              <w:left w:w="90" w:type="dxa"/>
              <w:right w:w="90" w:type="dxa"/>
            </w:tcMar>
          </w:tcPr>
          <w:p>
            <w:pPr>
              <w:pStyle w:val="BDOITable"/>
            </w:pPr>
            <w:r>
              <w:rPr>
                <w:b/>
                <w:sz w:val="16"/>
              </w:rPr>
              <w:t>Certificates</w:t>
            </w:r>
          </w:p>
        </w:tc>
        <w:tc>
          <w:tcPr>
            <w:tcW w:type="dxa" w:w="4193"/>
            <w:tcMar>
              <w:top w:w="50" w:type="dxa"/>
              <w:bottom w:w="50" w:type="dxa"/>
              <w:left w:w="90" w:type="dxa"/>
              <w:right w:w="90" w:type="dxa"/>
            </w:tcMar>
          </w:tcPr>
          <w:p>
            <w:pPr>
              <w:pStyle w:val="BDOITable"/>
            </w:pPr>
            <w:r>
              <w:rPr>
                <w:sz w:val="16"/>
              </w:rPr>
              <w:t>Any certificate expiring in less than 14 days</w:t>
            </w:r>
          </w:p>
        </w:tc>
        <w:tc>
          <w:tcPr>
            <w:tcW w:type="dxa" w:w="1700"/>
            <w:tcMar>
              <w:top w:w="50" w:type="dxa"/>
              <w:bottom w:w="50" w:type="dxa"/>
              <w:left w:w="90" w:type="dxa"/>
              <w:right w:w="90" w:type="dxa"/>
            </w:tcMar>
          </w:tcPr>
          <w:p>
            <w:pPr>
              <w:pStyle w:val="BDOITable"/>
            </w:pPr>
            <w:r>
              <w:rPr>
                <w:sz w:val="16"/>
              </w:rPr>
              <w:t>High</w:t>
            </w:r>
          </w:p>
        </w:tc>
        <w:tc>
          <w:tcPr>
            <w:tcW w:type="dxa" w:w="1586"/>
            <w:tcMar>
              <w:top w:w="50" w:type="dxa"/>
              <w:bottom w:w="50" w:type="dxa"/>
              <w:left w:w="90" w:type="dxa"/>
              <w:right w:w="90" w:type="dxa"/>
            </w:tcMar>
          </w:tcPr>
          <w:p>
            <w:pPr>
              <w:pStyle w:val="BDOITable"/>
            </w:pPr>
            <w:r>
              <w:rPr>
                <w:sz w:val="16"/>
              </w:rPr>
              <w:t>Release team</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Malware</w:t>
            </w:r>
          </w:p>
        </w:tc>
        <w:tc>
          <w:tcPr>
            <w:tcW w:type="dxa" w:w="4193"/>
            <w:tcMar>
              <w:top w:w="50" w:type="dxa"/>
              <w:bottom w:w="50" w:type="dxa"/>
              <w:left w:w="90" w:type="dxa"/>
              <w:right w:w="90" w:type="dxa"/>
            </w:tcMar>
            <w:shd w:val="clear" w:color="auto" w:fill="E5F5FF"/>
          </w:tcPr>
          <w:p>
            <w:pPr>
              <w:pStyle w:val="BDOITable"/>
            </w:pPr>
            <w:r>
              <w:rPr>
                <w:sz w:val="16"/>
              </w:rPr>
              <w:t>A quarantined file (FILE_QUARANTINED)</w:t>
            </w:r>
          </w:p>
        </w:tc>
        <w:tc>
          <w:tcPr>
            <w:tcW w:type="dxa" w:w="1700"/>
            <w:tcMar>
              <w:top w:w="50" w:type="dxa"/>
              <w:bottom w:w="50" w:type="dxa"/>
              <w:left w:w="90" w:type="dxa"/>
              <w:right w:w="90" w:type="dxa"/>
            </w:tcMar>
            <w:shd w:val="clear" w:color="auto" w:fill="E5F5FF"/>
          </w:tcPr>
          <w:p>
            <w:pPr>
              <w:pStyle w:val="BDOITable"/>
            </w:pPr>
            <w:r>
              <w:rPr>
                <w:sz w:val="16"/>
              </w:rPr>
              <w:t>High</w:t>
            </w:r>
          </w:p>
        </w:tc>
        <w:tc>
          <w:tcPr>
            <w:tcW w:type="dxa" w:w="1586"/>
            <w:tcMar>
              <w:top w:w="50" w:type="dxa"/>
              <w:bottom w:w="50" w:type="dxa"/>
              <w:left w:w="90" w:type="dxa"/>
              <w:right w:w="90" w:type="dxa"/>
            </w:tcMar>
            <w:shd w:val="clear" w:color="auto" w:fill="E5F5FF"/>
          </w:tcPr>
          <w:p>
            <w:pPr>
              <w:pStyle w:val="BDOITable"/>
            </w:pPr>
            <w:r>
              <w:rPr>
                <w:sz w:val="16"/>
              </w:rPr>
              <w:t>Security, uploader</w:t>
            </w:r>
          </w:p>
        </w:tc>
      </w:tr>
      <w:tr>
        <w:trPr>
          <w:cantSplit w:val="true"/>
        </w:trPr>
        <w:tc>
          <w:tcPr>
            <w:tcW w:type="dxa" w:w="2493"/>
            <w:tcMar>
              <w:top w:w="50" w:type="dxa"/>
              <w:bottom w:w="50" w:type="dxa"/>
              <w:left w:w="90" w:type="dxa"/>
              <w:right w:w="90" w:type="dxa"/>
            </w:tcMar>
          </w:tcPr>
          <w:p>
            <w:pPr>
              <w:pStyle w:val="BDOITable"/>
            </w:pPr>
            <w:r>
              <w:rPr>
                <w:b/>
                <w:sz w:val="16"/>
              </w:rPr>
              <w:t>Backups</w:t>
            </w:r>
          </w:p>
        </w:tc>
        <w:tc>
          <w:tcPr>
            <w:tcW w:type="dxa" w:w="4193"/>
            <w:tcMar>
              <w:top w:w="50" w:type="dxa"/>
              <w:bottom w:w="50" w:type="dxa"/>
              <w:left w:w="90" w:type="dxa"/>
              <w:right w:w="90" w:type="dxa"/>
            </w:tcMar>
          </w:tcPr>
          <w:p>
            <w:pPr>
              <w:pStyle w:val="BDOITable"/>
            </w:pPr>
            <w:r>
              <w:rPr>
                <w:sz w:val="16"/>
              </w:rPr>
              <w:t>A failed AWS Backup job or snapshot copy</w:t>
            </w:r>
          </w:p>
        </w:tc>
        <w:tc>
          <w:tcPr>
            <w:tcW w:type="dxa" w:w="1700"/>
            <w:tcMar>
              <w:top w:w="50" w:type="dxa"/>
              <w:bottom w:w="50" w:type="dxa"/>
              <w:left w:w="90" w:type="dxa"/>
              <w:right w:w="90" w:type="dxa"/>
            </w:tcMar>
          </w:tcPr>
          <w:p>
            <w:pPr>
              <w:pStyle w:val="BDOITable"/>
            </w:pPr>
            <w:r>
              <w:rPr>
                <w:sz w:val="16"/>
              </w:rPr>
              <w:t>High</w:t>
            </w:r>
          </w:p>
        </w:tc>
        <w:tc>
          <w:tcPr>
            <w:tcW w:type="dxa" w:w="1586"/>
            <w:tcMar>
              <w:top w:w="50" w:type="dxa"/>
              <w:bottom w:w="50" w:type="dxa"/>
              <w:left w:w="90" w:type="dxa"/>
              <w:right w:w="90" w:type="dxa"/>
            </w:tcMar>
          </w:tcPr>
          <w:p>
            <w:pPr>
              <w:pStyle w:val="BDOITable"/>
            </w:pPr>
            <w:r>
              <w:rPr>
                <w:sz w:val="16"/>
              </w:rPr>
              <w:t>DBA</w:t>
            </w:r>
          </w:p>
        </w:tc>
      </w:tr>
    </w:tbl>
    <w:p>
      <w:pPr>
        <w:pStyle w:val="BDOISpacer"/>
      </w:pPr>
    </w:p>
    <w:p>
      <w:pPr>
        <w:pStyle w:val="Heading1"/>
        <w:pBdr>
          <w:bottom w:val="single" w:sz="4" w:space="4" w:color="99C1E7"/>
        </w:pBdr>
      </w:pPr>
      <w:bookmarkStart w:id="119" w:name="_Toc000119"/>
      <w:r>
        <w:rPr/>
        <w:t>9 Security infrastructure</w:t>
      </w:r>
      <w:bookmarkEnd w:id="119"/>
    </w:p>
    <w:p>
      <w:pPr>
        <w:pStyle w:val="Caption"/>
        <w:keepNext/>
        <w:spacing w:after="60"/>
      </w:pPr>
      <w:r>
        <w:rPr>
          <w:b/>
          <w:i w:val="0"/>
        </w:rPr>
        <w:t xml:space="preserve">Table 16: </w:t>
      </w:r>
      <w:r>
        <w:rPr/>
        <w:t>Security services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Service</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Use</w:t>
            </w:r>
          </w:p>
        </w:tc>
      </w:tr>
      <w:tr>
        <w:trPr>
          <w:cantSplit w:val="true"/>
        </w:trPr>
        <w:tc>
          <w:tcPr>
            <w:tcW w:type="dxa" w:w="2266"/>
            <w:tcMar>
              <w:top w:w="50" w:type="dxa"/>
              <w:bottom w:w="50" w:type="dxa"/>
              <w:left w:w="90" w:type="dxa"/>
              <w:right w:w="90" w:type="dxa"/>
            </w:tcMar>
          </w:tcPr>
          <w:p>
            <w:pPr>
              <w:pStyle w:val="BDOITable"/>
            </w:pPr>
            <w:r>
              <w:rPr>
                <w:b/>
                <w:sz w:val="17"/>
              </w:rPr>
              <w:t>AWS KMS</w:t>
            </w:r>
          </w:p>
        </w:tc>
        <w:tc>
          <w:tcPr>
            <w:tcW w:type="dxa" w:w="7706"/>
            <w:tcMar>
              <w:top w:w="50" w:type="dxa"/>
              <w:bottom w:w="50" w:type="dxa"/>
              <w:left w:w="90" w:type="dxa"/>
              <w:right w:w="90" w:type="dxa"/>
            </w:tcMar>
          </w:tcPr>
          <w:p>
            <w:pPr>
              <w:pStyle w:val="BDOITable"/>
            </w:pPr>
            <w:r>
              <w:rPr>
                <w:sz w:val="17"/>
              </w:rPr>
              <w:t>Customer-managed keys created and administered by BDOI security in BDOI's account: per environment for RDS, ElastiCache, MSK and Secrets Manager; per environment and bucket class for S3; multi-Region keys for DR; rotation per BDOI policy (annual by default); imported key material possible without a change in BIBS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AWS Secrets Manager</w:t>
            </w:r>
          </w:p>
        </w:tc>
        <w:tc>
          <w:tcPr>
            <w:tcW w:type="dxa" w:w="7706"/>
            <w:tcMar>
              <w:top w:w="50" w:type="dxa"/>
              <w:bottom w:w="50" w:type="dxa"/>
              <w:left w:w="90" w:type="dxa"/>
              <w:right w:w="90" w:type="dxa"/>
            </w:tcMar>
            <w:shd w:val="clear" w:color="auto" w:fill="E5F5FF"/>
          </w:tcPr>
          <w:p>
            <w:pPr>
              <w:pStyle w:val="BDOITable"/>
            </w:pPr>
            <w:r>
              <w:rPr>
                <w:sz w:val="17"/>
              </w:rPr>
              <w:t>Database logins, signing and encryption keys of the application, Valkey and Kafka credentials, SMTP and OIDC client secrets; rotation policy per secret</w:t>
            </w:r>
          </w:p>
        </w:tc>
      </w:tr>
      <w:tr>
        <w:trPr>
          <w:cantSplit w:val="true"/>
        </w:trPr>
        <w:tc>
          <w:tcPr>
            <w:tcW w:type="dxa" w:w="2266"/>
            <w:tcMar>
              <w:top w:w="50" w:type="dxa"/>
              <w:bottom w:w="50" w:type="dxa"/>
              <w:left w:w="90" w:type="dxa"/>
              <w:right w:w="90" w:type="dxa"/>
            </w:tcMar>
          </w:tcPr>
          <w:p>
            <w:pPr>
              <w:pStyle w:val="BDOITable"/>
            </w:pPr>
            <w:r>
              <w:rPr>
                <w:b/>
                <w:sz w:val="17"/>
              </w:rPr>
              <w:t>AWS Private CA</w:t>
            </w:r>
          </w:p>
        </w:tc>
        <w:tc>
          <w:tcPr>
            <w:tcW w:type="dxa" w:w="7706"/>
            <w:tcMar>
              <w:top w:w="50" w:type="dxa"/>
              <w:bottom w:w="50" w:type="dxa"/>
              <w:left w:w="90" w:type="dxa"/>
              <w:right w:w="90" w:type="dxa"/>
            </w:tcMar>
          </w:tcPr>
          <w:p>
            <w:pPr>
              <w:pStyle w:val="BDOITable"/>
            </w:pPr>
            <w:r>
              <w:rPr>
                <w:sz w:val="17"/>
              </w:rPr>
              <w:t>In-cluster TLS certificates through cert-manager</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IAM and IRSA</w:t>
            </w:r>
          </w:p>
        </w:tc>
        <w:tc>
          <w:tcPr>
            <w:tcW w:type="dxa" w:w="7706"/>
            <w:tcMar>
              <w:top w:w="50" w:type="dxa"/>
              <w:bottom w:w="50" w:type="dxa"/>
              <w:left w:w="90" w:type="dxa"/>
              <w:right w:w="90" w:type="dxa"/>
            </w:tcMar>
            <w:shd w:val="clear" w:color="auto" w:fill="E5F5FF"/>
          </w:tcPr>
          <w:p>
            <w:pPr>
              <w:pStyle w:val="BDOITable"/>
            </w:pPr>
            <w:r>
              <w:rPr>
                <w:sz w:val="17"/>
              </w:rPr>
              <w:t>One role per backend workload; bucket- and key-level least privilege; no long-lived keys</w:t>
            </w:r>
          </w:p>
        </w:tc>
      </w:tr>
      <w:tr>
        <w:trPr>
          <w:cantSplit w:val="true"/>
        </w:trPr>
        <w:tc>
          <w:tcPr>
            <w:tcW w:type="dxa" w:w="2266"/>
            <w:tcMar>
              <w:top w:w="50" w:type="dxa"/>
              <w:bottom w:w="50" w:type="dxa"/>
              <w:left w:w="90" w:type="dxa"/>
              <w:right w:w="90" w:type="dxa"/>
            </w:tcMar>
          </w:tcPr>
          <w:p>
            <w:pPr>
              <w:pStyle w:val="BDOITable"/>
            </w:pPr>
            <w:r>
              <w:rPr>
                <w:b/>
                <w:sz w:val="17"/>
              </w:rPr>
              <w:t>AWS WAF</w:t>
            </w:r>
          </w:p>
        </w:tc>
        <w:tc>
          <w:tcPr>
            <w:tcW w:type="dxa" w:w="7706"/>
            <w:tcMar>
              <w:top w:w="50" w:type="dxa"/>
              <w:bottom w:w="50" w:type="dxa"/>
              <w:left w:w="90" w:type="dxa"/>
              <w:right w:w="90" w:type="dxa"/>
            </w:tcMar>
          </w:tcPr>
          <w:p>
            <w:pPr>
              <w:pStyle w:val="BDOITable"/>
            </w:pPr>
            <w:r>
              <w:rPr>
                <w:sz w:val="17"/>
              </w:rPr>
              <w:t>Managed rule groups, rate rule, Apigee-only rule (Deployment Architecture, chapter 5)</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Amazon GuardDuty</w:t>
            </w:r>
          </w:p>
        </w:tc>
        <w:tc>
          <w:tcPr>
            <w:tcW w:type="dxa" w:w="7706"/>
            <w:tcMar>
              <w:top w:w="50" w:type="dxa"/>
              <w:bottom w:w="50" w:type="dxa"/>
              <w:left w:w="90" w:type="dxa"/>
              <w:right w:w="90" w:type="dxa"/>
            </w:tcMar>
            <w:shd w:val="clear" w:color="auto" w:fill="E5F5FF"/>
          </w:tcPr>
          <w:p>
            <w:pPr>
              <w:pStyle w:val="BDOITable"/>
            </w:pPr>
            <w:r>
              <w:rPr>
                <w:sz w:val="17"/>
              </w:rPr>
              <w:t>Malware Protection for S3 on the inbound bucket and the upload prefix of the documents bucket; threat detection for the accounts and EKS</w:t>
            </w:r>
          </w:p>
        </w:tc>
      </w:tr>
      <w:tr>
        <w:trPr>
          <w:cantSplit w:val="true"/>
        </w:trPr>
        <w:tc>
          <w:tcPr>
            <w:tcW w:type="dxa" w:w="2266"/>
            <w:tcMar>
              <w:top w:w="50" w:type="dxa"/>
              <w:bottom w:w="50" w:type="dxa"/>
              <w:left w:w="90" w:type="dxa"/>
              <w:right w:w="90" w:type="dxa"/>
            </w:tcMar>
          </w:tcPr>
          <w:p>
            <w:pPr>
              <w:pStyle w:val="BDOITable"/>
            </w:pPr>
            <w:r>
              <w:rPr>
                <w:b/>
                <w:sz w:val="17"/>
              </w:rPr>
              <w:t>AWS CloudTrail</w:t>
            </w:r>
          </w:p>
        </w:tc>
        <w:tc>
          <w:tcPr>
            <w:tcW w:type="dxa" w:w="7706"/>
            <w:tcMar>
              <w:top w:w="50" w:type="dxa"/>
              <w:bottom w:w="50" w:type="dxa"/>
              <w:left w:w="90" w:type="dxa"/>
              <w:right w:w="90" w:type="dxa"/>
            </w:tcMar>
          </w:tcPr>
          <w:p>
            <w:pPr>
              <w:pStyle w:val="BDOITable"/>
            </w:pPr>
            <w:r>
              <w:rPr>
                <w:sz w:val="17"/>
              </w:rPr>
              <w:t>Management and S3 data events, kept for audit</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CrowdStrike Falcon</w:t>
            </w:r>
          </w:p>
        </w:tc>
        <w:tc>
          <w:tcPr>
            <w:tcW w:type="dxa" w:w="7706"/>
            <w:tcMar>
              <w:top w:w="50" w:type="dxa"/>
              <w:bottom w:w="50" w:type="dxa"/>
              <w:left w:w="90" w:type="dxa"/>
              <w:right w:w="90" w:type="dxa"/>
            </w:tcMar>
            <w:shd w:val="clear" w:color="auto" w:fill="E5F5FF"/>
          </w:tcPr>
          <w:p>
            <w:pPr>
              <w:pStyle w:val="BDOITable"/>
            </w:pPr>
            <w:r>
              <w:rPr>
                <w:sz w:val="17"/>
              </w:rPr>
              <w:t>Host protection (EDR) on the worker nodes (IER cluster sheets)</w:t>
            </w:r>
          </w:p>
        </w:tc>
      </w:tr>
    </w:tbl>
    <w:p>
      <w:pPr>
        <w:pStyle w:val="BDOISpacer"/>
      </w:pPr>
    </w:p>
    <w:p>
      <w:pPr>
        <w:pStyle w:val="Heading1"/>
        <w:pBdr>
          <w:bottom w:val="single" w:sz="4" w:space="4" w:color="99C1E7"/>
        </w:pBdr>
      </w:pPr>
      <w:bookmarkStart w:id="120" w:name="_Toc000120"/>
      <w:r>
        <w:rPr/>
        <w:t>10 Component baseline</w:t>
      </w:r>
      <w:bookmarkEnd w:id="120"/>
    </w:p>
    <w:p>
      <w:pPr>
        <w:pStyle w:val="Caption"/>
        <w:keepNext/>
        <w:spacing w:after="60"/>
      </w:pPr>
      <w:r>
        <w:rPr>
          <w:b/>
          <w:i w:val="0"/>
        </w:rPr>
        <w:t xml:space="preserve">Table 17: </w:t>
      </w:r>
      <w:r>
        <w:rPr/>
        <w:t>Component baseline with licences and support horizon (8 October 2026)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1586"/>
        <w:gridCol w:w="1359"/>
        <w:gridCol w:w="2606"/>
        <w:gridCol w:w="2719"/>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6"/>
              </w:rPr>
              <w:t>Component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6"/>
              </w:rPr>
              <w:t>Version baseline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Licence</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6"/>
              </w:rPr>
              <w:t>Function</w:t>
            </w:r>
          </w:p>
        </w:tc>
        <w:tc>
          <w:tcPr>
            <w:tcW w:type="dxa" w:w="2720"/>
            <w:shd w:val="clear" w:color="auto" w:fill="004EA8"/>
            <w:tcMar>
              <w:top w:w="50" w:type="dxa"/>
              <w:bottom w:w="50" w:type="dxa"/>
              <w:left w:w="90" w:type="dxa"/>
              <w:right w:w="90" w:type="dxa"/>
            </w:tcMar>
            <w:vAlign w:val="center"/>
          </w:tcPr>
          <w:p>
            <w:pPr>
              <w:pStyle w:val="BDOITableHeader"/>
            </w:pPr>
            <w:r>
              <w:rPr>
                <w:b/>
                <w:color w:val="FFFFFF"/>
                <w:sz w:val="16"/>
              </w:rPr>
              <w:t>Support horizon</w:t>
            </w:r>
          </w:p>
        </w:tc>
      </w:tr>
      <w:tr>
        <w:trPr>
          <w:cantSplit w:val="true"/>
        </w:trPr>
        <w:tc>
          <w:tcPr>
            <w:tcW w:type="dxa" w:w="1700"/>
            <w:tcMar>
              <w:top w:w="50" w:type="dxa"/>
              <w:bottom w:w="50" w:type="dxa"/>
              <w:left w:w="90" w:type="dxa"/>
              <w:right w:w="90" w:type="dxa"/>
            </w:tcMar>
          </w:tcPr>
          <w:p>
            <w:pPr>
              <w:pStyle w:val="BDOITable"/>
            </w:pPr>
            <w:r>
              <w:rPr>
                <w:b/>
                <w:sz w:val="16"/>
              </w:rPr>
              <w:t>PostgreSQL</w:t>
            </w:r>
          </w:p>
        </w:tc>
        <w:tc>
          <w:tcPr>
            <w:tcW w:type="dxa" w:w="1586"/>
            <w:tcMar>
              <w:top w:w="50" w:type="dxa"/>
              <w:bottom w:w="50" w:type="dxa"/>
              <w:left w:w="90" w:type="dxa"/>
              <w:right w:w="90" w:type="dxa"/>
            </w:tcMar>
          </w:tcPr>
          <w:p>
            <w:pPr>
              <w:pStyle w:val="BDOITable"/>
            </w:pPr>
            <w:r>
              <w:rPr>
                <w:sz w:val="16"/>
              </w:rPr>
              <w:t>16.x</w:t>
            </w:r>
          </w:p>
        </w:tc>
        <w:tc>
          <w:tcPr>
            <w:tcW w:type="dxa" w:w="1360"/>
            <w:tcMar>
              <w:top w:w="50" w:type="dxa"/>
              <w:bottom w:w="50" w:type="dxa"/>
              <w:left w:w="90" w:type="dxa"/>
              <w:right w:w="90" w:type="dxa"/>
            </w:tcMar>
          </w:tcPr>
          <w:p>
            <w:pPr>
              <w:pStyle w:val="BDOITable"/>
            </w:pPr>
            <w:r>
              <w:rPr>
                <w:sz w:val="16"/>
              </w:rPr>
              <w:t>PostgreSQL Licence</w:t>
            </w:r>
          </w:p>
        </w:tc>
        <w:tc>
          <w:tcPr>
            <w:tcW w:type="dxa" w:w="2606"/>
            <w:tcMar>
              <w:top w:w="50" w:type="dxa"/>
              <w:bottom w:w="50" w:type="dxa"/>
              <w:left w:w="90" w:type="dxa"/>
              <w:right w:w="90" w:type="dxa"/>
            </w:tcMar>
          </w:tcPr>
          <w:p>
            <w:pPr>
              <w:pStyle w:val="BDOITable"/>
            </w:pPr>
            <w:r>
              <w:rPr>
                <w:sz w:val="16"/>
              </w:rPr>
              <w:t>Relational data store (Amazon RDS for PostgreSQL 16)</w:t>
            </w:r>
          </w:p>
        </w:tc>
        <w:tc>
          <w:tcPr>
            <w:tcW w:type="dxa" w:w="2720"/>
            <w:tcMar>
              <w:top w:w="50" w:type="dxa"/>
              <w:bottom w:w="50" w:type="dxa"/>
              <w:left w:w="90" w:type="dxa"/>
              <w:right w:w="90" w:type="dxa"/>
            </w:tcMar>
          </w:tcPr>
          <w:p>
            <w:pPr>
              <w:pStyle w:val="BDOITable"/>
            </w:pPr>
            <w:r>
              <w:rPr>
                <w:sz w:val="16"/>
              </w:rPr>
              <w:t>Community support of the major version until 09-Nov-2028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Valkey</w:t>
            </w:r>
          </w:p>
        </w:tc>
        <w:tc>
          <w:tcPr>
            <w:tcW w:type="dxa" w:w="1586"/>
            <w:tcMar>
              <w:top w:w="50" w:type="dxa"/>
              <w:bottom w:w="50" w:type="dxa"/>
              <w:left w:w="90" w:type="dxa"/>
              <w:right w:w="90" w:type="dxa"/>
            </w:tcMar>
            <w:shd w:val="clear" w:color="auto" w:fill="E5F5FF"/>
          </w:tcPr>
          <w:p>
            <w:pPr>
              <w:pStyle w:val="BDOITable"/>
            </w:pPr>
            <w:r>
              <w:rPr>
                <w:sz w:val="16"/>
              </w:rPr>
              <w:t>8.x</w:t>
            </w:r>
          </w:p>
        </w:tc>
        <w:tc>
          <w:tcPr>
            <w:tcW w:type="dxa" w:w="1360"/>
            <w:tcMar>
              <w:top w:w="50" w:type="dxa"/>
              <w:bottom w:w="50" w:type="dxa"/>
              <w:left w:w="90" w:type="dxa"/>
              <w:right w:w="90" w:type="dxa"/>
            </w:tcMar>
            <w:shd w:val="clear" w:color="auto" w:fill="E5F5FF"/>
          </w:tcPr>
          <w:p>
            <w:pPr>
              <w:pStyle w:val="BDOITable"/>
            </w:pPr>
            <w:r>
              <w:rPr>
                <w:sz w:val="16"/>
              </w:rPr>
              <w:t>BSD-3-Clause</w:t>
            </w:r>
          </w:p>
        </w:tc>
        <w:tc>
          <w:tcPr>
            <w:tcW w:type="dxa" w:w="2606"/>
            <w:tcMar>
              <w:top w:w="50" w:type="dxa"/>
              <w:bottom w:w="50" w:type="dxa"/>
              <w:left w:w="90" w:type="dxa"/>
              <w:right w:w="90" w:type="dxa"/>
            </w:tcMar>
            <w:shd w:val="clear" w:color="auto" w:fill="E5F5FF"/>
          </w:tcPr>
          <w:p>
            <w:pPr>
              <w:pStyle w:val="BDOITable"/>
            </w:pPr>
            <w:r>
              <w:rPr>
                <w:sz w:val="16"/>
              </w:rPr>
              <w:t>Reference-data cache, job locks, token deny-list, shared counters (Amazon ElastiCache for Valkey)</w:t>
            </w:r>
          </w:p>
        </w:tc>
        <w:tc>
          <w:tcPr>
            <w:tcW w:type="dxa" w:w="2720"/>
            <w:tcMar>
              <w:top w:w="50" w:type="dxa"/>
              <w:bottom w:w="50" w:type="dxa"/>
              <w:left w:w="90" w:type="dxa"/>
              <w:right w:w="90" w:type="dxa"/>
            </w:tcMar>
            <w:shd w:val="clear" w:color="auto" w:fill="E5F5FF"/>
          </w:tcPr>
          <w:p>
            <w:pPr>
              <w:pStyle w:val="BDOITable"/>
            </w:pPr>
            <w:r>
              <w:rPr>
                <w:sz w:val="16"/>
              </w:rPr>
              <w:t>Follows the Valkey release policy and the ElastiCache engine calendar; checked at each annual technology review</w:t>
            </w:r>
          </w:p>
        </w:tc>
      </w:tr>
      <w:tr>
        <w:trPr>
          <w:cantSplit w:val="true"/>
        </w:trPr>
        <w:tc>
          <w:tcPr>
            <w:tcW w:type="dxa" w:w="1700"/>
            <w:tcMar>
              <w:top w:w="50" w:type="dxa"/>
              <w:bottom w:w="50" w:type="dxa"/>
              <w:left w:w="90" w:type="dxa"/>
              <w:right w:w="90" w:type="dxa"/>
            </w:tcMar>
          </w:tcPr>
          <w:p>
            <w:pPr>
              <w:pStyle w:val="BDOITable"/>
            </w:pPr>
            <w:r>
              <w:rPr>
                <w:b/>
                <w:sz w:val="16"/>
              </w:rPr>
              <w:t>Apache Kafka</w:t>
            </w:r>
          </w:p>
        </w:tc>
        <w:tc>
          <w:tcPr>
            <w:tcW w:type="dxa" w:w="1586"/>
            <w:tcMar>
              <w:top w:w="50" w:type="dxa"/>
              <w:bottom w:w="50" w:type="dxa"/>
              <w:left w:w="90" w:type="dxa"/>
              <w:right w:w="90" w:type="dxa"/>
            </w:tcMar>
          </w:tcPr>
          <w:p>
            <w:pPr>
              <w:pStyle w:val="BDOITable"/>
            </w:pPr>
            <w:r>
              <w:rPr>
                <w:sz w:val="16"/>
              </w:rPr>
              <w:t>3.9 (KRaft)</w:t>
            </w:r>
          </w:p>
        </w:tc>
        <w:tc>
          <w:tcPr>
            <w:tcW w:type="dxa" w:w="1360"/>
            <w:tcMar>
              <w:top w:w="50" w:type="dxa"/>
              <w:bottom w:w="50" w:type="dxa"/>
              <w:left w:w="90" w:type="dxa"/>
              <w:right w:w="90" w:type="dxa"/>
            </w:tcMar>
          </w:tcPr>
          <w:p>
            <w:pPr>
              <w:pStyle w:val="BDOITable"/>
            </w:pPr>
            <w:r>
              <w:rPr>
                <w:sz w:val="16"/>
              </w:rPr>
              <w:t>Apache 2.0</w:t>
            </w:r>
          </w:p>
        </w:tc>
        <w:tc>
          <w:tcPr>
            <w:tcW w:type="dxa" w:w="2606"/>
            <w:tcMar>
              <w:top w:w="50" w:type="dxa"/>
              <w:bottom w:w="50" w:type="dxa"/>
              <w:left w:w="90" w:type="dxa"/>
              <w:right w:w="90" w:type="dxa"/>
            </w:tcMar>
          </w:tcPr>
          <w:p>
            <w:pPr>
              <w:pStyle w:val="BDOITable"/>
            </w:pPr>
            <w:r>
              <w:rPr>
                <w:sz w:val="16"/>
              </w:rPr>
              <w:t>Event streaming with the transactional outbox (Amazon MSK)</w:t>
            </w:r>
          </w:p>
        </w:tc>
        <w:tc>
          <w:tcPr>
            <w:tcW w:type="dxa" w:w="2720"/>
            <w:tcMar>
              <w:top w:w="50" w:type="dxa"/>
              <w:bottom w:w="50" w:type="dxa"/>
              <w:left w:w="90" w:type="dxa"/>
              <w:right w:w="90" w:type="dxa"/>
            </w:tcMar>
          </w:tcPr>
          <w:p>
            <w:pPr>
              <w:pStyle w:val="BDOITable"/>
            </w:pPr>
            <w:r>
              <w:rPr>
                <w:sz w:val="16"/>
              </w:rPr>
              <w:t>Last 3.x line; the move to Kafka 4.x (KRaft only) is planned at the first annual technology review after go-live</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OpenJDK (Eclipse Temurin)</w:t>
            </w:r>
          </w:p>
        </w:tc>
        <w:tc>
          <w:tcPr>
            <w:tcW w:type="dxa" w:w="1586"/>
            <w:tcMar>
              <w:top w:w="50" w:type="dxa"/>
              <w:bottom w:w="50" w:type="dxa"/>
              <w:left w:w="90" w:type="dxa"/>
              <w:right w:w="90" w:type="dxa"/>
            </w:tcMar>
            <w:shd w:val="clear" w:color="auto" w:fill="E5F5FF"/>
          </w:tcPr>
          <w:p>
            <w:pPr>
              <w:pStyle w:val="BDOITable"/>
            </w:pPr>
            <w:r>
              <w:rPr>
                <w:sz w:val="16"/>
              </w:rPr>
              <w:t>21 LTS</w:t>
            </w:r>
          </w:p>
        </w:tc>
        <w:tc>
          <w:tcPr>
            <w:tcW w:type="dxa" w:w="1360"/>
            <w:tcMar>
              <w:top w:w="50" w:type="dxa"/>
              <w:bottom w:w="50" w:type="dxa"/>
              <w:left w:w="90" w:type="dxa"/>
              <w:right w:w="90" w:type="dxa"/>
            </w:tcMar>
            <w:shd w:val="clear" w:color="auto" w:fill="E5F5FF"/>
          </w:tcPr>
          <w:p>
            <w:pPr>
              <w:pStyle w:val="BDOITable"/>
            </w:pPr>
            <w:r>
              <w:rPr>
                <w:sz w:val="16"/>
              </w:rPr>
              <w:t>GPLv2 with Classpath Exception</w:t>
            </w:r>
          </w:p>
        </w:tc>
        <w:tc>
          <w:tcPr>
            <w:tcW w:type="dxa" w:w="2606"/>
            <w:tcMar>
              <w:top w:w="50" w:type="dxa"/>
              <w:bottom w:w="50" w:type="dxa"/>
              <w:left w:w="90" w:type="dxa"/>
              <w:right w:w="90" w:type="dxa"/>
            </w:tcMar>
            <w:shd w:val="clear" w:color="auto" w:fill="E5F5FF"/>
          </w:tcPr>
          <w:p>
            <w:pPr>
              <w:pStyle w:val="BDOITable"/>
            </w:pPr>
            <w:r>
              <w:rPr>
                <w:sz w:val="16"/>
              </w:rPr>
              <w:t>Application runtime of the backend</w:t>
            </w:r>
          </w:p>
        </w:tc>
        <w:tc>
          <w:tcPr>
            <w:tcW w:type="dxa" w:w="2720"/>
            <w:tcMar>
              <w:top w:w="50" w:type="dxa"/>
              <w:bottom w:w="50" w:type="dxa"/>
              <w:left w:w="90" w:type="dxa"/>
              <w:right w:w="90" w:type="dxa"/>
            </w:tcMar>
            <w:shd w:val="clear" w:color="auto" w:fill="E5F5FF"/>
          </w:tcPr>
          <w:p>
            <w:pPr>
              <w:pStyle w:val="BDOITable"/>
            </w:pPr>
            <w:r>
              <w:rPr>
                <w:sz w:val="16"/>
              </w:rPr>
              <w:t>Adoptium LTS support at least until Dec-2029</w:t>
            </w:r>
          </w:p>
        </w:tc>
      </w:tr>
      <w:tr>
        <w:trPr>
          <w:cantSplit w:val="true"/>
        </w:trPr>
        <w:tc>
          <w:tcPr>
            <w:tcW w:type="dxa" w:w="1700"/>
            <w:tcMar>
              <w:top w:w="50" w:type="dxa"/>
              <w:bottom w:w="50" w:type="dxa"/>
              <w:left w:w="90" w:type="dxa"/>
              <w:right w:w="90" w:type="dxa"/>
            </w:tcMar>
          </w:tcPr>
          <w:p>
            <w:pPr>
              <w:pStyle w:val="BDOITable"/>
            </w:pPr>
            <w:r>
              <w:rPr>
                <w:b/>
                <w:sz w:val="16"/>
              </w:rPr>
              <w:t>Spring Boot</w:t>
            </w:r>
          </w:p>
        </w:tc>
        <w:tc>
          <w:tcPr>
            <w:tcW w:type="dxa" w:w="1586"/>
            <w:tcMar>
              <w:top w:w="50" w:type="dxa"/>
              <w:bottom w:w="50" w:type="dxa"/>
              <w:left w:w="90" w:type="dxa"/>
              <w:right w:w="90" w:type="dxa"/>
            </w:tcMar>
          </w:tcPr>
          <w:p>
            <w:pPr>
              <w:pStyle w:val="BDOITable"/>
            </w:pPr>
            <w:r>
              <w:rPr>
                <w:sz w:val="16"/>
              </w:rPr>
              <w:t>3.5.x</w:t>
            </w:r>
          </w:p>
        </w:tc>
        <w:tc>
          <w:tcPr>
            <w:tcW w:type="dxa" w:w="1360"/>
            <w:tcMar>
              <w:top w:w="50" w:type="dxa"/>
              <w:bottom w:w="50" w:type="dxa"/>
              <w:left w:w="90" w:type="dxa"/>
              <w:right w:w="90" w:type="dxa"/>
            </w:tcMar>
          </w:tcPr>
          <w:p>
            <w:pPr>
              <w:pStyle w:val="BDOITable"/>
            </w:pPr>
            <w:r>
              <w:rPr>
                <w:sz w:val="16"/>
              </w:rPr>
              <w:t>Apache 2.0</w:t>
            </w:r>
          </w:p>
        </w:tc>
        <w:tc>
          <w:tcPr>
            <w:tcW w:type="dxa" w:w="2606"/>
            <w:tcMar>
              <w:top w:w="50" w:type="dxa"/>
              <w:bottom w:w="50" w:type="dxa"/>
              <w:left w:w="90" w:type="dxa"/>
              <w:right w:w="90" w:type="dxa"/>
            </w:tcMar>
          </w:tcPr>
          <w:p>
            <w:pPr>
              <w:pStyle w:val="BDOITable"/>
            </w:pPr>
            <w:r>
              <w:rPr>
                <w:sz w:val="16"/>
              </w:rPr>
              <w:t>Application framework of the backend</w:t>
            </w:r>
          </w:p>
        </w:tc>
        <w:tc>
          <w:tcPr>
            <w:tcW w:type="dxa" w:w="2720"/>
            <w:tcMar>
              <w:top w:w="50" w:type="dxa"/>
              <w:bottom w:w="50" w:type="dxa"/>
              <w:left w:w="90" w:type="dxa"/>
              <w:right w:w="90" w:type="dxa"/>
            </w:tcMar>
          </w:tcPr>
          <w:p>
            <w:pPr>
              <w:pStyle w:val="BDOITable"/>
            </w:pPr>
            <w:r>
              <w:rPr>
                <w:sz w:val="16"/>
              </w:rPr>
              <w:t>Open-source and commercial support windows differ; the support route is an open point (SA-07)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React with TypeScript and Vite</w:t>
            </w:r>
          </w:p>
        </w:tc>
        <w:tc>
          <w:tcPr>
            <w:tcW w:type="dxa" w:w="1586"/>
            <w:tcMar>
              <w:top w:w="50" w:type="dxa"/>
              <w:bottom w:w="50" w:type="dxa"/>
              <w:left w:w="90" w:type="dxa"/>
              <w:right w:w="90" w:type="dxa"/>
            </w:tcMar>
            <w:shd w:val="clear" w:color="auto" w:fill="E5F5FF"/>
          </w:tcPr>
          <w:p>
            <w:pPr>
              <w:pStyle w:val="BDOITable"/>
            </w:pPr>
            <w:r>
              <w:rPr>
                <w:sz w:val="16"/>
              </w:rPr>
              <w:t>React 19.x, TypeScript 6, Vite 8</w:t>
            </w:r>
          </w:p>
        </w:tc>
        <w:tc>
          <w:tcPr>
            <w:tcW w:type="dxa" w:w="1360"/>
            <w:tcMar>
              <w:top w:w="50" w:type="dxa"/>
              <w:bottom w:w="50" w:type="dxa"/>
              <w:left w:w="90" w:type="dxa"/>
              <w:right w:w="90" w:type="dxa"/>
            </w:tcMar>
            <w:shd w:val="clear" w:color="auto" w:fill="E5F5FF"/>
          </w:tcPr>
          <w:p>
            <w:pPr>
              <w:pStyle w:val="BDOITable"/>
            </w:pPr>
            <w:r>
              <w:rPr>
                <w:sz w:val="16"/>
              </w:rPr>
              <w:t>MIT</w:t>
            </w:r>
          </w:p>
        </w:tc>
        <w:tc>
          <w:tcPr>
            <w:tcW w:type="dxa" w:w="2606"/>
            <w:tcMar>
              <w:top w:w="50" w:type="dxa"/>
              <w:bottom w:w="50" w:type="dxa"/>
              <w:left w:w="90" w:type="dxa"/>
              <w:right w:w="90" w:type="dxa"/>
            </w:tcMar>
            <w:shd w:val="clear" w:color="auto" w:fill="E5F5FF"/>
          </w:tcPr>
          <w:p>
            <w:pPr>
              <w:pStyle w:val="BDOITable"/>
            </w:pPr>
            <w:r>
              <w:rPr>
                <w:sz w:val="16"/>
              </w:rPr>
              <w:t>Web user interface (single-page application)</w:t>
            </w:r>
          </w:p>
        </w:tc>
        <w:tc>
          <w:tcPr>
            <w:tcW w:type="dxa" w:w="2720"/>
            <w:tcMar>
              <w:top w:w="50" w:type="dxa"/>
              <w:bottom w:w="50" w:type="dxa"/>
              <w:left w:w="90" w:type="dxa"/>
              <w:right w:w="90" w:type="dxa"/>
            </w:tcMar>
            <w:shd w:val="clear" w:color="auto" w:fill="E5F5FF"/>
          </w:tcPr>
          <w:p>
            <w:pPr>
              <w:pStyle w:val="BDOITable"/>
            </w:pPr>
            <w:r>
              <w:rPr>
                <w:sz w:val="16"/>
              </w:rPr>
              <w:t>Follows the current major version</w:t>
            </w:r>
          </w:p>
        </w:tc>
      </w:tr>
      <w:tr>
        <w:trPr>
          <w:cantSplit w:val="true"/>
        </w:trPr>
        <w:tc>
          <w:tcPr>
            <w:tcW w:type="dxa" w:w="1700"/>
            <w:tcMar>
              <w:top w:w="50" w:type="dxa"/>
              <w:bottom w:w="50" w:type="dxa"/>
              <w:left w:w="90" w:type="dxa"/>
              <w:right w:w="90" w:type="dxa"/>
            </w:tcMar>
          </w:tcPr>
          <w:p>
            <w:pPr>
              <w:pStyle w:val="BDOITable"/>
            </w:pPr>
            <w:r>
              <w:rPr>
                <w:b/>
                <w:sz w:val="16"/>
              </w:rPr>
              <w:t>Node (JavaScript runtime)</w:t>
            </w:r>
          </w:p>
        </w:tc>
        <w:tc>
          <w:tcPr>
            <w:tcW w:type="dxa" w:w="1586"/>
            <w:tcMar>
              <w:top w:w="50" w:type="dxa"/>
              <w:bottom w:w="50" w:type="dxa"/>
              <w:left w:w="90" w:type="dxa"/>
              <w:right w:w="90" w:type="dxa"/>
            </w:tcMar>
          </w:tcPr>
          <w:p>
            <w:pPr>
              <w:pStyle w:val="BDOITable"/>
            </w:pPr>
            <w:r>
              <w:rPr>
                <w:sz w:val="16"/>
              </w:rPr>
              <w:t>22 LTS</w:t>
            </w:r>
          </w:p>
        </w:tc>
        <w:tc>
          <w:tcPr>
            <w:tcW w:type="dxa" w:w="1360"/>
            <w:tcMar>
              <w:top w:w="50" w:type="dxa"/>
              <w:bottom w:w="50" w:type="dxa"/>
              <w:left w:w="90" w:type="dxa"/>
              <w:right w:w="90" w:type="dxa"/>
            </w:tcMar>
          </w:tcPr>
          <w:p>
            <w:pPr>
              <w:pStyle w:val="BDOITable"/>
            </w:pPr>
            <w:r>
              <w:rPr>
                <w:sz w:val="16"/>
              </w:rPr>
              <w:t>MIT</w:t>
            </w:r>
          </w:p>
        </w:tc>
        <w:tc>
          <w:tcPr>
            <w:tcW w:type="dxa" w:w="2606"/>
            <w:tcMar>
              <w:top w:w="50" w:type="dxa"/>
              <w:bottom w:w="50" w:type="dxa"/>
              <w:left w:w="90" w:type="dxa"/>
              <w:right w:w="90" w:type="dxa"/>
            </w:tcMar>
          </w:tcPr>
          <w:p>
            <w:pPr>
              <w:pStyle w:val="BDOITable"/>
            </w:pPr>
            <w:r>
              <w:rPr>
                <w:sz w:val="16"/>
              </w:rPr>
              <w:t>Compiles and packages the web user interface in the pipeline; not a production runtime</w:t>
            </w:r>
          </w:p>
        </w:tc>
        <w:tc>
          <w:tcPr>
            <w:tcW w:type="dxa" w:w="2720"/>
            <w:tcMar>
              <w:top w:w="50" w:type="dxa"/>
              <w:bottom w:w="50" w:type="dxa"/>
              <w:left w:w="90" w:type="dxa"/>
              <w:right w:w="90" w:type="dxa"/>
            </w:tcMar>
          </w:tcPr>
          <w:p>
            <w:pPr>
              <w:pStyle w:val="BDOITable"/>
            </w:pPr>
            <w:r>
              <w:rPr>
                <w:sz w:val="16"/>
              </w:rPr>
              <w:t>End of life 30-Apr-2027: move to Node 24 LTS before UAT (SA-08)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nginx (unprivileged image)</w:t>
            </w:r>
          </w:p>
        </w:tc>
        <w:tc>
          <w:tcPr>
            <w:tcW w:type="dxa" w:w="1586"/>
            <w:tcMar>
              <w:top w:w="50" w:type="dxa"/>
              <w:bottom w:w="50" w:type="dxa"/>
              <w:left w:w="90" w:type="dxa"/>
              <w:right w:w="90" w:type="dxa"/>
            </w:tcMar>
            <w:shd w:val="clear" w:color="auto" w:fill="E5F5FF"/>
          </w:tcPr>
          <w:p>
            <w:pPr>
              <w:pStyle w:val="BDOITable"/>
            </w:pPr>
            <w:r>
              <w:rPr>
                <w:sz w:val="16"/>
              </w:rPr>
              <w:t>1.30</w:t>
            </w:r>
          </w:p>
        </w:tc>
        <w:tc>
          <w:tcPr>
            <w:tcW w:type="dxa" w:w="1360"/>
            <w:tcMar>
              <w:top w:w="50" w:type="dxa"/>
              <w:bottom w:w="50" w:type="dxa"/>
              <w:left w:w="90" w:type="dxa"/>
              <w:right w:w="90" w:type="dxa"/>
            </w:tcMar>
            <w:shd w:val="clear" w:color="auto" w:fill="E5F5FF"/>
          </w:tcPr>
          <w:p>
            <w:pPr>
              <w:pStyle w:val="BDOITable"/>
            </w:pPr>
            <w:r>
              <w:rPr>
                <w:sz w:val="16"/>
              </w:rPr>
              <w:t>BSD-2-Clause</w:t>
            </w:r>
          </w:p>
        </w:tc>
        <w:tc>
          <w:tcPr>
            <w:tcW w:type="dxa" w:w="2606"/>
            <w:tcMar>
              <w:top w:w="50" w:type="dxa"/>
              <w:bottom w:w="50" w:type="dxa"/>
              <w:left w:w="90" w:type="dxa"/>
              <w:right w:w="90" w:type="dxa"/>
            </w:tcMar>
            <w:shd w:val="clear" w:color="auto" w:fill="E5F5FF"/>
          </w:tcPr>
          <w:p>
            <w:pPr>
              <w:pStyle w:val="BDOITable"/>
            </w:pPr>
            <w:r>
              <w:rPr>
                <w:sz w:val="16"/>
              </w:rPr>
              <w:t>Serves the web user interface over TLS</w:t>
            </w:r>
          </w:p>
        </w:tc>
        <w:tc>
          <w:tcPr>
            <w:tcW w:type="dxa" w:w="2720"/>
            <w:tcMar>
              <w:top w:w="50" w:type="dxa"/>
              <w:bottom w:w="50" w:type="dxa"/>
              <w:left w:w="90" w:type="dxa"/>
              <w:right w:w="90" w:type="dxa"/>
            </w:tcMar>
            <w:shd w:val="clear" w:color="auto" w:fill="E5F5FF"/>
          </w:tcPr>
          <w:p>
            <w:pPr>
              <w:pStyle w:val="BDOITable"/>
            </w:pPr>
            <w:r>
              <w:rPr>
                <w:sz w:val="16"/>
              </w:rPr>
              <w:t>Until the next stable line; image refreshed with each release</w:t>
            </w:r>
          </w:p>
        </w:tc>
      </w:tr>
      <w:tr>
        <w:trPr>
          <w:cantSplit w:val="true"/>
        </w:trPr>
        <w:tc>
          <w:tcPr>
            <w:tcW w:type="dxa" w:w="1700"/>
            <w:tcMar>
              <w:top w:w="50" w:type="dxa"/>
              <w:bottom w:w="50" w:type="dxa"/>
              <w:left w:w="90" w:type="dxa"/>
              <w:right w:w="90" w:type="dxa"/>
            </w:tcMar>
          </w:tcPr>
          <w:p>
            <w:pPr>
              <w:pStyle w:val="BDOITable"/>
            </w:pPr>
            <w:r>
              <w:rPr>
                <w:b/>
                <w:sz w:val="16"/>
              </w:rPr>
              <w:t>Kubernetes (Amazon EKS)</w:t>
            </w:r>
          </w:p>
        </w:tc>
        <w:tc>
          <w:tcPr>
            <w:tcW w:type="dxa" w:w="1586"/>
            <w:tcMar>
              <w:top w:w="50" w:type="dxa"/>
              <w:bottom w:w="50" w:type="dxa"/>
              <w:left w:w="90" w:type="dxa"/>
              <w:right w:w="90" w:type="dxa"/>
            </w:tcMar>
          </w:tcPr>
          <w:p>
            <w:pPr>
              <w:pStyle w:val="BDOITable"/>
            </w:pPr>
            <w:r>
              <w:rPr>
                <w:sz w:val="16"/>
              </w:rPr>
              <w:t>Version supported by EKS</w:t>
            </w:r>
          </w:p>
        </w:tc>
        <w:tc>
          <w:tcPr>
            <w:tcW w:type="dxa" w:w="1360"/>
            <w:tcMar>
              <w:top w:w="50" w:type="dxa"/>
              <w:bottom w:w="50" w:type="dxa"/>
              <w:left w:w="90" w:type="dxa"/>
              <w:right w:w="90" w:type="dxa"/>
            </w:tcMar>
          </w:tcPr>
          <w:p>
            <w:pPr>
              <w:pStyle w:val="BDOITable"/>
            </w:pPr>
            <w:r>
              <w:rPr>
                <w:sz w:val="16"/>
              </w:rPr>
              <w:t>Apache 2.0</w:t>
            </w:r>
          </w:p>
        </w:tc>
        <w:tc>
          <w:tcPr>
            <w:tcW w:type="dxa" w:w="2606"/>
            <w:tcMar>
              <w:top w:w="50" w:type="dxa"/>
              <w:bottom w:w="50" w:type="dxa"/>
              <w:left w:w="90" w:type="dxa"/>
              <w:right w:w="90" w:type="dxa"/>
            </w:tcMar>
          </w:tcPr>
          <w:p>
            <w:pPr>
              <w:pStyle w:val="BDOITable"/>
            </w:pPr>
            <w:r>
              <w:rPr>
                <w:sz w:val="16"/>
              </w:rPr>
              <w:t>Container orchestration</w:t>
            </w:r>
          </w:p>
        </w:tc>
        <w:tc>
          <w:tcPr>
            <w:tcW w:type="dxa" w:w="2720"/>
            <w:tcMar>
              <w:top w:w="50" w:type="dxa"/>
              <w:bottom w:w="50" w:type="dxa"/>
              <w:left w:w="90" w:type="dxa"/>
              <w:right w:w="90" w:type="dxa"/>
            </w:tcMar>
          </w:tcPr>
          <w:p>
            <w:pPr>
              <w:pStyle w:val="BDOITable"/>
            </w:pPr>
            <w:r>
              <w:rPr>
                <w:sz w:val="16"/>
              </w:rPr>
              <w:t>Standard support of each version for 14 months after its EKS release</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Kubernetes Gateway API controller</w:t>
            </w:r>
          </w:p>
        </w:tc>
        <w:tc>
          <w:tcPr>
            <w:tcW w:type="dxa" w:w="1586"/>
            <w:tcMar>
              <w:top w:w="50" w:type="dxa"/>
              <w:bottom w:w="50" w:type="dxa"/>
              <w:left w:w="90" w:type="dxa"/>
              <w:right w:w="90" w:type="dxa"/>
            </w:tcMar>
            <w:shd w:val="clear" w:color="auto" w:fill="E5F5FF"/>
          </w:tcPr>
          <w:p>
            <w:pPr>
              <w:pStyle w:val="BDOITable"/>
            </w:pPr>
            <w:r>
              <w:rPr>
                <w:sz w:val="16"/>
              </w:rPr>
              <w:t>Gateway API v1 (standard channel); AWS Load Balancer Controller 2.14 or later</w:t>
            </w:r>
          </w:p>
        </w:tc>
        <w:tc>
          <w:tcPr>
            <w:tcW w:type="dxa" w:w="1360"/>
            <w:tcMar>
              <w:top w:w="50" w:type="dxa"/>
              <w:bottom w:w="50" w:type="dxa"/>
              <w:left w:w="90" w:type="dxa"/>
              <w:right w:w="90" w:type="dxa"/>
            </w:tcMar>
            <w:shd w:val="clear" w:color="auto" w:fill="E5F5FF"/>
          </w:tcPr>
          <w:p>
            <w:pPr>
              <w:pStyle w:val="BDOITable"/>
            </w:pPr>
            <w:r>
              <w:rPr>
                <w:sz w:val="16"/>
              </w:rPr>
              <w:t>Apache 2.0</w:t>
            </w:r>
          </w:p>
        </w:tc>
        <w:tc>
          <w:tcPr>
            <w:tcW w:type="dxa" w:w="2606"/>
            <w:tcMar>
              <w:top w:w="50" w:type="dxa"/>
              <w:bottom w:w="50" w:type="dxa"/>
              <w:left w:w="90" w:type="dxa"/>
              <w:right w:w="90" w:type="dxa"/>
            </w:tcMar>
            <w:shd w:val="clear" w:color="auto" w:fill="E5F5FF"/>
          </w:tcPr>
          <w:p>
            <w:pPr>
              <w:pStyle w:val="BDOITable"/>
            </w:pPr>
            <w:r>
              <w:rPr>
                <w:sz w:val="16"/>
              </w:rPr>
              <w:t>Edge routing (Gateway, HTTPRoute) to the internal load balancer</w:t>
            </w:r>
          </w:p>
        </w:tc>
        <w:tc>
          <w:tcPr>
            <w:tcW w:type="dxa" w:w="2720"/>
            <w:tcMar>
              <w:top w:w="50" w:type="dxa"/>
              <w:bottom w:w="50" w:type="dxa"/>
              <w:left w:w="90" w:type="dxa"/>
              <w:right w:w="90" w:type="dxa"/>
            </w:tcMar>
            <w:shd w:val="clear" w:color="auto" w:fill="E5F5FF"/>
          </w:tcPr>
          <w:p>
            <w:pPr>
              <w:pStyle w:val="BDOITable"/>
            </w:pPr>
            <w:r>
              <w:rPr>
                <w:sz w:val="16"/>
              </w:rPr>
              <w:t>Per release of the controller; checked at each annual technology review</w:t>
            </w:r>
          </w:p>
        </w:tc>
      </w:tr>
    </w:tbl>
    <w:p>
      <w:pPr>
        <w:pStyle w:val="BDOISpacer"/>
      </w:pPr>
    </w:p>
    <w:p>
      <w:pPr>
        <w:pStyle w:val="Caption"/>
        <w:keepNext/>
        <w:spacing w:after="60"/>
      </w:pPr>
      <w:r>
        <w:rPr>
          <w:b/>
          <w:i w:val="0"/>
        </w:rPr>
        <w:t xml:space="preserve">Table 18: </w:t>
      </w:r>
      <w:r>
        <w:rPr/>
        <w:t>Further platform libraries and tools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1699"/>
        <w:gridCol w:w="1926"/>
        <w:gridCol w:w="4079"/>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6"/>
              </w:rPr>
              <w:t>Library or tool</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6"/>
              </w:rPr>
              <w:t>Version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Licence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6"/>
              </w:rPr>
              <w:t>Use</w:t>
            </w:r>
          </w:p>
        </w:tc>
      </w:tr>
      <w:tr>
        <w:trPr>
          <w:cantSplit w:val="true"/>
        </w:trPr>
        <w:tc>
          <w:tcPr>
            <w:tcW w:type="dxa" w:w="2266"/>
            <w:tcMar>
              <w:top w:w="50" w:type="dxa"/>
              <w:bottom w:w="50" w:type="dxa"/>
              <w:left w:w="90" w:type="dxa"/>
              <w:right w:w="90" w:type="dxa"/>
            </w:tcMar>
          </w:tcPr>
          <w:p>
            <w:pPr>
              <w:pStyle w:val="BDOITable"/>
            </w:pPr>
            <w:r>
              <w:rPr>
                <w:b/>
                <w:sz w:val="16"/>
              </w:rPr>
              <w:t>Spring Security</w:t>
            </w:r>
          </w:p>
        </w:tc>
        <w:tc>
          <w:tcPr>
            <w:tcW w:type="dxa" w:w="1700"/>
            <w:tcMar>
              <w:top w:w="50" w:type="dxa"/>
              <w:bottom w:w="50" w:type="dxa"/>
              <w:left w:w="90" w:type="dxa"/>
              <w:right w:w="90" w:type="dxa"/>
            </w:tcMar>
          </w:tcPr>
          <w:p>
            <w:pPr>
              <w:pStyle w:val="BDOITable"/>
            </w:pPr>
            <w:r>
              <w:rPr>
                <w:sz w:val="16"/>
              </w:rPr>
              <w:t>With Spring Boot 3.5</w:t>
            </w:r>
          </w:p>
        </w:tc>
        <w:tc>
          <w:tcPr>
            <w:tcW w:type="dxa" w:w="1926"/>
            <w:tcMar>
              <w:top w:w="50" w:type="dxa"/>
              <w:bottom w:w="50" w:type="dxa"/>
              <w:left w:w="90" w:type="dxa"/>
              <w:right w:w="90" w:type="dxa"/>
            </w:tcMar>
          </w:tcPr>
          <w:p>
            <w:pPr>
              <w:pStyle w:val="BDOITable"/>
            </w:pPr>
            <w:r>
              <w:rPr>
                <w:sz w:val="16"/>
              </w:rPr>
              <w:t>Apache 2.0</w:t>
            </w:r>
          </w:p>
        </w:tc>
        <w:tc>
          <w:tcPr>
            <w:tcW w:type="dxa" w:w="4079"/>
            <w:tcMar>
              <w:top w:w="50" w:type="dxa"/>
              <w:bottom w:w="50" w:type="dxa"/>
              <w:left w:w="90" w:type="dxa"/>
              <w:right w:w="90" w:type="dxa"/>
            </w:tcMar>
          </w:tcPr>
          <w:p>
            <w:pPr>
              <w:pStyle w:val="BDOITable"/>
            </w:pPr>
            <w:r>
              <w:rPr>
                <w:sz w:val="16"/>
              </w:rPr>
              <w:t>Authentication, OIDC and SAML 2.0 sign-in, method security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6"/>
              </w:rPr>
              <w:t>Hibernate ORM and Spring Data JPA</w:t>
            </w:r>
          </w:p>
        </w:tc>
        <w:tc>
          <w:tcPr>
            <w:tcW w:type="dxa" w:w="1700"/>
            <w:tcMar>
              <w:top w:w="50" w:type="dxa"/>
              <w:bottom w:w="50" w:type="dxa"/>
              <w:left w:w="90" w:type="dxa"/>
              <w:right w:w="90" w:type="dxa"/>
            </w:tcMar>
            <w:shd w:val="clear" w:color="auto" w:fill="E5F5FF"/>
          </w:tcPr>
          <w:p>
            <w:pPr>
              <w:pStyle w:val="BDOITable"/>
            </w:pPr>
            <w:r>
              <w:rPr>
                <w:sz w:val="16"/>
              </w:rPr>
              <w:t>With Spring Boot 3.5</w:t>
            </w:r>
          </w:p>
        </w:tc>
        <w:tc>
          <w:tcPr>
            <w:tcW w:type="dxa" w:w="1926"/>
            <w:tcMar>
              <w:top w:w="50" w:type="dxa"/>
              <w:bottom w:w="50" w:type="dxa"/>
              <w:left w:w="90" w:type="dxa"/>
              <w:right w:w="90" w:type="dxa"/>
            </w:tcMar>
            <w:shd w:val="clear" w:color="auto" w:fill="E5F5FF"/>
          </w:tcPr>
          <w:p>
            <w:pPr>
              <w:pStyle w:val="BDOITable"/>
            </w:pPr>
            <w:r>
              <w:rPr>
                <w:sz w:val="16"/>
              </w:rPr>
              <w:t>LGPL 2.1 (Hibernate), Apache 2.0</w:t>
            </w:r>
          </w:p>
        </w:tc>
        <w:tc>
          <w:tcPr>
            <w:tcW w:type="dxa" w:w="4079"/>
            <w:tcMar>
              <w:top w:w="50" w:type="dxa"/>
              <w:bottom w:w="50" w:type="dxa"/>
              <w:left w:w="90" w:type="dxa"/>
              <w:right w:w="90" w:type="dxa"/>
            </w:tcMar>
            <w:shd w:val="clear" w:color="auto" w:fill="E5F5FF"/>
          </w:tcPr>
          <w:p>
            <w:pPr>
              <w:pStyle w:val="BDOITable"/>
            </w:pPr>
            <w:r>
              <w:rPr>
                <w:sz w:val="16"/>
              </w:rPr>
              <w:t>Persistence of the domain model</w:t>
            </w:r>
          </w:p>
        </w:tc>
      </w:tr>
      <w:tr>
        <w:trPr>
          <w:cantSplit w:val="true"/>
        </w:trPr>
        <w:tc>
          <w:tcPr>
            <w:tcW w:type="dxa" w:w="2266"/>
            <w:tcMar>
              <w:top w:w="50" w:type="dxa"/>
              <w:bottom w:w="50" w:type="dxa"/>
              <w:left w:w="90" w:type="dxa"/>
              <w:right w:w="90" w:type="dxa"/>
            </w:tcMar>
          </w:tcPr>
          <w:p>
            <w:pPr>
              <w:pStyle w:val="BDOITable"/>
            </w:pPr>
            <w:r>
              <w:rPr>
                <w:b/>
                <w:sz w:val="16"/>
              </w:rPr>
              <w:t>Schema migration library (Community edition)</w:t>
            </w:r>
          </w:p>
        </w:tc>
        <w:tc>
          <w:tcPr>
            <w:tcW w:type="dxa" w:w="1700"/>
            <w:tcMar>
              <w:top w:w="50" w:type="dxa"/>
              <w:bottom w:w="50" w:type="dxa"/>
              <w:left w:w="90" w:type="dxa"/>
              <w:right w:w="90" w:type="dxa"/>
            </w:tcMar>
          </w:tcPr>
          <w:p>
            <w:pPr>
              <w:pStyle w:val="BDOITable"/>
            </w:pPr>
            <w:r>
              <w:rPr>
                <w:sz w:val="16"/>
              </w:rPr>
              <w:t>With Spring Boot 3.5</w:t>
            </w:r>
          </w:p>
        </w:tc>
        <w:tc>
          <w:tcPr>
            <w:tcW w:type="dxa" w:w="1926"/>
            <w:tcMar>
              <w:top w:w="50" w:type="dxa"/>
              <w:bottom w:w="50" w:type="dxa"/>
              <w:left w:w="90" w:type="dxa"/>
              <w:right w:w="90" w:type="dxa"/>
            </w:tcMar>
          </w:tcPr>
          <w:p>
            <w:pPr>
              <w:pStyle w:val="BDOITable"/>
            </w:pPr>
            <w:r>
              <w:rPr>
                <w:sz w:val="16"/>
              </w:rPr>
              <w:t>Apache 2.0</w:t>
            </w:r>
          </w:p>
        </w:tc>
        <w:tc>
          <w:tcPr>
            <w:tcW w:type="dxa" w:w="4079"/>
            <w:tcMar>
              <w:top w:w="50" w:type="dxa"/>
              <w:bottom w:w="50" w:type="dxa"/>
              <w:left w:w="90" w:type="dxa"/>
              <w:right w:w="90" w:type="dxa"/>
            </w:tcMar>
          </w:tcPr>
          <w:p>
            <w:pPr>
              <w:pStyle w:val="BDOITable"/>
            </w:pPr>
            <w:r>
              <w:rPr>
                <w:sz w:val="16"/>
              </w:rPr>
              <w:t>Versioned, forward-only schema changes applied at start-up</w:t>
            </w:r>
          </w:p>
        </w:tc>
      </w:tr>
      <w:tr>
        <w:trPr>
          <w:cantSplit w:val="true"/>
        </w:trPr>
        <w:tc>
          <w:tcPr>
            <w:tcW w:type="dxa" w:w="2266"/>
            <w:tcMar>
              <w:top w:w="50" w:type="dxa"/>
              <w:bottom w:w="50" w:type="dxa"/>
              <w:left w:w="90" w:type="dxa"/>
              <w:right w:w="90" w:type="dxa"/>
            </w:tcMar>
            <w:shd w:val="clear" w:color="auto" w:fill="E5F5FF"/>
          </w:tcPr>
          <w:p>
            <w:pPr>
              <w:pStyle w:val="BDOITable"/>
            </w:pPr>
            <w:r>
              <w:rPr>
                <w:b/>
                <w:sz w:val="16"/>
              </w:rPr>
              <w:t>Spring for Apache Kafka</w:t>
            </w:r>
          </w:p>
        </w:tc>
        <w:tc>
          <w:tcPr>
            <w:tcW w:type="dxa" w:w="1700"/>
            <w:tcMar>
              <w:top w:w="50" w:type="dxa"/>
              <w:bottom w:w="50" w:type="dxa"/>
              <w:left w:w="90" w:type="dxa"/>
              <w:right w:w="90" w:type="dxa"/>
            </w:tcMar>
            <w:shd w:val="clear" w:color="auto" w:fill="E5F5FF"/>
          </w:tcPr>
          <w:p>
            <w:pPr>
              <w:pStyle w:val="BDOITable"/>
            </w:pPr>
            <w:r>
              <w:rPr>
                <w:sz w:val="16"/>
              </w:rPr>
              <w:t>With Spring Boot 3.5</w:t>
            </w:r>
          </w:p>
        </w:tc>
        <w:tc>
          <w:tcPr>
            <w:tcW w:type="dxa" w:w="1926"/>
            <w:tcMar>
              <w:top w:w="50" w:type="dxa"/>
              <w:bottom w:w="50" w:type="dxa"/>
              <w:left w:w="90" w:type="dxa"/>
              <w:right w:w="90" w:type="dxa"/>
            </w:tcMar>
            <w:shd w:val="clear" w:color="auto" w:fill="E5F5FF"/>
          </w:tcPr>
          <w:p>
            <w:pPr>
              <w:pStyle w:val="BDOITable"/>
            </w:pPr>
            <w:r>
              <w:rPr>
                <w:sz w:val="16"/>
              </w:rPr>
              <w:t>Apache 2.0</w:t>
            </w:r>
          </w:p>
        </w:tc>
        <w:tc>
          <w:tcPr>
            <w:tcW w:type="dxa" w:w="4079"/>
            <w:tcMar>
              <w:top w:w="50" w:type="dxa"/>
              <w:bottom w:w="50" w:type="dxa"/>
              <w:left w:w="90" w:type="dxa"/>
              <w:right w:w="90" w:type="dxa"/>
            </w:tcMar>
            <w:shd w:val="clear" w:color="auto" w:fill="E5F5FF"/>
          </w:tcPr>
          <w:p>
            <w:pPr>
              <w:pStyle w:val="BDOITable"/>
            </w:pPr>
            <w:r>
              <w:rPr>
                <w:sz w:val="16"/>
              </w:rPr>
              <w:t>Kafka producer of the outbox relay and the consumers</w:t>
            </w:r>
          </w:p>
        </w:tc>
      </w:tr>
      <w:tr>
        <w:trPr>
          <w:cantSplit w:val="true"/>
        </w:trPr>
        <w:tc>
          <w:tcPr>
            <w:tcW w:type="dxa" w:w="2266"/>
            <w:tcMar>
              <w:top w:w="50" w:type="dxa"/>
              <w:bottom w:w="50" w:type="dxa"/>
              <w:left w:w="90" w:type="dxa"/>
              <w:right w:w="90" w:type="dxa"/>
            </w:tcMar>
          </w:tcPr>
          <w:p>
            <w:pPr>
              <w:pStyle w:val="BDOITable"/>
            </w:pPr>
            <w:r>
              <w:rPr>
                <w:b/>
                <w:sz w:val="16"/>
              </w:rPr>
              <w:t>Spring Data Redis with Lettuce</w:t>
            </w:r>
          </w:p>
        </w:tc>
        <w:tc>
          <w:tcPr>
            <w:tcW w:type="dxa" w:w="1700"/>
            <w:tcMar>
              <w:top w:w="50" w:type="dxa"/>
              <w:bottom w:w="50" w:type="dxa"/>
              <w:left w:w="90" w:type="dxa"/>
              <w:right w:w="90" w:type="dxa"/>
            </w:tcMar>
          </w:tcPr>
          <w:p>
            <w:pPr>
              <w:pStyle w:val="BDOITable"/>
            </w:pPr>
            <w:r>
              <w:rPr>
                <w:sz w:val="16"/>
              </w:rPr>
              <w:t>With Spring Boot 3.5</w:t>
            </w:r>
          </w:p>
        </w:tc>
        <w:tc>
          <w:tcPr>
            <w:tcW w:type="dxa" w:w="1926"/>
            <w:tcMar>
              <w:top w:w="50" w:type="dxa"/>
              <w:bottom w:w="50" w:type="dxa"/>
              <w:left w:w="90" w:type="dxa"/>
              <w:right w:w="90" w:type="dxa"/>
            </w:tcMar>
          </w:tcPr>
          <w:p>
            <w:pPr>
              <w:pStyle w:val="BDOITable"/>
            </w:pPr>
            <w:r>
              <w:rPr>
                <w:sz w:val="16"/>
              </w:rPr>
              <w:t>Apache 2.0 / MIT</w:t>
            </w:r>
          </w:p>
        </w:tc>
        <w:tc>
          <w:tcPr>
            <w:tcW w:type="dxa" w:w="4079"/>
            <w:tcMar>
              <w:top w:w="50" w:type="dxa"/>
              <w:bottom w:w="50" w:type="dxa"/>
              <w:left w:w="90" w:type="dxa"/>
              <w:right w:w="90" w:type="dxa"/>
            </w:tcMar>
          </w:tcPr>
          <w:p>
            <w:pPr>
              <w:pStyle w:val="BDOITable"/>
            </w:pPr>
            <w:r>
              <w:rPr>
                <w:sz w:val="16"/>
              </w:rPr>
              <w:t>Valkey client (same protocol)</w:t>
            </w:r>
          </w:p>
        </w:tc>
      </w:tr>
      <w:tr>
        <w:trPr>
          <w:cantSplit w:val="true"/>
        </w:trPr>
        <w:tc>
          <w:tcPr>
            <w:tcW w:type="dxa" w:w="2266"/>
            <w:tcMar>
              <w:top w:w="50" w:type="dxa"/>
              <w:bottom w:w="50" w:type="dxa"/>
              <w:left w:w="90" w:type="dxa"/>
              <w:right w:w="90" w:type="dxa"/>
            </w:tcMar>
            <w:shd w:val="clear" w:color="auto" w:fill="E5F5FF"/>
          </w:tcPr>
          <w:p>
            <w:pPr>
              <w:pStyle w:val="BDOITable"/>
            </w:pPr>
            <w:r>
              <w:rPr>
                <w:b/>
                <w:sz w:val="16"/>
              </w:rPr>
              <w:t>springdoc-openapi</w:t>
            </w:r>
          </w:p>
        </w:tc>
        <w:tc>
          <w:tcPr>
            <w:tcW w:type="dxa" w:w="1700"/>
            <w:tcMar>
              <w:top w:w="50" w:type="dxa"/>
              <w:bottom w:w="50" w:type="dxa"/>
              <w:left w:w="90" w:type="dxa"/>
              <w:right w:w="90" w:type="dxa"/>
            </w:tcMar>
            <w:shd w:val="clear" w:color="auto" w:fill="E5F5FF"/>
          </w:tcPr>
          <w:p>
            <w:pPr>
              <w:pStyle w:val="BDOITable"/>
            </w:pPr>
            <w:r>
              <w:rPr>
                <w:sz w:val="16"/>
              </w:rPr>
              <w:t>2.8</w:t>
            </w:r>
          </w:p>
        </w:tc>
        <w:tc>
          <w:tcPr>
            <w:tcW w:type="dxa" w:w="1926"/>
            <w:tcMar>
              <w:top w:w="50" w:type="dxa"/>
              <w:bottom w:w="50" w:type="dxa"/>
              <w:left w:w="90" w:type="dxa"/>
              <w:right w:w="90" w:type="dxa"/>
            </w:tcMar>
            <w:shd w:val="clear" w:color="auto" w:fill="E5F5FF"/>
          </w:tcPr>
          <w:p>
            <w:pPr>
              <w:pStyle w:val="BDOITable"/>
            </w:pPr>
            <w:r>
              <w:rPr>
                <w:sz w:val="16"/>
              </w:rPr>
              <w:t>Apache 2.0</w:t>
            </w:r>
          </w:p>
        </w:tc>
        <w:tc>
          <w:tcPr>
            <w:tcW w:type="dxa" w:w="4079"/>
            <w:tcMar>
              <w:top w:w="50" w:type="dxa"/>
              <w:bottom w:w="50" w:type="dxa"/>
              <w:left w:w="90" w:type="dxa"/>
              <w:right w:w="90" w:type="dxa"/>
            </w:tcMar>
            <w:shd w:val="clear" w:color="auto" w:fill="E5F5FF"/>
          </w:tcPr>
          <w:p>
            <w:pPr>
              <w:pStyle w:val="BDOITable"/>
            </w:pPr>
            <w:r>
              <w:rPr>
                <w:sz w:val="16"/>
              </w:rPr>
              <w:t>OpenAPI 3 description of the user interface operations (developer environments only)</w:t>
            </w:r>
          </w:p>
        </w:tc>
      </w:tr>
      <w:tr>
        <w:trPr>
          <w:cantSplit w:val="true"/>
        </w:trPr>
        <w:tc>
          <w:tcPr>
            <w:tcW w:type="dxa" w:w="2266"/>
            <w:tcMar>
              <w:top w:w="50" w:type="dxa"/>
              <w:bottom w:w="50" w:type="dxa"/>
              <w:left w:w="90" w:type="dxa"/>
              <w:right w:w="90" w:type="dxa"/>
            </w:tcMar>
          </w:tcPr>
          <w:p>
            <w:pPr>
              <w:pStyle w:val="BDOITable"/>
            </w:pPr>
            <w:r>
              <w:rPr>
                <w:b/>
                <w:sz w:val="16"/>
              </w:rPr>
              <w:t>OpenPDF and Apache POI</w:t>
            </w:r>
          </w:p>
        </w:tc>
        <w:tc>
          <w:tcPr>
            <w:tcW w:type="dxa" w:w="1700"/>
            <w:tcMar>
              <w:top w:w="50" w:type="dxa"/>
              <w:bottom w:w="50" w:type="dxa"/>
              <w:left w:w="90" w:type="dxa"/>
              <w:right w:w="90" w:type="dxa"/>
            </w:tcMar>
          </w:tcPr>
          <w:p>
            <w:pPr>
              <w:pStyle w:val="BDOITable"/>
            </w:pPr>
            <w:r>
              <w:rPr>
                <w:sz w:val="16"/>
              </w:rPr>
              <w:t>OpenPDF 2.0, POI 5.4</w:t>
            </w:r>
          </w:p>
        </w:tc>
        <w:tc>
          <w:tcPr>
            <w:tcW w:type="dxa" w:w="1926"/>
            <w:tcMar>
              <w:top w:w="50" w:type="dxa"/>
              <w:bottom w:w="50" w:type="dxa"/>
              <w:left w:w="90" w:type="dxa"/>
              <w:right w:w="90" w:type="dxa"/>
            </w:tcMar>
          </w:tcPr>
          <w:p>
            <w:pPr>
              <w:pStyle w:val="BDOITable"/>
            </w:pPr>
            <w:r>
              <w:rPr>
                <w:sz w:val="16"/>
              </w:rPr>
              <w:t>LGPL / MPL (OpenPDF), Apache 2.0 (POI)</w:t>
            </w:r>
          </w:p>
        </w:tc>
        <w:tc>
          <w:tcPr>
            <w:tcW w:type="dxa" w:w="4079"/>
            <w:tcMar>
              <w:top w:w="50" w:type="dxa"/>
              <w:bottom w:w="50" w:type="dxa"/>
              <w:left w:w="90" w:type="dxa"/>
              <w:right w:w="90" w:type="dxa"/>
            </w:tcMar>
          </w:tcPr>
          <w:p>
            <w:pPr>
              <w:pStyle w:val="BDOITable"/>
            </w:pPr>
            <w:r>
              <w:rPr>
                <w:sz w:val="16"/>
              </w:rPr>
              <w:t>PDF, Excel and Word renditions of documents and reports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6"/>
              </w:rPr>
              <w:t>AWS SDK for Java v2</w:t>
            </w:r>
          </w:p>
        </w:tc>
        <w:tc>
          <w:tcPr>
            <w:tcW w:type="dxa" w:w="1700"/>
            <w:tcMar>
              <w:top w:w="50" w:type="dxa"/>
              <w:bottom w:w="50" w:type="dxa"/>
              <w:left w:w="90" w:type="dxa"/>
              <w:right w:w="90" w:type="dxa"/>
            </w:tcMar>
            <w:shd w:val="clear" w:color="auto" w:fill="E5F5FF"/>
          </w:tcPr>
          <w:p>
            <w:pPr>
              <w:pStyle w:val="BDOITable"/>
            </w:pPr>
            <w:r>
              <w:rPr>
                <w:sz w:val="16"/>
              </w:rPr>
              <w:t>Current 2.x</w:t>
            </w:r>
          </w:p>
        </w:tc>
        <w:tc>
          <w:tcPr>
            <w:tcW w:type="dxa" w:w="1926"/>
            <w:tcMar>
              <w:top w:w="50" w:type="dxa"/>
              <w:bottom w:w="50" w:type="dxa"/>
              <w:left w:w="90" w:type="dxa"/>
              <w:right w:w="90" w:type="dxa"/>
            </w:tcMar>
            <w:shd w:val="clear" w:color="auto" w:fill="E5F5FF"/>
          </w:tcPr>
          <w:p>
            <w:pPr>
              <w:pStyle w:val="BDOITable"/>
            </w:pPr>
            <w:r>
              <w:rPr>
                <w:sz w:val="16"/>
              </w:rPr>
              <w:t>Apache 2.0</w:t>
            </w:r>
          </w:p>
        </w:tc>
        <w:tc>
          <w:tcPr>
            <w:tcW w:type="dxa" w:w="4079"/>
            <w:tcMar>
              <w:top w:w="50" w:type="dxa"/>
              <w:bottom w:w="50" w:type="dxa"/>
              <w:left w:w="90" w:type="dxa"/>
              <w:right w:w="90" w:type="dxa"/>
            </w:tcMar>
            <w:shd w:val="clear" w:color="auto" w:fill="E5F5FF"/>
          </w:tcPr>
          <w:p>
            <w:pPr>
              <w:pStyle w:val="BDOITable"/>
            </w:pPr>
            <w:r>
              <w:rPr>
                <w:sz w:val="16"/>
              </w:rPr>
              <w:t>S3 file store with SSE-KMS, presigned links</w:t>
            </w:r>
          </w:p>
        </w:tc>
      </w:tr>
      <w:tr>
        <w:trPr>
          <w:cantSplit w:val="true"/>
        </w:trPr>
        <w:tc>
          <w:tcPr>
            <w:tcW w:type="dxa" w:w="2266"/>
            <w:tcMar>
              <w:top w:w="50" w:type="dxa"/>
              <w:bottom w:w="50" w:type="dxa"/>
              <w:left w:w="90" w:type="dxa"/>
              <w:right w:w="90" w:type="dxa"/>
            </w:tcMar>
          </w:tcPr>
          <w:p>
            <w:pPr>
              <w:pStyle w:val="BDOITable"/>
            </w:pPr>
            <w:r>
              <w:rPr>
                <w:b/>
                <w:sz w:val="16"/>
              </w:rPr>
              <w:t>TanStack Query, React Router, Recharts</w:t>
            </w:r>
          </w:p>
        </w:tc>
        <w:tc>
          <w:tcPr>
            <w:tcW w:type="dxa" w:w="1700"/>
            <w:tcMar>
              <w:top w:w="50" w:type="dxa"/>
              <w:bottom w:w="50" w:type="dxa"/>
              <w:left w:w="90" w:type="dxa"/>
              <w:right w:w="90" w:type="dxa"/>
            </w:tcMar>
          </w:tcPr>
          <w:p>
            <w:pPr>
              <w:pStyle w:val="BDOITable"/>
            </w:pPr>
            <w:r>
              <w:rPr>
                <w:sz w:val="16"/>
              </w:rPr>
              <w:t>Pinned in the web client</w:t>
            </w:r>
          </w:p>
        </w:tc>
        <w:tc>
          <w:tcPr>
            <w:tcW w:type="dxa" w:w="1926"/>
            <w:tcMar>
              <w:top w:w="50" w:type="dxa"/>
              <w:bottom w:w="50" w:type="dxa"/>
              <w:left w:w="90" w:type="dxa"/>
              <w:right w:w="90" w:type="dxa"/>
            </w:tcMar>
          </w:tcPr>
          <w:p>
            <w:pPr>
              <w:pStyle w:val="BDOITable"/>
            </w:pPr>
            <w:r>
              <w:rPr>
                <w:sz w:val="16"/>
              </w:rPr>
              <w:t>MIT</w:t>
            </w:r>
          </w:p>
        </w:tc>
        <w:tc>
          <w:tcPr>
            <w:tcW w:type="dxa" w:w="4079"/>
            <w:tcMar>
              <w:top w:w="50" w:type="dxa"/>
              <w:bottom w:w="50" w:type="dxa"/>
              <w:left w:w="90" w:type="dxa"/>
              <w:right w:w="90" w:type="dxa"/>
            </w:tcMar>
          </w:tcPr>
          <w:p>
            <w:pPr>
              <w:pStyle w:val="BDOITable"/>
            </w:pPr>
            <w:r>
              <w:rPr>
                <w:sz w:val="16"/>
              </w:rPr>
              <w:t>Web client data access, navigation, charts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6"/>
              </w:rPr>
              <w:t>cert-manager with the AWS Private CA issuer</w:t>
            </w:r>
          </w:p>
        </w:tc>
        <w:tc>
          <w:tcPr>
            <w:tcW w:type="dxa" w:w="1700"/>
            <w:tcMar>
              <w:top w:w="50" w:type="dxa"/>
              <w:bottom w:w="50" w:type="dxa"/>
              <w:left w:w="90" w:type="dxa"/>
              <w:right w:w="90" w:type="dxa"/>
            </w:tcMar>
            <w:shd w:val="clear" w:color="auto" w:fill="E5F5FF"/>
          </w:tcPr>
          <w:p>
            <w:pPr>
              <w:pStyle w:val="BDOITable"/>
            </w:pPr>
            <w:r>
              <w:rPr>
                <w:sz w:val="16"/>
              </w:rPr>
              <w:t>Current release</w:t>
            </w:r>
          </w:p>
        </w:tc>
        <w:tc>
          <w:tcPr>
            <w:tcW w:type="dxa" w:w="1926"/>
            <w:tcMar>
              <w:top w:w="50" w:type="dxa"/>
              <w:bottom w:w="50" w:type="dxa"/>
              <w:left w:w="90" w:type="dxa"/>
              <w:right w:w="90" w:type="dxa"/>
            </w:tcMar>
            <w:shd w:val="clear" w:color="auto" w:fill="E5F5FF"/>
          </w:tcPr>
          <w:p>
            <w:pPr>
              <w:pStyle w:val="BDOITable"/>
            </w:pPr>
            <w:r>
              <w:rPr>
                <w:sz w:val="16"/>
              </w:rPr>
              <w:t>Apache 2.0</w:t>
            </w:r>
          </w:p>
        </w:tc>
        <w:tc>
          <w:tcPr>
            <w:tcW w:type="dxa" w:w="4079"/>
            <w:tcMar>
              <w:top w:w="50" w:type="dxa"/>
              <w:bottom w:w="50" w:type="dxa"/>
              <w:left w:w="90" w:type="dxa"/>
              <w:right w:w="90" w:type="dxa"/>
            </w:tcMar>
            <w:shd w:val="clear" w:color="auto" w:fill="E5F5FF"/>
          </w:tcPr>
          <w:p>
            <w:pPr>
              <w:pStyle w:val="BDOITable"/>
            </w:pPr>
            <w:r>
              <w:rPr>
                <w:sz w:val="16"/>
              </w:rPr>
              <w:t>In-cluster certificates, rotated automatically</w:t>
            </w:r>
          </w:p>
        </w:tc>
      </w:tr>
    </w:tbl>
    <w:p>
      <w:pPr>
        <w:pStyle w:val="BDOISpacer"/>
      </w:pPr>
    </w:p>
    <w:p>
      <w:r>
        <w:rPr/>
        <w:t>The baseline is reviewed every year and before go-live (first review 31-Jan-2027, second in October 2027 before the ORR): each support date is checked against the upstream or AWS pages, components that reach their support end within the next twelve months are planned for upgrade, and this table is re-issued. Every component is under a licence that allows commercial use without a fee; none is source-available (ADR-04).</w:t>
      </w:r>
    </w:p>
    <w:p>
      <w:pPr>
        <w:pStyle w:val="Heading1"/>
        <w:pBdr>
          <w:bottom w:val="single" w:sz="4" w:space="4" w:color="99C1E7"/>
        </w:pBdr>
      </w:pPr>
      <w:bookmarkStart w:id="121" w:name="_Toc000121"/>
      <w:r>
        <w:rPr/>
        <w:t>11 Responsibilities</w:t>
      </w:r>
      <w:bookmarkEnd w:id="121"/>
    </w:p>
    <w:p>
      <w:pPr>
        <w:pStyle w:val="Caption"/>
        <w:keepNext/>
        <w:spacing w:after="60"/>
      </w:pPr>
      <w:r>
        <w:rPr>
          <w:b/>
          <w:i w:val="0"/>
        </w:rPr>
        <w:t xml:space="preserve">Table 19: </w:t>
      </w:r>
      <w:r>
        <w:rPr/>
        <w:t>Infrastructure responsibilities (R responsible, A accountable, C consulted, I informed)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59"/>
        <w:gridCol w:w="1359"/>
        <w:gridCol w:w="1359"/>
        <w:gridCol w:w="1359"/>
        <w:gridCol w:w="1359"/>
        <w:gridCol w:w="1473"/>
      </w:tblGrid>
      <w:tr>
        <w:trPr>
          <w:tblHeader w:val="true"/>
          <w:cantSplit w:val="true"/>
        </w:trPr>
        <w:tc>
          <w:tcPr>
            <w:tcW w:type="dxa" w:w="3060"/>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BDO IT Cloud and Digital Operations</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BDO network</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BDOI Information Security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BDOI IT Operations and DBA</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6"/>
              </w:rPr>
              <w:t>iorta TechNXT</w:t>
            </w:r>
          </w:p>
        </w:tc>
      </w:tr>
      <w:tr>
        <w:trPr>
          <w:cantSplit w:val="true"/>
        </w:trPr>
        <w:tc>
          <w:tcPr>
            <w:tcW w:type="dxa" w:w="3060"/>
            <w:tcMar>
              <w:top w:w="50" w:type="dxa"/>
              <w:bottom w:w="50" w:type="dxa"/>
              <w:left w:w="90" w:type="dxa"/>
              <w:right w:w="90" w:type="dxa"/>
            </w:tcMar>
          </w:tcPr>
          <w:p>
            <w:pPr>
              <w:pStyle w:val="BDOITable"/>
            </w:pPr>
            <w:r>
              <w:rPr>
                <w:b/>
                <w:sz w:val="16"/>
              </w:rPr>
              <w:t>AWS accounts, VPCs, subnets</w:t>
            </w:r>
          </w:p>
        </w:tc>
        <w:tc>
          <w:tcPr>
            <w:tcW w:type="dxa" w:w="1360"/>
            <w:tcMar>
              <w:top w:w="50" w:type="dxa"/>
              <w:bottom w:w="50" w:type="dxa"/>
              <w:left w:w="90" w:type="dxa"/>
              <w:right w:w="90" w:type="dxa"/>
            </w:tcMar>
          </w:tcPr>
          <w:p>
            <w:pPr>
              <w:pStyle w:val="BDOITable"/>
            </w:pPr>
            <w:r>
              <w:rPr>
                <w:sz w:val="16"/>
              </w:rPr>
              <w:t>A, R</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I</w:t>
            </w:r>
          </w:p>
        </w:tc>
        <w:tc>
          <w:tcPr>
            <w:tcW w:type="dxa" w:w="1473"/>
            <w:tcMar>
              <w:top w:w="50" w:type="dxa"/>
              <w:bottom w:w="50" w:type="dxa"/>
              <w:left w:w="90" w:type="dxa"/>
              <w:right w:w="90" w:type="dxa"/>
            </w:tcMar>
          </w:tcPr>
          <w:p>
            <w:pPr>
              <w:pStyle w:val="BDOITable"/>
            </w:pPr>
            <w:r>
              <w:rPr>
                <w:sz w:val="16"/>
              </w:rPr>
              <w:t>C</w:t>
            </w:r>
          </w:p>
        </w:tc>
      </w:tr>
      <w:tr>
        <w:trPr>
          <w:cantSplit w:val="true"/>
        </w:trPr>
        <w:tc>
          <w:tcPr>
            <w:tcW w:type="dxa" w:w="3060"/>
            <w:tcMar>
              <w:top w:w="50" w:type="dxa"/>
              <w:bottom w:w="50" w:type="dxa"/>
              <w:left w:w="90" w:type="dxa"/>
              <w:right w:w="90" w:type="dxa"/>
            </w:tcMar>
            <w:shd w:val="clear" w:color="auto" w:fill="E5F5FF"/>
          </w:tcPr>
          <w:p>
            <w:pPr>
              <w:pStyle w:val="BDOITable"/>
            </w:pPr>
            <w:r>
              <w:rPr>
                <w:b/>
                <w:sz w:val="16"/>
              </w:rPr>
              <w:t>Direct Connect, VPN, Apigee private route</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A, R</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473"/>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060"/>
            <w:tcMar>
              <w:top w:w="50" w:type="dxa"/>
              <w:bottom w:w="50" w:type="dxa"/>
              <w:left w:w="90" w:type="dxa"/>
              <w:right w:w="90" w:type="dxa"/>
            </w:tcMar>
          </w:tcPr>
          <w:p>
            <w:pPr>
              <w:pStyle w:val="BDOITable"/>
            </w:pPr>
            <w:r>
              <w:rPr>
                <w:b/>
                <w:sz w:val="16"/>
              </w:rPr>
              <w:t>EKS clusters and add-ons</w:t>
            </w:r>
          </w:p>
        </w:tc>
        <w:tc>
          <w:tcPr>
            <w:tcW w:type="dxa" w:w="1360"/>
            <w:tcMar>
              <w:top w:w="50" w:type="dxa"/>
              <w:bottom w:w="50" w:type="dxa"/>
              <w:left w:w="90" w:type="dxa"/>
              <w:right w:w="90" w:type="dxa"/>
            </w:tcMar>
          </w:tcPr>
          <w:p>
            <w:pPr>
              <w:pStyle w:val="BDOITable"/>
            </w:pPr>
            <w:r>
              <w:rPr>
                <w:sz w:val="16"/>
              </w:rPr>
              <w:t>A, R</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I</w:t>
            </w:r>
          </w:p>
        </w:tc>
        <w:tc>
          <w:tcPr>
            <w:tcW w:type="dxa" w:w="1473"/>
            <w:tcMar>
              <w:top w:w="50" w:type="dxa"/>
              <w:bottom w:w="50" w:type="dxa"/>
              <w:left w:w="90" w:type="dxa"/>
              <w:right w:w="90" w:type="dxa"/>
            </w:tcMar>
          </w:tcPr>
          <w:p>
            <w:pPr>
              <w:pStyle w:val="BDOITable"/>
            </w:pPr>
            <w:r>
              <w:rPr>
                <w:sz w:val="16"/>
              </w:rPr>
              <w:t>C</w:t>
            </w:r>
          </w:p>
        </w:tc>
      </w:tr>
      <w:tr>
        <w:trPr>
          <w:cantSplit w:val="true"/>
        </w:trPr>
        <w:tc>
          <w:tcPr>
            <w:tcW w:type="dxa" w:w="3060"/>
            <w:tcMar>
              <w:top w:w="50" w:type="dxa"/>
              <w:bottom w:w="50" w:type="dxa"/>
              <w:left w:w="90" w:type="dxa"/>
              <w:right w:w="90" w:type="dxa"/>
            </w:tcMar>
            <w:shd w:val="clear" w:color="auto" w:fill="E5F5FF"/>
          </w:tcPr>
          <w:p>
            <w:pPr>
              <w:pStyle w:val="BDOITable"/>
            </w:pPr>
            <w:r>
              <w:rPr>
                <w:b/>
                <w:sz w:val="16"/>
              </w:rPr>
              <w:t>RDS, ElastiCache, MSK, S3 provisioning</w:t>
            </w:r>
          </w:p>
        </w:tc>
        <w:tc>
          <w:tcPr>
            <w:tcW w:type="dxa" w:w="1360"/>
            <w:tcMar>
              <w:top w:w="50" w:type="dxa"/>
              <w:bottom w:w="50" w:type="dxa"/>
              <w:left w:w="90" w:type="dxa"/>
              <w:right w:w="90" w:type="dxa"/>
            </w:tcMar>
            <w:shd w:val="clear" w:color="auto" w:fill="E5F5FF"/>
          </w:tcPr>
          <w:p>
            <w:pPr>
              <w:pStyle w:val="BDOITable"/>
            </w:pPr>
            <w:r>
              <w:rPr>
                <w:sz w:val="16"/>
              </w:rPr>
              <w:t>A, R</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473"/>
            <w:tcMar>
              <w:top w:w="50" w:type="dxa"/>
              <w:bottom w:w="50" w:type="dxa"/>
              <w:left w:w="90" w:type="dxa"/>
              <w:right w:w="90" w:type="dxa"/>
            </w:tcMar>
            <w:shd w:val="clear" w:color="auto" w:fill="E5F5FF"/>
          </w:tcPr>
          <w:p>
            <w:pPr>
              <w:pStyle w:val="BDOITable"/>
            </w:pPr>
            <w:r>
              <w:rPr>
                <w:sz w:val="16"/>
              </w:rPr>
              <w:t>C</w:t>
            </w:r>
          </w:p>
        </w:tc>
      </w:tr>
      <w:tr>
        <w:trPr>
          <w:cantSplit w:val="true"/>
        </w:trPr>
        <w:tc>
          <w:tcPr>
            <w:tcW w:type="dxa" w:w="3060"/>
            <w:tcMar>
              <w:top w:w="50" w:type="dxa"/>
              <w:bottom w:w="50" w:type="dxa"/>
              <w:left w:w="90" w:type="dxa"/>
              <w:right w:w="90" w:type="dxa"/>
            </w:tcMar>
          </w:tcPr>
          <w:p>
            <w:pPr>
              <w:pStyle w:val="BDOITable"/>
            </w:pPr>
            <w:r>
              <w:rPr>
                <w:b/>
                <w:sz w:val="16"/>
              </w:rPr>
              <w:t>KMS keys and key policies</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A, R</w:t>
            </w:r>
          </w:p>
        </w:tc>
        <w:tc>
          <w:tcPr>
            <w:tcW w:type="dxa" w:w="1360"/>
            <w:tcMar>
              <w:top w:w="50" w:type="dxa"/>
              <w:bottom w:w="50" w:type="dxa"/>
              <w:left w:w="90" w:type="dxa"/>
              <w:right w:w="90" w:type="dxa"/>
            </w:tcMar>
          </w:tcPr>
          <w:p>
            <w:pPr>
              <w:pStyle w:val="BDOITable"/>
            </w:pPr>
            <w:r>
              <w:rPr>
                <w:sz w:val="16"/>
              </w:rPr>
              <w:t>I</w:t>
            </w:r>
          </w:p>
        </w:tc>
        <w:tc>
          <w:tcPr>
            <w:tcW w:type="dxa" w:w="1473"/>
            <w:tcMar>
              <w:top w:w="50" w:type="dxa"/>
              <w:bottom w:w="50" w:type="dxa"/>
              <w:left w:w="90" w:type="dxa"/>
              <w:right w:w="90" w:type="dxa"/>
            </w:tcMar>
          </w:tcPr>
          <w:p>
            <w:pPr>
              <w:pStyle w:val="BDOITable"/>
            </w:pPr>
            <w:r>
              <w:rPr>
                <w:sz w:val="16"/>
              </w:rPr>
              <w:t>I</w:t>
            </w:r>
          </w:p>
        </w:tc>
      </w:tr>
      <w:tr>
        <w:trPr>
          <w:cantSplit w:val="true"/>
        </w:trPr>
        <w:tc>
          <w:tcPr>
            <w:tcW w:type="dxa" w:w="3060"/>
            <w:tcMar>
              <w:top w:w="50" w:type="dxa"/>
              <w:bottom w:w="50" w:type="dxa"/>
              <w:left w:w="90" w:type="dxa"/>
              <w:right w:w="90" w:type="dxa"/>
            </w:tcMar>
            <w:shd w:val="clear" w:color="auto" w:fill="E5F5FF"/>
          </w:tcPr>
          <w:p>
            <w:pPr>
              <w:pStyle w:val="BDOITable"/>
            </w:pPr>
            <w:r>
              <w:rPr>
                <w:b/>
                <w:sz w:val="16"/>
              </w:rPr>
              <w:t>Backups and restore tests</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A, R</w:t>
            </w:r>
          </w:p>
        </w:tc>
        <w:tc>
          <w:tcPr>
            <w:tcW w:type="dxa" w:w="1473"/>
            <w:tcMar>
              <w:top w:w="50" w:type="dxa"/>
              <w:bottom w:w="50" w:type="dxa"/>
              <w:left w:w="90" w:type="dxa"/>
              <w:right w:w="90" w:type="dxa"/>
            </w:tcMar>
            <w:shd w:val="clear" w:color="auto" w:fill="E5F5FF"/>
          </w:tcPr>
          <w:p>
            <w:pPr>
              <w:pStyle w:val="BDOITable"/>
            </w:pPr>
            <w:r>
              <w:rPr>
                <w:sz w:val="16"/>
              </w:rPr>
              <w:t>C</w:t>
            </w:r>
          </w:p>
        </w:tc>
      </w:tr>
      <w:tr>
        <w:trPr>
          <w:cantSplit w:val="true"/>
        </w:trPr>
        <w:tc>
          <w:tcPr>
            <w:tcW w:type="dxa" w:w="3060"/>
            <w:tcMar>
              <w:top w:w="50" w:type="dxa"/>
              <w:bottom w:w="50" w:type="dxa"/>
              <w:left w:w="90" w:type="dxa"/>
              <w:right w:w="90" w:type="dxa"/>
            </w:tcMar>
          </w:tcPr>
          <w:p>
            <w:pPr>
              <w:pStyle w:val="BDOITable"/>
            </w:pPr>
            <w:r>
              <w:rPr>
                <w:b/>
                <w:sz w:val="16"/>
              </w:rPr>
              <w:t>DR test</w:t>
            </w:r>
          </w:p>
        </w:tc>
        <w:tc>
          <w:tcPr>
            <w:tcW w:type="dxa" w:w="1360"/>
            <w:tcMar>
              <w:top w:w="50" w:type="dxa"/>
              <w:bottom w:w="50" w:type="dxa"/>
              <w:left w:w="90" w:type="dxa"/>
              <w:right w:w="90" w:type="dxa"/>
            </w:tcMar>
          </w:tcPr>
          <w:p>
            <w:pPr>
              <w:pStyle w:val="BDOITable"/>
            </w:pPr>
            <w:r>
              <w:rPr>
                <w:sz w:val="16"/>
              </w:rPr>
              <w:t>R</w:t>
            </w:r>
          </w:p>
        </w:tc>
        <w:tc>
          <w:tcPr>
            <w:tcW w:type="dxa" w:w="1360"/>
            <w:tcMar>
              <w:top w:w="50" w:type="dxa"/>
              <w:bottom w:w="50" w:type="dxa"/>
              <w:left w:w="90" w:type="dxa"/>
              <w:right w:w="90" w:type="dxa"/>
            </w:tcMar>
          </w:tcPr>
          <w:p>
            <w:pPr>
              <w:pStyle w:val="BDOITable"/>
            </w:pPr>
            <w:r>
              <w:rPr>
                <w:sz w:val="16"/>
              </w:rPr>
              <w:t>R</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A</w:t>
            </w:r>
          </w:p>
        </w:tc>
        <w:tc>
          <w:tcPr>
            <w:tcW w:type="dxa" w:w="1473"/>
            <w:tcMar>
              <w:top w:w="50" w:type="dxa"/>
              <w:bottom w:w="50" w:type="dxa"/>
              <w:left w:w="90" w:type="dxa"/>
              <w:right w:w="90" w:type="dxa"/>
            </w:tcMar>
          </w:tcPr>
          <w:p>
            <w:pPr>
              <w:pStyle w:val="BDOITable"/>
            </w:pPr>
            <w:r>
              <w:rPr>
                <w:sz w:val="16"/>
              </w:rPr>
              <w:t>R</w:t>
            </w:r>
          </w:p>
        </w:tc>
      </w:tr>
      <w:tr>
        <w:trPr>
          <w:cantSplit w:val="true"/>
        </w:trPr>
        <w:tc>
          <w:tcPr>
            <w:tcW w:type="dxa" w:w="3060"/>
            <w:tcMar>
              <w:top w:w="50" w:type="dxa"/>
              <w:bottom w:w="50" w:type="dxa"/>
              <w:left w:w="90" w:type="dxa"/>
              <w:right w:w="90" w:type="dxa"/>
            </w:tcMar>
            <w:shd w:val="clear" w:color="auto" w:fill="E5F5FF"/>
          </w:tcPr>
          <w:p>
            <w:pPr>
              <w:pStyle w:val="BDOITable"/>
            </w:pPr>
            <w:r>
              <w:rPr>
                <w:b/>
                <w:sz w:val="16"/>
              </w:rPr>
              <w:t>Monitoring and alert routing</w:t>
            </w:r>
          </w:p>
        </w:tc>
        <w:tc>
          <w:tcPr>
            <w:tcW w:type="dxa" w:w="1360"/>
            <w:tcMar>
              <w:top w:w="50" w:type="dxa"/>
              <w:bottom w:w="50" w:type="dxa"/>
              <w:left w:w="90" w:type="dxa"/>
              <w:right w:w="90" w:type="dxa"/>
            </w:tcMar>
            <w:shd w:val="clear" w:color="auto" w:fill="E5F5FF"/>
          </w:tcPr>
          <w:p>
            <w:pPr>
              <w:pStyle w:val="BDOITable"/>
            </w:pPr>
            <w:r>
              <w:rPr>
                <w:sz w:val="16"/>
              </w:rPr>
              <w:t>R</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A</w:t>
            </w:r>
          </w:p>
        </w:tc>
        <w:tc>
          <w:tcPr>
            <w:tcW w:type="dxa" w:w="1473"/>
            <w:tcMar>
              <w:top w:w="50" w:type="dxa"/>
              <w:bottom w:w="50" w:type="dxa"/>
              <w:left w:w="90" w:type="dxa"/>
              <w:right w:w="90" w:type="dxa"/>
            </w:tcMar>
            <w:shd w:val="clear" w:color="auto" w:fill="E5F5FF"/>
          </w:tcPr>
          <w:p>
            <w:pPr>
              <w:pStyle w:val="BDOITable"/>
            </w:pPr>
            <w:r>
              <w:rPr>
                <w:sz w:val="16"/>
              </w:rPr>
              <w:t>C</w:t>
            </w:r>
          </w:p>
        </w:tc>
      </w:tr>
      <w:tr>
        <w:trPr>
          <w:cantSplit w:val="true"/>
        </w:trPr>
        <w:tc>
          <w:tcPr>
            <w:tcW w:type="dxa" w:w="3060"/>
            <w:tcMar>
              <w:top w:w="50" w:type="dxa"/>
              <w:bottom w:w="50" w:type="dxa"/>
              <w:left w:w="90" w:type="dxa"/>
              <w:right w:w="90" w:type="dxa"/>
            </w:tcMar>
          </w:tcPr>
          <w:p>
            <w:pPr>
              <w:pStyle w:val="BDOITable"/>
            </w:pPr>
            <w:r>
              <w:rPr>
                <w:b/>
                <w:sz w:val="16"/>
              </w:rPr>
              <w:t>Sizing and annual technology review</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C</w:t>
            </w:r>
          </w:p>
        </w:tc>
        <w:tc>
          <w:tcPr>
            <w:tcW w:type="dxa" w:w="1473"/>
            <w:tcMar>
              <w:top w:w="50" w:type="dxa"/>
              <w:bottom w:w="50" w:type="dxa"/>
              <w:left w:w="90" w:type="dxa"/>
              <w:right w:w="90" w:type="dxa"/>
            </w:tcMar>
          </w:tcPr>
          <w:p>
            <w:pPr>
              <w:pStyle w:val="BDOITable"/>
            </w:pPr>
            <w:r>
              <w:rPr>
                <w:sz w:val="16"/>
              </w:rPr>
              <w:t>R (A: BDOI Enterprise Architecture)</w:t>
            </w:r>
          </w:p>
        </w:tc>
      </w:tr>
    </w:tbl>
    <w:p>
      <w:pPr>
        <w:pStyle w:val="BDOISpacer"/>
      </w:pPr>
    </w:p>
    <w:p>
      <w:pPr>
        <w:pStyle w:val="Heading1"/>
        <w:pBdr>
          <w:bottom w:val="single" w:sz="4" w:space="4" w:color="99C1E7"/>
        </w:pBdr>
      </w:pPr>
      <w:bookmarkStart w:id="122" w:name="_Toc000122"/>
      <w:r>
        <w:rPr/>
        <w:t>12 Decisions and open points for BDOI</w:t>
      </w:r>
      <w:bookmarkEnd w:id="122"/>
    </w:p>
    <w:p>
      <w:pPr>
        <w:pStyle w:val="Caption"/>
        <w:keepNext/>
        <w:spacing w:after="60"/>
      </w:pPr>
      <w:r>
        <w:rPr>
          <w:b/>
          <w:i w:val="0"/>
        </w:rPr>
        <w:t xml:space="preserve">Table 20: </w:t>
      </w:r>
      <w:r>
        <w:rPr/>
        <w:t>Decisions and open points for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1699"/>
        <w:gridCol w:w="4759"/>
        <w:gridCol w:w="1586"/>
        <w:gridCol w:w="12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4759"/>
            <w:shd w:val="clear" w:color="auto" w:fill="004EA8"/>
            <w:tcMar>
              <w:top w:w="50" w:type="dxa"/>
              <w:bottom w:w="50" w:type="dxa"/>
              <w:left w:w="90" w:type="dxa"/>
              <w:right w:w="90" w:type="dxa"/>
            </w:tcMar>
            <w:vAlign w:val="center"/>
          </w:tcPr>
          <w:p>
            <w:pPr>
              <w:pStyle w:val="BDOITableHeader"/>
            </w:pPr>
            <w:r>
              <w:rPr>
                <w:b/>
                <w:color w:val="FFFFFF"/>
                <w:sz w:val="16"/>
              </w:rPr>
              <w:t>Our proposal</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Needed by</w:t>
            </w:r>
          </w:p>
        </w:tc>
      </w:tr>
      <w:tr>
        <w:trPr>
          <w:cantSplit w:val="true"/>
        </w:trPr>
        <w:tc>
          <w:tcPr>
            <w:tcW w:type="dxa" w:w="680"/>
            <w:tcMar>
              <w:top w:w="50" w:type="dxa"/>
              <w:bottom w:w="50" w:type="dxa"/>
              <w:left w:w="90" w:type="dxa"/>
              <w:right w:w="90" w:type="dxa"/>
            </w:tcMar>
          </w:tcPr>
          <w:p>
            <w:pPr>
              <w:pStyle w:val="BDOITable"/>
            </w:pPr>
            <w:r>
              <w:rPr>
                <w:b/>
                <w:sz w:val="16"/>
              </w:rPr>
              <w:t>IA-01</w:t>
            </w:r>
          </w:p>
        </w:tc>
        <w:tc>
          <w:tcPr>
            <w:tcW w:type="dxa" w:w="1700"/>
            <w:tcMar>
              <w:top w:w="50" w:type="dxa"/>
              <w:bottom w:w="50" w:type="dxa"/>
              <w:left w:w="90" w:type="dxa"/>
              <w:right w:w="90" w:type="dxa"/>
            </w:tcMar>
          </w:tcPr>
          <w:p>
            <w:pPr>
              <w:pStyle w:val="BDOITable"/>
            </w:pPr>
            <w:r>
              <w:rPr>
                <w:sz w:val="16"/>
              </w:rPr>
              <w:t>AWS account structure</w:t>
            </w:r>
          </w:p>
        </w:tc>
        <w:tc>
          <w:tcPr>
            <w:tcW w:type="dxa" w:w="4759"/>
            <w:tcMar>
              <w:top w:w="50" w:type="dxa"/>
              <w:bottom w:w="50" w:type="dxa"/>
              <w:left w:w="90" w:type="dxa"/>
              <w:right w:w="90" w:type="dxa"/>
            </w:tcMar>
          </w:tcPr>
          <w:p>
            <w:pPr>
              <w:pStyle w:val="BDOITable"/>
            </w:pPr>
            <w:r>
              <w:rPr>
                <w:sz w:val="16"/>
              </w:rPr>
              <w:t>Three accounts: non-production (DEV, SIT, UAT), Pre-Prod, production with DR; separate keys and secrets per account</w:t>
            </w:r>
          </w:p>
        </w:tc>
        <w:tc>
          <w:tcPr>
            <w:tcW w:type="dxa" w:w="1586"/>
            <w:tcMar>
              <w:top w:w="50" w:type="dxa"/>
              <w:bottom w:w="50" w:type="dxa"/>
              <w:left w:w="90" w:type="dxa"/>
              <w:right w:w="90" w:type="dxa"/>
            </w:tcMar>
          </w:tcPr>
          <w:p>
            <w:pPr>
              <w:pStyle w:val="BDOITable"/>
            </w:pPr>
            <w:r>
              <w:rPr>
                <w:sz w:val="16"/>
              </w:rPr>
              <w:t>BDO IT Cloud</w:t>
            </w:r>
          </w:p>
        </w:tc>
        <w:tc>
          <w:tcPr>
            <w:tcW w:type="dxa" w:w="1246"/>
            <w:tcMar>
              <w:top w:w="50" w:type="dxa"/>
              <w:bottom w:w="50" w:type="dxa"/>
              <w:left w:w="90" w:type="dxa"/>
              <w:right w:w="90" w:type="dxa"/>
            </w:tcMar>
          </w:tcPr>
          <w:p>
            <w:pPr>
              <w:pStyle w:val="BDOITable"/>
            </w:pPr>
            <w:r>
              <w:rPr>
                <w:sz w:val="16"/>
              </w:rPr>
              <w:t>30-Nov-2026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IA-02</w:t>
            </w:r>
          </w:p>
        </w:tc>
        <w:tc>
          <w:tcPr>
            <w:tcW w:type="dxa" w:w="1700"/>
            <w:tcMar>
              <w:top w:w="50" w:type="dxa"/>
              <w:bottom w:w="50" w:type="dxa"/>
              <w:left w:w="90" w:type="dxa"/>
              <w:right w:w="90" w:type="dxa"/>
            </w:tcMar>
            <w:shd w:val="clear" w:color="auto" w:fill="E5F5FF"/>
          </w:tcPr>
          <w:p>
            <w:pPr>
              <w:pStyle w:val="BDOITable"/>
            </w:pPr>
            <w:r>
              <w:rPr>
                <w:sz w:val="16"/>
              </w:rPr>
              <w:t>Infrastructure as code</w:t>
            </w:r>
          </w:p>
        </w:tc>
        <w:tc>
          <w:tcPr>
            <w:tcW w:type="dxa" w:w="4759"/>
            <w:tcMar>
              <w:top w:w="50" w:type="dxa"/>
              <w:bottom w:w="50" w:type="dxa"/>
              <w:left w:w="90" w:type="dxa"/>
              <w:right w:w="90" w:type="dxa"/>
            </w:tcMar>
            <w:shd w:val="clear" w:color="auto" w:fill="E5F5FF"/>
          </w:tcPr>
          <w:p>
            <w:pPr>
              <w:pStyle w:val="BDOITable"/>
            </w:pPr>
            <w:r>
              <w:rPr>
                <w:sz w:val="16"/>
              </w:rPr>
              <w:t>Terraform modules owned by BDO IT Cloud for accounts, networks, EKS, RDS, ElastiCache, MSK, S3, KMS; iorta TechNXT reviews the BIBS-specific values</w:t>
            </w:r>
          </w:p>
        </w:tc>
        <w:tc>
          <w:tcPr>
            <w:tcW w:type="dxa" w:w="1586"/>
            <w:tcMar>
              <w:top w:w="50" w:type="dxa"/>
              <w:bottom w:w="50" w:type="dxa"/>
              <w:left w:w="90" w:type="dxa"/>
              <w:right w:w="90" w:type="dxa"/>
            </w:tcMar>
            <w:shd w:val="clear" w:color="auto" w:fill="E5F5FF"/>
          </w:tcPr>
          <w:p>
            <w:pPr>
              <w:pStyle w:val="BDOITable"/>
            </w:pPr>
            <w:r>
              <w:rPr>
                <w:sz w:val="16"/>
              </w:rPr>
              <w:t>BDO IT Cloud</w:t>
            </w:r>
          </w:p>
        </w:tc>
        <w:tc>
          <w:tcPr>
            <w:tcW w:type="dxa" w:w="1246"/>
            <w:tcMar>
              <w:top w:w="50" w:type="dxa"/>
              <w:bottom w:w="50" w:type="dxa"/>
              <w:left w:w="90" w:type="dxa"/>
              <w:right w:w="90" w:type="dxa"/>
            </w:tcMar>
            <w:shd w:val="clear" w:color="auto" w:fill="E5F5FF"/>
          </w:tcPr>
          <w:p>
            <w:pPr>
              <w:pStyle w:val="BDOITable"/>
            </w:pPr>
            <w:r>
              <w:rPr>
                <w:sz w:val="16"/>
              </w:rPr>
              <w:t>18-Dec-2026</w:t>
            </w:r>
          </w:p>
        </w:tc>
      </w:tr>
      <w:tr>
        <w:trPr>
          <w:cantSplit w:val="true"/>
        </w:trPr>
        <w:tc>
          <w:tcPr>
            <w:tcW w:type="dxa" w:w="680"/>
            <w:tcMar>
              <w:top w:w="50" w:type="dxa"/>
              <w:bottom w:w="50" w:type="dxa"/>
              <w:left w:w="90" w:type="dxa"/>
              <w:right w:w="90" w:type="dxa"/>
            </w:tcMar>
          </w:tcPr>
          <w:p>
            <w:pPr>
              <w:pStyle w:val="BDOITable"/>
            </w:pPr>
            <w:r>
              <w:rPr>
                <w:b/>
                <w:sz w:val="16"/>
              </w:rPr>
              <w:t>IA-03</w:t>
            </w:r>
          </w:p>
        </w:tc>
        <w:tc>
          <w:tcPr>
            <w:tcW w:type="dxa" w:w="1700"/>
            <w:tcMar>
              <w:top w:w="50" w:type="dxa"/>
              <w:bottom w:w="50" w:type="dxa"/>
              <w:left w:w="90" w:type="dxa"/>
              <w:right w:w="90" w:type="dxa"/>
            </w:tcMar>
          </w:tcPr>
          <w:p>
            <w:pPr>
              <w:pStyle w:val="BDOITable"/>
            </w:pPr>
            <w:r>
              <w:rPr>
                <w:sz w:val="16"/>
              </w:rPr>
              <w:t>DR region</w:t>
            </w:r>
          </w:p>
        </w:tc>
        <w:tc>
          <w:tcPr>
            <w:tcW w:type="dxa" w:w="4759"/>
            <w:tcMar>
              <w:top w:w="50" w:type="dxa"/>
              <w:bottom w:w="50" w:type="dxa"/>
              <w:left w:w="90" w:type="dxa"/>
              <w:right w:w="90" w:type="dxa"/>
            </w:tcMar>
          </w:tcPr>
          <w:p>
            <w:pPr>
              <w:pStyle w:val="BDOITable"/>
            </w:pPr>
            <w:r>
              <w:rPr>
                <w:sz w:val="16"/>
              </w:rPr>
              <w:t>Name the DR region and approve its cross-border basis; warm standby as in chapter 7; yearly DR test (IQ26, DSQ01)</w:t>
            </w:r>
          </w:p>
        </w:tc>
        <w:tc>
          <w:tcPr>
            <w:tcW w:type="dxa" w:w="1586"/>
            <w:tcMar>
              <w:top w:w="50" w:type="dxa"/>
              <w:bottom w:w="50" w:type="dxa"/>
              <w:left w:w="90" w:type="dxa"/>
              <w:right w:w="90" w:type="dxa"/>
            </w:tcMar>
          </w:tcPr>
          <w:p>
            <w:pPr>
              <w:pStyle w:val="BDOITable"/>
            </w:pPr>
            <w:r>
              <w:rPr>
                <w:sz w:val="16"/>
              </w:rPr>
              <w:t>BDOI Risk and Compliance, BDO IT Cloud</w:t>
            </w:r>
          </w:p>
        </w:tc>
        <w:tc>
          <w:tcPr>
            <w:tcW w:type="dxa" w:w="1246"/>
            <w:tcMar>
              <w:top w:w="50" w:type="dxa"/>
              <w:bottom w:w="50" w:type="dxa"/>
              <w:left w:w="90" w:type="dxa"/>
              <w:right w:w="90" w:type="dxa"/>
            </w:tcMar>
          </w:tcPr>
          <w:p>
            <w:pPr>
              <w:pStyle w:val="BDOITable"/>
            </w:pPr>
            <w:r>
              <w:rPr>
                <w:sz w:val="16"/>
              </w:rPr>
              <w:t>16-Oct-2026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IA-04</w:t>
            </w:r>
          </w:p>
        </w:tc>
        <w:tc>
          <w:tcPr>
            <w:tcW w:type="dxa" w:w="1700"/>
            <w:tcMar>
              <w:top w:w="50" w:type="dxa"/>
              <w:bottom w:w="50" w:type="dxa"/>
              <w:left w:w="90" w:type="dxa"/>
              <w:right w:w="90" w:type="dxa"/>
            </w:tcMar>
            <w:shd w:val="clear" w:color="auto" w:fill="E5F5FF"/>
          </w:tcPr>
          <w:p>
            <w:pPr>
              <w:pStyle w:val="BDOITable"/>
            </w:pPr>
            <w:r>
              <w:rPr>
                <w:sz w:val="16"/>
              </w:rPr>
              <w:t>PROD database size</w:t>
            </w:r>
          </w:p>
        </w:tc>
        <w:tc>
          <w:tcPr>
            <w:tcW w:type="dxa" w:w="4759"/>
            <w:tcMar>
              <w:top w:w="50" w:type="dxa"/>
              <w:bottom w:w="50" w:type="dxa"/>
              <w:left w:w="90" w:type="dxa"/>
              <w:right w:w="90" w:type="dxa"/>
            </w:tcMar>
            <w:shd w:val="clear" w:color="auto" w:fill="E5F5FF"/>
          </w:tcPr>
          <w:p>
            <w:pPr>
              <w:pStyle w:val="BDOITable"/>
            </w:pPr>
            <w:r>
              <w:rPr>
                <w:sz w:val="16"/>
              </w:rPr>
              <w:t>Keep the IER 2,000 GB with storage autoscaling; re-size after Trial migration 2 measures the volume without file content</w:t>
            </w:r>
          </w:p>
        </w:tc>
        <w:tc>
          <w:tcPr>
            <w:tcW w:type="dxa" w:w="1586"/>
            <w:tcMar>
              <w:top w:w="50" w:type="dxa"/>
              <w:bottom w:w="50" w:type="dxa"/>
              <w:left w:w="90" w:type="dxa"/>
              <w:right w:w="90" w:type="dxa"/>
            </w:tcMar>
            <w:shd w:val="clear" w:color="auto" w:fill="E5F5FF"/>
          </w:tcPr>
          <w:p>
            <w:pPr>
              <w:pStyle w:val="BDOITable"/>
            </w:pPr>
            <w:r>
              <w:rPr>
                <w:sz w:val="16"/>
              </w:rPr>
              <w:t>DBA</w:t>
            </w:r>
          </w:p>
        </w:tc>
        <w:tc>
          <w:tcPr>
            <w:tcW w:type="dxa" w:w="1246"/>
            <w:tcMar>
              <w:top w:w="50" w:type="dxa"/>
              <w:bottom w:w="50" w:type="dxa"/>
              <w:left w:w="90" w:type="dxa"/>
              <w:right w:w="90" w:type="dxa"/>
            </w:tcMar>
            <w:shd w:val="clear" w:color="auto" w:fill="E5F5FF"/>
          </w:tcPr>
          <w:p>
            <w:pPr>
              <w:pStyle w:val="BDOITable"/>
            </w:pPr>
            <w:r>
              <w:rPr>
                <w:sz w:val="16"/>
              </w:rPr>
              <w:t>31-Jul-2027</w:t>
            </w:r>
          </w:p>
        </w:tc>
      </w:tr>
      <w:tr>
        <w:trPr>
          <w:cantSplit w:val="true"/>
        </w:trPr>
        <w:tc>
          <w:tcPr>
            <w:tcW w:type="dxa" w:w="680"/>
            <w:tcMar>
              <w:top w:w="50" w:type="dxa"/>
              <w:bottom w:w="50" w:type="dxa"/>
              <w:left w:w="90" w:type="dxa"/>
              <w:right w:w="90" w:type="dxa"/>
            </w:tcMar>
          </w:tcPr>
          <w:p>
            <w:pPr>
              <w:pStyle w:val="BDOITable"/>
            </w:pPr>
            <w:r>
              <w:rPr>
                <w:b/>
                <w:sz w:val="16"/>
              </w:rPr>
              <w:t>IA-05</w:t>
            </w:r>
          </w:p>
        </w:tc>
        <w:tc>
          <w:tcPr>
            <w:tcW w:type="dxa" w:w="1700"/>
            <w:tcMar>
              <w:top w:w="50" w:type="dxa"/>
              <w:bottom w:w="50" w:type="dxa"/>
              <w:left w:w="90" w:type="dxa"/>
              <w:right w:w="90" w:type="dxa"/>
            </w:tcMar>
          </w:tcPr>
          <w:p>
            <w:pPr>
              <w:pStyle w:val="BDOITable"/>
            </w:pPr>
            <w:r>
              <w:rPr>
                <w:sz w:val="16"/>
              </w:rPr>
              <w:t>S3 volume estimate</w:t>
            </w:r>
          </w:p>
        </w:tc>
        <w:tc>
          <w:tcPr>
            <w:tcW w:type="dxa" w:w="4759"/>
            <w:tcMar>
              <w:top w:w="50" w:type="dxa"/>
              <w:bottom w:w="50" w:type="dxa"/>
              <w:left w:w="90" w:type="dxa"/>
              <w:right w:w="90" w:type="dxa"/>
            </w:tcMar>
          </w:tcPr>
          <w:p>
            <w:pPr>
              <w:pStyle w:val="BDOITable"/>
            </w:pPr>
            <w:r>
              <w:rPr>
                <w:sz w:val="16"/>
              </w:rPr>
              <w:t>Estimate from the legacy file inventory before the copy of the existing files; add the yearly growth</w:t>
            </w:r>
          </w:p>
        </w:tc>
        <w:tc>
          <w:tcPr>
            <w:tcW w:type="dxa" w:w="1586"/>
            <w:tcMar>
              <w:top w:w="50" w:type="dxa"/>
              <w:bottom w:w="50" w:type="dxa"/>
              <w:left w:w="90" w:type="dxa"/>
              <w:right w:w="90" w:type="dxa"/>
            </w:tcMar>
          </w:tcPr>
          <w:p>
            <w:pPr>
              <w:pStyle w:val="BDOITable"/>
            </w:pPr>
            <w:r>
              <w:rPr>
                <w:sz w:val="16"/>
              </w:rPr>
              <w:t>BDOI IT with iorta TechNXT</w:t>
            </w:r>
          </w:p>
        </w:tc>
        <w:tc>
          <w:tcPr>
            <w:tcW w:type="dxa" w:w="1246"/>
            <w:tcMar>
              <w:top w:w="50" w:type="dxa"/>
              <w:bottom w:w="50" w:type="dxa"/>
              <w:left w:w="90" w:type="dxa"/>
              <w:right w:w="90" w:type="dxa"/>
            </w:tcMar>
          </w:tcPr>
          <w:p>
            <w:pPr>
              <w:pStyle w:val="BDOITable"/>
            </w:pPr>
            <w:r>
              <w:rPr>
                <w:sz w:val="16"/>
              </w:rPr>
              <w:t>31-Mar-2027</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IA-06</w:t>
            </w:r>
          </w:p>
        </w:tc>
        <w:tc>
          <w:tcPr>
            <w:tcW w:type="dxa" w:w="1700"/>
            <w:tcMar>
              <w:top w:w="50" w:type="dxa"/>
              <w:bottom w:w="50" w:type="dxa"/>
              <w:left w:w="90" w:type="dxa"/>
              <w:right w:w="90" w:type="dxa"/>
            </w:tcMar>
            <w:shd w:val="clear" w:color="auto" w:fill="E5F5FF"/>
          </w:tcPr>
          <w:p>
            <w:pPr>
              <w:pStyle w:val="BDOITable"/>
            </w:pPr>
            <w:r>
              <w:rPr>
                <w:sz w:val="16"/>
              </w:rPr>
              <w:t>Kafka retention</w:t>
            </w:r>
          </w:p>
        </w:tc>
        <w:tc>
          <w:tcPr>
            <w:tcW w:type="dxa" w:w="4759"/>
            <w:tcMar>
              <w:top w:w="50" w:type="dxa"/>
              <w:bottom w:w="50" w:type="dxa"/>
              <w:left w:w="90" w:type="dxa"/>
              <w:right w:w="90" w:type="dxa"/>
            </w:tcMar>
            <w:shd w:val="clear" w:color="auto" w:fill="E5F5FF"/>
          </w:tcPr>
          <w:p>
            <w:pPr>
              <w:pStyle w:val="BDOITable"/>
            </w:pPr>
            <w:r>
              <w:rPr>
                <w:sz w:val="16"/>
              </w:rPr>
              <w:t>7 days on event topics, 30 days on dead-letter topics</w:t>
            </w:r>
          </w:p>
        </w:tc>
        <w:tc>
          <w:tcPr>
            <w:tcW w:type="dxa" w:w="1586"/>
            <w:tcMar>
              <w:top w:w="50" w:type="dxa"/>
              <w:bottom w:w="50" w:type="dxa"/>
              <w:left w:w="90" w:type="dxa"/>
              <w:right w:w="90" w:type="dxa"/>
            </w:tcMar>
            <w:shd w:val="clear" w:color="auto" w:fill="E5F5FF"/>
          </w:tcPr>
          <w:p>
            <w:pPr>
              <w:pStyle w:val="BDOITable"/>
            </w:pPr>
            <w:r>
              <w:rPr>
                <w:sz w:val="16"/>
              </w:rPr>
              <w:t>BDOI IT Operations</w:t>
            </w:r>
          </w:p>
        </w:tc>
        <w:tc>
          <w:tcPr>
            <w:tcW w:type="dxa" w:w="1246"/>
            <w:tcMar>
              <w:top w:w="50" w:type="dxa"/>
              <w:bottom w:w="50" w:type="dxa"/>
              <w:left w:w="90" w:type="dxa"/>
              <w:right w:w="90" w:type="dxa"/>
            </w:tcMar>
            <w:shd w:val="clear" w:color="auto" w:fill="E5F5FF"/>
          </w:tcPr>
          <w:p>
            <w:pPr>
              <w:pStyle w:val="BDOITable"/>
            </w:pPr>
            <w:r>
              <w:rPr>
                <w:sz w:val="16"/>
              </w:rPr>
              <w:t>30-Nov-2026</w:t>
            </w:r>
          </w:p>
        </w:tc>
      </w:tr>
      <w:tr>
        <w:trPr>
          <w:cantSplit w:val="true"/>
        </w:trPr>
        <w:tc>
          <w:tcPr>
            <w:tcW w:type="dxa" w:w="680"/>
            <w:tcMar>
              <w:top w:w="50" w:type="dxa"/>
              <w:bottom w:w="50" w:type="dxa"/>
              <w:left w:w="90" w:type="dxa"/>
              <w:right w:w="90" w:type="dxa"/>
            </w:tcMar>
          </w:tcPr>
          <w:p>
            <w:pPr>
              <w:pStyle w:val="BDOITable"/>
            </w:pPr>
            <w:r>
              <w:rPr>
                <w:b/>
                <w:sz w:val="16"/>
              </w:rPr>
              <w:t>IA-07</w:t>
            </w:r>
          </w:p>
        </w:tc>
        <w:tc>
          <w:tcPr>
            <w:tcW w:type="dxa" w:w="1700"/>
            <w:tcMar>
              <w:top w:w="50" w:type="dxa"/>
              <w:bottom w:w="50" w:type="dxa"/>
              <w:left w:w="90" w:type="dxa"/>
              <w:right w:w="90" w:type="dxa"/>
            </w:tcMar>
          </w:tcPr>
          <w:p>
            <w:pPr>
              <w:pStyle w:val="BDOITable"/>
            </w:pPr>
            <w:r>
              <w:rPr>
                <w:sz w:val="16"/>
              </w:rPr>
              <w:t>Log retention</w:t>
            </w:r>
          </w:p>
        </w:tc>
        <w:tc>
          <w:tcPr>
            <w:tcW w:type="dxa" w:w="4759"/>
            <w:tcMar>
              <w:top w:w="50" w:type="dxa"/>
              <w:bottom w:w="50" w:type="dxa"/>
              <w:left w:w="90" w:type="dxa"/>
              <w:right w:w="90" w:type="dxa"/>
            </w:tcMar>
          </w:tcPr>
          <w:p>
            <w:pPr>
              <w:pStyle w:val="BDOITable"/>
            </w:pPr>
            <w:r>
              <w:rPr>
                <w:sz w:val="16"/>
              </w:rPr>
              <w:t>90 days searchable in CloudWatch, one year archived, security events in the BDO SIEM per BDO policy</w:t>
            </w:r>
          </w:p>
        </w:tc>
        <w:tc>
          <w:tcPr>
            <w:tcW w:type="dxa" w:w="1586"/>
            <w:tcMar>
              <w:top w:w="50" w:type="dxa"/>
              <w:bottom w:w="50" w:type="dxa"/>
              <w:left w:w="90" w:type="dxa"/>
              <w:right w:w="90" w:type="dxa"/>
            </w:tcMar>
          </w:tcPr>
          <w:p>
            <w:pPr>
              <w:pStyle w:val="BDOITable"/>
            </w:pPr>
            <w:r>
              <w:rPr>
                <w:sz w:val="16"/>
              </w:rPr>
              <w:t>Information Security Office</w:t>
            </w:r>
          </w:p>
        </w:tc>
        <w:tc>
          <w:tcPr>
            <w:tcW w:type="dxa" w:w="1246"/>
            <w:tcMar>
              <w:top w:w="50" w:type="dxa"/>
              <w:bottom w:w="50" w:type="dxa"/>
              <w:left w:w="90" w:type="dxa"/>
              <w:right w:w="90" w:type="dxa"/>
            </w:tcMar>
          </w:tcPr>
          <w:p>
            <w:pPr>
              <w:pStyle w:val="BDOITable"/>
            </w:pPr>
            <w:r>
              <w:rPr>
                <w:sz w:val="16"/>
              </w:rPr>
              <w:t>30-Nov-2026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IA-08</w:t>
            </w:r>
          </w:p>
        </w:tc>
        <w:tc>
          <w:tcPr>
            <w:tcW w:type="dxa" w:w="1700"/>
            <w:tcMar>
              <w:top w:w="50" w:type="dxa"/>
              <w:bottom w:w="50" w:type="dxa"/>
              <w:left w:w="90" w:type="dxa"/>
              <w:right w:w="90" w:type="dxa"/>
            </w:tcMar>
            <w:shd w:val="clear" w:color="auto" w:fill="E5F5FF"/>
          </w:tcPr>
          <w:p>
            <w:pPr>
              <w:pStyle w:val="BDOITable"/>
            </w:pPr>
            <w:r>
              <w:rPr>
                <w:sz w:val="16"/>
              </w:rPr>
              <w:t>Monitoring tool</w:t>
            </w:r>
          </w:p>
        </w:tc>
        <w:tc>
          <w:tcPr>
            <w:tcW w:type="dxa" w:w="4759"/>
            <w:tcMar>
              <w:top w:w="50" w:type="dxa"/>
              <w:bottom w:w="50" w:type="dxa"/>
              <w:left w:w="90" w:type="dxa"/>
              <w:right w:w="90" w:type="dxa"/>
            </w:tcMar>
            <w:shd w:val="clear" w:color="auto" w:fill="E5F5FF"/>
          </w:tcPr>
          <w:p>
            <w:pPr>
              <w:pStyle w:val="BDOITable"/>
            </w:pPr>
            <w:r>
              <w:rPr>
                <w:sz w:val="16"/>
              </w:rPr>
              <w:t>Dynatrace for APM, hosts and Kubernetes (scraping the BIBS Prometheus metrics), CloudWatch for managed services and logs (IQ30)</w:t>
            </w:r>
          </w:p>
        </w:tc>
        <w:tc>
          <w:tcPr>
            <w:tcW w:type="dxa" w:w="1586"/>
            <w:tcMar>
              <w:top w:w="50" w:type="dxa"/>
              <w:bottom w:w="50" w:type="dxa"/>
              <w:left w:w="90" w:type="dxa"/>
              <w:right w:w="90" w:type="dxa"/>
            </w:tcMar>
            <w:shd w:val="clear" w:color="auto" w:fill="E5F5FF"/>
          </w:tcPr>
          <w:p>
            <w:pPr>
              <w:pStyle w:val="BDOITable"/>
            </w:pPr>
            <w:r>
              <w:rPr>
                <w:sz w:val="16"/>
              </w:rPr>
              <w:t>BDO IT Cloud</w:t>
            </w:r>
          </w:p>
        </w:tc>
        <w:tc>
          <w:tcPr>
            <w:tcW w:type="dxa" w:w="1246"/>
            <w:tcMar>
              <w:top w:w="50" w:type="dxa"/>
              <w:bottom w:w="50" w:type="dxa"/>
              <w:left w:w="90" w:type="dxa"/>
              <w:right w:w="90" w:type="dxa"/>
            </w:tcMar>
            <w:shd w:val="clear" w:color="auto" w:fill="E5F5FF"/>
          </w:tcPr>
          <w:p>
            <w:pPr>
              <w:pStyle w:val="BDOITable"/>
            </w:pPr>
            <w:r>
              <w:rPr>
                <w:sz w:val="16"/>
              </w:rPr>
              <w:t>30-Nov-2026</w:t>
            </w:r>
          </w:p>
        </w:tc>
      </w:tr>
      <w:tr>
        <w:trPr>
          <w:cantSplit w:val="true"/>
        </w:trPr>
        <w:tc>
          <w:tcPr>
            <w:tcW w:type="dxa" w:w="680"/>
            <w:tcMar>
              <w:top w:w="50" w:type="dxa"/>
              <w:bottom w:w="50" w:type="dxa"/>
              <w:left w:w="90" w:type="dxa"/>
              <w:right w:w="90" w:type="dxa"/>
            </w:tcMar>
          </w:tcPr>
          <w:p>
            <w:pPr>
              <w:pStyle w:val="BDOITable"/>
            </w:pPr>
            <w:r>
              <w:rPr>
                <w:b/>
                <w:sz w:val="16"/>
              </w:rPr>
              <w:t>IA-09</w:t>
            </w:r>
          </w:p>
        </w:tc>
        <w:tc>
          <w:tcPr>
            <w:tcW w:type="dxa" w:w="1700"/>
            <w:tcMar>
              <w:top w:w="50" w:type="dxa"/>
              <w:bottom w:w="50" w:type="dxa"/>
              <w:left w:w="90" w:type="dxa"/>
              <w:right w:w="90" w:type="dxa"/>
            </w:tcMar>
          </w:tcPr>
          <w:p>
            <w:pPr>
              <w:pStyle w:val="BDOITable"/>
            </w:pPr>
            <w:r>
              <w:rPr>
                <w:sz w:val="16"/>
              </w:rPr>
              <w:t>Training environment</w:t>
            </w:r>
          </w:p>
        </w:tc>
        <w:tc>
          <w:tcPr>
            <w:tcW w:type="dxa" w:w="4759"/>
            <w:tcMar>
              <w:top w:w="50" w:type="dxa"/>
              <w:bottom w:w="50" w:type="dxa"/>
              <w:left w:w="90" w:type="dxa"/>
              <w:right w:w="90" w:type="dxa"/>
            </w:tcMar>
          </w:tcPr>
          <w:p>
            <w:pPr>
              <w:pStyle w:val="BDOITable"/>
            </w:pPr>
            <w:r>
              <w:rPr>
                <w:sz w:val="16"/>
              </w:rPr>
              <w:t>A separate database with seed data on the UAT cluster, refreshed per training wave</w:t>
            </w:r>
          </w:p>
        </w:tc>
        <w:tc>
          <w:tcPr>
            <w:tcW w:type="dxa" w:w="1586"/>
            <w:tcMar>
              <w:top w:w="50" w:type="dxa"/>
              <w:bottom w:w="50" w:type="dxa"/>
              <w:left w:w="90" w:type="dxa"/>
              <w:right w:w="90" w:type="dxa"/>
            </w:tcMar>
          </w:tcPr>
          <w:p>
            <w:pPr>
              <w:pStyle w:val="BDOITable"/>
            </w:pPr>
            <w:r>
              <w:rPr>
                <w:sz w:val="16"/>
              </w:rPr>
              <w:t>BDOI Training lead</w:t>
            </w:r>
          </w:p>
        </w:tc>
        <w:tc>
          <w:tcPr>
            <w:tcW w:type="dxa" w:w="1246"/>
            <w:tcMar>
              <w:top w:w="50" w:type="dxa"/>
              <w:bottom w:w="50" w:type="dxa"/>
              <w:left w:w="90" w:type="dxa"/>
              <w:right w:w="90" w:type="dxa"/>
            </w:tcMar>
          </w:tcPr>
          <w:p>
            <w:pPr>
              <w:pStyle w:val="BDOITable"/>
            </w:pPr>
            <w:r>
              <w:rPr>
                <w:sz w:val="16"/>
              </w:rPr>
              <w:t>30-Jun-2027</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IA-10</w:t>
            </w:r>
          </w:p>
        </w:tc>
        <w:tc>
          <w:tcPr>
            <w:tcW w:type="dxa" w:w="1700"/>
            <w:tcMar>
              <w:top w:w="50" w:type="dxa"/>
              <w:bottom w:w="50" w:type="dxa"/>
              <w:left w:w="90" w:type="dxa"/>
              <w:right w:w="90" w:type="dxa"/>
            </w:tcMar>
            <w:shd w:val="clear" w:color="auto" w:fill="E5F5FF"/>
          </w:tcPr>
          <w:p>
            <w:pPr>
              <w:pStyle w:val="BDOITable"/>
            </w:pPr>
            <w:r>
              <w:rPr>
                <w:sz w:val="16"/>
              </w:rPr>
              <w:t>IER restatement</w:t>
            </w:r>
          </w:p>
        </w:tc>
        <w:tc>
          <w:tcPr>
            <w:tcW w:type="dxa" w:w="4759"/>
            <w:tcMar>
              <w:top w:w="50" w:type="dxa"/>
              <w:bottom w:w="50" w:type="dxa"/>
              <w:left w:w="90" w:type="dxa"/>
              <w:right w:w="90" w:type="dxa"/>
            </w:tcMar>
            <w:shd w:val="clear" w:color="auto" w:fill="E5F5FF"/>
          </w:tcPr>
          <w:p>
            <w:pPr>
              <w:pStyle w:val="BDOITable"/>
            </w:pPr>
            <w:r>
              <w:rPr>
                <w:sz w:val="16"/>
              </w:rPr>
              <w:t>BDO IT updates the IER: Kubernetes sheets with the sizing of chapter 5, Pre-Prod and DR sheets, ElastiCache for Valkey and MSK 3.9 rows, no EFS, S3 and KMS rows (IQ25, IQ33, IQ34)</w:t>
            </w:r>
          </w:p>
        </w:tc>
        <w:tc>
          <w:tcPr>
            <w:tcW w:type="dxa" w:w="1586"/>
            <w:tcMar>
              <w:top w:w="50" w:type="dxa"/>
              <w:bottom w:w="50" w:type="dxa"/>
              <w:left w:w="90" w:type="dxa"/>
              <w:right w:w="90" w:type="dxa"/>
            </w:tcMar>
            <w:shd w:val="clear" w:color="auto" w:fill="E5F5FF"/>
          </w:tcPr>
          <w:p>
            <w:pPr>
              <w:pStyle w:val="BDOITable"/>
            </w:pPr>
            <w:r>
              <w:rPr>
                <w:sz w:val="16"/>
              </w:rPr>
              <w:t>BDO IT Cloud and Digital Operations Engineering</w:t>
            </w:r>
          </w:p>
        </w:tc>
        <w:tc>
          <w:tcPr>
            <w:tcW w:type="dxa" w:w="1246"/>
            <w:tcMar>
              <w:top w:w="50" w:type="dxa"/>
              <w:bottom w:w="50" w:type="dxa"/>
              <w:left w:w="90" w:type="dxa"/>
              <w:right w:w="90" w:type="dxa"/>
            </w:tcMar>
            <w:shd w:val="clear" w:color="auto" w:fill="E5F5FF"/>
          </w:tcPr>
          <w:p>
            <w:pPr>
              <w:pStyle w:val="BDOITable"/>
            </w:pPr>
            <w:r>
              <w:rPr>
                <w:sz w:val="16"/>
              </w:rPr>
              <w:t>30-Nov-2026</w:t>
            </w:r>
          </w:p>
        </w:tc>
      </w:tr>
    </w:tbl>
    <w:p>
      <w:pPr>
        <w:pStyle w:val="BDOISpacer"/>
      </w:pPr>
    </w:p>
    <w:p>
      <w:pPr>
        <w:pStyle w:val="Heading1"/>
        <w:pBdr>
          <w:bottom w:val="single" w:sz="4" w:space="4" w:color="99C1E7"/>
        </w:pBdr>
      </w:pPr>
      <w:bookmarkStart w:id="123" w:name="_Toc000123"/>
      <w:r>
        <w:rPr/>
        <w:t>Glossary</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AZ</w:t>
            </w:r>
          </w:p>
        </w:tc>
        <w:tc>
          <w:tcPr>
            <w:tcW w:type="dxa" w:w="7932"/>
            <w:tcMar>
              <w:top w:w="50" w:type="dxa"/>
              <w:bottom w:w="50" w:type="dxa"/>
              <w:left w:w="90" w:type="dxa"/>
              <w:right w:w="90" w:type="dxa"/>
            </w:tcMar>
          </w:tcPr>
          <w:p>
            <w:pPr>
              <w:pStyle w:val="BDOITable"/>
            </w:pPr>
            <w:r>
              <w:rPr>
                <w:sz w:val="18"/>
              </w:rPr>
              <w:t>Availability zone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CRR</w:t>
            </w:r>
          </w:p>
        </w:tc>
        <w:tc>
          <w:tcPr>
            <w:tcW w:type="dxa" w:w="7932"/>
            <w:tcMar>
              <w:top w:w="50" w:type="dxa"/>
              <w:bottom w:w="50" w:type="dxa"/>
              <w:left w:w="90" w:type="dxa"/>
              <w:right w:w="90" w:type="dxa"/>
            </w:tcMar>
            <w:shd w:val="clear" w:color="auto" w:fill="E5F5FF"/>
          </w:tcPr>
          <w:p>
            <w:pPr>
              <w:pStyle w:val="BDOITable"/>
            </w:pPr>
            <w:r>
              <w:rPr>
                <w:sz w:val="18"/>
              </w:rPr>
              <w:t>S3 cross-region replication</w:t>
            </w:r>
          </w:p>
        </w:tc>
      </w:tr>
      <w:tr>
        <w:trPr>
          <w:cantSplit w:val="true"/>
        </w:trPr>
        <w:tc>
          <w:tcPr>
            <w:tcW w:type="dxa" w:w="2040"/>
            <w:tcMar>
              <w:top w:w="50" w:type="dxa"/>
              <w:bottom w:w="50" w:type="dxa"/>
              <w:left w:w="90" w:type="dxa"/>
              <w:right w:w="90" w:type="dxa"/>
            </w:tcMar>
          </w:tcPr>
          <w:p>
            <w:pPr>
              <w:pStyle w:val="BDOITable"/>
            </w:pPr>
            <w:r>
              <w:rPr>
                <w:b/>
                <w:sz w:val="18"/>
              </w:rPr>
              <w:t>DR</w:t>
            </w:r>
          </w:p>
        </w:tc>
        <w:tc>
          <w:tcPr>
            <w:tcW w:type="dxa" w:w="7932"/>
            <w:tcMar>
              <w:top w:w="50" w:type="dxa"/>
              <w:bottom w:w="50" w:type="dxa"/>
              <w:left w:w="90" w:type="dxa"/>
              <w:right w:w="90" w:type="dxa"/>
            </w:tcMar>
          </w:tcPr>
          <w:p>
            <w:pPr>
              <w:pStyle w:val="BDOITable"/>
            </w:pPr>
            <w:r>
              <w:rPr>
                <w:sz w:val="18"/>
              </w:rPr>
              <w:t>Disaster recovery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EKS</w:t>
            </w:r>
          </w:p>
        </w:tc>
        <w:tc>
          <w:tcPr>
            <w:tcW w:type="dxa" w:w="7932"/>
            <w:tcMar>
              <w:top w:w="50" w:type="dxa"/>
              <w:bottom w:w="50" w:type="dxa"/>
              <w:left w:w="90" w:type="dxa"/>
              <w:right w:w="90" w:type="dxa"/>
            </w:tcMar>
            <w:shd w:val="clear" w:color="auto" w:fill="E5F5FF"/>
          </w:tcPr>
          <w:p>
            <w:pPr>
              <w:pStyle w:val="BDOITable"/>
            </w:pPr>
            <w:r>
              <w:rPr>
                <w:sz w:val="18"/>
              </w:rPr>
              <w:t>Amazon Elastic Kubernetes Service</w:t>
            </w:r>
          </w:p>
        </w:tc>
      </w:tr>
      <w:tr>
        <w:trPr>
          <w:cantSplit w:val="true"/>
        </w:trPr>
        <w:tc>
          <w:tcPr>
            <w:tcW w:type="dxa" w:w="2040"/>
            <w:tcMar>
              <w:top w:w="50" w:type="dxa"/>
              <w:bottom w:w="50" w:type="dxa"/>
              <w:left w:w="90" w:type="dxa"/>
              <w:right w:w="90" w:type="dxa"/>
            </w:tcMar>
          </w:tcPr>
          <w:p>
            <w:pPr>
              <w:pStyle w:val="BDOITable"/>
            </w:pPr>
            <w:r>
              <w:rPr>
                <w:b/>
                <w:sz w:val="18"/>
              </w:rPr>
              <w:t>IER</w:t>
            </w:r>
          </w:p>
        </w:tc>
        <w:tc>
          <w:tcPr>
            <w:tcW w:type="dxa" w:w="7932"/>
            <w:tcMar>
              <w:top w:w="50" w:type="dxa"/>
              <w:bottom w:w="50" w:type="dxa"/>
              <w:left w:w="90" w:type="dxa"/>
              <w:right w:w="90" w:type="dxa"/>
            </w:tcMar>
          </w:tcPr>
          <w:p>
            <w:pPr>
              <w:pStyle w:val="BDOITable"/>
            </w:pPr>
            <w:r>
              <w:rPr>
                <w:sz w:val="18"/>
              </w:rPr>
              <w:t>Infrastructure Estimation and Recommendation workbook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KMS</w:t>
            </w:r>
          </w:p>
        </w:tc>
        <w:tc>
          <w:tcPr>
            <w:tcW w:type="dxa" w:w="7932"/>
            <w:tcMar>
              <w:top w:w="50" w:type="dxa"/>
              <w:bottom w:w="50" w:type="dxa"/>
              <w:left w:w="90" w:type="dxa"/>
              <w:right w:w="90" w:type="dxa"/>
            </w:tcMar>
            <w:shd w:val="clear" w:color="auto" w:fill="E5F5FF"/>
          </w:tcPr>
          <w:p>
            <w:pPr>
              <w:pStyle w:val="BDOITable"/>
            </w:pPr>
            <w:r>
              <w:rPr>
                <w:sz w:val="18"/>
              </w:rPr>
              <w:t>AWS Key Management Service</w:t>
            </w:r>
          </w:p>
        </w:tc>
      </w:tr>
      <w:tr>
        <w:trPr>
          <w:cantSplit w:val="true"/>
        </w:trPr>
        <w:tc>
          <w:tcPr>
            <w:tcW w:type="dxa" w:w="2040"/>
            <w:tcMar>
              <w:top w:w="50" w:type="dxa"/>
              <w:bottom w:w="50" w:type="dxa"/>
              <w:left w:w="90" w:type="dxa"/>
              <w:right w:w="90" w:type="dxa"/>
            </w:tcMar>
          </w:tcPr>
          <w:p>
            <w:pPr>
              <w:pStyle w:val="BDOITable"/>
            </w:pPr>
            <w:r>
              <w:rPr>
                <w:b/>
                <w:sz w:val="18"/>
              </w:rPr>
              <w:t>KRaft</w:t>
            </w:r>
          </w:p>
        </w:tc>
        <w:tc>
          <w:tcPr>
            <w:tcW w:type="dxa" w:w="7932"/>
            <w:tcMar>
              <w:top w:w="50" w:type="dxa"/>
              <w:bottom w:w="50" w:type="dxa"/>
              <w:left w:w="90" w:type="dxa"/>
              <w:right w:w="90" w:type="dxa"/>
            </w:tcMar>
          </w:tcPr>
          <w:p>
            <w:pPr>
              <w:pStyle w:val="BDOITable"/>
            </w:pPr>
            <w:r>
              <w:rPr>
                <w:sz w:val="18"/>
              </w:rPr>
              <w:t>Kafka Raft metadata mode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MSK</w:t>
            </w:r>
          </w:p>
        </w:tc>
        <w:tc>
          <w:tcPr>
            <w:tcW w:type="dxa" w:w="7932"/>
            <w:tcMar>
              <w:top w:w="50" w:type="dxa"/>
              <w:bottom w:w="50" w:type="dxa"/>
              <w:left w:w="90" w:type="dxa"/>
              <w:right w:w="90" w:type="dxa"/>
            </w:tcMar>
            <w:shd w:val="clear" w:color="auto" w:fill="E5F5FF"/>
          </w:tcPr>
          <w:p>
            <w:pPr>
              <w:pStyle w:val="BDOITable"/>
            </w:pPr>
            <w:r>
              <w:rPr>
                <w:sz w:val="18"/>
              </w:rPr>
              <w:t>Amazon Managed Streaming for Apache Kafka</w:t>
            </w:r>
          </w:p>
        </w:tc>
      </w:tr>
      <w:tr>
        <w:trPr>
          <w:cantSplit w:val="true"/>
        </w:trPr>
        <w:tc>
          <w:tcPr>
            <w:tcW w:type="dxa" w:w="2040"/>
            <w:tcMar>
              <w:top w:w="50" w:type="dxa"/>
              <w:bottom w:w="50" w:type="dxa"/>
              <w:left w:w="90" w:type="dxa"/>
              <w:right w:w="90" w:type="dxa"/>
            </w:tcMar>
          </w:tcPr>
          <w:p>
            <w:pPr>
              <w:pStyle w:val="BDOITable"/>
            </w:pPr>
            <w:r>
              <w:rPr>
                <w:b/>
                <w:sz w:val="18"/>
              </w:rPr>
              <w:t>PITR</w:t>
            </w:r>
          </w:p>
        </w:tc>
        <w:tc>
          <w:tcPr>
            <w:tcW w:type="dxa" w:w="7932"/>
            <w:tcMar>
              <w:top w:w="50" w:type="dxa"/>
              <w:bottom w:w="50" w:type="dxa"/>
              <w:left w:w="90" w:type="dxa"/>
              <w:right w:w="90" w:type="dxa"/>
            </w:tcMar>
          </w:tcPr>
          <w:p>
            <w:pPr>
              <w:pStyle w:val="BDOITable"/>
            </w:pPr>
            <w:r>
              <w:rPr>
                <w:sz w:val="18"/>
              </w:rPr>
              <w:t>Point-in-time recovery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RDS</w:t>
            </w:r>
          </w:p>
        </w:tc>
        <w:tc>
          <w:tcPr>
            <w:tcW w:type="dxa" w:w="7932"/>
            <w:tcMar>
              <w:top w:w="50" w:type="dxa"/>
              <w:bottom w:w="50" w:type="dxa"/>
              <w:left w:w="90" w:type="dxa"/>
              <w:right w:w="90" w:type="dxa"/>
            </w:tcMar>
            <w:shd w:val="clear" w:color="auto" w:fill="E5F5FF"/>
          </w:tcPr>
          <w:p>
            <w:pPr>
              <w:pStyle w:val="BDOITable"/>
            </w:pPr>
            <w:r>
              <w:rPr>
                <w:sz w:val="18"/>
              </w:rPr>
              <w:t>Amazon Relational Database Service</w:t>
            </w:r>
          </w:p>
        </w:tc>
      </w:tr>
      <w:tr>
        <w:trPr>
          <w:cantSplit w:val="true"/>
        </w:trPr>
        <w:tc>
          <w:tcPr>
            <w:tcW w:type="dxa" w:w="2040"/>
            <w:tcMar>
              <w:top w:w="50" w:type="dxa"/>
              <w:bottom w:w="50" w:type="dxa"/>
              <w:left w:w="90" w:type="dxa"/>
              <w:right w:w="90" w:type="dxa"/>
            </w:tcMar>
          </w:tcPr>
          <w:p>
            <w:pPr>
              <w:pStyle w:val="BDOITable"/>
            </w:pPr>
            <w:r>
              <w:rPr>
                <w:b/>
                <w:sz w:val="18"/>
              </w:rPr>
              <w:t>RTC</w:t>
            </w:r>
          </w:p>
        </w:tc>
        <w:tc>
          <w:tcPr>
            <w:tcW w:type="dxa" w:w="7932"/>
            <w:tcMar>
              <w:top w:w="50" w:type="dxa"/>
              <w:bottom w:w="50" w:type="dxa"/>
              <w:left w:w="90" w:type="dxa"/>
              <w:right w:w="90" w:type="dxa"/>
            </w:tcMar>
          </w:tcPr>
          <w:p>
            <w:pPr>
              <w:pStyle w:val="BDOITable"/>
            </w:pPr>
            <w:r>
              <w:rPr>
                <w:sz w:val="18"/>
              </w:rPr>
              <w:t>S3 replication time control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SIEM</w:t>
            </w:r>
          </w:p>
        </w:tc>
        <w:tc>
          <w:tcPr>
            <w:tcW w:type="dxa" w:w="7932"/>
            <w:tcMar>
              <w:top w:w="50" w:type="dxa"/>
              <w:bottom w:w="50" w:type="dxa"/>
              <w:left w:w="90" w:type="dxa"/>
              <w:right w:w="90" w:type="dxa"/>
            </w:tcMar>
            <w:shd w:val="clear" w:color="auto" w:fill="E5F5FF"/>
          </w:tcPr>
          <w:p>
            <w:pPr>
              <w:pStyle w:val="BDOITable"/>
            </w:pPr>
            <w:r>
              <w:rPr>
                <w:sz w:val="18"/>
              </w:rPr>
              <w:t>Security information and event management</w:t>
            </w:r>
          </w:p>
        </w:tc>
      </w:tr>
      <w:tr>
        <w:trPr>
          <w:cantSplit w:val="true"/>
        </w:trPr>
        <w:tc>
          <w:tcPr>
            <w:tcW w:type="dxa" w:w="2040"/>
            <w:tcMar>
              <w:top w:w="50" w:type="dxa"/>
              <w:bottom w:w="50" w:type="dxa"/>
              <w:left w:w="90" w:type="dxa"/>
              <w:right w:w="90" w:type="dxa"/>
            </w:tcMar>
          </w:tcPr>
          <w:p>
            <w:pPr>
              <w:pStyle w:val="BDOITable"/>
            </w:pPr>
            <w:r>
              <w:rPr>
                <w:b/>
                <w:sz w:val="18"/>
              </w:rPr>
              <w:t>SSM</w:t>
            </w:r>
          </w:p>
        </w:tc>
        <w:tc>
          <w:tcPr>
            <w:tcW w:type="dxa" w:w="7932"/>
            <w:tcMar>
              <w:top w:w="50" w:type="dxa"/>
              <w:bottom w:w="50" w:type="dxa"/>
              <w:left w:w="90" w:type="dxa"/>
              <w:right w:w="90" w:type="dxa"/>
            </w:tcMar>
          </w:tcPr>
          <w:p>
            <w:pPr>
              <w:pStyle w:val="BDOITable"/>
            </w:pPr>
            <w:r>
              <w:rPr>
                <w:sz w:val="18"/>
              </w:rPr>
              <w:t>AWS Systems Manager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VDI</w:t>
            </w:r>
          </w:p>
        </w:tc>
        <w:tc>
          <w:tcPr>
            <w:tcW w:type="dxa" w:w="7932"/>
            <w:tcMar>
              <w:top w:w="50" w:type="dxa"/>
              <w:bottom w:w="50" w:type="dxa"/>
              <w:left w:w="90" w:type="dxa"/>
              <w:right w:w="90" w:type="dxa"/>
            </w:tcMar>
            <w:shd w:val="clear" w:color="auto" w:fill="E5F5FF"/>
          </w:tcPr>
          <w:p>
            <w:pPr>
              <w:pStyle w:val="BDOITable"/>
            </w:pPr>
            <w:r>
              <w:rPr>
                <w:sz w:val="18"/>
              </w:rPr>
              <w:t>Virtual desktop infrastructure</w:t>
            </w: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Architecture set, document 3 of 6</w:t>
    </w:r>
    <w:r>
      <w:rPr>
        <w:color w:val="656565"/>
        <w:sz w:val="16"/>
      </w:rPr>
      <w:t xml:space="preserve">   Infrastructure Architecture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Architecture BRD-00 Infrastructure Architecture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