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INTEGRATION ARCHITECTURE</w:t>
      </w:r>
    </w:p>
    <w:p>
      <w:pPr>
        <w:spacing w:after="80" w:line="240" w:lineRule="auto"/>
      </w:pPr>
      <w:r>
        <w:rPr>
          <w:b/>
          <w:color w:val="004EA8"/>
          <w:sz w:val="56"/>
        </w:rPr>
        <w:t>Integration Architecture</w:t>
      </w:r>
    </w:p>
    <w:p>
      <w:pPr>
        <w:spacing w:after="40"/>
      </w:pPr>
      <w:r>
        <w:rPr>
          <w:color w:val="2E2E2E"/>
          <w:sz w:val="28"/>
        </w:rPr>
        <w:t>Interface catalogue, patterns, security, error handling, reconciliation and ownership of the BIBS interfaces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BIBS-ARC-04</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Integration Lead; iorta TechNXT Tech Lead</w:t>
            </w:r>
          </w:p>
        </w:tc>
        <w:tc>
          <w:tcPr>
            <w:tcW w:type="dxa" w:w="1700"/>
            <w:tcMar>
              <w:top w:w="50" w:type="dxa"/>
              <w:bottom w:w="50" w:type="dxa"/>
              <w:left w:w="90" w:type="dxa"/>
              <w:right w:w="90" w:type="dxa"/>
            </w:tcMar>
          </w:tcPr>
          <w:p>
            <w:pPr>
              <w:pStyle w:val="BDOITable"/>
            </w:pPr>
            <w:r>
              <w:rPr>
                <w:sz w:val="18"/>
              </w:rPr>
              <w:t>BDOI IT Application Development and Integration (pending)</w:t>
            </w:r>
          </w:p>
        </w:tc>
        <w:tc>
          <w:tcPr>
            <w:tcW w:type="dxa" w:w="2606"/>
            <w:tcMar>
              <w:top w:w="50" w:type="dxa"/>
              <w:bottom w:w="50" w:type="dxa"/>
              <w:left w:w="90" w:type="dxa"/>
              <w:right w:w="90" w:type="dxa"/>
            </w:tcMar>
          </w:tcPr>
          <w:p>
            <w:pPr>
              <w:pStyle w:val="BDOITable"/>
            </w:pPr>
            <w:r>
              <w:rPr>
                <w:sz w:val="18"/>
              </w:rPr>
              <w:t>First issue, from the integration inventory of the Programme Alignment pack v1.0 and the interfaces named in the BRDs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Application Development and Integration (integration owners)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 IT</w:t>
            </w:r>
          </w:p>
        </w:tc>
        <w:tc>
          <w:tcPr>
            <w:tcW w:type="dxa" w:w="2833"/>
            <w:tcMar>
              <w:top w:w="50" w:type="dxa"/>
              <w:bottom w:w="50" w:type="dxa"/>
              <w:left w:w="90" w:type="dxa"/>
              <w:right w:w="90" w:type="dxa"/>
            </w:tcMar>
          </w:tcPr>
          <w:p>
            <w:pPr>
              <w:pStyle w:val="BDOITable"/>
            </w:pPr>
            <w:r>
              <w:rPr>
                <w:sz w:val="18"/>
              </w:rPr>
              <w:t>Interface catalogue, patterns, ownership</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 API team (Apigee X)</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 IT</w:t>
            </w:r>
          </w:p>
        </w:tc>
        <w:tc>
          <w:tcPr>
            <w:tcW w:type="dxa" w:w="2833"/>
            <w:tcMar>
              <w:top w:w="50" w:type="dxa"/>
              <w:bottom w:w="50" w:type="dxa"/>
              <w:left w:w="90" w:type="dxa"/>
              <w:right w:w="90" w:type="dxa"/>
            </w:tcMar>
            <w:shd w:val="clear" w:color="auto" w:fill="E5F5FF"/>
          </w:tcPr>
          <w:p>
            <w:pPr>
              <w:pStyle w:val="BDOITable"/>
            </w:pPr>
            <w:r>
              <w:rPr>
                <w:sz w:val="18"/>
              </w:rPr>
              <w:t>API proxies, tokens, private route</w:t>
            </w:r>
          </w:p>
        </w:tc>
      </w:tr>
      <w:tr>
        <w:trPr>
          <w:cantSplit w:val="true"/>
        </w:trPr>
        <w:tc>
          <w:tcPr>
            <w:tcW w:type="dxa" w:w="2606"/>
            <w:tcMar>
              <w:top w:w="50" w:type="dxa"/>
              <w:bottom w:w="50" w:type="dxa"/>
              <w:left w:w="90" w:type="dxa"/>
              <w:right w:w="90" w:type="dxa"/>
            </w:tcMar>
          </w:tcPr>
          <w:p>
            <w:pPr>
              <w:pStyle w:val="BDOITable"/>
            </w:pPr>
            <w:r>
              <w:rPr>
                <w:sz w:val="18"/>
              </w:rPr>
              <w:t>Information Security Office</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 IT</w:t>
            </w:r>
          </w:p>
        </w:tc>
        <w:tc>
          <w:tcPr>
            <w:tcW w:type="dxa" w:w="2833"/>
            <w:tcMar>
              <w:top w:w="50" w:type="dxa"/>
              <w:bottom w:w="50" w:type="dxa"/>
              <w:left w:w="90" w:type="dxa"/>
              <w:right w:w="90" w:type="dxa"/>
            </w:tcMar>
          </w:tcPr>
          <w:p>
            <w:pPr>
              <w:pStyle w:val="BDOITable"/>
            </w:pPr>
            <w:r>
              <w:rPr>
                <w:sz w:val="18"/>
              </w:rPr>
              <w:t>Security per interface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Owners of BRD-1 to BRD-13</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Reconciliation owners, file layouts</w:t>
            </w:r>
          </w:p>
        </w:tc>
      </w:tr>
      <w:tr>
        <w:trPr>
          <w:cantSplit w:val="true"/>
        </w:trPr>
        <w:tc>
          <w:tcPr>
            <w:tcW w:type="dxa" w:w="2606"/>
            <w:tcMar>
              <w:top w:w="50" w:type="dxa"/>
              <w:bottom w:w="50" w:type="dxa"/>
              <w:left w:w="90" w:type="dxa"/>
              <w:right w:w="90" w:type="dxa"/>
            </w:tcMar>
          </w:tcPr>
          <w:p>
            <w:pPr>
              <w:pStyle w:val="BDOITable"/>
            </w:pPr>
            <w:r>
              <w:rPr>
                <w:sz w:val="18"/>
              </w:rPr>
              <w:t>Treasury, Operations, Comptrollership</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Bank channels, insurer files, EGL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Interface delivery and testing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 and audience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1.3 Sources</w:t>
        </w:r>
        <w:r>
          <w:t xml:space="preserve">	</w:t>
        </w:r>
        <w:r>
          <w:t xml:space="preserve">4</w:t>
        </w:r>
      </w:hyperlink>
    </w:p>
    <w:p>
      <w:pPr>
        <w:pStyle w:val="toc2"/>
      </w:pPr>
      <w:hyperlink w:anchor="_Toc000105" w:history="1">
        <w:r>
          <w:t xml:space="preserve">1.4 Conventions</w:t>
        </w:r>
        <w:r>
          <w:t xml:space="preserve">	</w:t>
        </w:r>
        <w:r>
          <w:t xml:space="preserve">4</w:t>
        </w:r>
      </w:hyperlink>
    </w:p>
    <w:p>
      <w:pPr>
        <w:pStyle w:val="toc1"/>
      </w:pPr>
      <w:hyperlink w:anchor="_Toc000106" w:history="1">
        <w:r>
          <w:t xml:space="preserve">2 Integration principles</w:t>
        </w:r>
        <w:r>
          <w:t xml:space="preserve">	</w:t>
        </w:r>
        <w:r>
          <w:t xml:space="preserve">5</w:t>
        </w:r>
      </w:hyperlink>
    </w:p>
    <w:p>
      <w:pPr>
        <w:pStyle w:val="toc1"/>
      </w:pPr>
      <w:hyperlink w:anchor="_Toc000107" w:history="1">
        <w:r>
          <w:t xml:space="preserve">3 Integration landscape</w:t>
        </w:r>
        <w:r>
          <w:t xml:space="preserve">	</w:t>
        </w:r>
        <w:r>
          <w:t xml:space="preserve">6</w:t>
        </w:r>
      </w:hyperlink>
    </w:p>
    <w:p>
      <w:pPr>
        <w:pStyle w:val="toc1"/>
      </w:pPr>
      <w:hyperlink w:anchor="_Toc000108" w:history="1">
        <w:r>
          <w:t xml:space="preserve">4 Integration patterns</w:t>
        </w:r>
        <w:r>
          <w:t xml:space="preserve">	</w:t>
        </w:r>
        <w:r>
          <w:t xml:space="preserve">8</w:t>
        </w:r>
      </w:hyperlink>
    </w:p>
    <w:p>
      <w:pPr>
        <w:pStyle w:val="toc2"/>
      </w:pPr>
      <w:hyperlink w:anchor="_Toc000109" w:history="1">
        <w:r>
          <w:t xml:space="preserve">4.1 Synchronous APIs through Apigee X</w:t>
        </w:r>
        <w:r>
          <w:t xml:space="preserve">	</w:t>
        </w:r>
        <w:r>
          <w:t xml:space="preserve">8</w:t>
        </w:r>
      </w:hyperlink>
    </w:p>
    <w:p>
      <w:pPr>
        <w:pStyle w:val="toc2"/>
      </w:pPr>
      <w:hyperlink w:anchor="_Toc000110" w:history="1">
        <w:r>
          <w:t xml:space="preserve">4.2 Events (Kafka)</w:t>
        </w:r>
        <w:r>
          <w:t xml:space="preserve">	</w:t>
        </w:r>
        <w:r>
          <w:t xml:space="preserve">8</w:t>
        </w:r>
      </w:hyperlink>
    </w:p>
    <w:p>
      <w:pPr>
        <w:pStyle w:val="toc2"/>
      </w:pPr>
      <w:hyperlink w:anchor="_Toc000111" w:history="1">
        <w:r>
          <w:t xml:space="preserve">4.3 Files</w:t>
        </w:r>
        <w:r>
          <w:t xml:space="preserve">	</w:t>
        </w:r>
        <w:r>
          <w:t xml:space="preserve">9</w:t>
        </w:r>
      </w:hyperlink>
    </w:p>
    <w:p>
      <w:pPr>
        <w:pStyle w:val="toc2"/>
      </w:pPr>
      <w:hyperlink w:anchor="_Toc000112" w:history="1">
        <w:r>
          <w:t xml:space="preserve">4.4 Sign-in redirect, e-mail and manual steps</w:t>
        </w:r>
        <w:r>
          <w:t xml:space="preserve">	</w:t>
        </w:r>
        <w:r>
          <w:t xml:space="preserve">9</w:t>
        </w:r>
      </w:hyperlink>
    </w:p>
    <w:p>
      <w:pPr>
        <w:pStyle w:val="toc2"/>
      </w:pPr>
      <w:hyperlink w:anchor="_Toc000113" w:history="1">
        <w:r>
          <w:t xml:space="preserve">4.5 Choosing the pattern</w:t>
        </w:r>
        <w:r>
          <w:t xml:space="preserve">	</w:t>
        </w:r>
        <w:r>
          <w:t xml:space="preserve">9</w:t>
        </w:r>
      </w:hyperlink>
    </w:p>
    <w:p>
      <w:pPr>
        <w:pStyle w:val="toc1"/>
      </w:pPr>
      <w:hyperlink w:anchor="_Toc000114" w:history="1">
        <w:r>
          <w:t xml:space="preserve">5 Transport and data per interface</w:t>
        </w:r>
        <w:r>
          <w:t xml:space="preserve">	</w:t>
        </w:r>
        <w:r>
          <w:t xml:space="preserve">10</w:t>
        </w:r>
      </w:hyperlink>
    </w:p>
    <w:p>
      <w:pPr>
        <w:pStyle w:val="toc1"/>
      </w:pPr>
      <w:hyperlink w:anchor="_Toc000115" w:history="1">
        <w:r>
          <w:t xml:space="preserve">6 Security per interface</w:t>
        </w:r>
        <w:r>
          <w:t xml:space="preserve">	</w:t>
        </w:r>
        <w:r>
          <w:t xml:space="preserve">11</w:t>
        </w:r>
      </w:hyperlink>
    </w:p>
    <w:p>
      <w:pPr>
        <w:pStyle w:val="toc1"/>
      </w:pPr>
      <w:hyperlink w:anchor="_Toc000116" w:history="1">
        <w:r>
          <w:t xml:space="preserve">7 Error handling and reconciliation</w:t>
        </w:r>
        <w:r>
          <w:t xml:space="preserve">	</w:t>
        </w:r>
        <w:r>
          <w:t xml:space="preserve">12</w:t>
        </w:r>
      </w:hyperlink>
    </w:p>
    <w:p>
      <w:pPr>
        <w:pStyle w:val="toc2"/>
      </w:pPr>
      <w:hyperlink w:anchor="_Toc000117" w:history="1">
        <w:r>
          <w:t xml:space="preserve">7.1 Handling errors by pattern</w:t>
        </w:r>
        <w:r>
          <w:t xml:space="preserve">	</w:t>
        </w:r>
        <w:r>
          <w:t xml:space="preserve">12</w:t>
        </w:r>
      </w:hyperlink>
    </w:p>
    <w:p>
      <w:pPr>
        <w:pStyle w:val="toc2"/>
      </w:pPr>
      <w:hyperlink w:anchor="_Toc000118" w:history="1">
        <w:r>
          <w:t xml:space="preserve">7.2 Error handling and reconciliation per interface</w:t>
        </w:r>
        <w:r>
          <w:t xml:space="preserve">	</w:t>
        </w:r>
        <w:r>
          <w:t xml:space="preserve">13</w:t>
        </w:r>
      </w:hyperlink>
    </w:p>
    <w:p>
      <w:pPr>
        <w:pStyle w:val="toc1"/>
      </w:pPr>
      <w:hyperlink w:anchor="_Toc000119" w:history="1">
        <w:r>
          <w:t xml:space="preserve">8 Ownership and governance</w:t>
        </w:r>
        <w:r>
          <w:t xml:space="preserve">	</w:t>
        </w:r>
        <w:r>
          <w:t xml:space="preserve">14</w:t>
        </w:r>
      </w:hyperlink>
    </w:p>
    <w:p>
      <w:pPr>
        <w:pStyle w:val="toc2"/>
      </w:pPr>
      <w:hyperlink w:anchor="_Toc000120" w:history="1">
        <w:r>
          <w:t xml:space="preserve">8.1 Interface ownership</w:t>
        </w:r>
        <w:r>
          <w:t xml:space="preserve">	</w:t>
        </w:r>
        <w:r>
          <w:t xml:space="preserve">14</w:t>
        </w:r>
      </w:hyperlink>
    </w:p>
    <w:p>
      <w:pPr>
        <w:pStyle w:val="toc2"/>
      </w:pPr>
      <w:hyperlink w:anchor="_Toc000121" w:history="1">
        <w:r>
          <w:t xml:space="preserve">8.2 Interface specification</w:t>
        </w:r>
        <w:r>
          <w:t xml:space="preserve">	</w:t>
        </w:r>
        <w:r>
          <w:t xml:space="preserve">16</w:t>
        </w:r>
      </w:hyperlink>
    </w:p>
    <w:p>
      <w:pPr>
        <w:pStyle w:val="toc2"/>
      </w:pPr>
      <w:hyperlink w:anchor="_Toc000122" w:history="1">
        <w:r>
          <w:t xml:space="preserve">8.3 Lifecycle</w:t>
        </w:r>
        <w:r>
          <w:t xml:space="preserve">	</w:t>
        </w:r>
        <w:r>
          <w:t xml:space="preserve">16</w:t>
        </w:r>
      </w:hyperlink>
    </w:p>
    <w:p>
      <w:pPr>
        <w:pStyle w:val="toc1"/>
      </w:pPr>
      <w:hyperlink w:anchor="_Toc000123" w:history="1">
        <w:r>
          <w:t xml:space="preserve">9 Schedule</w:t>
        </w:r>
        <w:r>
          <w:t xml:space="preserve">	</w:t>
        </w:r>
        <w:r>
          <w:t xml:space="preserve">16</w:t>
        </w:r>
      </w:hyperlink>
    </w:p>
    <w:p>
      <w:pPr>
        <w:pStyle w:val="toc1"/>
      </w:pPr>
      <w:hyperlink w:anchor="_Toc000124" w:history="1">
        <w:r>
          <w:t xml:space="preserve">10 Decisions and open points for BDOI</w:t>
        </w:r>
        <w:r>
          <w:t xml:space="preserve">	</w:t>
        </w:r>
        <w:r>
          <w:t xml:space="preserve">17</w:t>
        </w:r>
      </w:hyperlink>
    </w:p>
    <w:p>
      <w:pPr>
        <w:pStyle w:val="toc1"/>
      </w:pPr>
      <w:hyperlink w:anchor="_Toc000125" w:history="1">
        <w:r>
          <w:t xml:space="preserve">Glossary</w:t>
        </w:r>
        <w:r>
          <w:t xml:space="preserve">	</w:t>
        </w:r>
        <w:r>
          <w:t xml:space="preserve">17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 and audience</w:t>
      </w:r>
      <w:bookmarkEnd w:id="102"/>
    </w:p>
    <w:p>
      <w:r>
        <w:rPr/>
        <w:t>This document describes every interface between BIBS and other systems: what flows, by which pattern, how it is secured, how errors are handled and reconciled, and who owns each side. It is written for BDOI IT Application Development and Integration (owner of every external touch-point, BDOI answer A2 of 26 September 2026), the BDO API team, the Information Security Office and the business units that reconcile the data.</w:t>
      </w:r>
    </w:p>
    <w:p>
      <w:pPr>
        <w:pStyle w:val="Heading2"/>
      </w:pPr>
      <w:bookmarkStart w:id="103" w:name="_Toc000103"/>
      <w:r>
        <w:rPr/>
        <w:t>1.2 Scope</w:t>
      </w:r>
      <w:bookmarkEnd w:id="103"/>
    </w:p>
    <w:p>
      <w:r>
        <w:rPr/>
        <w:t>The interfaces INT-01 to INT-20 of the integration inventory of the Programme Alignment pack (same numbers; INT-11 ICBS is struck through on the drop plan and not listed), the interfaces named in the BRDs but not on the drop plan (INT-21 to INT-25), the document store (INT-26), the legacy extracts of data migration (INT-27) and the SMS question (INT-28). Each interface gets an interface specification agreed with its owner before delivery (chapter 8).</w:t>
      </w:r>
    </w:p>
    <w:p>
      <w:pPr>
        <w:pStyle w:val="Heading2"/>
      </w:pPr>
      <w:bookmarkStart w:id="104" w:name="_Toc000104"/>
      <w:r>
        <w:rPr/>
        <w:t>1.3 Sources</w:t>
      </w:r>
      <w:bookmarkEnd w:id="104"/>
    </w:p>
    <w:p>
      <w:pPr>
        <w:pStyle w:val="Caption"/>
        <w:keepNext/>
        <w:spacing w:after="60"/>
      </w:pPr>
      <w:r>
        <w:rPr>
          <w:b/>
          <w:i w:val="0"/>
        </w:rPr>
        <w:t xml:space="preserve">Table 1: </w:t>
      </w:r>
      <w:r>
        <w:rPr/>
        <w:t>Sources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3966"/>
        <w:gridCol w:w="5439"/>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5439"/>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567"/>
            <w:tcMar>
              <w:top w:w="50" w:type="dxa"/>
              <w:bottom w:w="50" w:type="dxa"/>
              <w:left w:w="90" w:type="dxa"/>
              <w:right w:w="90" w:type="dxa"/>
            </w:tcMar>
          </w:tcPr>
          <w:p>
            <w:pPr>
              <w:pStyle w:val="BDOITable"/>
            </w:pPr>
            <w:r>
              <w:rPr>
                <w:b/>
                <w:sz w:val="18"/>
              </w:rPr>
              <w:t>S1</w:t>
            </w:r>
          </w:p>
        </w:tc>
        <w:tc>
          <w:tcPr>
            <w:tcW w:type="dxa" w:w="3966"/>
            <w:tcMar>
              <w:top w:w="50" w:type="dxa"/>
              <w:bottom w:w="50" w:type="dxa"/>
              <w:left w:w="90" w:type="dxa"/>
              <w:right w:w="90" w:type="dxa"/>
            </w:tcMar>
          </w:tcPr>
          <w:p>
            <w:pPr>
              <w:pStyle w:val="BDOITable"/>
            </w:pPr>
            <w:r>
              <w:rPr>
                <w:sz w:val="18"/>
              </w:rPr>
              <w:t>Programme Alignment pack v1.0 and its Integration Inventory workbook (26-Sep-2026)</w:t>
            </w:r>
          </w:p>
        </w:tc>
        <w:tc>
          <w:tcPr>
            <w:tcW w:type="dxa" w:w="5439"/>
            <w:tcMar>
              <w:top w:w="50" w:type="dxa"/>
              <w:bottom w:w="50" w:type="dxa"/>
              <w:left w:w="90" w:type="dxa"/>
              <w:right w:w="90" w:type="dxa"/>
            </w:tcMar>
          </w:tcPr>
          <w:p>
            <w:pPr>
              <w:pStyle w:val="BDOITable"/>
            </w:pPr>
            <w:r>
              <w:rPr>
                <w:sz w:val="18"/>
              </w:rPr>
              <w:t>INT-01 to INT-20, questions IQ04 to IQ19</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S2</w:t>
            </w:r>
          </w:p>
        </w:tc>
        <w:tc>
          <w:tcPr>
            <w:tcW w:type="dxa" w:w="3966"/>
            <w:tcMar>
              <w:top w:w="50" w:type="dxa"/>
              <w:bottom w:w="50" w:type="dxa"/>
              <w:left w:w="90" w:type="dxa"/>
              <w:right w:w="90" w:type="dxa"/>
            </w:tcMar>
            <w:shd w:val="clear" w:color="auto" w:fill="E5F5FF"/>
          </w:tcPr>
          <w:p>
            <w:pPr>
              <w:pStyle w:val="BDOITable"/>
            </w:pPr>
            <w:r>
              <w:rPr>
                <w:sz w:val="18"/>
              </w:rPr>
              <w:t>BDOI answers of 26-Sep-2026 (A2 integration names and ownership, A4 documents in S3)</w:t>
            </w:r>
          </w:p>
        </w:tc>
        <w:tc>
          <w:tcPr>
            <w:tcW w:type="dxa" w:w="5439"/>
            <w:tcMar>
              <w:top w:w="50" w:type="dxa"/>
              <w:bottom w:w="50" w:type="dxa"/>
              <w:left w:w="90" w:type="dxa"/>
              <w:right w:w="90" w:type="dxa"/>
            </w:tcMar>
            <w:shd w:val="clear" w:color="auto" w:fill="E5F5FF"/>
          </w:tcPr>
          <w:p>
            <w:pPr>
              <w:pStyle w:val="BDOITable"/>
            </w:pPr>
            <w:r>
              <w:rPr>
                <w:sz w:val="18"/>
              </w:rPr>
              <w:t>Meanings, ownership</w:t>
            </w:r>
          </w:p>
        </w:tc>
      </w:tr>
      <w:tr>
        <w:trPr>
          <w:cantSplit w:val="true"/>
        </w:trPr>
        <w:tc>
          <w:tcPr>
            <w:tcW w:type="dxa" w:w="567"/>
            <w:tcMar>
              <w:top w:w="50" w:type="dxa"/>
              <w:bottom w:w="50" w:type="dxa"/>
              <w:left w:w="90" w:type="dxa"/>
              <w:right w:w="90" w:type="dxa"/>
            </w:tcMar>
          </w:tcPr>
          <w:p>
            <w:pPr>
              <w:pStyle w:val="BDOITable"/>
            </w:pPr>
            <w:r>
              <w:rPr>
                <w:b/>
                <w:sz w:val="18"/>
              </w:rPr>
              <w:t>S3</w:t>
            </w:r>
          </w:p>
        </w:tc>
        <w:tc>
          <w:tcPr>
            <w:tcW w:type="dxa" w:w="3966"/>
            <w:tcMar>
              <w:top w:w="50" w:type="dxa"/>
              <w:bottom w:w="50" w:type="dxa"/>
              <w:left w:w="90" w:type="dxa"/>
              <w:right w:w="90" w:type="dxa"/>
            </w:tcMar>
          </w:tcPr>
          <w:p>
            <w:pPr>
              <w:pStyle w:val="BDOITable"/>
            </w:pPr>
            <w:r>
              <w:rPr>
                <w:sz w:val="18"/>
              </w:rPr>
              <w:t>Application architecture option decision, section 5 (edge paths, Apigee X)</w:t>
            </w:r>
          </w:p>
        </w:tc>
        <w:tc>
          <w:tcPr>
            <w:tcW w:type="dxa" w:w="5439"/>
            <w:tcMar>
              <w:top w:w="50" w:type="dxa"/>
              <w:bottom w:w="50" w:type="dxa"/>
              <w:left w:w="90" w:type="dxa"/>
              <w:right w:w="90" w:type="dxa"/>
            </w:tcMar>
          </w:tcPr>
          <w:p>
            <w:pPr>
              <w:pStyle w:val="BDOITable"/>
            </w:pPr>
            <w:r>
              <w:rPr>
                <w:sz w:val="18"/>
              </w:rPr>
              <w:t>Patterns and security of system calls</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S4</w:t>
            </w:r>
          </w:p>
        </w:tc>
        <w:tc>
          <w:tcPr>
            <w:tcW w:type="dxa" w:w="3966"/>
            <w:tcMar>
              <w:top w:w="50" w:type="dxa"/>
              <w:bottom w:w="50" w:type="dxa"/>
              <w:left w:w="90" w:type="dxa"/>
              <w:right w:w="90" w:type="dxa"/>
            </w:tcMar>
            <w:shd w:val="clear" w:color="auto" w:fill="E5F5FF"/>
          </w:tcPr>
          <w:p>
            <w:pPr>
              <w:pStyle w:val="BDOITable"/>
            </w:pPr>
            <w:r>
              <w:rPr>
                <w:sz w:val="18"/>
              </w:rPr>
              <w:t>Platform cache and events architecture</w:t>
            </w:r>
          </w:p>
        </w:tc>
        <w:tc>
          <w:tcPr>
            <w:tcW w:type="dxa" w:w="5439"/>
            <w:tcMar>
              <w:top w:w="50" w:type="dxa"/>
              <w:bottom w:w="50" w:type="dxa"/>
              <w:left w:w="90" w:type="dxa"/>
              <w:right w:w="90" w:type="dxa"/>
            </w:tcMar>
            <w:shd w:val="clear" w:color="auto" w:fill="E5F5FF"/>
          </w:tcPr>
          <w:p>
            <w:pPr>
              <w:pStyle w:val="BDOITable"/>
            </w:pPr>
            <w:r>
              <w:rPr>
                <w:sz w:val="18"/>
              </w:rPr>
              <w:t>Topics, outbox, consumers, dead letters</w:t>
            </w:r>
          </w:p>
        </w:tc>
      </w:tr>
      <w:tr>
        <w:trPr>
          <w:cantSplit w:val="true"/>
        </w:trPr>
        <w:tc>
          <w:tcPr>
            <w:tcW w:type="dxa" w:w="567"/>
            <w:tcMar>
              <w:top w:w="50" w:type="dxa"/>
              <w:bottom w:w="50" w:type="dxa"/>
              <w:left w:w="90" w:type="dxa"/>
              <w:right w:w="90" w:type="dxa"/>
            </w:tcMar>
          </w:tcPr>
          <w:p>
            <w:pPr>
              <w:pStyle w:val="BDOITable"/>
            </w:pPr>
            <w:r>
              <w:rPr>
                <w:b/>
                <w:sz w:val="18"/>
              </w:rPr>
              <w:t>S5</w:t>
            </w:r>
          </w:p>
        </w:tc>
        <w:tc>
          <w:tcPr>
            <w:tcW w:type="dxa" w:w="3966"/>
            <w:tcMar>
              <w:top w:w="50" w:type="dxa"/>
              <w:bottom w:w="50" w:type="dxa"/>
              <w:left w:w="90" w:type="dxa"/>
              <w:right w:w="90" w:type="dxa"/>
            </w:tcMar>
          </w:tcPr>
          <w:p>
            <w:pPr>
              <w:pStyle w:val="BDOITable"/>
            </w:pPr>
            <w:r>
              <w:rPr>
                <w:sz w:val="18"/>
              </w:rPr>
              <w:t>Document storage decision record</w:t>
            </w:r>
          </w:p>
        </w:tc>
        <w:tc>
          <w:tcPr>
            <w:tcW w:type="dxa" w:w="5439"/>
            <w:tcMar>
              <w:top w:w="50" w:type="dxa"/>
              <w:bottom w:w="50" w:type="dxa"/>
              <w:left w:w="90" w:type="dxa"/>
              <w:right w:w="90" w:type="dxa"/>
            </w:tcMar>
          </w:tcPr>
          <w:p>
            <w:pPr>
              <w:pStyle w:val="BDOITable"/>
            </w:pPr>
            <w:r>
              <w:rPr>
                <w:sz w:val="18"/>
              </w:rPr>
              <w:t>S3 buckets, malware scan, ECM archive</w:t>
            </w:r>
          </w:p>
        </w:tc>
      </w:tr>
      <w:tr>
        <w:trPr>
          <w:cantSplit w:val="true"/>
        </w:trPr>
        <w:tc>
          <w:tcPr>
            <w:tcW w:type="dxa" w:w="567"/>
            <w:tcMar>
              <w:top w:w="50" w:type="dxa"/>
              <w:bottom w:w="50" w:type="dxa"/>
              <w:left w:w="90" w:type="dxa"/>
              <w:right w:w="90" w:type="dxa"/>
            </w:tcMar>
            <w:shd w:val="clear" w:color="auto" w:fill="E5F5FF"/>
          </w:tcPr>
          <w:p>
            <w:pPr>
              <w:pStyle w:val="BDOITable"/>
            </w:pPr>
            <w:r>
              <w:rPr>
                <w:b/>
                <w:sz w:val="18"/>
              </w:rPr>
              <w:t>S6</w:t>
            </w:r>
          </w:p>
        </w:tc>
        <w:tc>
          <w:tcPr>
            <w:tcW w:type="dxa" w:w="3966"/>
            <w:tcMar>
              <w:top w:w="50" w:type="dxa"/>
              <w:bottom w:w="50" w:type="dxa"/>
              <w:left w:w="90" w:type="dxa"/>
              <w:right w:w="90" w:type="dxa"/>
            </w:tcMar>
            <w:shd w:val="clear" w:color="auto" w:fill="E5F5FF"/>
          </w:tcPr>
          <w:p>
            <w:pPr>
              <w:pStyle w:val="BDOITable"/>
            </w:pPr>
            <w:r>
              <w:rPr>
                <w:sz w:val="18"/>
              </w:rPr>
              <w:t>Design notes of the BRD modules (operations, collections, screening, submitted policies, user access)</w:t>
            </w:r>
          </w:p>
        </w:tc>
        <w:tc>
          <w:tcPr>
            <w:tcW w:type="dxa" w:w="5439"/>
            <w:tcMar>
              <w:top w:w="50" w:type="dxa"/>
              <w:bottom w:w="50" w:type="dxa"/>
              <w:left w:w="90" w:type="dxa"/>
              <w:right w:w="90" w:type="dxa"/>
            </w:tcMar>
            <w:shd w:val="clear" w:color="auto" w:fill="E5F5FF"/>
          </w:tcPr>
          <w:p>
            <w:pPr>
              <w:pStyle w:val="BDOITable"/>
            </w:pPr>
            <w:r>
              <w:rPr>
                <w:sz w:val="18"/>
              </w:rPr>
              <w:t>Ports and file interfaces of each module</w:t>
            </w:r>
          </w:p>
        </w:tc>
      </w:tr>
      <w:tr>
        <w:trPr>
          <w:cantSplit w:val="true"/>
        </w:trPr>
        <w:tc>
          <w:tcPr>
            <w:tcW w:type="dxa" w:w="567"/>
            <w:tcMar>
              <w:top w:w="50" w:type="dxa"/>
              <w:bottom w:w="50" w:type="dxa"/>
              <w:left w:w="90" w:type="dxa"/>
              <w:right w:w="90" w:type="dxa"/>
            </w:tcMar>
          </w:tcPr>
          <w:p>
            <w:pPr>
              <w:pStyle w:val="BDOITable"/>
            </w:pPr>
            <w:r>
              <w:rPr>
                <w:b/>
                <w:sz w:val="18"/>
              </w:rPr>
              <w:t>S7</w:t>
            </w:r>
          </w:p>
        </w:tc>
        <w:tc>
          <w:tcPr>
            <w:tcW w:type="dxa" w:w="3966"/>
            <w:tcMar>
              <w:top w:w="50" w:type="dxa"/>
              <w:bottom w:w="50" w:type="dxa"/>
              <w:left w:w="90" w:type="dxa"/>
              <w:right w:w="90" w:type="dxa"/>
            </w:tcMar>
          </w:tcPr>
          <w:p>
            <w:pPr>
              <w:pStyle w:val="BDOITable"/>
            </w:pPr>
            <w:r>
              <w:rPr>
                <w:sz w:val="18"/>
              </w:rPr>
              <w:t>BRDs 01 to 13</w:t>
            </w:r>
          </w:p>
        </w:tc>
        <w:tc>
          <w:tcPr>
            <w:tcW w:type="dxa" w:w="5439"/>
            <w:tcMar>
              <w:top w:w="50" w:type="dxa"/>
              <w:bottom w:w="50" w:type="dxa"/>
              <w:left w:w="90" w:type="dxa"/>
              <w:right w:w="90" w:type="dxa"/>
            </w:tcMar>
          </w:tcPr>
          <w:p>
            <w:pPr>
              <w:pStyle w:val="BDOITable"/>
            </w:pPr>
            <w:r>
              <w:rPr>
                <w:sz w:val="18"/>
              </w:rPr>
              <w:t>Data exchanged, frequencies, reconciliation needs</w:t>
            </w:r>
          </w:p>
        </w:tc>
      </w:tr>
    </w:tbl>
    <w:p>
      <w:pPr>
        <w:pStyle w:val="BDOISpacer"/>
      </w:pPr>
    </w:p>
    <w:p>
      <w:pPr>
        <w:pStyle w:val="Heading2"/>
      </w:pPr>
      <w:bookmarkStart w:id="105" w:name="_Toc000105"/>
      <w:r>
        <w:rPr/>
        <w:t>1.4 Conventions</w:t>
      </w:r>
      <w:bookmarkEnd w:id="105"/>
    </w:p>
    <w:p>
      <w:r>
        <w:rPr/>
        <w:t>Open points of this document are numbered IN-01 to IN-10 (chapter 10). "To confirm" marks a value BDOI IT has not given yet; the question number says where it is asked.</w:t>
      </w:r>
    </w:p>
    <w:p>
      <w:pPr>
        <w:pStyle w:val="Heading1"/>
        <w:pBdr>
          <w:bottom w:val="single" w:sz="4" w:space="4" w:color="99C1E7"/>
        </w:pBdr>
      </w:pPr>
      <w:bookmarkStart w:id="106" w:name="_Toc000106"/>
      <w:r>
        <w:rPr/>
        <w:t>2 Integration principles</w:t>
      </w:r>
      <w:bookmarkEnd w:id="106"/>
    </w:p>
    <w:p>
      <w:pPr>
        <w:pStyle w:val="Caption"/>
        <w:keepNext/>
        <w:spacing w:after="60"/>
      </w:pPr>
      <w:r>
        <w:rPr>
          <w:b/>
          <w:i w:val="0"/>
        </w:rPr>
        <w:t xml:space="preserve">Table 2: </w:t>
      </w:r>
      <w:r>
        <w:rPr/>
        <w:t>Integration principles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2493"/>
        <w:gridCol w:w="6913"/>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7"/>
              </w:rPr>
              <w:t>Principle</w:t>
            </w:r>
          </w:p>
        </w:tc>
        <w:tc>
          <w:tcPr>
            <w:tcW w:type="dxa" w:w="6912"/>
            <w:shd w:val="clear" w:color="auto" w:fill="004EA8"/>
            <w:tcMar>
              <w:top w:w="50" w:type="dxa"/>
              <w:bottom w:w="50" w:type="dxa"/>
              <w:left w:w="90" w:type="dxa"/>
              <w:right w:w="90" w:type="dxa"/>
            </w:tcMar>
            <w:vAlign w:val="center"/>
          </w:tcPr>
          <w:p>
            <w:pPr>
              <w:pStyle w:val="BDOITableHeader"/>
            </w:pPr>
            <w:r>
              <w:rPr>
                <w:b/>
                <w:color w:val="FFFFFF"/>
                <w:sz w:val="17"/>
              </w:rPr>
              <w:t>Practice</w:t>
            </w:r>
          </w:p>
        </w:tc>
      </w:tr>
      <w:tr>
        <w:trPr>
          <w:cantSplit w:val="true"/>
        </w:trPr>
        <w:tc>
          <w:tcPr>
            <w:tcW w:type="dxa" w:w="567"/>
            <w:tcMar>
              <w:top w:w="50" w:type="dxa"/>
              <w:bottom w:w="50" w:type="dxa"/>
              <w:left w:w="90" w:type="dxa"/>
              <w:right w:w="90" w:type="dxa"/>
            </w:tcMar>
          </w:tcPr>
          <w:p>
            <w:pPr>
              <w:pStyle w:val="BDOITable"/>
            </w:pPr>
            <w:r>
              <w:rPr>
                <w:b/>
                <w:sz w:val="17"/>
              </w:rPr>
              <w:t>I1</w:t>
            </w:r>
          </w:p>
        </w:tc>
        <w:tc>
          <w:tcPr>
            <w:tcW w:type="dxa" w:w="2493"/>
            <w:tcMar>
              <w:top w:w="50" w:type="dxa"/>
              <w:bottom w:w="50" w:type="dxa"/>
              <w:left w:w="90" w:type="dxa"/>
              <w:right w:w="90" w:type="dxa"/>
            </w:tcMar>
          </w:tcPr>
          <w:p>
            <w:pPr>
              <w:pStyle w:val="BDOITable"/>
            </w:pPr>
            <w:r>
              <w:rPr>
                <w:sz w:val="17"/>
              </w:rPr>
              <w:t>One governed entry for system calls</w:t>
            </w:r>
          </w:p>
        </w:tc>
        <w:tc>
          <w:tcPr>
            <w:tcW w:type="dxa" w:w="6912"/>
            <w:tcMar>
              <w:top w:w="50" w:type="dxa"/>
              <w:bottom w:w="50" w:type="dxa"/>
              <w:left w:w="90" w:type="dxa"/>
              <w:right w:w="90" w:type="dxa"/>
            </w:tcMar>
          </w:tcPr>
          <w:p>
            <w:pPr>
              <w:pStyle w:val="BDOITable"/>
            </w:pPr>
            <w:r>
              <w:rPr>
                <w:sz w:val="17"/>
              </w:rPr>
              <w:t>Every synchronous call between BIBS and a BDO system passes through Apigee X proxies in both directions (ADR-16); no system calls BIBS directly and no system reads the BIBS database</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I2</w:t>
            </w:r>
          </w:p>
        </w:tc>
        <w:tc>
          <w:tcPr>
            <w:tcW w:type="dxa" w:w="2493"/>
            <w:tcMar>
              <w:top w:w="50" w:type="dxa"/>
              <w:bottom w:w="50" w:type="dxa"/>
              <w:left w:w="90" w:type="dxa"/>
              <w:right w:w="90" w:type="dxa"/>
            </w:tcMar>
            <w:shd w:val="clear" w:color="auto" w:fill="E5F5FF"/>
          </w:tcPr>
          <w:p>
            <w:pPr>
              <w:pStyle w:val="BDOITable"/>
            </w:pPr>
            <w:r>
              <w:rPr>
                <w:sz w:val="17"/>
              </w:rPr>
              <w:t>The right pattern for the job</w:t>
            </w:r>
          </w:p>
        </w:tc>
        <w:tc>
          <w:tcPr>
            <w:tcW w:type="dxa" w:w="6912"/>
            <w:tcMar>
              <w:top w:w="50" w:type="dxa"/>
              <w:bottom w:w="50" w:type="dxa"/>
              <w:left w:w="90" w:type="dxa"/>
              <w:right w:w="90" w:type="dxa"/>
            </w:tcMar>
            <w:shd w:val="clear" w:color="auto" w:fill="E5F5FF"/>
          </w:tcPr>
          <w:p>
            <w:pPr>
              <w:pStyle w:val="BDOITable"/>
            </w:pPr>
            <w:r>
              <w:rPr>
                <w:sz w:val="17"/>
              </w:rPr>
              <w:t>Synchronous APIs for requests that need an immediate answer; events for facts that others react to; files for bulk, scheduled or bank and insurer exchanges; manual steps only where the counterpart offers no interface</w:t>
            </w:r>
          </w:p>
        </w:tc>
      </w:tr>
      <w:tr>
        <w:trPr>
          <w:cantSplit w:val="true"/>
        </w:trPr>
        <w:tc>
          <w:tcPr>
            <w:tcW w:type="dxa" w:w="567"/>
            <w:tcMar>
              <w:top w:w="50" w:type="dxa"/>
              <w:bottom w:w="50" w:type="dxa"/>
              <w:left w:w="90" w:type="dxa"/>
              <w:right w:w="90" w:type="dxa"/>
            </w:tcMar>
          </w:tcPr>
          <w:p>
            <w:pPr>
              <w:pStyle w:val="BDOITable"/>
            </w:pPr>
            <w:r>
              <w:rPr>
                <w:b/>
                <w:sz w:val="17"/>
              </w:rPr>
              <w:t>I3</w:t>
            </w:r>
          </w:p>
        </w:tc>
        <w:tc>
          <w:tcPr>
            <w:tcW w:type="dxa" w:w="2493"/>
            <w:tcMar>
              <w:top w:w="50" w:type="dxa"/>
              <w:bottom w:w="50" w:type="dxa"/>
              <w:left w:w="90" w:type="dxa"/>
              <w:right w:w="90" w:type="dxa"/>
            </w:tcMar>
          </w:tcPr>
          <w:p>
            <w:pPr>
              <w:pStyle w:val="BDOITable"/>
            </w:pPr>
            <w:r>
              <w:rPr>
                <w:sz w:val="17"/>
              </w:rPr>
              <w:t>Business transaction first</w:t>
            </w:r>
          </w:p>
        </w:tc>
        <w:tc>
          <w:tcPr>
            <w:tcW w:type="dxa" w:w="6912"/>
            <w:tcMar>
              <w:top w:w="50" w:type="dxa"/>
              <w:bottom w:w="50" w:type="dxa"/>
              <w:left w:w="90" w:type="dxa"/>
              <w:right w:w="90" w:type="dxa"/>
            </w:tcMar>
          </w:tcPr>
          <w:p>
            <w:pPr>
              <w:pStyle w:val="BDOITable"/>
            </w:pPr>
            <w:r>
              <w:rPr>
                <w:sz w:val="17"/>
              </w:rPr>
              <w:t>Outbound work never runs inside the user's transaction: events through the outbox, files by jobs; a counterpart that is down never blocks a BIBS user</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I4</w:t>
            </w:r>
          </w:p>
        </w:tc>
        <w:tc>
          <w:tcPr>
            <w:tcW w:type="dxa" w:w="2493"/>
            <w:tcMar>
              <w:top w:w="50" w:type="dxa"/>
              <w:bottom w:w="50" w:type="dxa"/>
              <w:left w:w="90" w:type="dxa"/>
              <w:right w:w="90" w:type="dxa"/>
            </w:tcMar>
            <w:shd w:val="clear" w:color="auto" w:fill="E5F5FF"/>
          </w:tcPr>
          <w:p>
            <w:pPr>
              <w:pStyle w:val="BDOITable"/>
            </w:pPr>
            <w:r>
              <w:rPr>
                <w:sz w:val="17"/>
              </w:rPr>
              <w:t>Safe to repeat</w:t>
            </w:r>
          </w:p>
        </w:tc>
        <w:tc>
          <w:tcPr>
            <w:tcW w:type="dxa" w:w="6912"/>
            <w:tcMar>
              <w:top w:w="50" w:type="dxa"/>
              <w:bottom w:w="50" w:type="dxa"/>
              <w:left w:w="90" w:type="dxa"/>
              <w:right w:w="90" w:type="dxa"/>
            </w:tcMar>
            <w:shd w:val="clear" w:color="auto" w:fill="E5F5FF"/>
          </w:tcPr>
          <w:p>
            <w:pPr>
              <w:pStyle w:val="BDOITable"/>
            </w:pPr>
            <w:r>
              <w:rPr>
                <w:sz w:val="17"/>
              </w:rPr>
              <w:t>Every inbound message or file carries a source reference that BIBS refuses twice; every event carries an identifier that consumers deduplicate on</w:t>
            </w:r>
          </w:p>
        </w:tc>
      </w:tr>
      <w:tr>
        <w:trPr>
          <w:cantSplit w:val="true"/>
        </w:trPr>
        <w:tc>
          <w:tcPr>
            <w:tcW w:type="dxa" w:w="567"/>
            <w:tcMar>
              <w:top w:w="50" w:type="dxa"/>
              <w:bottom w:w="50" w:type="dxa"/>
              <w:left w:w="90" w:type="dxa"/>
              <w:right w:w="90" w:type="dxa"/>
            </w:tcMar>
          </w:tcPr>
          <w:p>
            <w:pPr>
              <w:pStyle w:val="BDOITable"/>
            </w:pPr>
            <w:r>
              <w:rPr>
                <w:b/>
                <w:sz w:val="17"/>
              </w:rPr>
              <w:t>I5</w:t>
            </w:r>
          </w:p>
        </w:tc>
        <w:tc>
          <w:tcPr>
            <w:tcW w:type="dxa" w:w="2493"/>
            <w:tcMar>
              <w:top w:w="50" w:type="dxa"/>
              <w:bottom w:w="50" w:type="dxa"/>
              <w:left w:w="90" w:type="dxa"/>
              <w:right w:w="90" w:type="dxa"/>
            </w:tcMar>
          </w:tcPr>
          <w:p>
            <w:pPr>
              <w:pStyle w:val="BDOITable"/>
            </w:pPr>
            <w:r>
              <w:rPr>
                <w:sz w:val="17"/>
              </w:rPr>
              <w:t>Controlled and reconciled</w:t>
            </w:r>
          </w:p>
        </w:tc>
        <w:tc>
          <w:tcPr>
            <w:tcW w:type="dxa" w:w="6912"/>
            <w:tcMar>
              <w:top w:w="50" w:type="dxa"/>
              <w:bottom w:w="50" w:type="dxa"/>
              <w:left w:w="90" w:type="dxa"/>
              <w:right w:w="90" w:type="dxa"/>
            </w:tcMar>
          </w:tcPr>
          <w:p>
            <w:pPr>
              <w:pStyle w:val="BDOITable"/>
            </w:pPr>
            <w:r>
              <w:rPr>
                <w:sz w:val="17"/>
              </w:rPr>
              <w:t>Every file has control totals; every interface has a reconciliation report and a business owner who signs it off</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I6</w:t>
            </w:r>
          </w:p>
        </w:tc>
        <w:tc>
          <w:tcPr>
            <w:tcW w:type="dxa" w:w="2493"/>
            <w:tcMar>
              <w:top w:w="50" w:type="dxa"/>
              <w:bottom w:w="50" w:type="dxa"/>
              <w:left w:w="90" w:type="dxa"/>
              <w:right w:w="90" w:type="dxa"/>
            </w:tcMar>
            <w:shd w:val="clear" w:color="auto" w:fill="E5F5FF"/>
          </w:tcPr>
          <w:p>
            <w:pPr>
              <w:pStyle w:val="BDOITable"/>
            </w:pPr>
            <w:r>
              <w:rPr>
                <w:sz w:val="17"/>
              </w:rPr>
              <w:t>Secure by default</w:t>
            </w:r>
          </w:p>
        </w:tc>
        <w:tc>
          <w:tcPr>
            <w:tcW w:type="dxa" w:w="6912"/>
            <w:tcMar>
              <w:top w:w="50" w:type="dxa"/>
              <w:bottom w:w="50" w:type="dxa"/>
              <w:left w:w="90" w:type="dxa"/>
              <w:right w:w="90" w:type="dxa"/>
            </w:tcMar>
            <w:shd w:val="clear" w:color="auto" w:fill="E5F5FF"/>
          </w:tcPr>
          <w:p>
            <w:pPr>
              <w:pStyle w:val="BDOITable"/>
            </w:pPr>
            <w:r>
              <w:rPr>
                <w:sz w:val="17"/>
              </w:rPr>
              <w:t>TLS on every hop; OAuth 2.0 tokens with scopes per API; files encrypted at rest with BDOI keys and scanned for malware before processing; no personal data in event payloads or object keys</w:t>
            </w:r>
          </w:p>
        </w:tc>
      </w:tr>
      <w:tr>
        <w:trPr>
          <w:cantSplit w:val="true"/>
        </w:trPr>
        <w:tc>
          <w:tcPr>
            <w:tcW w:type="dxa" w:w="567"/>
            <w:tcMar>
              <w:top w:w="50" w:type="dxa"/>
              <w:bottom w:w="50" w:type="dxa"/>
              <w:left w:w="90" w:type="dxa"/>
              <w:right w:w="90" w:type="dxa"/>
            </w:tcMar>
          </w:tcPr>
          <w:p>
            <w:pPr>
              <w:pStyle w:val="BDOITable"/>
            </w:pPr>
            <w:r>
              <w:rPr>
                <w:b/>
                <w:sz w:val="17"/>
              </w:rPr>
              <w:t>I7</w:t>
            </w:r>
          </w:p>
        </w:tc>
        <w:tc>
          <w:tcPr>
            <w:tcW w:type="dxa" w:w="2493"/>
            <w:tcMar>
              <w:top w:w="50" w:type="dxa"/>
              <w:bottom w:w="50" w:type="dxa"/>
              <w:left w:w="90" w:type="dxa"/>
              <w:right w:w="90" w:type="dxa"/>
            </w:tcMar>
          </w:tcPr>
          <w:p>
            <w:pPr>
              <w:pStyle w:val="BDOITable"/>
            </w:pPr>
            <w:r>
              <w:rPr>
                <w:sz w:val="17"/>
              </w:rPr>
              <w:t>Ports in BIBS</w:t>
            </w:r>
          </w:p>
        </w:tc>
        <w:tc>
          <w:tcPr>
            <w:tcW w:type="dxa" w:w="6912"/>
            <w:tcMar>
              <w:top w:w="50" w:type="dxa"/>
              <w:bottom w:w="50" w:type="dxa"/>
              <w:left w:w="90" w:type="dxa"/>
              <w:right w:w="90" w:type="dxa"/>
            </w:tcMar>
          </w:tcPr>
          <w:p>
            <w:pPr>
              <w:pStyle w:val="BDOITable"/>
            </w:pPr>
            <w:r>
              <w:rPr>
                <w:sz w:val="17"/>
              </w:rPr>
              <w:t>Each interface is a port of the owning module with a connector chosen by configuration, so a file interface can become an API without a change in the module</w:t>
            </w:r>
          </w:p>
        </w:tc>
      </w:tr>
      <w:tr>
        <w:trPr>
          <w:cantSplit w:val="true"/>
        </w:trPr>
        <w:tc>
          <w:tcPr>
            <w:tcW w:type="dxa" w:w="567"/>
            <w:tcMar>
              <w:top w:w="50" w:type="dxa"/>
              <w:bottom w:w="50" w:type="dxa"/>
              <w:left w:w="90" w:type="dxa"/>
              <w:right w:w="90" w:type="dxa"/>
            </w:tcMar>
            <w:shd w:val="clear" w:color="auto" w:fill="E5F5FF"/>
          </w:tcPr>
          <w:p>
            <w:pPr>
              <w:pStyle w:val="BDOITable"/>
            </w:pPr>
            <w:r>
              <w:rPr>
                <w:b/>
                <w:sz w:val="17"/>
              </w:rPr>
              <w:t>I8</w:t>
            </w:r>
          </w:p>
        </w:tc>
        <w:tc>
          <w:tcPr>
            <w:tcW w:type="dxa" w:w="2493"/>
            <w:tcMar>
              <w:top w:w="50" w:type="dxa"/>
              <w:bottom w:w="50" w:type="dxa"/>
              <w:left w:w="90" w:type="dxa"/>
              <w:right w:w="90" w:type="dxa"/>
            </w:tcMar>
            <w:shd w:val="clear" w:color="auto" w:fill="E5F5FF"/>
          </w:tcPr>
          <w:p>
            <w:pPr>
              <w:pStyle w:val="BDOITable"/>
            </w:pPr>
            <w:r>
              <w:rPr>
                <w:sz w:val="17"/>
              </w:rPr>
              <w:t>Specified and versioned</w:t>
            </w:r>
          </w:p>
        </w:tc>
        <w:tc>
          <w:tcPr>
            <w:tcW w:type="dxa" w:w="6912"/>
            <w:tcMar>
              <w:top w:w="50" w:type="dxa"/>
              <w:bottom w:w="50" w:type="dxa"/>
              <w:left w:w="90" w:type="dxa"/>
              <w:right w:w="90" w:type="dxa"/>
            </w:tcMar>
            <w:shd w:val="clear" w:color="auto" w:fill="E5F5FF"/>
          </w:tcPr>
          <w:p>
            <w:pPr>
              <w:pStyle w:val="BDOITable"/>
            </w:pPr>
            <w:r>
              <w:rPr>
                <w:sz w:val="17"/>
              </w:rPr>
              <w:t>Each interface has a specification (layout, transport, schedule, errors, reconciliation) agreed with its owner; breaking changes are new versions run side by side</w:t>
            </w:r>
          </w:p>
        </w:tc>
      </w:tr>
    </w:tbl>
    <w:p>
      <w:pPr>
        <w:pStyle w:val="BDOISpacer"/>
      </w:pPr>
    </w:p>
    <w:p>
      <w:pPr>
        <w:pStyle w:val="Heading1"/>
        <w:pBdr>
          <w:bottom w:val="single" w:sz="4" w:space="4" w:color="99C1E7"/>
        </w:pBdr>
      </w:pPr>
      <w:bookmarkStart w:id="107" w:name="_Toc000107"/>
      <w:r>
        <w:rPr/>
        <w:t>3 Integration landscape</w:t>
      </w:r>
      <w:bookmarkEnd w:id="107"/>
    </w:p>
    <w:p>
      <w:pPr>
        <w:keepNext/>
        <w:spacing w:before="80" w:after="0"/>
        <w:jc w:val="center"/>
      </w:pPr>
      <w:r>
        <w:drawing>
          <wp:inline xmlns:a="http://schemas.openxmlformats.org/drawingml/2006/main" xmlns:pic="http://schemas.openxmlformats.org/drawingml/2006/picture">
            <wp:extent cx="5940000" cy="6435000"/>
            <wp:docPr id="3" name="Picture 3"/>
            <wp:cNvGraphicFramePr>
              <a:graphicFrameLocks noChangeAspect="1"/>
            </wp:cNvGraphicFramePr>
            <a:graphic>
              <a:graphicData uri="http://schemas.openxmlformats.org/drawingml/2006/picture">
                <pic:pic>
                  <pic:nvPicPr>
                    <pic:cNvPr id="0" name="in_landscape_1104.jpg"/>
                    <pic:cNvPicPr/>
                  </pic:nvPicPr>
                  <pic:blipFill>
                    <a:blip r:embed="rId15"/>
                    <a:stretch>
                      <a:fillRect/>
                    </a:stretch>
                  </pic:blipFill>
                  <pic:spPr>
                    <a:xfrm>
                      <a:off x="0" y="0"/>
                      <a:ext cx="5940000" cy="6435000"/>
                    </a:xfrm>
                    <a:prstGeom prst="rect"/>
                  </pic:spPr>
                </pic:pic>
              </a:graphicData>
            </a:graphic>
          </wp:inline>
        </w:drawing>
      </w:r>
    </w:p>
    <w:p>
      <w:pPr>
        <w:pStyle w:val="Caption"/>
        <w:jc w:val="center"/>
      </w:pPr>
      <w:r>
        <w:rPr>
          <w:b/>
          <w:i w:val="0"/>
        </w:rPr>
        <w:t xml:space="preserve">Figure 1: </w:t>
      </w:r>
      <w:r>
        <w:rPr/>
        <w:t>Integration landscape by pattern</w:t>
      </w:r>
    </w:p>
    <w:p>
      <w:pPr>
        <w:pStyle w:val="Caption"/>
        <w:keepNext/>
        <w:spacing w:after="60"/>
      </w:pPr>
      <w:r>
        <w:rPr>
          <w:b/>
          <w:i w:val="0"/>
        </w:rPr>
        <w:t xml:space="preserve">Table 3: </w:t>
      </w:r>
      <w:r>
        <w:rPr/>
        <w:t>Interface catalogue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77"/>
        <w:gridCol w:w="2072"/>
        <w:gridCol w:w="2331"/>
        <w:gridCol w:w="1424"/>
        <w:gridCol w:w="1165"/>
        <w:gridCol w:w="1165"/>
        <w:gridCol w:w="1036"/>
      </w:tblGrid>
      <w:tr>
        <w:trPr>
          <w:tblHeader w:val="true"/>
          <w:cantSplit w:val="true"/>
        </w:trPr>
        <w:tc>
          <w:tcPr>
            <w:tcW w:type="dxa" w:w="77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72"/>
            <w:shd w:val="clear" w:color="auto" w:fill="004EA8"/>
            <w:tcMar>
              <w:top w:w="50" w:type="dxa"/>
              <w:bottom w:w="50" w:type="dxa"/>
              <w:left w:w="90" w:type="dxa"/>
              <w:right w:w="90" w:type="dxa"/>
            </w:tcMar>
            <w:vAlign w:val="center"/>
          </w:tcPr>
          <w:p>
            <w:pPr>
              <w:pStyle w:val="BDOITableHeader"/>
            </w:pPr>
            <w:r>
              <w:rPr>
                <w:b/>
                <w:color w:val="FFFFFF"/>
                <w:sz w:val="15"/>
              </w:rPr>
              <w:t>Interface</w:t>
            </w:r>
          </w:p>
        </w:tc>
        <w:tc>
          <w:tcPr>
            <w:tcW w:type="dxa" w:w="2331"/>
            <w:shd w:val="clear" w:color="auto" w:fill="004EA8"/>
            <w:tcMar>
              <w:top w:w="50" w:type="dxa"/>
              <w:bottom w:w="50" w:type="dxa"/>
              <w:left w:w="90" w:type="dxa"/>
              <w:right w:w="90" w:type="dxa"/>
            </w:tcMar>
            <w:vAlign w:val="center"/>
          </w:tcPr>
          <w:p>
            <w:pPr>
              <w:pStyle w:val="BDOITableHeader"/>
            </w:pPr>
            <w:r>
              <w:rPr>
                <w:b/>
                <w:color w:val="FFFFFF"/>
                <w:sz w:val="15"/>
              </w:rPr>
              <w:t>Counterpart</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5"/>
              </w:rPr>
              <w:t>Drop</w:t>
            </w:r>
          </w:p>
        </w:tc>
        <w:tc>
          <w:tcPr>
            <w:tcW w:type="dxa" w:w="1166"/>
            <w:shd w:val="clear" w:color="auto" w:fill="004EA8"/>
            <w:tcMar>
              <w:top w:w="50" w:type="dxa"/>
              <w:bottom w:w="50" w:type="dxa"/>
              <w:left w:w="90" w:type="dxa"/>
              <w:right w:w="90" w:type="dxa"/>
            </w:tcMar>
            <w:vAlign w:val="center"/>
          </w:tcPr>
          <w:p>
            <w:pPr>
              <w:pStyle w:val="BDOITableHeader"/>
            </w:pPr>
            <w:r>
              <w:rPr>
                <w:b/>
                <w:color w:val="FFFFFF"/>
                <w:sz w:val="15"/>
              </w:rPr>
              <w:t>Pattern</w:t>
            </w:r>
          </w:p>
        </w:tc>
        <w:tc>
          <w:tcPr>
            <w:tcW w:type="dxa" w:w="1166"/>
            <w:shd w:val="clear" w:color="auto" w:fill="004EA8"/>
            <w:tcMar>
              <w:top w:w="50" w:type="dxa"/>
              <w:bottom w:w="50" w:type="dxa"/>
              <w:left w:w="90" w:type="dxa"/>
              <w:right w:w="90" w:type="dxa"/>
            </w:tcMar>
            <w:vAlign w:val="center"/>
          </w:tcPr>
          <w:p>
            <w:pPr>
              <w:pStyle w:val="BDOITableHeader"/>
            </w:pPr>
            <w:r>
              <w:rPr>
                <w:b/>
                <w:color w:val="FFFFFF"/>
                <w:sz w:val="15"/>
              </w:rPr>
              <w:t>Direction</w:t>
            </w:r>
          </w:p>
        </w:tc>
        <w:tc>
          <w:tcPr>
            <w:tcW w:type="dxa" w:w="1036"/>
            <w:shd w:val="clear" w:color="auto" w:fill="004EA8"/>
            <w:tcMar>
              <w:top w:w="50" w:type="dxa"/>
              <w:bottom w:w="50" w:type="dxa"/>
              <w:left w:w="90" w:type="dxa"/>
              <w:right w:w="90" w:type="dxa"/>
            </w:tcMar>
            <w:vAlign w:val="center"/>
          </w:tcPr>
          <w:p>
            <w:pPr>
              <w:pStyle w:val="BDOITableHeader"/>
            </w:pPr>
            <w:r>
              <w:rPr>
                <w:b/>
                <w:color w:val="FFFFFF"/>
                <w:sz w:val="15"/>
              </w:rPr>
              <w:t>Open</w:t>
            </w:r>
          </w:p>
        </w:tc>
      </w:tr>
      <w:tr>
        <w:trPr>
          <w:cantSplit w:val="true"/>
        </w:trPr>
        <w:tc>
          <w:tcPr>
            <w:tcW w:type="dxa" w:w="777"/>
            <w:tcMar>
              <w:top w:w="50" w:type="dxa"/>
              <w:bottom w:w="50" w:type="dxa"/>
              <w:left w:w="90" w:type="dxa"/>
              <w:right w:w="90" w:type="dxa"/>
            </w:tcMar>
          </w:tcPr>
          <w:p>
            <w:pPr>
              <w:pStyle w:val="BDOITable"/>
            </w:pPr>
            <w:r>
              <w:rPr>
                <w:b/>
                <w:sz w:val="15"/>
              </w:rPr>
              <w:t>INT-01</w:t>
            </w:r>
          </w:p>
        </w:tc>
        <w:tc>
          <w:tcPr>
            <w:tcW w:type="dxa" w:w="2072"/>
            <w:tcMar>
              <w:top w:w="50" w:type="dxa"/>
              <w:bottom w:w="50" w:type="dxa"/>
              <w:left w:w="90" w:type="dxa"/>
              <w:right w:w="90" w:type="dxa"/>
            </w:tcMar>
          </w:tcPr>
          <w:p>
            <w:pPr>
              <w:pStyle w:val="BDOITable"/>
            </w:pPr>
            <w:r>
              <w:rPr>
                <w:sz w:val="15"/>
              </w:rPr>
              <w:t>EIAM single sign-on</w:t>
            </w:r>
          </w:p>
        </w:tc>
        <w:tc>
          <w:tcPr>
            <w:tcW w:type="dxa" w:w="2331"/>
            <w:tcMar>
              <w:top w:w="50" w:type="dxa"/>
              <w:bottom w:w="50" w:type="dxa"/>
              <w:left w:w="90" w:type="dxa"/>
              <w:right w:w="90" w:type="dxa"/>
            </w:tcMar>
          </w:tcPr>
          <w:p>
            <w:pPr>
              <w:pStyle w:val="BDOITable"/>
            </w:pPr>
            <w:r>
              <w:rPr>
                <w:sz w:val="15"/>
              </w:rPr>
              <w:t>Microsoft Entra ID (EIAM)</w:t>
            </w:r>
          </w:p>
        </w:tc>
        <w:tc>
          <w:tcPr>
            <w:tcW w:type="dxa" w:w="1425"/>
            <w:tcMar>
              <w:top w:w="50" w:type="dxa"/>
              <w:bottom w:w="50" w:type="dxa"/>
              <w:left w:w="90" w:type="dxa"/>
              <w:right w:w="90" w:type="dxa"/>
            </w:tcMar>
          </w:tcPr>
          <w:p>
            <w:pPr>
              <w:pStyle w:val="BDOITable"/>
            </w:pPr>
            <w:r>
              <w:rPr>
                <w:sz w:val="15"/>
              </w:rPr>
              <w:t>Drop 0</w:t>
            </w:r>
          </w:p>
        </w:tc>
        <w:tc>
          <w:tcPr>
            <w:tcW w:type="dxa" w:w="1166"/>
            <w:tcMar>
              <w:top w:w="50" w:type="dxa"/>
              <w:bottom w:w="50" w:type="dxa"/>
              <w:left w:w="90" w:type="dxa"/>
              <w:right w:w="90" w:type="dxa"/>
            </w:tcMar>
          </w:tcPr>
          <w:p>
            <w:pPr>
              <w:pStyle w:val="BDOITable"/>
            </w:pPr>
            <w:r>
              <w:rPr>
                <w:sz w:val="15"/>
              </w:rPr>
              <w:t>Browser redirect</w:t>
            </w:r>
          </w:p>
        </w:tc>
        <w:tc>
          <w:tcPr>
            <w:tcW w:type="dxa" w:w="1166"/>
            <w:tcMar>
              <w:top w:w="50" w:type="dxa"/>
              <w:bottom w:w="50" w:type="dxa"/>
              <w:left w:w="90" w:type="dxa"/>
              <w:right w:w="90" w:type="dxa"/>
            </w:tcMar>
          </w:tcPr>
          <w:p>
            <w:pPr>
              <w:pStyle w:val="BDOITable"/>
            </w:pPr>
            <w:r>
              <w:rPr>
                <w:sz w:val="15"/>
              </w:rPr>
              <w:t>Both</w:t>
            </w:r>
          </w:p>
        </w:tc>
        <w:tc>
          <w:tcPr>
            <w:tcW w:type="dxa" w:w="1036"/>
            <w:tcMar>
              <w:top w:w="50" w:type="dxa"/>
              <w:bottom w:w="50" w:type="dxa"/>
              <w:left w:w="90" w:type="dxa"/>
              <w:right w:w="90" w:type="dxa"/>
            </w:tcMar>
          </w:tcPr>
          <w:p>
            <w:pPr>
              <w:pStyle w:val="BDOITable"/>
            </w:pPr>
            <w:r>
              <w:rPr>
                <w:sz w:val="15"/>
              </w:rPr>
              <w:t>IQ04</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INT-02</w:t>
            </w:r>
          </w:p>
        </w:tc>
        <w:tc>
          <w:tcPr>
            <w:tcW w:type="dxa" w:w="2072"/>
            <w:tcMar>
              <w:top w:w="50" w:type="dxa"/>
              <w:bottom w:w="50" w:type="dxa"/>
              <w:left w:w="90" w:type="dxa"/>
              <w:right w:w="90" w:type="dxa"/>
            </w:tcMar>
            <w:shd w:val="clear" w:color="auto" w:fill="E5F5FF"/>
          </w:tcPr>
          <w:p>
            <w:pPr>
              <w:pStyle w:val="BDOITable"/>
            </w:pPr>
            <w:r>
              <w:rPr>
                <w:sz w:val="15"/>
              </w:rPr>
              <w:t>UIDM-ISC provisioning</w:t>
            </w:r>
          </w:p>
        </w:tc>
        <w:tc>
          <w:tcPr>
            <w:tcW w:type="dxa" w:w="2331"/>
            <w:tcMar>
              <w:top w:w="50" w:type="dxa"/>
              <w:bottom w:w="50" w:type="dxa"/>
              <w:left w:w="90" w:type="dxa"/>
              <w:right w:w="90" w:type="dxa"/>
            </w:tcMar>
            <w:shd w:val="clear" w:color="auto" w:fill="E5F5FF"/>
          </w:tcPr>
          <w:p>
            <w:pPr>
              <w:pStyle w:val="BDOITable"/>
            </w:pPr>
            <w:r>
              <w:rPr>
                <w:sz w:val="15"/>
              </w:rPr>
              <w:t>UIDM-ISC (identity governance)</w:t>
            </w:r>
          </w:p>
        </w:tc>
        <w:tc>
          <w:tcPr>
            <w:tcW w:type="dxa" w:w="1425"/>
            <w:tcMar>
              <w:top w:w="50" w:type="dxa"/>
              <w:bottom w:w="50" w:type="dxa"/>
              <w:left w:w="90" w:type="dxa"/>
              <w:right w:w="90" w:type="dxa"/>
            </w:tcMar>
            <w:shd w:val="clear" w:color="auto" w:fill="E5F5FF"/>
          </w:tcPr>
          <w:p>
            <w:pPr>
              <w:pStyle w:val="BDOITable"/>
            </w:pPr>
            <w:r>
              <w:rPr>
                <w:sz w:val="15"/>
              </w:rPr>
              <w:t>Drop 0</w:t>
            </w:r>
          </w:p>
        </w:tc>
        <w:tc>
          <w:tcPr>
            <w:tcW w:type="dxa" w:w="1166"/>
            <w:tcMar>
              <w:top w:w="50" w:type="dxa"/>
              <w:bottom w:w="50" w:type="dxa"/>
              <w:left w:w="90" w:type="dxa"/>
              <w:right w:w="90" w:type="dxa"/>
            </w:tcMar>
            <w:shd w:val="clear" w:color="auto" w:fill="E5F5FF"/>
          </w:tcPr>
          <w:p>
            <w:pPr>
              <w:pStyle w:val="BDOITable"/>
            </w:pPr>
            <w:r>
              <w:rPr>
                <w:sz w:val="15"/>
              </w:rPr>
              <w:t>Sync API</w:t>
            </w:r>
          </w:p>
        </w:tc>
        <w:tc>
          <w:tcPr>
            <w:tcW w:type="dxa" w:w="1166"/>
            <w:tcMar>
              <w:top w:w="50" w:type="dxa"/>
              <w:bottom w:w="50" w:type="dxa"/>
              <w:left w:w="90" w:type="dxa"/>
              <w:right w:w="90" w:type="dxa"/>
            </w:tcMar>
            <w:shd w:val="clear" w:color="auto" w:fill="E5F5FF"/>
          </w:tcPr>
          <w:p>
            <w:pPr>
              <w:pStyle w:val="BDOITable"/>
            </w:pPr>
            <w:r>
              <w:rPr>
                <w:sz w:val="15"/>
              </w:rPr>
              <w:t>Both</w:t>
            </w:r>
          </w:p>
        </w:tc>
        <w:tc>
          <w:tcPr>
            <w:tcW w:type="dxa" w:w="1036"/>
            <w:tcMar>
              <w:top w:w="50" w:type="dxa"/>
              <w:bottom w:w="50" w:type="dxa"/>
              <w:left w:w="90" w:type="dxa"/>
              <w:right w:w="90" w:type="dxa"/>
            </w:tcMar>
            <w:shd w:val="clear" w:color="auto" w:fill="E5F5FF"/>
          </w:tcPr>
          <w:p>
            <w:pPr>
              <w:pStyle w:val="BDOITable"/>
            </w:pPr>
            <w:r>
              <w:rPr>
                <w:sz w:val="15"/>
              </w:rPr>
              <w:t>IQ05</w:t>
            </w:r>
          </w:p>
        </w:tc>
      </w:tr>
      <w:tr>
        <w:trPr>
          <w:cantSplit w:val="true"/>
        </w:trPr>
        <w:tc>
          <w:tcPr>
            <w:tcW w:type="dxa" w:w="777"/>
            <w:tcMar>
              <w:top w:w="50" w:type="dxa"/>
              <w:bottom w:w="50" w:type="dxa"/>
              <w:left w:w="90" w:type="dxa"/>
              <w:right w:w="90" w:type="dxa"/>
            </w:tcMar>
          </w:tcPr>
          <w:p>
            <w:pPr>
              <w:pStyle w:val="BDOITable"/>
            </w:pPr>
            <w:r>
              <w:rPr>
                <w:b/>
                <w:sz w:val="15"/>
              </w:rPr>
              <w:t>INT-03</w:t>
            </w:r>
          </w:p>
        </w:tc>
        <w:tc>
          <w:tcPr>
            <w:tcW w:type="dxa" w:w="2072"/>
            <w:tcMar>
              <w:top w:w="50" w:type="dxa"/>
              <w:bottom w:w="50" w:type="dxa"/>
              <w:left w:w="90" w:type="dxa"/>
              <w:right w:w="90" w:type="dxa"/>
            </w:tcMar>
          </w:tcPr>
          <w:p>
            <w:pPr>
              <w:pStyle w:val="BDOITable"/>
            </w:pPr>
            <w:r>
              <w:rPr>
                <w:sz w:val="15"/>
              </w:rPr>
              <w:t>LMS loan data</w:t>
            </w:r>
          </w:p>
        </w:tc>
        <w:tc>
          <w:tcPr>
            <w:tcW w:type="dxa" w:w="2331"/>
            <w:tcMar>
              <w:top w:w="50" w:type="dxa"/>
              <w:bottom w:w="50" w:type="dxa"/>
              <w:left w:w="90" w:type="dxa"/>
              <w:right w:w="90" w:type="dxa"/>
            </w:tcMar>
          </w:tcPr>
          <w:p>
            <w:pPr>
              <w:pStyle w:val="BDOITable"/>
            </w:pPr>
            <w:r>
              <w:rPr>
                <w:sz w:val="15"/>
              </w:rPr>
              <w:t>Loans Management System</w:t>
            </w:r>
          </w:p>
        </w:tc>
        <w:tc>
          <w:tcPr>
            <w:tcW w:type="dxa" w:w="1425"/>
            <w:tcMar>
              <w:top w:w="50" w:type="dxa"/>
              <w:bottom w:w="50" w:type="dxa"/>
              <w:left w:w="90" w:type="dxa"/>
              <w:right w:w="90" w:type="dxa"/>
            </w:tcMar>
          </w:tcPr>
          <w:p>
            <w:pPr>
              <w:pStyle w:val="BDOITable"/>
            </w:pPr>
            <w:r>
              <w:rPr>
                <w:sz w:val="15"/>
              </w:rPr>
              <w:t>Drop 0</w:t>
            </w:r>
          </w:p>
        </w:tc>
        <w:tc>
          <w:tcPr>
            <w:tcW w:type="dxa" w:w="1166"/>
            <w:tcMar>
              <w:top w:w="50" w:type="dxa"/>
              <w:bottom w:w="50" w:type="dxa"/>
              <w:left w:w="90" w:type="dxa"/>
              <w:right w:w="90" w:type="dxa"/>
            </w:tcMar>
          </w:tcPr>
          <w:p>
            <w:pPr>
              <w:pStyle w:val="BDOITable"/>
            </w:pPr>
            <w:r>
              <w:rPr>
                <w:sz w:val="15"/>
              </w:rPr>
              <w:t>File</w:t>
            </w:r>
          </w:p>
        </w:tc>
        <w:tc>
          <w:tcPr>
            <w:tcW w:type="dxa" w:w="1166"/>
            <w:tcMar>
              <w:top w:w="50" w:type="dxa"/>
              <w:bottom w:w="50" w:type="dxa"/>
              <w:left w:w="90" w:type="dxa"/>
              <w:right w:w="90" w:type="dxa"/>
            </w:tcMar>
          </w:tcPr>
          <w:p>
            <w:pPr>
              <w:pStyle w:val="BDOITable"/>
            </w:pPr>
            <w:r>
              <w:rPr>
                <w:sz w:val="15"/>
              </w:rPr>
              <w:t>Inbound</w:t>
            </w:r>
          </w:p>
        </w:tc>
        <w:tc>
          <w:tcPr>
            <w:tcW w:type="dxa" w:w="1036"/>
            <w:tcMar>
              <w:top w:w="50" w:type="dxa"/>
              <w:bottom w:w="50" w:type="dxa"/>
              <w:left w:w="90" w:type="dxa"/>
              <w:right w:w="90" w:type="dxa"/>
            </w:tcMar>
          </w:tcPr>
          <w:p>
            <w:pPr>
              <w:pStyle w:val="BDOITable"/>
            </w:pPr>
            <w:r>
              <w:rPr>
                <w:sz w:val="15"/>
              </w:rPr>
              <w:t>IQ06</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INT-04</w:t>
            </w:r>
          </w:p>
        </w:tc>
        <w:tc>
          <w:tcPr>
            <w:tcW w:type="dxa" w:w="2072"/>
            <w:tcMar>
              <w:top w:w="50" w:type="dxa"/>
              <w:bottom w:w="50" w:type="dxa"/>
              <w:left w:w="90" w:type="dxa"/>
              <w:right w:w="90" w:type="dxa"/>
            </w:tcMar>
            <w:shd w:val="clear" w:color="auto" w:fill="E5F5FF"/>
          </w:tcPr>
          <w:p>
            <w:pPr>
              <w:pStyle w:val="BDOITable"/>
            </w:pPr>
            <w:r>
              <w:rPr>
                <w:sz w:val="15"/>
              </w:rPr>
              <w:t>HL-LOAS quotation requests and loan data</w:t>
            </w:r>
          </w:p>
        </w:tc>
        <w:tc>
          <w:tcPr>
            <w:tcW w:type="dxa" w:w="2331"/>
            <w:tcMar>
              <w:top w:w="50" w:type="dxa"/>
              <w:bottom w:w="50" w:type="dxa"/>
              <w:left w:w="90" w:type="dxa"/>
              <w:right w:w="90" w:type="dxa"/>
            </w:tcMar>
            <w:shd w:val="clear" w:color="auto" w:fill="E5F5FF"/>
          </w:tcPr>
          <w:p>
            <w:pPr>
              <w:pStyle w:val="BDOITable"/>
            </w:pPr>
            <w:r>
              <w:rPr>
                <w:sz w:val="15"/>
              </w:rPr>
              <w:t>Home Loan System (Loan Origination and Admin)</w:t>
            </w:r>
          </w:p>
        </w:tc>
        <w:tc>
          <w:tcPr>
            <w:tcW w:type="dxa" w:w="1425"/>
            <w:tcMar>
              <w:top w:w="50" w:type="dxa"/>
              <w:bottom w:w="50" w:type="dxa"/>
              <w:left w:w="90" w:type="dxa"/>
              <w:right w:w="90" w:type="dxa"/>
            </w:tcMar>
            <w:shd w:val="clear" w:color="auto" w:fill="E5F5FF"/>
          </w:tcPr>
          <w:p>
            <w:pPr>
              <w:pStyle w:val="BDOITable"/>
            </w:pPr>
            <w:r>
              <w:rPr>
                <w:sz w:val="15"/>
              </w:rPr>
              <w:t>Drop 0 (HLS) and Drop 2 (LOAS)</w:t>
            </w:r>
          </w:p>
        </w:tc>
        <w:tc>
          <w:tcPr>
            <w:tcW w:type="dxa" w:w="1166"/>
            <w:tcMar>
              <w:top w:w="50" w:type="dxa"/>
              <w:bottom w:w="50" w:type="dxa"/>
              <w:left w:w="90" w:type="dxa"/>
              <w:right w:w="90" w:type="dxa"/>
            </w:tcMar>
            <w:shd w:val="clear" w:color="auto" w:fill="E5F5FF"/>
          </w:tcPr>
          <w:p>
            <w:pPr>
              <w:pStyle w:val="BDOITable"/>
            </w:pPr>
            <w:r>
              <w:rPr>
                <w:sz w:val="15"/>
              </w:rPr>
              <w:t>Sync API</w:t>
            </w:r>
          </w:p>
        </w:tc>
        <w:tc>
          <w:tcPr>
            <w:tcW w:type="dxa" w:w="1166"/>
            <w:tcMar>
              <w:top w:w="50" w:type="dxa"/>
              <w:bottom w:w="50" w:type="dxa"/>
              <w:left w:w="90" w:type="dxa"/>
              <w:right w:w="90" w:type="dxa"/>
            </w:tcMar>
            <w:shd w:val="clear" w:color="auto" w:fill="E5F5FF"/>
          </w:tcPr>
          <w:p>
            <w:pPr>
              <w:pStyle w:val="BDOITable"/>
            </w:pPr>
            <w:r>
              <w:rPr>
                <w:sz w:val="15"/>
              </w:rPr>
              <w:t>Inbound</w:t>
            </w:r>
          </w:p>
        </w:tc>
        <w:tc>
          <w:tcPr>
            <w:tcW w:type="dxa" w:w="1036"/>
            <w:tcMar>
              <w:top w:w="50" w:type="dxa"/>
              <w:bottom w:w="50" w:type="dxa"/>
              <w:left w:w="90" w:type="dxa"/>
              <w:right w:w="90" w:type="dxa"/>
            </w:tcMar>
            <w:shd w:val="clear" w:color="auto" w:fill="E5F5FF"/>
          </w:tcPr>
          <w:p>
            <w:pPr>
              <w:pStyle w:val="BDOITable"/>
            </w:pPr>
            <w:r>
              <w:rPr>
                <w:sz w:val="15"/>
              </w:rPr>
              <w:t>IQ07</w:t>
            </w:r>
          </w:p>
        </w:tc>
      </w:tr>
      <w:tr>
        <w:trPr>
          <w:cantSplit w:val="true"/>
        </w:trPr>
        <w:tc>
          <w:tcPr>
            <w:tcW w:type="dxa" w:w="777"/>
            <w:tcMar>
              <w:top w:w="50" w:type="dxa"/>
              <w:bottom w:w="50" w:type="dxa"/>
              <w:left w:w="90" w:type="dxa"/>
              <w:right w:w="90" w:type="dxa"/>
            </w:tcMar>
          </w:tcPr>
          <w:p>
            <w:pPr>
              <w:pStyle w:val="BDOITable"/>
            </w:pPr>
            <w:r>
              <w:rPr>
                <w:b/>
                <w:sz w:val="15"/>
              </w:rPr>
              <w:t>INT-05</w:t>
            </w:r>
          </w:p>
        </w:tc>
        <w:tc>
          <w:tcPr>
            <w:tcW w:type="dxa" w:w="2072"/>
            <w:tcMar>
              <w:top w:w="50" w:type="dxa"/>
              <w:bottom w:w="50" w:type="dxa"/>
              <w:left w:w="90" w:type="dxa"/>
              <w:right w:w="90" w:type="dxa"/>
            </w:tcMar>
          </w:tcPr>
          <w:p>
            <w:pPr>
              <w:pStyle w:val="BDOITable"/>
            </w:pPr>
            <w:r>
              <w:rPr>
                <w:sz w:val="15"/>
              </w:rPr>
              <w:t>LFS insurance report</w:t>
            </w:r>
          </w:p>
        </w:tc>
        <w:tc>
          <w:tcPr>
            <w:tcW w:type="dxa" w:w="2331"/>
            <w:tcMar>
              <w:top w:w="50" w:type="dxa"/>
              <w:bottom w:w="50" w:type="dxa"/>
              <w:left w:w="90" w:type="dxa"/>
              <w:right w:w="90" w:type="dxa"/>
            </w:tcMar>
          </w:tcPr>
          <w:p>
            <w:pPr>
              <w:pStyle w:val="BDOITable"/>
            </w:pPr>
            <w:r>
              <w:rPr>
                <w:sz w:val="15"/>
              </w:rPr>
              <w:t>Loan Front-End System (SaaS)</w:t>
            </w:r>
          </w:p>
        </w:tc>
        <w:tc>
          <w:tcPr>
            <w:tcW w:type="dxa" w:w="1425"/>
            <w:tcMar>
              <w:top w:w="50" w:type="dxa"/>
              <w:bottom w:w="50" w:type="dxa"/>
              <w:left w:w="90" w:type="dxa"/>
              <w:right w:w="90" w:type="dxa"/>
            </w:tcMar>
          </w:tcPr>
          <w:p>
            <w:pPr>
              <w:pStyle w:val="BDOITable"/>
            </w:pPr>
            <w:r>
              <w:rPr>
                <w:sz w:val="15"/>
              </w:rPr>
              <w:t>Not on the drop plan; proposed Drop 1</w:t>
            </w:r>
          </w:p>
        </w:tc>
        <w:tc>
          <w:tcPr>
            <w:tcW w:type="dxa" w:w="1166"/>
            <w:tcMar>
              <w:top w:w="50" w:type="dxa"/>
              <w:bottom w:w="50" w:type="dxa"/>
              <w:left w:w="90" w:type="dxa"/>
              <w:right w:w="90" w:type="dxa"/>
            </w:tcMar>
          </w:tcPr>
          <w:p>
            <w:pPr>
              <w:pStyle w:val="BDOITable"/>
            </w:pPr>
            <w:r>
              <w:rPr>
                <w:sz w:val="15"/>
              </w:rPr>
              <w:t>File</w:t>
            </w:r>
          </w:p>
        </w:tc>
        <w:tc>
          <w:tcPr>
            <w:tcW w:type="dxa" w:w="1166"/>
            <w:tcMar>
              <w:top w:w="50" w:type="dxa"/>
              <w:bottom w:w="50" w:type="dxa"/>
              <w:left w:w="90" w:type="dxa"/>
              <w:right w:w="90" w:type="dxa"/>
            </w:tcMar>
          </w:tcPr>
          <w:p>
            <w:pPr>
              <w:pStyle w:val="BDOITable"/>
            </w:pPr>
            <w:r>
              <w:rPr>
                <w:sz w:val="15"/>
              </w:rPr>
              <w:t>Inbound</w:t>
            </w:r>
          </w:p>
        </w:tc>
        <w:tc>
          <w:tcPr>
            <w:tcW w:type="dxa" w:w="1036"/>
            <w:tcMar>
              <w:top w:w="50" w:type="dxa"/>
              <w:bottom w:w="50" w:type="dxa"/>
              <w:left w:w="90" w:type="dxa"/>
              <w:right w:w="90" w:type="dxa"/>
            </w:tcMar>
          </w:tcPr>
          <w:p>
            <w:pPr>
              <w:pStyle w:val="BDOITable"/>
            </w:pPr>
            <w:r>
              <w:rPr>
                <w:sz w:val="15"/>
              </w:rPr>
              <w:t>IQ08</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INT-06</w:t>
            </w:r>
          </w:p>
        </w:tc>
        <w:tc>
          <w:tcPr>
            <w:tcW w:type="dxa" w:w="2072"/>
            <w:tcMar>
              <w:top w:w="50" w:type="dxa"/>
              <w:bottom w:w="50" w:type="dxa"/>
              <w:left w:w="90" w:type="dxa"/>
              <w:right w:w="90" w:type="dxa"/>
            </w:tcMar>
            <w:shd w:val="clear" w:color="auto" w:fill="E5F5FF"/>
          </w:tcPr>
          <w:p>
            <w:pPr>
              <w:pStyle w:val="BDOITable"/>
            </w:pPr>
            <w:r>
              <w:rPr>
                <w:sz w:val="15"/>
              </w:rPr>
              <w:t>PMS post-dated checks</w:t>
            </w:r>
          </w:p>
        </w:tc>
        <w:tc>
          <w:tcPr>
            <w:tcW w:type="dxa" w:w="2331"/>
            <w:tcMar>
              <w:top w:w="50" w:type="dxa"/>
              <w:bottom w:w="50" w:type="dxa"/>
              <w:left w:w="90" w:type="dxa"/>
              <w:right w:w="90" w:type="dxa"/>
            </w:tcMar>
            <w:shd w:val="clear" w:color="auto" w:fill="E5F5FF"/>
          </w:tcPr>
          <w:p>
            <w:pPr>
              <w:pStyle w:val="BDOITable"/>
            </w:pPr>
            <w:r>
              <w:rPr>
                <w:sz w:val="15"/>
              </w:rPr>
              <w:t>PDC Management System</w:t>
            </w:r>
          </w:p>
        </w:tc>
        <w:tc>
          <w:tcPr>
            <w:tcW w:type="dxa" w:w="1425"/>
            <w:tcMar>
              <w:top w:w="50" w:type="dxa"/>
              <w:bottom w:w="50" w:type="dxa"/>
              <w:left w:w="90" w:type="dxa"/>
              <w:right w:w="90" w:type="dxa"/>
            </w:tcMar>
            <w:shd w:val="clear" w:color="auto" w:fill="E5F5FF"/>
          </w:tcPr>
          <w:p>
            <w:pPr>
              <w:pStyle w:val="BDOITable"/>
            </w:pPr>
            <w:r>
              <w:rPr>
                <w:sz w:val="15"/>
              </w:rPr>
              <w:t>Drop 0</w:t>
            </w:r>
          </w:p>
        </w:tc>
        <w:tc>
          <w:tcPr>
            <w:tcW w:type="dxa" w:w="1166"/>
            <w:tcMar>
              <w:top w:w="50" w:type="dxa"/>
              <w:bottom w:w="50" w:type="dxa"/>
              <w:left w:w="90" w:type="dxa"/>
              <w:right w:w="90" w:type="dxa"/>
            </w:tcMar>
            <w:shd w:val="clear" w:color="auto" w:fill="E5F5FF"/>
          </w:tcPr>
          <w:p>
            <w:pPr>
              <w:pStyle w:val="BDOITable"/>
            </w:pPr>
            <w:r>
              <w:rPr>
                <w:sz w:val="15"/>
              </w:rPr>
              <w:t>File</w:t>
            </w:r>
          </w:p>
        </w:tc>
        <w:tc>
          <w:tcPr>
            <w:tcW w:type="dxa" w:w="1166"/>
            <w:tcMar>
              <w:top w:w="50" w:type="dxa"/>
              <w:bottom w:w="50" w:type="dxa"/>
              <w:left w:w="90" w:type="dxa"/>
              <w:right w:w="90" w:type="dxa"/>
            </w:tcMar>
            <w:shd w:val="clear" w:color="auto" w:fill="E5F5FF"/>
          </w:tcPr>
          <w:p>
            <w:pPr>
              <w:pStyle w:val="BDOITable"/>
            </w:pPr>
            <w:r>
              <w:rPr>
                <w:sz w:val="15"/>
              </w:rPr>
              <w:t>Inbound (status outbound to confirm)</w:t>
            </w:r>
          </w:p>
        </w:tc>
        <w:tc>
          <w:tcPr>
            <w:tcW w:type="dxa" w:w="1036"/>
            <w:tcMar>
              <w:top w:w="50" w:type="dxa"/>
              <w:bottom w:w="50" w:type="dxa"/>
              <w:left w:w="90" w:type="dxa"/>
              <w:right w:w="90" w:type="dxa"/>
            </w:tcMar>
            <w:shd w:val="clear" w:color="auto" w:fill="E5F5FF"/>
          </w:tcPr>
          <w:p>
            <w:pPr>
              <w:pStyle w:val="BDOITable"/>
            </w:pPr>
            <w:r>
              <w:rPr>
                <w:sz w:val="15"/>
              </w:rPr>
              <w:t>IQ09</w:t>
            </w:r>
          </w:p>
        </w:tc>
      </w:tr>
      <w:tr>
        <w:trPr>
          <w:cantSplit w:val="true"/>
        </w:trPr>
        <w:tc>
          <w:tcPr>
            <w:tcW w:type="dxa" w:w="777"/>
            <w:tcMar>
              <w:top w:w="50" w:type="dxa"/>
              <w:bottom w:w="50" w:type="dxa"/>
              <w:left w:w="90" w:type="dxa"/>
              <w:right w:w="90" w:type="dxa"/>
            </w:tcMar>
          </w:tcPr>
          <w:p>
            <w:pPr>
              <w:pStyle w:val="BDOITable"/>
            </w:pPr>
            <w:r>
              <w:rPr>
                <w:b/>
                <w:sz w:val="15"/>
              </w:rPr>
              <w:t>INT-07</w:t>
            </w:r>
          </w:p>
        </w:tc>
        <w:tc>
          <w:tcPr>
            <w:tcW w:type="dxa" w:w="2072"/>
            <w:tcMar>
              <w:top w:w="50" w:type="dxa"/>
              <w:bottom w:w="50" w:type="dxa"/>
              <w:left w:w="90" w:type="dxa"/>
              <w:right w:w="90" w:type="dxa"/>
            </w:tcMar>
          </w:tcPr>
          <w:p>
            <w:pPr>
              <w:pStyle w:val="BDOITable"/>
            </w:pPr>
            <w:r>
              <w:rPr>
                <w:sz w:val="15"/>
              </w:rPr>
              <w:t>CMS / New BOB outward payments</w:t>
            </w:r>
          </w:p>
        </w:tc>
        <w:tc>
          <w:tcPr>
            <w:tcW w:type="dxa" w:w="2331"/>
            <w:tcMar>
              <w:top w:w="50" w:type="dxa"/>
              <w:bottom w:w="50" w:type="dxa"/>
              <w:left w:w="90" w:type="dxa"/>
              <w:right w:w="90" w:type="dxa"/>
            </w:tcMar>
          </w:tcPr>
          <w:p>
            <w:pPr>
              <w:pStyle w:val="BDOITable"/>
            </w:pPr>
            <w:r>
              <w:rPr>
                <w:sz w:val="15"/>
              </w:rPr>
              <w:t>Cash Management System (New BOB)</w:t>
            </w:r>
          </w:p>
        </w:tc>
        <w:tc>
          <w:tcPr>
            <w:tcW w:type="dxa" w:w="1425"/>
            <w:tcMar>
              <w:top w:w="50" w:type="dxa"/>
              <w:bottom w:w="50" w:type="dxa"/>
              <w:left w:w="90" w:type="dxa"/>
              <w:right w:w="90" w:type="dxa"/>
            </w:tcMar>
          </w:tcPr>
          <w:p>
            <w:pPr>
              <w:pStyle w:val="BDOITable"/>
            </w:pPr>
            <w:r>
              <w:rPr>
                <w:sz w:val="15"/>
              </w:rPr>
              <w:t>Drop 0</w:t>
            </w:r>
          </w:p>
        </w:tc>
        <w:tc>
          <w:tcPr>
            <w:tcW w:type="dxa" w:w="1166"/>
            <w:tcMar>
              <w:top w:w="50" w:type="dxa"/>
              <w:bottom w:w="50" w:type="dxa"/>
              <w:left w:w="90" w:type="dxa"/>
              <w:right w:w="90" w:type="dxa"/>
            </w:tcMar>
          </w:tcPr>
          <w:p>
            <w:pPr>
              <w:pStyle w:val="BDOITable"/>
            </w:pPr>
            <w:r>
              <w:rPr>
                <w:sz w:val="15"/>
              </w:rPr>
              <w:t>File</w:t>
            </w:r>
          </w:p>
        </w:tc>
        <w:tc>
          <w:tcPr>
            <w:tcW w:type="dxa" w:w="1166"/>
            <w:tcMar>
              <w:top w:w="50" w:type="dxa"/>
              <w:bottom w:w="50" w:type="dxa"/>
              <w:left w:w="90" w:type="dxa"/>
              <w:right w:w="90" w:type="dxa"/>
            </w:tcMar>
          </w:tcPr>
          <w:p>
            <w:pPr>
              <w:pStyle w:val="BDOITable"/>
            </w:pPr>
            <w:r>
              <w:rPr>
                <w:sz w:val="15"/>
              </w:rPr>
              <w:t>Both</w:t>
            </w:r>
          </w:p>
        </w:tc>
        <w:tc>
          <w:tcPr>
            <w:tcW w:type="dxa" w:w="1036"/>
            <w:tcMar>
              <w:top w:w="50" w:type="dxa"/>
              <w:bottom w:w="50" w:type="dxa"/>
              <w:left w:w="90" w:type="dxa"/>
              <w:right w:w="90" w:type="dxa"/>
            </w:tcMar>
          </w:tcPr>
          <w:p>
            <w:pPr>
              <w:pStyle w:val="BDOITable"/>
            </w:pPr>
            <w:r>
              <w:rPr>
                <w:sz w:val="15"/>
              </w:rPr>
              <w:t>IQ10</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INT-08</w:t>
            </w:r>
          </w:p>
        </w:tc>
        <w:tc>
          <w:tcPr>
            <w:tcW w:type="dxa" w:w="2072"/>
            <w:tcMar>
              <w:top w:w="50" w:type="dxa"/>
              <w:bottom w:w="50" w:type="dxa"/>
              <w:left w:w="90" w:type="dxa"/>
              <w:right w:w="90" w:type="dxa"/>
            </w:tcMar>
            <w:shd w:val="clear" w:color="auto" w:fill="E5F5FF"/>
          </w:tcPr>
          <w:p>
            <w:pPr>
              <w:pStyle w:val="BDOITable"/>
            </w:pPr>
            <w:r>
              <w:rPr>
                <w:sz w:val="15"/>
              </w:rPr>
              <w:t>OBPCS bills payment collections</w:t>
            </w:r>
          </w:p>
        </w:tc>
        <w:tc>
          <w:tcPr>
            <w:tcW w:type="dxa" w:w="2331"/>
            <w:tcMar>
              <w:top w:w="50" w:type="dxa"/>
              <w:bottom w:w="50" w:type="dxa"/>
              <w:left w:w="90" w:type="dxa"/>
              <w:right w:w="90" w:type="dxa"/>
            </w:tcMar>
            <w:shd w:val="clear" w:color="auto" w:fill="E5F5FF"/>
          </w:tcPr>
          <w:p>
            <w:pPr>
              <w:pStyle w:val="BDOITable"/>
            </w:pPr>
            <w:r>
              <w:rPr>
                <w:sz w:val="15"/>
              </w:rPr>
              <w:t>Online Bills Payment Consolidation System</w:t>
            </w:r>
          </w:p>
        </w:tc>
        <w:tc>
          <w:tcPr>
            <w:tcW w:type="dxa" w:w="1425"/>
            <w:tcMar>
              <w:top w:w="50" w:type="dxa"/>
              <w:bottom w:w="50" w:type="dxa"/>
              <w:left w:w="90" w:type="dxa"/>
              <w:right w:w="90" w:type="dxa"/>
            </w:tcMar>
            <w:shd w:val="clear" w:color="auto" w:fill="E5F5FF"/>
          </w:tcPr>
          <w:p>
            <w:pPr>
              <w:pStyle w:val="BDOITable"/>
            </w:pPr>
            <w:r>
              <w:rPr>
                <w:sz w:val="15"/>
              </w:rPr>
              <w:t>Drop 0</w:t>
            </w:r>
          </w:p>
        </w:tc>
        <w:tc>
          <w:tcPr>
            <w:tcW w:type="dxa" w:w="1166"/>
            <w:tcMar>
              <w:top w:w="50" w:type="dxa"/>
              <w:bottom w:w="50" w:type="dxa"/>
              <w:left w:w="90" w:type="dxa"/>
              <w:right w:w="90" w:type="dxa"/>
            </w:tcMar>
            <w:shd w:val="clear" w:color="auto" w:fill="E5F5FF"/>
          </w:tcPr>
          <w:p>
            <w:pPr>
              <w:pStyle w:val="BDOITable"/>
            </w:pPr>
            <w:r>
              <w:rPr>
                <w:sz w:val="15"/>
              </w:rPr>
              <w:t>File</w:t>
            </w:r>
          </w:p>
        </w:tc>
        <w:tc>
          <w:tcPr>
            <w:tcW w:type="dxa" w:w="1166"/>
            <w:tcMar>
              <w:top w:w="50" w:type="dxa"/>
              <w:bottom w:w="50" w:type="dxa"/>
              <w:left w:w="90" w:type="dxa"/>
              <w:right w:w="90" w:type="dxa"/>
            </w:tcMar>
            <w:shd w:val="clear" w:color="auto" w:fill="E5F5FF"/>
          </w:tcPr>
          <w:p>
            <w:pPr>
              <w:pStyle w:val="BDOITable"/>
            </w:pPr>
            <w:r>
              <w:rPr>
                <w:sz w:val="15"/>
              </w:rPr>
              <w:t>Inbound</w:t>
            </w:r>
          </w:p>
        </w:tc>
        <w:tc>
          <w:tcPr>
            <w:tcW w:type="dxa" w:w="1036"/>
            <w:tcMar>
              <w:top w:w="50" w:type="dxa"/>
              <w:bottom w:w="50" w:type="dxa"/>
              <w:left w:w="90" w:type="dxa"/>
              <w:right w:w="90" w:type="dxa"/>
            </w:tcMar>
            <w:shd w:val="clear" w:color="auto" w:fill="E5F5FF"/>
          </w:tcPr>
          <w:p>
            <w:pPr>
              <w:pStyle w:val="BDOITable"/>
            </w:pPr>
            <w:r>
              <w:rPr>
                <w:sz w:val="15"/>
              </w:rPr>
              <w:t>IQ10</w:t>
            </w:r>
          </w:p>
        </w:tc>
      </w:tr>
      <w:tr>
        <w:trPr>
          <w:cantSplit w:val="true"/>
        </w:trPr>
        <w:tc>
          <w:tcPr>
            <w:tcW w:type="dxa" w:w="777"/>
            <w:tcMar>
              <w:top w:w="50" w:type="dxa"/>
              <w:bottom w:w="50" w:type="dxa"/>
              <w:left w:w="90" w:type="dxa"/>
              <w:right w:w="90" w:type="dxa"/>
            </w:tcMar>
          </w:tcPr>
          <w:p>
            <w:pPr>
              <w:pStyle w:val="BDOITable"/>
            </w:pPr>
            <w:r>
              <w:rPr>
                <w:b/>
                <w:sz w:val="15"/>
              </w:rPr>
              <w:t>INT-09</w:t>
            </w:r>
          </w:p>
        </w:tc>
        <w:tc>
          <w:tcPr>
            <w:tcW w:type="dxa" w:w="2072"/>
            <w:tcMar>
              <w:top w:w="50" w:type="dxa"/>
              <w:bottom w:w="50" w:type="dxa"/>
              <w:left w:w="90" w:type="dxa"/>
              <w:right w:w="90" w:type="dxa"/>
            </w:tcMar>
          </w:tcPr>
          <w:p>
            <w:pPr>
              <w:pStyle w:val="BDOITable"/>
            </w:pPr>
            <w:r>
              <w:rPr>
                <w:sz w:val="15"/>
              </w:rPr>
              <w:t>Old BOB SOA funds transfers</w:t>
            </w:r>
          </w:p>
        </w:tc>
        <w:tc>
          <w:tcPr>
            <w:tcW w:type="dxa" w:w="2331"/>
            <w:tcMar>
              <w:top w:w="50" w:type="dxa"/>
              <w:bottom w:w="50" w:type="dxa"/>
              <w:left w:w="90" w:type="dxa"/>
              <w:right w:w="90" w:type="dxa"/>
            </w:tcMar>
          </w:tcPr>
          <w:p>
            <w:pPr>
              <w:pStyle w:val="BDOITable"/>
            </w:pPr>
            <w:r>
              <w:rPr>
                <w:sz w:val="15"/>
              </w:rPr>
              <w:t>Old Business Online Banking Collection System</w:t>
            </w:r>
          </w:p>
        </w:tc>
        <w:tc>
          <w:tcPr>
            <w:tcW w:type="dxa" w:w="1425"/>
            <w:tcMar>
              <w:top w:w="50" w:type="dxa"/>
              <w:bottom w:w="50" w:type="dxa"/>
              <w:left w:w="90" w:type="dxa"/>
              <w:right w:w="90" w:type="dxa"/>
            </w:tcMar>
          </w:tcPr>
          <w:p>
            <w:pPr>
              <w:pStyle w:val="BDOITable"/>
            </w:pPr>
            <w:r>
              <w:rPr>
                <w:sz w:val="15"/>
              </w:rPr>
              <w:t>Drop 0</w:t>
            </w:r>
          </w:p>
        </w:tc>
        <w:tc>
          <w:tcPr>
            <w:tcW w:type="dxa" w:w="1166"/>
            <w:tcMar>
              <w:top w:w="50" w:type="dxa"/>
              <w:bottom w:w="50" w:type="dxa"/>
              <w:left w:w="90" w:type="dxa"/>
              <w:right w:w="90" w:type="dxa"/>
            </w:tcMar>
          </w:tcPr>
          <w:p>
            <w:pPr>
              <w:pStyle w:val="BDOITable"/>
            </w:pPr>
            <w:r>
              <w:rPr>
                <w:sz w:val="15"/>
              </w:rPr>
              <w:t>File</w:t>
            </w:r>
          </w:p>
        </w:tc>
        <w:tc>
          <w:tcPr>
            <w:tcW w:type="dxa" w:w="1166"/>
            <w:tcMar>
              <w:top w:w="50" w:type="dxa"/>
              <w:bottom w:w="50" w:type="dxa"/>
              <w:left w:w="90" w:type="dxa"/>
              <w:right w:w="90" w:type="dxa"/>
            </w:tcMar>
          </w:tcPr>
          <w:p>
            <w:pPr>
              <w:pStyle w:val="BDOITable"/>
            </w:pPr>
            <w:r>
              <w:rPr>
                <w:sz w:val="15"/>
              </w:rPr>
              <w:t>Inbound</w:t>
            </w:r>
          </w:p>
        </w:tc>
        <w:tc>
          <w:tcPr>
            <w:tcW w:type="dxa" w:w="1036"/>
            <w:tcMar>
              <w:top w:w="50" w:type="dxa"/>
              <w:bottom w:w="50" w:type="dxa"/>
              <w:left w:w="90" w:type="dxa"/>
              <w:right w:w="90" w:type="dxa"/>
            </w:tcMar>
          </w:tcPr>
          <w:p>
            <w:pPr>
              <w:pStyle w:val="BDOITable"/>
            </w:pPr>
            <w:r>
              <w:rPr>
                <w:sz w:val="15"/>
              </w:rPr>
              <w:t>IQ10</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INT-10</w:t>
            </w:r>
          </w:p>
        </w:tc>
        <w:tc>
          <w:tcPr>
            <w:tcW w:type="dxa" w:w="2072"/>
            <w:tcMar>
              <w:top w:w="50" w:type="dxa"/>
              <w:bottom w:w="50" w:type="dxa"/>
              <w:left w:w="90" w:type="dxa"/>
              <w:right w:w="90" w:type="dxa"/>
            </w:tcMar>
            <w:shd w:val="clear" w:color="auto" w:fill="E5F5FF"/>
          </w:tcPr>
          <w:p>
            <w:pPr>
              <w:pStyle w:val="BDOITable"/>
            </w:pPr>
            <w:r>
              <w:rPr>
                <w:sz w:val="15"/>
              </w:rPr>
              <w:t>AFTS automatic fund transfer</w:t>
            </w:r>
          </w:p>
        </w:tc>
        <w:tc>
          <w:tcPr>
            <w:tcW w:type="dxa" w:w="2331"/>
            <w:tcMar>
              <w:top w:w="50" w:type="dxa"/>
              <w:bottom w:w="50" w:type="dxa"/>
              <w:left w:w="90" w:type="dxa"/>
              <w:right w:w="90" w:type="dxa"/>
            </w:tcMar>
            <w:shd w:val="clear" w:color="auto" w:fill="E5F5FF"/>
          </w:tcPr>
          <w:p>
            <w:pPr>
              <w:pStyle w:val="BDOITable"/>
            </w:pPr>
            <w:r>
              <w:rPr>
                <w:sz w:val="15"/>
              </w:rPr>
              <w:t>Automatic Fund Transfer System</w:t>
            </w:r>
          </w:p>
        </w:tc>
        <w:tc>
          <w:tcPr>
            <w:tcW w:type="dxa" w:w="1425"/>
            <w:tcMar>
              <w:top w:w="50" w:type="dxa"/>
              <w:bottom w:w="50" w:type="dxa"/>
              <w:left w:w="90" w:type="dxa"/>
              <w:right w:w="90" w:type="dxa"/>
            </w:tcMar>
            <w:shd w:val="clear" w:color="auto" w:fill="E5F5FF"/>
          </w:tcPr>
          <w:p>
            <w:pPr>
              <w:pStyle w:val="BDOITable"/>
            </w:pPr>
            <w:r>
              <w:rPr>
                <w:sz w:val="15"/>
              </w:rPr>
              <w:t>Drop 0</w:t>
            </w:r>
          </w:p>
        </w:tc>
        <w:tc>
          <w:tcPr>
            <w:tcW w:type="dxa" w:w="1166"/>
            <w:tcMar>
              <w:top w:w="50" w:type="dxa"/>
              <w:bottom w:w="50" w:type="dxa"/>
              <w:left w:w="90" w:type="dxa"/>
              <w:right w:w="90" w:type="dxa"/>
            </w:tcMar>
            <w:shd w:val="clear" w:color="auto" w:fill="E5F5FF"/>
          </w:tcPr>
          <w:p>
            <w:pPr>
              <w:pStyle w:val="BDOITable"/>
            </w:pPr>
            <w:r>
              <w:rPr>
                <w:sz w:val="15"/>
              </w:rPr>
              <w:t>File</w:t>
            </w:r>
          </w:p>
        </w:tc>
        <w:tc>
          <w:tcPr>
            <w:tcW w:type="dxa" w:w="1166"/>
            <w:tcMar>
              <w:top w:w="50" w:type="dxa"/>
              <w:bottom w:w="50" w:type="dxa"/>
              <w:left w:w="90" w:type="dxa"/>
              <w:right w:w="90" w:type="dxa"/>
            </w:tcMar>
            <w:shd w:val="clear" w:color="auto" w:fill="E5F5FF"/>
          </w:tcPr>
          <w:p>
            <w:pPr>
              <w:pStyle w:val="BDOITable"/>
            </w:pPr>
            <w:r>
              <w:rPr>
                <w:sz w:val="15"/>
              </w:rPr>
              <w:t>To confirm</w:t>
            </w:r>
          </w:p>
        </w:tc>
        <w:tc>
          <w:tcPr>
            <w:tcW w:type="dxa" w:w="1036"/>
            <w:tcMar>
              <w:top w:w="50" w:type="dxa"/>
              <w:bottom w:w="50" w:type="dxa"/>
              <w:left w:w="90" w:type="dxa"/>
              <w:right w:w="90" w:type="dxa"/>
            </w:tcMar>
            <w:shd w:val="clear" w:color="auto" w:fill="E5F5FF"/>
          </w:tcPr>
          <w:p>
            <w:pPr>
              <w:pStyle w:val="BDOITable"/>
            </w:pPr>
            <w:r>
              <w:rPr>
                <w:sz w:val="15"/>
              </w:rPr>
              <w:t>IQ10</w:t>
            </w:r>
          </w:p>
        </w:tc>
      </w:tr>
      <w:tr>
        <w:trPr>
          <w:cantSplit w:val="true"/>
        </w:trPr>
        <w:tc>
          <w:tcPr>
            <w:tcW w:type="dxa" w:w="777"/>
            <w:tcMar>
              <w:top w:w="50" w:type="dxa"/>
              <w:bottom w:w="50" w:type="dxa"/>
              <w:left w:w="90" w:type="dxa"/>
              <w:right w:w="90" w:type="dxa"/>
            </w:tcMar>
          </w:tcPr>
          <w:p>
            <w:pPr>
              <w:pStyle w:val="BDOITable"/>
            </w:pPr>
            <w:r>
              <w:rPr>
                <w:b/>
                <w:sz w:val="15"/>
              </w:rPr>
              <w:t>INT-12</w:t>
            </w:r>
          </w:p>
        </w:tc>
        <w:tc>
          <w:tcPr>
            <w:tcW w:type="dxa" w:w="2072"/>
            <w:tcMar>
              <w:top w:w="50" w:type="dxa"/>
              <w:bottom w:w="50" w:type="dxa"/>
              <w:left w:w="90" w:type="dxa"/>
              <w:right w:w="90" w:type="dxa"/>
            </w:tcMar>
          </w:tcPr>
          <w:p>
            <w:pPr>
              <w:pStyle w:val="BDOITable"/>
            </w:pPr>
            <w:r>
              <w:rPr>
                <w:sz w:val="15"/>
              </w:rPr>
              <w:t>ECM records archive</w:t>
            </w:r>
          </w:p>
        </w:tc>
        <w:tc>
          <w:tcPr>
            <w:tcW w:type="dxa" w:w="2331"/>
            <w:tcMar>
              <w:top w:w="50" w:type="dxa"/>
              <w:bottom w:w="50" w:type="dxa"/>
              <w:left w:w="90" w:type="dxa"/>
              <w:right w:w="90" w:type="dxa"/>
            </w:tcMar>
          </w:tcPr>
          <w:p>
            <w:pPr>
              <w:pStyle w:val="BDOITable"/>
            </w:pPr>
            <w:r>
              <w:rPr>
                <w:sz w:val="15"/>
              </w:rPr>
              <w:t>Enterprise Content Management</w:t>
            </w:r>
          </w:p>
        </w:tc>
        <w:tc>
          <w:tcPr>
            <w:tcW w:type="dxa" w:w="1425"/>
            <w:tcMar>
              <w:top w:w="50" w:type="dxa"/>
              <w:bottom w:w="50" w:type="dxa"/>
              <w:left w:w="90" w:type="dxa"/>
              <w:right w:w="90" w:type="dxa"/>
            </w:tcMar>
          </w:tcPr>
          <w:p>
            <w:pPr>
              <w:pStyle w:val="BDOITable"/>
            </w:pPr>
            <w:r>
              <w:rPr>
                <w:sz w:val="15"/>
              </w:rPr>
              <w:t>Drop 0</w:t>
            </w:r>
          </w:p>
        </w:tc>
        <w:tc>
          <w:tcPr>
            <w:tcW w:type="dxa" w:w="1166"/>
            <w:tcMar>
              <w:top w:w="50" w:type="dxa"/>
              <w:bottom w:w="50" w:type="dxa"/>
              <w:left w:w="90" w:type="dxa"/>
              <w:right w:w="90" w:type="dxa"/>
            </w:tcMar>
          </w:tcPr>
          <w:p>
            <w:pPr>
              <w:pStyle w:val="BDOITable"/>
            </w:pPr>
            <w:r>
              <w:rPr>
                <w:sz w:val="15"/>
              </w:rPr>
              <w:t>Event</w:t>
            </w:r>
          </w:p>
        </w:tc>
        <w:tc>
          <w:tcPr>
            <w:tcW w:type="dxa" w:w="1166"/>
            <w:tcMar>
              <w:top w:w="50" w:type="dxa"/>
              <w:bottom w:w="50" w:type="dxa"/>
              <w:left w:w="90" w:type="dxa"/>
              <w:right w:w="90" w:type="dxa"/>
            </w:tcMar>
          </w:tcPr>
          <w:p>
            <w:pPr>
              <w:pStyle w:val="BDOITable"/>
            </w:pPr>
            <w:r>
              <w:rPr>
                <w:sz w:val="15"/>
              </w:rPr>
              <w:t>Outbound</w:t>
            </w:r>
          </w:p>
        </w:tc>
        <w:tc>
          <w:tcPr>
            <w:tcW w:type="dxa" w:w="1036"/>
            <w:tcMar>
              <w:top w:w="50" w:type="dxa"/>
              <w:bottom w:w="50" w:type="dxa"/>
              <w:left w:w="90" w:type="dxa"/>
              <w:right w:w="90" w:type="dxa"/>
            </w:tcMar>
          </w:tcPr>
          <w:p>
            <w:pPr>
              <w:pStyle w:val="BDOITable"/>
            </w:pPr>
            <w:r>
              <w:rPr>
                <w:sz w:val="15"/>
              </w:rPr>
              <w:t>IQ13, DSQ02</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INT-13</w:t>
            </w:r>
          </w:p>
        </w:tc>
        <w:tc>
          <w:tcPr>
            <w:tcW w:type="dxa" w:w="2072"/>
            <w:tcMar>
              <w:top w:w="50" w:type="dxa"/>
              <w:bottom w:w="50" w:type="dxa"/>
              <w:left w:w="90" w:type="dxa"/>
              <w:right w:w="90" w:type="dxa"/>
            </w:tcMar>
            <w:shd w:val="clear" w:color="auto" w:fill="E5F5FF"/>
          </w:tcPr>
          <w:p>
            <w:pPr>
              <w:pStyle w:val="BDOITable"/>
            </w:pPr>
            <w:r>
              <w:rPr>
                <w:sz w:val="15"/>
              </w:rPr>
              <w:t>CCM outbound e-mail</w:t>
            </w:r>
          </w:p>
        </w:tc>
        <w:tc>
          <w:tcPr>
            <w:tcW w:type="dxa" w:w="2331"/>
            <w:tcMar>
              <w:top w:w="50" w:type="dxa"/>
              <w:bottom w:w="50" w:type="dxa"/>
              <w:left w:w="90" w:type="dxa"/>
              <w:right w:w="90" w:type="dxa"/>
            </w:tcMar>
            <w:shd w:val="clear" w:color="auto" w:fill="E5F5FF"/>
          </w:tcPr>
          <w:p>
            <w:pPr>
              <w:pStyle w:val="BDOITable"/>
            </w:pPr>
            <w:r>
              <w:rPr>
                <w:sz w:val="15"/>
              </w:rPr>
              <w:t>Centralized Communications Management</w:t>
            </w:r>
          </w:p>
        </w:tc>
        <w:tc>
          <w:tcPr>
            <w:tcW w:type="dxa" w:w="1425"/>
            <w:tcMar>
              <w:top w:w="50" w:type="dxa"/>
              <w:bottom w:w="50" w:type="dxa"/>
              <w:left w:w="90" w:type="dxa"/>
              <w:right w:w="90" w:type="dxa"/>
            </w:tcMar>
            <w:shd w:val="clear" w:color="auto" w:fill="E5F5FF"/>
          </w:tcPr>
          <w:p>
            <w:pPr>
              <w:pStyle w:val="BDOITable"/>
            </w:pPr>
            <w:r>
              <w:rPr>
                <w:sz w:val="15"/>
              </w:rPr>
              <w:t>Drop 0</w:t>
            </w:r>
          </w:p>
        </w:tc>
        <w:tc>
          <w:tcPr>
            <w:tcW w:type="dxa" w:w="1166"/>
            <w:tcMar>
              <w:top w:w="50" w:type="dxa"/>
              <w:bottom w:w="50" w:type="dxa"/>
              <w:left w:w="90" w:type="dxa"/>
              <w:right w:w="90" w:type="dxa"/>
            </w:tcMar>
            <w:shd w:val="clear" w:color="auto" w:fill="E5F5FF"/>
          </w:tcPr>
          <w:p>
            <w:pPr>
              <w:pStyle w:val="BDOITable"/>
            </w:pPr>
            <w:r>
              <w:rPr>
                <w:sz w:val="15"/>
              </w:rPr>
              <w:t>E-mail</w:t>
            </w:r>
          </w:p>
        </w:tc>
        <w:tc>
          <w:tcPr>
            <w:tcW w:type="dxa" w:w="1166"/>
            <w:tcMar>
              <w:top w:w="50" w:type="dxa"/>
              <w:bottom w:w="50" w:type="dxa"/>
              <w:left w:w="90" w:type="dxa"/>
              <w:right w:w="90" w:type="dxa"/>
            </w:tcMar>
            <w:shd w:val="clear" w:color="auto" w:fill="E5F5FF"/>
          </w:tcPr>
          <w:p>
            <w:pPr>
              <w:pStyle w:val="BDOITable"/>
            </w:pPr>
            <w:r>
              <w:rPr>
                <w:sz w:val="15"/>
              </w:rPr>
              <w:t>Outbound</w:t>
            </w:r>
          </w:p>
        </w:tc>
        <w:tc>
          <w:tcPr>
            <w:tcW w:type="dxa" w:w="1036"/>
            <w:tcMar>
              <w:top w:w="50" w:type="dxa"/>
              <w:bottom w:w="50" w:type="dxa"/>
              <w:left w:w="90" w:type="dxa"/>
              <w:right w:w="90" w:type="dxa"/>
            </w:tcMar>
            <w:shd w:val="clear" w:color="auto" w:fill="E5F5FF"/>
          </w:tcPr>
          <w:p>
            <w:pPr>
              <w:pStyle w:val="BDOITable"/>
            </w:pPr>
            <w:r>
              <w:rPr>
                <w:sz w:val="15"/>
              </w:rPr>
              <w:t>IQ11</w:t>
            </w:r>
          </w:p>
        </w:tc>
      </w:tr>
      <w:tr>
        <w:trPr>
          <w:cantSplit w:val="true"/>
        </w:trPr>
        <w:tc>
          <w:tcPr>
            <w:tcW w:type="dxa" w:w="777"/>
            <w:tcMar>
              <w:top w:w="50" w:type="dxa"/>
              <w:bottom w:w="50" w:type="dxa"/>
              <w:left w:w="90" w:type="dxa"/>
              <w:right w:w="90" w:type="dxa"/>
            </w:tcMar>
          </w:tcPr>
          <w:p>
            <w:pPr>
              <w:pStyle w:val="BDOITable"/>
            </w:pPr>
            <w:r>
              <w:rPr>
                <w:b/>
                <w:sz w:val="15"/>
              </w:rPr>
              <w:t>INT-14</w:t>
            </w:r>
          </w:p>
        </w:tc>
        <w:tc>
          <w:tcPr>
            <w:tcW w:type="dxa" w:w="2072"/>
            <w:tcMar>
              <w:top w:w="50" w:type="dxa"/>
              <w:bottom w:w="50" w:type="dxa"/>
              <w:left w:w="90" w:type="dxa"/>
              <w:right w:w="90" w:type="dxa"/>
            </w:tcMar>
          </w:tcPr>
          <w:p>
            <w:pPr>
              <w:pStyle w:val="BDOITable"/>
            </w:pPr>
            <w:r>
              <w:rPr>
                <w:sz w:val="15"/>
              </w:rPr>
              <w:t>M365 Exchange mailboxes</w:t>
            </w:r>
          </w:p>
        </w:tc>
        <w:tc>
          <w:tcPr>
            <w:tcW w:type="dxa" w:w="2331"/>
            <w:tcMar>
              <w:top w:w="50" w:type="dxa"/>
              <w:bottom w:w="50" w:type="dxa"/>
              <w:left w:w="90" w:type="dxa"/>
              <w:right w:w="90" w:type="dxa"/>
            </w:tcMar>
          </w:tcPr>
          <w:p>
            <w:pPr>
              <w:pStyle w:val="BDOITable"/>
            </w:pPr>
            <w:r>
              <w:rPr>
                <w:sz w:val="15"/>
              </w:rPr>
              <w:t>Microsoft 365 Exchange</w:t>
            </w:r>
          </w:p>
        </w:tc>
        <w:tc>
          <w:tcPr>
            <w:tcW w:type="dxa" w:w="1425"/>
            <w:tcMar>
              <w:top w:w="50" w:type="dxa"/>
              <w:bottom w:w="50" w:type="dxa"/>
              <w:left w:w="90" w:type="dxa"/>
              <w:right w:w="90" w:type="dxa"/>
            </w:tcMar>
          </w:tcPr>
          <w:p>
            <w:pPr>
              <w:pStyle w:val="BDOITable"/>
            </w:pPr>
            <w:r>
              <w:rPr>
                <w:sz w:val="15"/>
              </w:rPr>
              <w:t>Drop 0</w:t>
            </w:r>
          </w:p>
        </w:tc>
        <w:tc>
          <w:tcPr>
            <w:tcW w:type="dxa" w:w="1166"/>
            <w:tcMar>
              <w:top w:w="50" w:type="dxa"/>
              <w:bottom w:w="50" w:type="dxa"/>
              <w:left w:w="90" w:type="dxa"/>
              <w:right w:w="90" w:type="dxa"/>
            </w:tcMar>
          </w:tcPr>
          <w:p>
            <w:pPr>
              <w:pStyle w:val="BDOITable"/>
            </w:pPr>
            <w:r>
              <w:rPr>
                <w:sz w:val="15"/>
              </w:rPr>
              <w:t>Sync API</w:t>
            </w:r>
          </w:p>
        </w:tc>
        <w:tc>
          <w:tcPr>
            <w:tcW w:type="dxa" w:w="1166"/>
            <w:tcMar>
              <w:top w:w="50" w:type="dxa"/>
              <w:bottom w:w="50" w:type="dxa"/>
              <w:left w:w="90" w:type="dxa"/>
              <w:right w:w="90" w:type="dxa"/>
            </w:tcMar>
          </w:tcPr>
          <w:p>
            <w:pPr>
              <w:pStyle w:val="BDOITable"/>
            </w:pPr>
            <w:r>
              <w:rPr>
                <w:sz w:val="15"/>
              </w:rPr>
              <w:t>Inbound</w:t>
            </w:r>
          </w:p>
        </w:tc>
        <w:tc>
          <w:tcPr>
            <w:tcW w:type="dxa" w:w="1036"/>
            <w:tcMar>
              <w:top w:w="50" w:type="dxa"/>
              <w:bottom w:w="50" w:type="dxa"/>
              <w:left w:w="90" w:type="dxa"/>
              <w:right w:w="90" w:type="dxa"/>
            </w:tcMar>
          </w:tcPr>
          <w:p>
            <w:pPr>
              <w:pStyle w:val="BDOITable"/>
            </w:pPr>
            <w:r>
              <w:rPr>
                <w:sz w:val="15"/>
              </w:rPr>
              <w:t>IQ12</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INT-15</w:t>
            </w:r>
          </w:p>
        </w:tc>
        <w:tc>
          <w:tcPr>
            <w:tcW w:type="dxa" w:w="2072"/>
            <w:tcMar>
              <w:top w:w="50" w:type="dxa"/>
              <w:bottom w:w="50" w:type="dxa"/>
              <w:left w:w="90" w:type="dxa"/>
              <w:right w:w="90" w:type="dxa"/>
            </w:tcMar>
            <w:shd w:val="clear" w:color="auto" w:fill="E5F5FF"/>
          </w:tcPr>
          <w:p>
            <w:pPr>
              <w:pStyle w:val="BDOITable"/>
            </w:pPr>
            <w:r>
              <w:rPr>
                <w:sz w:val="15"/>
              </w:rPr>
              <w:t>TFS trade clients (manual)</w:t>
            </w:r>
          </w:p>
        </w:tc>
        <w:tc>
          <w:tcPr>
            <w:tcW w:type="dxa" w:w="2331"/>
            <w:tcMar>
              <w:top w:w="50" w:type="dxa"/>
              <w:bottom w:w="50" w:type="dxa"/>
              <w:left w:w="90" w:type="dxa"/>
              <w:right w:w="90" w:type="dxa"/>
            </w:tcMar>
            <w:shd w:val="clear" w:color="auto" w:fill="E5F5FF"/>
          </w:tcPr>
          <w:p>
            <w:pPr>
              <w:pStyle w:val="BDOITable"/>
            </w:pPr>
            <w:r>
              <w:rPr>
                <w:sz w:val="15"/>
              </w:rPr>
              <w:t>Trade Finance System</w:t>
            </w:r>
          </w:p>
        </w:tc>
        <w:tc>
          <w:tcPr>
            <w:tcW w:type="dxa" w:w="1425"/>
            <w:tcMar>
              <w:top w:w="50" w:type="dxa"/>
              <w:bottom w:w="50" w:type="dxa"/>
              <w:left w:w="90" w:type="dxa"/>
              <w:right w:w="90" w:type="dxa"/>
            </w:tcMar>
            <w:shd w:val="clear" w:color="auto" w:fill="E5F5FF"/>
          </w:tcPr>
          <w:p>
            <w:pPr>
              <w:pStyle w:val="BDOITable"/>
            </w:pPr>
            <w:r>
              <w:rPr>
                <w:sz w:val="15"/>
              </w:rPr>
              <w:t>Drop 0</w:t>
            </w:r>
          </w:p>
        </w:tc>
        <w:tc>
          <w:tcPr>
            <w:tcW w:type="dxa" w:w="1166"/>
            <w:tcMar>
              <w:top w:w="50" w:type="dxa"/>
              <w:bottom w:w="50" w:type="dxa"/>
              <w:left w:w="90" w:type="dxa"/>
              <w:right w:w="90" w:type="dxa"/>
            </w:tcMar>
            <w:shd w:val="clear" w:color="auto" w:fill="E5F5FF"/>
          </w:tcPr>
          <w:p>
            <w:pPr>
              <w:pStyle w:val="BDOITable"/>
            </w:pPr>
            <w:r>
              <w:rPr>
                <w:sz w:val="15"/>
              </w:rPr>
              <w:t>Manual</w:t>
            </w:r>
          </w:p>
        </w:tc>
        <w:tc>
          <w:tcPr>
            <w:tcW w:type="dxa" w:w="1166"/>
            <w:tcMar>
              <w:top w:w="50" w:type="dxa"/>
              <w:bottom w:w="50" w:type="dxa"/>
              <w:left w:w="90" w:type="dxa"/>
              <w:right w:w="90" w:type="dxa"/>
            </w:tcMar>
            <w:shd w:val="clear" w:color="auto" w:fill="E5F5FF"/>
          </w:tcPr>
          <w:p>
            <w:pPr>
              <w:pStyle w:val="BDOITable"/>
            </w:pPr>
            <w:r>
              <w:rPr>
                <w:sz w:val="15"/>
              </w:rPr>
              <w:t>Inbound</w:t>
            </w:r>
          </w:p>
        </w:tc>
        <w:tc>
          <w:tcPr>
            <w:tcW w:type="dxa" w:w="1036"/>
            <w:tcMar>
              <w:top w:w="50" w:type="dxa"/>
              <w:bottom w:w="50" w:type="dxa"/>
              <w:left w:w="90" w:type="dxa"/>
              <w:right w:w="90" w:type="dxa"/>
            </w:tcMar>
            <w:shd w:val="clear" w:color="auto" w:fill="E5F5FF"/>
          </w:tcPr>
          <w:p>
            <w:pPr>
              <w:pStyle w:val="BDOITable"/>
            </w:pPr>
            <w:r>
              <w:rPr>
                <w:sz w:val="15"/>
              </w:rPr>
              <w:t>IQ14</w:t>
            </w:r>
          </w:p>
        </w:tc>
      </w:tr>
      <w:tr>
        <w:trPr>
          <w:cantSplit w:val="true"/>
        </w:trPr>
        <w:tc>
          <w:tcPr>
            <w:tcW w:type="dxa" w:w="777"/>
            <w:tcMar>
              <w:top w:w="50" w:type="dxa"/>
              <w:bottom w:w="50" w:type="dxa"/>
              <w:left w:w="90" w:type="dxa"/>
              <w:right w:w="90" w:type="dxa"/>
            </w:tcMar>
          </w:tcPr>
          <w:p>
            <w:pPr>
              <w:pStyle w:val="BDOITable"/>
            </w:pPr>
            <w:r>
              <w:rPr>
                <w:b/>
                <w:sz w:val="15"/>
              </w:rPr>
              <w:t>INT-16</w:t>
            </w:r>
          </w:p>
        </w:tc>
        <w:tc>
          <w:tcPr>
            <w:tcW w:type="dxa" w:w="2072"/>
            <w:tcMar>
              <w:top w:w="50" w:type="dxa"/>
              <w:bottom w:w="50" w:type="dxa"/>
              <w:left w:w="90" w:type="dxa"/>
              <w:right w:w="90" w:type="dxa"/>
            </w:tcMar>
          </w:tcPr>
          <w:p>
            <w:pPr>
              <w:pStyle w:val="BDOITable"/>
            </w:pPr>
            <w:r>
              <w:rPr>
                <w:sz w:val="15"/>
              </w:rPr>
              <w:t>EDP data ingestion (SD 11)</w:t>
            </w:r>
          </w:p>
        </w:tc>
        <w:tc>
          <w:tcPr>
            <w:tcW w:type="dxa" w:w="2331"/>
            <w:tcMar>
              <w:top w:w="50" w:type="dxa"/>
              <w:bottom w:w="50" w:type="dxa"/>
              <w:left w:w="90" w:type="dxa"/>
              <w:right w:w="90" w:type="dxa"/>
            </w:tcMar>
          </w:tcPr>
          <w:p>
            <w:pPr>
              <w:pStyle w:val="BDOITable"/>
            </w:pPr>
            <w:r>
              <w:rPr>
                <w:sz w:val="15"/>
              </w:rPr>
              <w:t>Enterprise Data Platform</w:t>
            </w:r>
          </w:p>
        </w:tc>
        <w:tc>
          <w:tcPr>
            <w:tcW w:type="dxa" w:w="1425"/>
            <w:tcMar>
              <w:top w:w="50" w:type="dxa"/>
              <w:bottom w:w="50" w:type="dxa"/>
              <w:left w:w="90" w:type="dxa"/>
              <w:right w:w="90" w:type="dxa"/>
            </w:tcMar>
          </w:tcPr>
          <w:p>
            <w:pPr>
              <w:pStyle w:val="BDOITable"/>
            </w:pPr>
            <w:r>
              <w:rPr>
                <w:sz w:val="15"/>
              </w:rPr>
              <w:t>Drop 2</w:t>
            </w:r>
          </w:p>
        </w:tc>
        <w:tc>
          <w:tcPr>
            <w:tcW w:type="dxa" w:w="1166"/>
            <w:tcMar>
              <w:top w:w="50" w:type="dxa"/>
              <w:bottom w:w="50" w:type="dxa"/>
              <w:left w:w="90" w:type="dxa"/>
              <w:right w:w="90" w:type="dxa"/>
            </w:tcMar>
          </w:tcPr>
          <w:p>
            <w:pPr>
              <w:pStyle w:val="BDOITable"/>
            </w:pPr>
            <w:r>
              <w:rPr>
                <w:sz w:val="15"/>
              </w:rPr>
              <w:t>File</w:t>
            </w:r>
          </w:p>
        </w:tc>
        <w:tc>
          <w:tcPr>
            <w:tcW w:type="dxa" w:w="1166"/>
            <w:tcMar>
              <w:top w:w="50" w:type="dxa"/>
              <w:bottom w:w="50" w:type="dxa"/>
              <w:left w:w="90" w:type="dxa"/>
              <w:right w:w="90" w:type="dxa"/>
            </w:tcMar>
          </w:tcPr>
          <w:p>
            <w:pPr>
              <w:pStyle w:val="BDOITable"/>
            </w:pPr>
            <w:r>
              <w:rPr>
                <w:sz w:val="15"/>
              </w:rPr>
              <w:t>Outbound</w:t>
            </w:r>
          </w:p>
        </w:tc>
        <w:tc>
          <w:tcPr>
            <w:tcW w:type="dxa" w:w="1036"/>
            <w:tcMar>
              <w:top w:w="50" w:type="dxa"/>
              <w:bottom w:w="50" w:type="dxa"/>
              <w:left w:w="90" w:type="dxa"/>
              <w:right w:w="90" w:type="dxa"/>
            </w:tcMar>
          </w:tcPr>
          <w:p>
            <w:pPr>
              <w:pStyle w:val="BDOITable"/>
            </w:pPr>
            <w:r>
              <w:rPr>
                <w:sz w:val="15"/>
              </w:rPr>
              <w:t>IQ15</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INT-17</w:t>
            </w:r>
          </w:p>
        </w:tc>
        <w:tc>
          <w:tcPr>
            <w:tcW w:type="dxa" w:w="2072"/>
            <w:tcMar>
              <w:top w:w="50" w:type="dxa"/>
              <w:bottom w:w="50" w:type="dxa"/>
              <w:left w:w="90" w:type="dxa"/>
              <w:right w:w="90" w:type="dxa"/>
            </w:tcMar>
            <w:shd w:val="clear" w:color="auto" w:fill="E5F5FF"/>
          </w:tcPr>
          <w:p>
            <w:pPr>
              <w:pStyle w:val="BDOITable"/>
            </w:pPr>
            <w:r>
              <w:rPr>
                <w:sz w:val="15"/>
              </w:rPr>
              <w:t>EGL general ledger feed</w:t>
            </w:r>
          </w:p>
        </w:tc>
        <w:tc>
          <w:tcPr>
            <w:tcW w:type="dxa" w:w="2331"/>
            <w:tcMar>
              <w:top w:w="50" w:type="dxa"/>
              <w:bottom w:w="50" w:type="dxa"/>
              <w:left w:w="90" w:type="dxa"/>
              <w:right w:w="90" w:type="dxa"/>
            </w:tcMar>
            <w:shd w:val="clear" w:color="auto" w:fill="E5F5FF"/>
          </w:tcPr>
          <w:p>
            <w:pPr>
              <w:pStyle w:val="BDOITable"/>
            </w:pPr>
            <w:r>
              <w:rPr>
                <w:sz w:val="15"/>
              </w:rPr>
              <w:t>Enterprise General Ledger</w:t>
            </w:r>
          </w:p>
        </w:tc>
        <w:tc>
          <w:tcPr>
            <w:tcW w:type="dxa" w:w="1425"/>
            <w:tcMar>
              <w:top w:w="50" w:type="dxa"/>
              <w:bottom w:w="50" w:type="dxa"/>
              <w:left w:w="90" w:type="dxa"/>
              <w:right w:w="90" w:type="dxa"/>
            </w:tcMar>
            <w:shd w:val="clear" w:color="auto" w:fill="E5F5FF"/>
          </w:tcPr>
          <w:p>
            <w:pPr>
              <w:pStyle w:val="BDOITable"/>
            </w:pPr>
            <w:r>
              <w:rPr>
                <w:sz w:val="15"/>
              </w:rPr>
              <w:t>Drop 2</w:t>
            </w:r>
          </w:p>
        </w:tc>
        <w:tc>
          <w:tcPr>
            <w:tcW w:type="dxa" w:w="1166"/>
            <w:tcMar>
              <w:top w:w="50" w:type="dxa"/>
              <w:bottom w:w="50" w:type="dxa"/>
              <w:left w:w="90" w:type="dxa"/>
              <w:right w:w="90" w:type="dxa"/>
            </w:tcMar>
            <w:shd w:val="clear" w:color="auto" w:fill="E5F5FF"/>
          </w:tcPr>
          <w:p>
            <w:pPr>
              <w:pStyle w:val="BDOITable"/>
            </w:pPr>
            <w:r>
              <w:rPr>
                <w:sz w:val="15"/>
              </w:rPr>
              <w:t>File</w:t>
            </w:r>
          </w:p>
        </w:tc>
        <w:tc>
          <w:tcPr>
            <w:tcW w:type="dxa" w:w="1166"/>
            <w:tcMar>
              <w:top w:w="50" w:type="dxa"/>
              <w:bottom w:w="50" w:type="dxa"/>
              <w:left w:w="90" w:type="dxa"/>
              <w:right w:w="90" w:type="dxa"/>
            </w:tcMar>
            <w:shd w:val="clear" w:color="auto" w:fill="E5F5FF"/>
          </w:tcPr>
          <w:p>
            <w:pPr>
              <w:pStyle w:val="BDOITable"/>
            </w:pPr>
            <w:r>
              <w:rPr>
                <w:sz w:val="15"/>
              </w:rPr>
              <w:t>Outbound</w:t>
            </w:r>
          </w:p>
        </w:tc>
        <w:tc>
          <w:tcPr>
            <w:tcW w:type="dxa" w:w="1036"/>
            <w:tcMar>
              <w:top w:w="50" w:type="dxa"/>
              <w:bottom w:w="50" w:type="dxa"/>
              <w:left w:w="90" w:type="dxa"/>
              <w:right w:w="90" w:type="dxa"/>
            </w:tcMar>
            <w:shd w:val="clear" w:color="auto" w:fill="E5F5FF"/>
          </w:tcPr>
          <w:p>
            <w:pPr>
              <w:pStyle w:val="BDOITable"/>
            </w:pPr>
            <w:r>
              <w:rPr>
                <w:sz w:val="15"/>
              </w:rPr>
              <w:t>IQ16</w:t>
            </w:r>
          </w:p>
        </w:tc>
      </w:tr>
      <w:tr>
        <w:trPr>
          <w:cantSplit w:val="true"/>
        </w:trPr>
        <w:tc>
          <w:tcPr>
            <w:tcW w:type="dxa" w:w="777"/>
            <w:tcMar>
              <w:top w:w="50" w:type="dxa"/>
              <w:bottom w:w="50" w:type="dxa"/>
              <w:left w:w="90" w:type="dxa"/>
              <w:right w:w="90" w:type="dxa"/>
            </w:tcMar>
          </w:tcPr>
          <w:p>
            <w:pPr>
              <w:pStyle w:val="BDOITable"/>
            </w:pPr>
            <w:r>
              <w:rPr>
                <w:b/>
                <w:sz w:val="15"/>
              </w:rPr>
              <w:t>INT-18</w:t>
            </w:r>
          </w:p>
        </w:tc>
        <w:tc>
          <w:tcPr>
            <w:tcW w:type="dxa" w:w="2072"/>
            <w:tcMar>
              <w:top w:w="50" w:type="dxa"/>
              <w:bottom w:w="50" w:type="dxa"/>
              <w:left w:w="90" w:type="dxa"/>
              <w:right w:w="90" w:type="dxa"/>
            </w:tcMar>
          </w:tcPr>
          <w:p>
            <w:pPr>
              <w:pStyle w:val="BDOITable"/>
            </w:pPr>
            <w:r>
              <w:rPr>
                <w:sz w:val="15"/>
              </w:rPr>
              <w:t>CARMS</w:t>
            </w:r>
          </w:p>
        </w:tc>
        <w:tc>
          <w:tcPr>
            <w:tcW w:type="dxa" w:w="2331"/>
            <w:tcMar>
              <w:top w:w="50" w:type="dxa"/>
              <w:bottom w:w="50" w:type="dxa"/>
              <w:left w:w="90" w:type="dxa"/>
              <w:right w:w="90" w:type="dxa"/>
            </w:tcMar>
          </w:tcPr>
          <w:p>
            <w:pPr>
              <w:pStyle w:val="BDOITable"/>
            </w:pPr>
            <w:r>
              <w:rPr>
                <w:sz w:val="15"/>
              </w:rPr>
              <w:t>CARMS</w:t>
            </w:r>
          </w:p>
        </w:tc>
        <w:tc>
          <w:tcPr>
            <w:tcW w:type="dxa" w:w="1425"/>
            <w:tcMar>
              <w:top w:w="50" w:type="dxa"/>
              <w:bottom w:w="50" w:type="dxa"/>
              <w:left w:w="90" w:type="dxa"/>
              <w:right w:w="90" w:type="dxa"/>
            </w:tcMar>
          </w:tcPr>
          <w:p>
            <w:pPr>
              <w:pStyle w:val="BDOITable"/>
            </w:pPr>
            <w:r>
              <w:rPr>
                <w:sz w:val="15"/>
              </w:rPr>
              <w:t>Drop 2</w:t>
            </w:r>
          </w:p>
        </w:tc>
        <w:tc>
          <w:tcPr>
            <w:tcW w:type="dxa" w:w="1166"/>
            <w:tcMar>
              <w:top w:w="50" w:type="dxa"/>
              <w:bottom w:w="50" w:type="dxa"/>
              <w:left w:w="90" w:type="dxa"/>
              <w:right w:w="90" w:type="dxa"/>
            </w:tcMar>
          </w:tcPr>
          <w:p>
            <w:pPr>
              <w:pStyle w:val="BDOITable"/>
            </w:pPr>
            <w:r>
              <w:rPr>
                <w:sz w:val="15"/>
              </w:rPr>
              <w:t>To confirm</w:t>
            </w:r>
          </w:p>
        </w:tc>
        <w:tc>
          <w:tcPr>
            <w:tcW w:type="dxa" w:w="1166"/>
            <w:tcMar>
              <w:top w:w="50" w:type="dxa"/>
              <w:bottom w:w="50" w:type="dxa"/>
              <w:left w:w="90" w:type="dxa"/>
              <w:right w:w="90" w:type="dxa"/>
            </w:tcMar>
          </w:tcPr>
          <w:p>
            <w:pPr>
              <w:pStyle w:val="BDOITable"/>
            </w:pPr>
            <w:r>
              <w:rPr>
                <w:sz w:val="15"/>
              </w:rPr>
              <w:t>To confirm</w:t>
            </w:r>
          </w:p>
        </w:tc>
        <w:tc>
          <w:tcPr>
            <w:tcW w:type="dxa" w:w="1036"/>
            <w:tcMar>
              <w:top w:w="50" w:type="dxa"/>
              <w:bottom w:w="50" w:type="dxa"/>
              <w:left w:w="90" w:type="dxa"/>
              <w:right w:w="90" w:type="dxa"/>
            </w:tcMar>
          </w:tcPr>
          <w:p>
            <w:pPr>
              <w:pStyle w:val="BDOITable"/>
            </w:pPr>
            <w:r>
              <w:rPr>
                <w:sz w:val="15"/>
              </w:rPr>
              <w:t>IQ17</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INT-19</w:t>
            </w:r>
          </w:p>
        </w:tc>
        <w:tc>
          <w:tcPr>
            <w:tcW w:type="dxa" w:w="2072"/>
            <w:tcMar>
              <w:top w:w="50" w:type="dxa"/>
              <w:bottom w:w="50" w:type="dxa"/>
              <w:left w:w="90" w:type="dxa"/>
              <w:right w:w="90" w:type="dxa"/>
            </w:tcMar>
            <w:shd w:val="clear" w:color="auto" w:fill="E5F5FF"/>
          </w:tcPr>
          <w:p>
            <w:pPr>
              <w:pStyle w:val="BDOITable"/>
            </w:pPr>
            <w:r>
              <w:rPr>
                <w:sz w:val="15"/>
              </w:rPr>
              <w:t>Insurer interfaces</w:t>
            </w:r>
          </w:p>
        </w:tc>
        <w:tc>
          <w:tcPr>
            <w:tcW w:type="dxa" w:w="2331"/>
            <w:tcMar>
              <w:top w:w="50" w:type="dxa"/>
              <w:bottom w:w="50" w:type="dxa"/>
              <w:left w:w="90" w:type="dxa"/>
              <w:right w:w="90" w:type="dxa"/>
            </w:tcMar>
            <w:shd w:val="clear" w:color="auto" w:fill="E5F5FF"/>
          </w:tcPr>
          <w:p>
            <w:pPr>
              <w:pStyle w:val="BDOITable"/>
            </w:pPr>
            <w:r>
              <w:rPr>
                <w:sz w:val="15"/>
              </w:rPr>
              <w:t>Insurer systems (per insurer)</w:t>
            </w:r>
          </w:p>
        </w:tc>
        <w:tc>
          <w:tcPr>
            <w:tcW w:type="dxa" w:w="1425"/>
            <w:tcMar>
              <w:top w:w="50" w:type="dxa"/>
              <w:bottom w:w="50" w:type="dxa"/>
              <w:left w:w="90" w:type="dxa"/>
              <w:right w:w="90" w:type="dxa"/>
            </w:tcMar>
            <w:shd w:val="clear" w:color="auto" w:fill="E5F5FF"/>
          </w:tcPr>
          <w:p>
            <w:pPr>
              <w:pStyle w:val="BDOITable"/>
            </w:pPr>
            <w:r>
              <w:rPr>
                <w:sz w:val="15"/>
              </w:rPr>
              <w:t>Drop 2</w:t>
            </w:r>
          </w:p>
        </w:tc>
        <w:tc>
          <w:tcPr>
            <w:tcW w:type="dxa" w:w="1166"/>
            <w:tcMar>
              <w:top w:w="50" w:type="dxa"/>
              <w:bottom w:w="50" w:type="dxa"/>
              <w:left w:w="90" w:type="dxa"/>
              <w:right w:w="90" w:type="dxa"/>
            </w:tcMar>
            <w:shd w:val="clear" w:color="auto" w:fill="E5F5FF"/>
          </w:tcPr>
          <w:p>
            <w:pPr>
              <w:pStyle w:val="BDOITable"/>
            </w:pPr>
            <w:r>
              <w:rPr>
                <w:sz w:val="15"/>
              </w:rPr>
              <w:t>File</w:t>
            </w:r>
          </w:p>
        </w:tc>
        <w:tc>
          <w:tcPr>
            <w:tcW w:type="dxa" w:w="1166"/>
            <w:tcMar>
              <w:top w:w="50" w:type="dxa"/>
              <w:bottom w:w="50" w:type="dxa"/>
              <w:left w:w="90" w:type="dxa"/>
              <w:right w:w="90" w:type="dxa"/>
            </w:tcMar>
            <w:shd w:val="clear" w:color="auto" w:fill="E5F5FF"/>
          </w:tcPr>
          <w:p>
            <w:pPr>
              <w:pStyle w:val="BDOITable"/>
            </w:pPr>
            <w:r>
              <w:rPr>
                <w:sz w:val="15"/>
              </w:rPr>
              <w:t>Both</w:t>
            </w:r>
          </w:p>
        </w:tc>
        <w:tc>
          <w:tcPr>
            <w:tcW w:type="dxa" w:w="1036"/>
            <w:tcMar>
              <w:top w:w="50" w:type="dxa"/>
              <w:bottom w:w="50" w:type="dxa"/>
              <w:left w:w="90" w:type="dxa"/>
              <w:right w:w="90" w:type="dxa"/>
            </w:tcMar>
            <w:shd w:val="clear" w:color="auto" w:fill="E5F5FF"/>
          </w:tcPr>
          <w:p>
            <w:pPr>
              <w:pStyle w:val="BDOITable"/>
            </w:pPr>
            <w:r>
              <w:rPr>
                <w:sz w:val="15"/>
              </w:rPr>
              <w:t>IQ18</w:t>
            </w:r>
          </w:p>
        </w:tc>
      </w:tr>
      <w:tr>
        <w:trPr>
          <w:cantSplit w:val="true"/>
        </w:trPr>
        <w:tc>
          <w:tcPr>
            <w:tcW w:type="dxa" w:w="777"/>
            <w:tcMar>
              <w:top w:w="50" w:type="dxa"/>
              <w:bottom w:w="50" w:type="dxa"/>
              <w:left w:w="90" w:type="dxa"/>
              <w:right w:w="90" w:type="dxa"/>
            </w:tcMar>
          </w:tcPr>
          <w:p>
            <w:pPr>
              <w:pStyle w:val="BDOITable"/>
            </w:pPr>
            <w:r>
              <w:rPr>
                <w:b/>
                <w:sz w:val="15"/>
              </w:rPr>
              <w:t>INT-20</w:t>
            </w:r>
          </w:p>
        </w:tc>
        <w:tc>
          <w:tcPr>
            <w:tcW w:type="dxa" w:w="2072"/>
            <w:tcMar>
              <w:top w:w="50" w:type="dxa"/>
              <w:bottom w:w="50" w:type="dxa"/>
              <w:left w:w="90" w:type="dxa"/>
              <w:right w:w="90" w:type="dxa"/>
            </w:tcMar>
          </w:tcPr>
          <w:p>
            <w:pPr>
              <w:pStyle w:val="BDOITable"/>
            </w:pPr>
            <w:r>
              <w:rPr>
                <w:sz w:val="15"/>
              </w:rPr>
              <w:t>Bridger Insight XG screening (manual)</w:t>
            </w:r>
          </w:p>
        </w:tc>
        <w:tc>
          <w:tcPr>
            <w:tcW w:type="dxa" w:w="2331"/>
            <w:tcMar>
              <w:top w:w="50" w:type="dxa"/>
              <w:bottom w:w="50" w:type="dxa"/>
              <w:left w:w="90" w:type="dxa"/>
              <w:right w:w="90" w:type="dxa"/>
            </w:tcMar>
          </w:tcPr>
          <w:p>
            <w:pPr>
              <w:pStyle w:val="BDOITable"/>
            </w:pPr>
            <w:r>
              <w:rPr>
                <w:sz w:val="15"/>
              </w:rPr>
              <w:t>Bridger Insight XG</w:t>
            </w:r>
          </w:p>
        </w:tc>
        <w:tc>
          <w:tcPr>
            <w:tcW w:type="dxa" w:w="1425"/>
            <w:tcMar>
              <w:top w:w="50" w:type="dxa"/>
              <w:bottom w:w="50" w:type="dxa"/>
              <w:left w:w="90" w:type="dxa"/>
              <w:right w:w="90" w:type="dxa"/>
            </w:tcMar>
          </w:tcPr>
          <w:p>
            <w:pPr>
              <w:pStyle w:val="BDOITable"/>
            </w:pPr>
            <w:r>
              <w:rPr>
                <w:sz w:val="15"/>
              </w:rPr>
              <w:t>Drop 2</w:t>
            </w:r>
          </w:p>
        </w:tc>
        <w:tc>
          <w:tcPr>
            <w:tcW w:type="dxa" w:w="1166"/>
            <w:tcMar>
              <w:top w:w="50" w:type="dxa"/>
              <w:bottom w:w="50" w:type="dxa"/>
              <w:left w:w="90" w:type="dxa"/>
              <w:right w:w="90" w:type="dxa"/>
            </w:tcMar>
          </w:tcPr>
          <w:p>
            <w:pPr>
              <w:pStyle w:val="BDOITable"/>
            </w:pPr>
            <w:r>
              <w:rPr>
                <w:sz w:val="15"/>
              </w:rPr>
              <w:t>Manual</w:t>
            </w:r>
          </w:p>
        </w:tc>
        <w:tc>
          <w:tcPr>
            <w:tcW w:type="dxa" w:w="1166"/>
            <w:tcMar>
              <w:top w:w="50" w:type="dxa"/>
              <w:bottom w:w="50" w:type="dxa"/>
              <w:left w:w="90" w:type="dxa"/>
              <w:right w:w="90" w:type="dxa"/>
            </w:tcMar>
          </w:tcPr>
          <w:p>
            <w:pPr>
              <w:pStyle w:val="BDOITable"/>
            </w:pPr>
            <w:r>
              <w:rPr>
                <w:sz w:val="15"/>
              </w:rPr>
              <w:t>Inbound</w:t>
            </w:r>
          </w:p>
        </w:tc>
        <w:tc>
          <w:tcPr>
            <w:tcW w:type="dxa" w:w="1036"/>
            <w:tcMar>
              <w:top w:w="50" w:type="dxa"/>
              <w:bottom w:w="50" w:type="dxa"/>
              <w:left w:w="90" w:type="dxa"/>
              <w:right w:w="90" w:type="dxa"/>
            </w:tcMar>
          </w:tcPr>
          <w:p>
            <w:pPr>
              <w:pStyle w:val="BDOITable"/>
            </w:pPr>
            <w:r>
              <w:rPr>
                <w:sz w:val="15"/>
              </w:rPr>
              <w:t>IQ19</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INT-21</w:t>
            </w:r>
          </w:p>
        </w:tc>
        <w:tc>
          <w:tcPr>
            <w:tcW w:type="dxa" w:w="2072"/>
            <w:tcMar>
              <w:top w:w="50" w:type="dxa"/>
              <w:bottom w:w="50" w:type="dxa"/>
              <w:left w:w="90" w:type="dxa"/>
              <w:right w:w="90" w:type="dxa"/>
            </w:tcMar>
            <w:shd w:val="clear" w:color="auto" w:fill="E5F5FF"/>
          </w:tcPr>
          <w:p>
            <w:pPr>
              <w:pStyle w:val="BDOITable"/>
            </w:pPr>
            <w:r>
              <w:rPr>
                <w:sz w:val="15"/>
              </w:rPr>
              <w:t>Watchlist feeds (AML advisory, NLDS PEP)</w:t>
            </w:r>
          </w:p>
        </w:tc>
        <w:tc>
          <w:tcPr>
            <w:tcW w:type="dxa" w:w="2331"/>
            <w:tcMar>
              <w:top w:w="50" w:type="dxa"/>
              <w:bottom w:w="50" w:type="dxa"/>
              <w:left w:w="90" w:type="dxa"/>
              <w:right w:w="90" w:type="dxa"/>
            </w:tcMar>
            <w:shd w:val="clear" w:color="auto" w:fill="E5F5FF"/>
          </w:tcPr>
          <w:p>
            <w:pPr>
              <w:pStyle w:val="BDOITable"/>
            </w:pPr>
            <w:r>
              <w:rPr>
                <w:sz w:val="15"/>
              </w:rPr>
              <w:t>AMLC advisory lists, BDO Negative List Database System</w:t>
            </w:r>
          </w:p>
        </w:tc>
        <w:tc>
          <w:tcPr>
            <w:tcW w:type="dxa" w:w="1425"/>
            <w:tcMar>
              <w:top w:w="50" w:type="dxa"/>
              <w:bottom w:w="50" w:type="dxa"/>
              <w:left w:w="90" w:type="dxa"/>
              <w:right w:w="90" w:type="dxa"/>
            </w:tcMar>
            <w:shd w:val="clear" w:color="auto" w:fill="E5F5FF"/>
          </w:tcPr>
          <w:p>
            <w:pPr>
              <w:pStyle w:val="BDOITable"/>
            </w:pPr>
            <w:r>
              <w:rPr>
                <w:sz w:val="15"/>
              </w:rPr>
              <w:t>Drop 1</w:t>
            </w:r>
          </w:p>
        </w:tc>
        <w:tc>
          <w:tcPr>
            <w:tcW w:type="dxa" w:w="1166"/>
            <w:tcMar>
              <w:top w:w="50" w:type="dxa"/>
              <w:bottom w:w="50" w:type="dxa"/>
              <w:left w:w="90" w:type="dxa"/>
              <w:right w:w="90" w:type="dxa"/>
            </w:tcMar>
            <w:shd w:val="clear" w:color="auto" w:fill="E5F5FF"/>
          </w:tcPr>
          <w:p>
            <w:pPr>
              <w:pStyle w:val="BDOITable"/>
            </w:pPr>
            <w:r>
              <w:rPr>
                <w:sz w:val="15"/>
              </w:rPr>
              <w:t>File</w:t>
            </w:r>
          </w:p>
        </w:tc>
        <w:tc>
          <w:tcPr>
            <w:tcW w:type="dxa" w:w="1166"/>
            <w:tcMar>
              <w:top w:w="50" w:type="dxa"/>
              <w:bottom w:w="50" w:type="dxa"/>
              <w:left w:w="90" w:type="dxa"/>
              <w:right w:w="90" w:type="dxa"/>
            </w:tcMar>
            <w:shd w:val="clear" w:color="auto" w:fill="E5F5FF"/>
          </w:tcPr>
          <w:p>
            <w:pPr>
              <w:pStyle w:val="BDOITable"/>
            </w:pPr>
            <w:r>
              <w:rPr>
                <w:sz w:val="15"/>
              </w:rPr>
              <w:t>Inbound</w:t>
            </w:r>
          </w:p>
        </w:tc>
        <w:tc>
          <w:tcPr>
            <w:tcW w:type="dxa" w:w="1036"/>
            <w:tcMar>
              <w:top w:w="50" w:type="dxa"/>
              <w:bottom w:w="50" w:type="dxa"/>
              <w:left w:w="90" w:type="dxa"/>
              <w:right w:w="90" w:type="dxa"/>
            </w:tcMar>
            <w:shd w:val="clear" w:color="auto" w:fill="E5F5FF"/>
          </w:tcPr>
          <w:p>
            <w:pPr>
              <w:pStyle w:val="BDOITable"/>
            </w:pPr>
            <w:r>
              <w:rPr>
                <w:sz w:val="15"/>
              </w:rPr>
              <w:t>SQ01</w:t>
            </w:r>
          </w:p>
        </w:tc>
      </w:tr>
      <w:tr>
        <w:trPr>
          <w:cantSplit w:val="true"/>
        </w:trPr>
        <w:tc>
          <w:tcPr>
            <w:tcW w:type="dxa" w:w="777"/>
            <w:tcMar>
              <w:top w:w="50" w:type="dxa"/>
              <w:bottom w:w="50" w:type="dxa"/>
              <w:left w:w="90" w:type="dxa"/>
              <w:right w:w="90" w:type="dxa"/>
            </w:tcMar>
          </w:tcPr>
          <w:p>
            <w:pPr>
              <w:pStyle w:val="BDOITable"/>
            </w:pPr>
            <w:r>
              <w:rPr>
                <w:b/>
                <w:sz w:val="15"/>
              </w:rPr>
              <w:t>INT-22</w:t>
            </w:r>
          </w:p>
        </w:tc>
        <w:tc>
          <w:tcPr>
            <w:tcW w:type="dxa" w:w="2072"/>
            <w:tcMar>
              <w:top w:w="50" w:type="dxa"/>
              <w:bottom w:w="50" w:type="dxa"/>
              <w:left w:w="90" w:type="dxa"/>
              <w:right w:w="90" w:type="dxa"/>
            </w:tcMar>
          </w:tcPr>
          <w:p>
            <w:pPr>
              <w:pStyle w:val="BDOITable"/>
            </w:pPr>
            <w:r>
              <w:rPr>
                <w:sz w:val="15"/>
              </w:rPr>
              <w:t>AMLC STR filing</w:t>
            </w:r>
          </w:p>
        </w:tc>
        <w:tc>
          <w:tcPr>
            <w:tcW w:type="dxa" w:w="2331"/>
            <w:tcMar>
              <w:top w:w="50" w:type="dxa"/>
              <w:bottom w:w="50" w:type="dxa"/>
              <w:left w:w="90" w:type="dxa"/>
              <w:right w:w="90" w:type="dxa"/>
            </w:tcMar>
          </w:tcPr>
          <w:p>
            <w:pPr>
              <w:pStyle w:val="BDOITable"/>
            </w:pPr>
            <w:r>
              <w:rPr>
                <w:sz w:val="15"/>
              </w:rPr>
              <w:t>AMLC portal</w:t>
            </w:r>
          </w:p>
        </w:tc>
        <w:tc>
          <w:tcPr>
            <w:tcW w:type="dxa" w:w="1425"/>
            <w:tcMar>
              <w:top w:w="50" w:type="dxa"/>
              <w:bottom w:w="50" w:type="dxa"/>
              <w:left w:w="90" w:type="dxa"/>
              <w:right w:w="90" w:type="dxa"/>
            </w:tcMar>
          </w:tcPr>
          <w:p>
            <w:pPr>
              <w:pStyle w:val="BDOITable"/>
            </w:pPr>
            <w:r>
              <w:rPr>
                <w:sz w:val="15"/>
              </w:rPr>
              <w:t>Drop 1</w:t>
            </w:r>
          </w:p>
        </w:tc>
        <w:tc>
          <w:tcPr>
            <w:tcW w:type="dxa" w:w="1166"/>
            <w:tcMar>
              <w:top w:w="50" w:type="dxa"/>
              <w:bottom w:w="50" w:type="dxa"/>
              <w:left w:w="90" w:type="dxa"/>
              <w:right w:w="90" w:type="dxa"/>
            </w:tcMar>
          </w:tcPr>
          <w:p>
            <w:pPr>
              <w:pStyle w:val="BDOITable"/>
            </w:pPr>
            <w:r>
              <w:rPr>
                <w:sz w:val="15"/>
              </w:rPr>
              <w:t>Manual</w:t>
            </w:r>
          </w:p>
        </w:tc>
        <w:tc>
          <w:tcPr>
            <w:tcW w:type="dxa" w:w="1166"/>
            <w:tcMar>
              <w:top w:w="50" w:type="dxa"/>
              <w:bottom w:w="50" w:type="dxa"/>
              <w:left w:w="90" w:type="dxa"/>
              <w:right w:w="90" w:type="dxa"/>
            </w:tcMar>
          </w:tcPr>
          <w:p>
            <w:pPr>
              <w:pStyle w:val="BDOITable"/>
            </w:pPr>
            <w:r>
              <w:rPr>
                <w:sz w:val="15"/>
              </w:rPr>
              <w:t>Outbound</w:t>
            </w:r>
          </w:p>
        </w:tc>
        <w:tc>
          <w:tcPr>
            <w:tcW w:type="dxa" w:w="1036"/>
            <w:tcMar>
              <w:top w:w="50" w:type="dxa"/>
              <w:bottom w:w="50" w:type="dxa"/>
              <w:left w:w="90" w:type="dxa"/>
              <w:right w:w="90" w:type="dxa"/>
            </w:tcMar>
          </w:tcPr>
          <w:p>
            <w:pPr>
              <w:pStyle w:val="BDOITable"/>
            </w:pPr>
            <w:r>
              <w:rPr>
                <w:sz w:val="15"/>
              </w:rPr>
              <w:t>SQ09</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INT-23</w:t>
            </w:r>
          </w:p>
        </w:tc>
        <w:tc>
          <w:tcPr>
            <w:tcW w:type="dxa" w:w="2072"/>
            <w:tcMar>
              <w:top w:w="50" w:type="dxa"/>
              <w:bottom w:w="50" w:type="dxa"/>
              <w:left w:w="90" w:type="dxa"/>
              <w:right w:w="90" w:type="dxa"/>
            </w:tcMar>
            <w:shd w:val="clear" w:color="auto" w:fill="E5F5FF"/>
          </w:tcPr>
          <w:p>
            <w:pPr>
              <w:pStyle w:val="BDOITable"/>
            </w:pPr>
            <w:r>
              <w:rPr>
                <w:sz w:val="15"/>
              </w:rPr>
              <w:t>BIR e-filing</w:t>
            </w:r>
          </w:p>
        </w:tc>
        <w:tc>
          <w:tcPr>
            <w:tcW w:type="dxa" w:w="2331"/>
            <w:tcMar>
              <w:top w:w="50" w:type="dxa"/>
              <w:bottom w:w="50" w:type="dxa"/>
              <w:left w:w="90" w:type="dxa"/>
              <w:right w:w="90" w:type="dxa"/>
            </w:tcMar>
            <w:shd w:val="clear" w:color="auto" w:fill="E5F5FF"/>
          </w:tcPr>
          <w:p>
            <w:pPr>
              <w:pStyle w:val="BDOITable"/>
            </w:pPr>
            <w:r>
              <w:rPr>
                <w:sz w:val="15"/>
              </w:rPr>
              <w:t>BIR eFPS and eBIRForms</w:t>
            </w:r>
          </w:p>
        </w:tc>
        <w:tc>
          <w:tcPr>
            <w:tcW w:type="dxa" w:w="1425"/>
            <w:tcMar>
              <w:top w:w="50" w:type="dxa"/>
              <w:bottom w:w="50" w:type="dxa"/>
              <w:left w:w="90" w:type="dxa"/>
              <w:right w:w="90" w:type="dxa"/>
            </w:tcMar>
            <w:shd w:val="clear" w:color="auto" w:fill="E5F5FF"/>
          </w:tcPr>
          <w:p>
            <w:pPr>
              <w:pStyle w:val="BDOITable"/>
            </w:pPr>
            <w:r>
              <w:rPr>
                <w:sz w:val="15"/>
              </w:rPr>
              <w:t>Drop 1</w:t>
            </w:r>
          </w:p>
        </w:tc>
        <w:tc>
          <w:tcPr>
            <w:tcW w:type="dxa" w:w="1166"/>
            <w:tcMar>
              <w:top w:w="50" w:type="dxa"/>
              <w:bottom w:w="50" w:type="dxa"/>
              <w:left w:w="90" w:type="dxa"/>
              <w:right w:w="90" w:type="dxa"/>
            </w:tcMar>
            <w:shd w:val="clear" w:color="auto" w:fill="E5F5FF"/>
          </w:tcPr>
          <w:p>
            <w:pPr>
              <w:pStyle w:val="BDOITable"/>
            </w:pPr>
            <w:r>
              <w:rPr>
                <w:sz w:val="15"/>
              </w:rPr>
              <w:t>Manual</w:t>
            </w:r>
          </w:p>
        </w:tc>
        <w:tc>
          <w:tcPr>
            <w:tcW w:type="dxa" w:w="1166"/>
            <w:tcMar>
              <w:top w:w="50" w:type="dxa"/>
              <w:bottom w:w="50" w:type="dxa"/>
              <w:left w:w="90" w:type="dxa"/>
              <w:right w:w="90" w:type="dxa"/>
            </w:tcMar>
            <w:shd w:val="clear" w:color="auto" w:fill="E5F5FF"/>
          </w:tcPr>
          <w:p>
            <w:pPr>
              <w:pStyle w:val="BDOITable"/>
            </w:pPr>
            <w:r>
              <w:rPr>
                <w:sz w:val="15"/>
              </w:rPr>
              <w:t>Outbound</w:t>
            </w:r>
          </w:p>
        </w:tc>
        <w:tc>
          <w:tcPr>
            <w:tcW w:type="dxa" w:w="1036"/>
            <w:tcMar>
              <w:top w:w="50" w:type="dxa"/>
              <w:bottom w:w="50" w:type="dxa"/>
              <w:left w:w="90" w:type="dxa"/>
              <w:right w:w="90" w:type="dxa"/>
            </w:tcMar>
            <w:shd w:val="clear" w:color="auto" w:fill="E5F5FF"/>
          </w:tcPr>
          <w:p>
            <w:pPr>
              <w:pStyle w:val="BDOITable"/>
            </w:pPr>
            <w:r>
              <w:rPr>
                <w:sz w:val="15"/>
              </w:rPr>
              <w:t>AQ31</w:t>
            </w:r>
          </w:p>
        </w:tc>
      </w:tr>
      <w:tr>
        <w:trPr>
          <w:cantSplit w:val="true"/>
        </w:trPr>
        <w:tc>
          <w:tcPr>
            <w:tcW w:type="dxa" w:w="777"/>
            <w:tcMar>
              <w:top w:w="50" w:type="dxa"/>
              <w:bottom w:w="50" w:type="dxa"/>
              <w:left w:w="90" w:type="dxa"/>
              <w:right w:w="90" w:type="dxa"/>
            </w:tcMar>
          </w:tcPr>
          <w:p>
            <w:pPr>
              <w:pStyle w:val="BDOITable"/>
            </w:pPr>
            <w:r>
              <w:rPr>
                <w:b/>
                <w:sz w:val="15"/>
              </w:rPr>
              <w:t>INT-24</w:t>
            </w:r>
          </w:p>
        </w:tc>
        <w:tc>
          <w:tcPr>
            <w:tcW w:type="dxa" w:w="2072"/>
            <w:tcMar>
              <w:top w:w="50" w:type="dxa"/>
              <w:bottom w:w="50" w:type="dxa"/>
              <w:left w:w="90" w:type="dxa"/>
              <w:right w:w="90" w:type="dxa"/>
            </w:tcMar>
          </w:tcPr>
          <w:p>
            <w:pPr>
              <w:pStyle w:val="BDOITable"/>
            </w:pPr>
            <w:r>
              <w:rPr>
                <w:sz w:val="15"/>
              </w:rPr>
              <w:t>Shared folders and file server (extract repository)</w:t>
            </w:r>
          </w:p>
        </w:tc>
        <w:tc>
          <w:tcPr>
            <w:tcW w:type="dxa" w:w="2331"/>
            <w:tcMar>
              <w:top w:w="50" w:type="dxa"/>
              <w:bottom w:w="50" w:type="dxa"/>
              <w:left w:w="90" w:type="dxa"/>
              <w:right w:w="90" w:type="dxa"/>
            </w:tcMar>
          </w:tcPr>
          <w:p>
            <w:pPr>
              <w:pStyle w:val="BDOITable"/>
            </w:pPr>
            <w:r>
              <w:rPr>
                <w:sz w:val="15"/>
              </w:rPr>
              <w:t>BDOI file server FS04 and shared drive folders</w:t>
            </w:r>
          </w:p>
        </w:tc>
        <w:tc>
          <w:tcPr>
            <w:tcW w:type="dxa" w:w="1425"/>
            <w:tcMar>
              <w:top w:w="50" w:type="dxa"/>
              <w:bottom w:w="50" w:type="dxa"/>
              <w:left w:w="90" w:type="dxa"/>
              <w:right w:w="90" w:type="dxa"/>
            </w:tcMar>
          </w:tcPr>
          <w:p>
            <w:pPr>
              <w:pStyle w:val="BDOITable"/>
            </w:pPr>
            <w:r>
              <w:rPr>
                <w:sz w:val="15"/>
              </w:rPr>
              <w:t>Drop 1</w:t>
            </w:r>
          </w:p>
        </w:tc>
        <w:tc>
          <w:tcPr>
            <w:tcW w:type="dxa" w:w="1166"/>
            <w:tcMar>
              <w:top w:w="50" w:type="dxa"/>
              <w:bottom w:w="50" w:type="dxa"/>
              <w:left w:w="90" w:type="dxa"/>
              <w:right w:w="90" w:type="dxa"/>
            </w:tcMar>
          </w:tcPr>
          <w:p>
            <w:pPr>
              <w:pStyle w:val="BDOITable"/>
            </w:pPr>
            <w:r>
              <w:rPr>
                <w:sz w:val="15"/>
              </w:rPr>
              <w:t>File</w:t>
            </w:r>
          </w:p>
        </w:tc>
        <w:tc>
          <w:tcPr>
            <w:tcW w:type="dxa" w:w="1166"/>
            <w:tcMar>
              <w:top w:w="50" w:type="dxa"/>
              <w:bottom w:w="50" w:type="dxa"/>
              <w:left w:w="90" w:type="dxa"/>
              <w:right w:w="90" w:type="dxa"/>
            </w:tcMar>
          </w:tcPr>
          <w:p>
            <w:pPr>
              <w:pStyle w:val="BDOITable"/>
            </w:pPr>
            <w:r>
              <w:rPr>
                <w:sz w:val="15"/>
              </w:rPr>
              <w:t>Outbound</w:t>
            </w:r>
          </w:p>
        </w:tc>
        <w:tc>
          <w:tcPr>
            <w:tcW w:type="dxa" w:w="1036"/>
            <w:tcMar>
              <w:top w:w="50" w:type="dxa"/>
              <w:bottom w:w="50" w:type="dxa"/>
              <w:left w:w="90" w:type="dxa"/>
              <w:right w:w="90" w:type="dxa"/>
            </w:tcMar>
          </w:tcPr>
          <w:p>
            <w:pPr>
              <w:pStyle w:val="BDOITable"/>
            </w:pPr>
            <w:r>
              <w:rPr>
                <w:sz w:val="15"/>
              </w:rPr>
              <w:t>OQ17</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INT-25</w:t>
            </w:r>
          </w:p>
        </w:tc>
        <w:tc>
          <w:tcPr>
            <w:tcW w:type="dxa" w:w="2072"/>
            <w:tcMar>
              <w:top w:w="50" w:type="dxa"/>
              <w:bottom w:w="50" w:type="dxa"/>
              <w:left w:w="90" w:type="dxa"/>
              <w:right w:w="90" w:type="dxa"/>
            </w:tcMar>
            <w:shd w:val="clear" w:color="auto" w:fill="E5F5FF"/>
          </w:tcPr>
          <w:p>
            <w:pPr>
              <w:pStyle w:val="BDOITable"/>
            </w:pPr>
            <w:r>
              <w:rPr>
                <w:sz w:val="15"/>
              </w:rPr>
              <w:t>Mail house print batches</w:t>
            </w:r>
          </w:p>
        </w:tc>
        <w:tc>
          <w:tcPr>
            <w:tcW w:type="dxa" w:w="2331"/>
            <w:tcMar>
              <w:top w:w="50" w:type="dxa"/>
              <w:bottom w:w="50" w:type="dxa"/>
              <w:left w:w="90" w:type="dxa"/>
              <w:right w:w="90" w:type="dxa"/>
            </w:tcMar>
            <w:shd w:val="clear" w:color="auto" w:fill="E5F5FF"/>
          </w:tcPr>
          <w:p>
            <w:pPr>
              <w:pStyle w:val="BDOITable"/>
            </w:pPr>
            <w:r>
              <w:rPr>
                <w:sz w:val="15"/>
              </w:rPr>
              <w:t>Mail house (COG)</w:t>
            </w:r>
          </w:p>
        </w:tc>
        <w:tc>
          <w:tcPr>
            <w:tcW w:type="dxa" w:w="1425"/>
            <w:tcMar>
              <w:top w:w="50" w:type="dxa"/>
              <w:bottom w:w="50" w:type="dxa"/>
              <w:left w:w="90" w:type="dxa"/>
              <w:right w:w="90" w:type="dxa"/>
            </w:tcMar>
            <w:shd w:val="clear" w:color="auto" w:fill="E5F5FF"/>
          </w:tcPr>
          <w:p>
            <w:pPr>
              <w:pStyle w:val="BDOITable"/>
            </w:pPr>
            <w:r>
              <w:rPr>
                <w:sz w:val="15"/>
              </w:rPr>
              <w:t>Drop 1</w:t>
            </w:r>
          </w:p>
        </w:tc>
        <w:tc>
          <w:tcPr>
            <w:tcW w:type="dxa" w:w="1166"/>
            <w:tcMar>
              <w:top w:w="50" w:type="dxa"/>
              <w:bottom w:w="50" w:type="dxa"/>
              <w:left w:w="90" w:type="dxa"/>
              <w:right w:w="90" w:type="dxa"/>
            </w:tcMar>
            <w:shd w:val="clear" w:color="auto" w:fill="E5F5FF"/>
          </w:tcPr>
          <w:p>
            <w:pPr>
              <w:pStyle w:val="BDOITable"/>
            </w:pPr>
            <w:r>
              <w:rPr>
                <w:sz w:val="15"/>
              </w:rPr>
              <w:t>File</w:t>
            </w:r>
          </w:p>
        </w:tc>
        <w:tc>
          <w:tcPr>
            <w:tcW w:type="dxa" w:w="1166"/>
            <w:tcMar>
              <w:top w:w="50" w:type="dxa"/>
              <w:bottom w:w="50" w:type="dxa"/>
              <w:left w:w="90" w:type="dxa"/>
              <w:right w:w="90" w:type="dxa"/>
            </w:tcMar>
            <w:shd w:val="clear" w:color="auto" w:fill="E5F5FF"/>
          </w:tcPr>
          <w:p>
            <w:pPr>
              <w:pStyle w:val="BDOITable"/>
            </w:pPr>
            <w:r>
              <w:rPr>
                <w:sz w:val="15"/>
              </w:rPr>
              <w:t>Outbound</w:t>
            </w:r>
          </w:p>
        </w:tc>
        <w:tc>
          <w:tcPr>
            <w:tcW w:type="dxa" w:w="1036"/>
            <w:tcMar>
              <w:top w:w="50" w:type="dxa"/>
              <w:bottom w:w="50" w:type="dxa"/>
              <w:left w:w="90" w:type="dxa"/>
              <w:right w:w="90" w:type="dxa"/>
            </w:tcMar>
            <w:shd w:val="clear" w:color="auto" w:fill="E5F5FF"/>
          </w:tcPr>
          <w:p>
            <w:pPr>
              <w:pStyle w:val="BDOITable"/>
            </w:pPr>
            <w:r>
              <w:rPr>
                <w:sz w:val="15"/>
              </w:rPr>
              <w:t>SQ09</w:t>
            </w:r>
          </w:p>
        </w:tc>
      </w:tr>
      <w:tr>
        <w:trPr>
          <w:cantSplit w:val="true"/>
        </w:trPr>
        <w:tc>
          <w:tcPr>
            <w:tcW w:type="dxa" w:w="777"/>
            <w:tcMar>
              <w:top w:w="50" w:type="dxa"/>
              <w:bottom w:w="50" w:type="dxa"/>
              <w:left w:w="90" w:type="dxa"/>
              <w:right w:w="90" w:type="dxa"/>
            </w:tcMar>
          </w:tcPr>
          <w:p>
            <w:pPr>
              <w:pStyle w:val="BDOITable"/>
            </w:pPr>
            <w:r>
              <w:rPr>
                <w:b/>
                <w:sz w:val="15"/>
              </w:rPr>
              <w:t>INT-26</w:t>
            </w:r>
          </w:p>
        </w:tc>
        <w:tc>
          <w:tcPr>
            <w:tcW w:type="dxa" w:w="2072"/>
            <w:tcMar>
              <w:top w:w="50" w:type="dxa"/>
              <w:bottom w:w="50" w:type="dxa"/>
              <w:left w:w="90" w:type="dxa"/>
              <w:right w:w="90" w:type="dxa"/>
            </w:tcMar>
          </w:tcPr>
          <w:p>
            <w:pPr>
              <w:pStyle w:val="BDOITable"/>
            </w:pPr>
            <w:r>
              <w:rPr>
                <w:sz w:val="15"/>
              </w:rPr>
              <w:t>Document store</w:t>
            </w:r>
          </w:p>
        </w:tc>
        <w:tc>
          <w:tcPr>
            <w:tcW w:type="dxa" w:w="2331"/>
            <w:tcMar>
              <w:top w:w="50" w:type="dxa"/>
              <w:bottom w:w="50" w:type="dxa"/>
              <w:left w:w="90" w:type="dxa"/>
              <w:right w:w="90" w:type="dxa"/>
            </w:tcMar>
          </w:tcPr>
          <w:p>
            <w:pPr>
              <w:pStyle w:val="BDOITable"/>
            </w:pPr>
            <w:r>
              <w:rPr>
                <w:sz w:val="15"/>
              </w:rPr>
              <w:t>Amazon S3 (BDOI AWS account)</w:t>
            </w:r>
          </w:p>
        </w:tc>
        <w:tc>
          <w:tcPr>
            <w:tcW w:type="dxa" w:w="1425"/>
            <w:tcMar>
              <w:top w:w="50" w:type="dxa"/>
              <w:bottom w:w="50" w:type="dxa"/>
              <w:left w:w="90" w:type="dxa"/>
              <w:right w:w="90" w:type="dxa"/>
            </w:tcMar>
          </w:tcPr>
          <w:p>
            <w:pPr>
              <w:pStyle w:val="BDOITable"/>
            </w:pPr>
            <w:r>
              <w:rPr>
                <w:sz w:val="15"/>
              </w:rPr>
              <w:t>Drop 0</w:t>
            </w:r>
          </w:p>
        </w:tc>
        <w:tc>
          <w:tcPr>
            <w:tcW w:type="dxa" w:w="1166"/>
            <w:tcMar>
              <w:top w:w="50" w:type="dxa"/>
              <w:bottom w:w="50" w:type="dxa"/>
              <w:left w:w="90" w:type="dxa"/>
              <w:right w:w="90" w:type="dxa"/>
            </w:tcMar>
          </w:tcPr>
          <w:p>
            <w:pPr>
              <w:pStyle w:val="BDOITable"/>
            </w:pPr>
            <w:r>
              <w:rPr>
                <w:sz w:val="15"/>
              </w:rPr>
              <w:t>Internal store</w:t>
            </w:r>
          </w:p>
        </w:tc>
        <w:tc>
          <w:tcPr>
            <w:tcW w:type="dxa" w:w="1166"/>
            <w:tcMar>
              <w:top w:w="50" w:type="dxa"/>
              <w:bottom w:w="50" w:type="dxa"/>
              <w:left w:w="90" w:type="dxa"/>
              <w:right w:w="90" w:type="dxa"/>
            </w:tcMar>
          </w:tcPr>
          <w:p>
            <w:pPr>
              <w:pStyle w:val="BDOITable"/>
            </w:pPr>
            <w:r>
              <w:rPr>
                <w:sz w:val="15"/>
              </w:rPr>
              <w:t>Both</w:t>
            </w:r>
          </w:p>
        </w:tc>
        <w:tc>
          <w:tcPr>
            <w:tcW w:type="dxa" w:w="1036"/>
            <w:tcMar>
              <w:top w:w="50" w:type="dxa"/>
              <w:bottom w:w="50" w:type="dxa"/>
              <w:left w:w="90" w:type="dxa"/>
              <w:right w:w="90" w:type="dxa"/>
            </w:tcMar>
          </w:tcPr>
          <w:p>
            <w:pPr>
              <w:pStyle w:val="BDOITable"/>
            </w:pPr>
            <w:r>
              <w:rPr>
                <w:sz w:val="15"/>
              </w:rPr>
              <w:t>IQ31, DSQ01-DSQ04</w:t>
            </w:r>
          </w:p>
        </w:tc>
      </w:tr>
      <w:tr>
        <w:trPr>
          <w:cantSplit w:val="true"/>
        </w:trPr>
        <w:tc>
          <w:tcPr>
            <w:tcW w:type="dxa" w:w="777"/>
            <w:tcMar>
              <w:top w:w="50" w:type="dxa"/>
              <w:bottom w:w="50" w:type="dxa"/>
              <w:left w:w="90" w:type="dxa"/>
              <w:right w:w="90" w:type="dxa"/>
            </w:tcMar>
            <w:shd w:val="clear" w:color="auto" w:fill="E5F5FF"/>
          </w:tcPr>
          <w:p>
            <w:pPr>
              <w:pStyle w:val="BDOITable"/>
            </w:pPr>
            <w:r>
              <w:rPr>
                <w:b/>
                <w:sz w:val="15"/>
              </w:rPr>
              <w:t>INT-27</w:t>
            </w:r>
          </w:p>
        </w:tc>
        <w:tc>
          <w:tcPr>
            <w:tcW w:type="dxa" w:w="2072"/>
            <w:tcMar>
              <w:top w:w="50" w:type="dxa"/>
              <w:bottom w:w="50" w:type="dxa"/>
              <w:left w:w="90" w:type="dxa"/>
              <w:right w:w="90" w:type="dxa"/>
            </w:tcMar>
            <w:shd w:val="clear" w:color="auto" w:fill="E5F5FF"/>
          </w:tcPr>
          <w:p>
            <w:pPr>
              <w:pStyle w:val="BDOITable"/>
            </w:pPr>
            <w:r>
              <w:rPr>
                <w:sz w:val="15"/>
              </w:rPr>
              <w:t>Legacy systems for data migration</w:t>
            </w:r>
          </w:p>
        </w:tc>
        <w:tc>
          <w:tcPr>
            <w:tcW w:type="dxa" w:w="2331"/>
            <w:tcMar>
              <w:top w:w="50" w:type="dxa"/>
              <w:bottom w:w="50" w:type="dxa"/>
              <w:left w:w="90" w:type="dxa"/>
              <w:right w:w="90" w:type="dxa"/>
            </w:tcMar>
            <w:shd w:val="clear" w:color="auto" w:fill="E5F5FF"/>
          </w:tcPr>
          <w:p>
            <w:pPr>
              <w:pStyle w:val="BDOITable"/>
            </w:pPr>
            <w:r>
              <w:rPr>
                <w:sz w:val="15"/>
              </w:rPr>
              <w:t>EBIX, QPS, ISYS, Collection Management System, Excel trackers</w:t>
            </w:r>
          </w:p>
        </w:tc>
        <w:tc>
          <w:tcPr>
            <w:tcW w:type="dxa" w:w="1425"/>
            <w:tcMar>
              <w:top w:w="50" w:type="dxa"/>
              <w:bottom w:w="50" w:type="dxa"/>
              <w:left w:w="90" w:type="dxa"/>
              <w:right w:w="90" w:type="dxa"/>
            </w:tcMar>
            <w:shd w:val="clear" w:color="auto" w:fill="E5F5FF"/>
          </w:tcPr>
          <w:p>
            <w:pPr>
              <w:pStyle w:val="BDOITable"/>
            </w:pPr>
            <w:r>
              <w:rPr>
                <w:sz w:val="15"/>
              </w:rPr>
              <w:t>Drop 0</w:t>
            </w:r>
          </w:p>
        </w:tc>
        <w:tc>
          <w:tcPr>
            <w:tcW w:type="dxa" w:w="1166"/>
            <w:tcMar>
              <w:top w:w="50" w:type="dxa"/>
              <w:bottom w:w="50" w:type="dxa"/>
              <w:left w:w="90" w:type="dxa"/>
              <w:right w:w="90" w:type="dxa"/>
            </w:tcMar>
            <w:shd w:val="clear" w:color="auto" w:fill="E5F5FF"/>
          </w:tcPr>
          <w:p>
            <w:pPr>
              <w:pStyle w:val="BDOITable"/>
            </w:pPr>
            <w:r>
              <w:rPr>
                <w:sz w:val="15"/>
              </w:rPr>
              <w:t>File</w:t>
            </w:r>
          </w:p>
        </w:tc>
        <w:tc>
          <w:tcPr>
            <w:tcW w:type="dxa" w:w="1166"/>
            <w:tcMar>
              <w:top w:w="50" w:type="dxa"/>
              <w:bottom w:w="50" w:type="dxa"/>
              <w:left w:w="90" w:type="dxa"/>
              <w:right w:w="90" w:type="dxa"/>
            </w:tcMar>
            <w:shd w:val="clear" w:color="auto" w:fill="E5F5FF"/>
          </w:tcPr>
          <w:p>
            <w:pPr>
              <w:pStyle w:val="BDOITable"/>
            </w:pPr>
            <w:r>
              <w:rPr>
                <w:sz w:val="15"/>
              </w:rPr>
              <w:t>Inbound</w:t>
            </w:r>
          </w:p>
        </w:tc>
        <w:tc>
          <w:tcPr>
            <w:tcW w:type="dxa" w:w="1036"/>
            <w:tcMar>
              <w:top w:w="50" w:type="dxa"/>
              <w:bottom w:w="50" w:type="dxa"/>
              <w:left w:w="90" w:type="dxa"/>
              <w:right w:w="90" w:type="dxa"/>
            </w:tcMar>
            <w:shd w:val="clear" w:color="auto" w:fill="E5F5FF"/>
          </w:tcPr>
          <w:p>
            <w:pPr>
              <w:pStyle w:val="BDOITable"/>
            </w:pPr>
            <w:r>
              <w:rPr>
                <w:sz w:val="15"/>
              </w:rPr>
              <w:t>DMQ28</w:t>
            </w:r>
          </w:p>
        </w:tc>
      </w:tr>
      <w:tr>
        <w:trPr>
          <w:cantSplit w:val="true"/>
        </w:trPr>
        <w:tc>
          <w:tcPr>
            <w:tcW w:type="dxa" w:w="777"/>
            <w:tcMar>
              <w:top w:w="50" w:type="dxa"/>
              <w:bottom w:w="50" w:type="dxa"/>
              <w:left w:w="90" w:type="dxa"/>
              <w:right w:w="90" w:type="dxa"/>
            </w:tcMar>
          </w:tcPr>
          <w:p>
            <w:pPr>
              <w:pStyle w:val="BDOITable"/>
            </w:pPr>
            <w:r>
              <w:rPr>
                <w:b/>
                <w:sz w:val="15"/>
              </w:rPr>
              <w:t>INT-28</w:t>
            </w:r>
          </w:p>
        </w:tc>
        <w:tc>
          <w:tcPr>
            <w:tcW w:type="dxa" w:w="2072"/>
            <w:tcMar>
              <w:top w:w="50" w:type="dxa"/>
              <w:bottom w:w="50" w:type="dxa"/>
              <w:left w:w="90" w:type="dxa"/>
              <w:right w:w="90" w:type="dxa"/>
            </w:tcMar>
          </w:tcPr>
          <w:p>
            <w:pPr>
              <w:pStyle w:val="BDOITable"/>
            </w:pPr>
            <w:r>
              <w:rPr>
                <w:sz w:val="15"/>
              </w:rPr>
              <w:t>SMS notifications</w:t>
            </w:r>
          </w:p>
        </w:tc>
        <w:tc>
          <w:tcPr>
            <w:tcW w:type="dxa" w:w="2331"/>
            <w:tcMar>
              <w:top w:w="50" w:type="dxa"/>
              <w:bottom w:w="50" w:type="dxa"/>
              <w:left w:w="90" w:type="dxa"/>
              <w:right w:w="90" w:type="dxa"/>
            </w:tcMar>
          </w:tcPr>
          <w:p>
            <w:pPr>
              <w:pStyle w:val="BDOITable"/>
            </w:pPr>
            <w:r>
              <w:rPr>
                <w:sz w:val="15"/>
              </w:rPr>
              <w:t>BDO SMS gateway (if required)</w:t>
            </w:r>
          </w:p>
        </w:tc>
        <w:tc>
          <w:tcPr>
            <w:tcW w:type="dxa" w:w="1425"/>
            <w:tcMar>
              <w:top w:w="50" w:type="dxa"/>
              <w:bottom w:w="50" w:type="dxa"/>
              <w:left w:w="90" w:type="dxa"/>
              <w:right w:w="90" w:type="dxa"/>
            </w:tcMar>
          </w:tcPr>
          <w:p>
            <w:pPr>
              <w:pStyle w:val="BDOITable"/>
            </w:pPr>
            <w:r>
              <w:rPr>
                <w:sz w:val="15"/>
              </w:rPr>
              <w:t>-</w:t>
            </w:r>
          </w:p>
        </w:tc>
        <w:tc>
          <w:tcPr>
            <w:tcW w:type="dxa" w:w="1166"/>
            <w:tcMar>
              <w:top w:w="50" w:type="dxa"/>
              <w:bottom w:w="50" w:type="dxa"/>
              <w:left w:w="90" w:type="dxa"/>
              <w:right w:w="90" w:type="dxa"/>
            </w:tcMar>
          </w:tcPr>
          <w:p>
            <w:pPr>
              <w:pStyle w:val="BDOITable"/>
            </w:pPr>
            <w:r>
              <w:rPr>
                <w:sz w:val="15"/>
              </w:rPr>
              <w:t>Not in scope</w:t>
            </w:r>
          </w:p>
        </w:tc>
        <w:tc>
          <w:tcPr>
            <w:tcW w:type="dxa" w:w="1166"/>
            <w:tcMar>
              <w:top w:w="50" w:type="dxa"/>
              <w:bottom w:w="50" w:type="dxa"/>
              <w:left w:w="90" w:type="dxa"/>
              <w:right w:w="90" w:type="dxa"/>
            </w:tcMar>
          </w:tcPr>
          <w:p>
            <w:pPr>
              <w:pStyle w:val="BDOITable"/>
            </w:pPr>
            <w:r>
              <w:rPr>
                <w:sz w:val="15"/>
              </w:rPr>
              <w:t>Outbound</w:t>
            </w:r>
          </w:p>
        </w:tc>
        <w:tc>
          <w:tcPr>
            <w:tcW w:type="dxa" w:w="1036"/>
            <w:tcMar>
              <w:top w:w="50" w:type="dxa"/>
              <w:bottom w:w="50" w:type="dxa"/>
              <w:left w:w="90" w:type="dxa"/>
              <w:right w:w="90" w:type="dxa"/>
            </w:tcMar>
          </w:tcPr>
          <w:p>
            <w:pPr>
              <w:pStyle w:val="BDOITable"/>
            </w:pPr>
            <w:r>
              <w:rPr>
                <w:sz w:val="15"/>
              </w:rPr>
              <w:t>IN-05</w:t>
            </w:r>
          </w:p>
        </w:tc>
      </w:tr>
    </w:tbl>
    <w:p>
      <w:pPr>
        <w:pStyle w:val="BDOISpacer"/>
      </w:pPr>
    </w:p>
    <w:p>
      <w:pPr>
        <w:pStyle w:val="Caption"/>
        <w:keepNext/>
        <w:spacing w:after="60"/>
      </w:pPr>
      <w:r>
        <w:rPr>
          <w:b/>
          <w:i w:val="0"/>
        </w:rPr>
        <w:t xml:space="preserve">Table 4: </w:t>
      </w:r>
      <w:r>
        <w:rPr/>
        <w:t>Interfaces per drop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73"/>
        <w:gridCol w:w="8499"/>
      </w:tblGrid>
      <w:tr>
        <w:trPr>
          <w:tblHeader w:val="true"/>
          <w:cantSplit w:val="true"/>
        </w:trPr>
        <w:tc>
          <w:tcPr>
            <w:tcW w:type="dxa" w:w="1473"/>
            <w:shd w:val="clear" w:color="auto" w:fill="004EA8"/>
            <w:tcMar>
              <w:top w:w="50" w:type="dxa"/>
              <w:bottom w:w="50" w:type="dxa"/>
              <w:left w:w="90" w:type="dxa"/>
              <w:right w:w="90" w:type="dxa"/>
            </w:tcMar>
            <w:vAlign w:val="center"/>
          </w:tcPr>
          <w:p>
            <w:pPr>
              <w:pStyle w:val="BDOITableHeader"/>
            </w:pPr>
            <w:r>
              <w:rPr>
                <w:b/>
                <w:color w:val="FFFFFF"/>
                <w:sz w:val="17"/>
              </w:rPr>
              <w:t>Drop</w:t>
            </w:r>
          </w:p>
        </w:tc>
        <w:tc>
          <w:tcPr>
            <w:tcW w:type="dxa" w:w="8499"/>
            <w:shd w:val="clear" w:color="auto" w:fill="004EA8"/>
            <w:tcMar>
              <w:top w:w="50" w:type="dxa"/>
              <w:bottom w:w="50" w:type="dxa"/>
              <w:left w:w="90" w:type="dxa"/>
              <w:right w:w="90" w:type="dxa"/>
            </w:tcMar>
            <w:vAlign w:val="center"/>
          </w:tcPr>
          <w:p>
            <w:pPr>
              <w:pStyle w:val="BDOITableHeader"/>
            </w:pPr>
            <w:r>
              <w:rPr>
                <w:b/>
                <w:color w:val="FFFFFF"/>
                <w:sz w:val="17"/>
              </w:rPr>
              <w:t>Interfaces</w:t>
            </w:r>
          </w:p>
        </w:tc>
      </w:tr>
      <w:tr>
        <w:trPr>
          <w:cantSplit w:val="true"/>
        </w:trPr>
        <w:tc>
          <w:tcPr>
            <w:tcW w:type="dxa" w:w="1473"/>
            <w:tcMar>
              <w:top w:w="50" w:type="dxa"/>
              <w:bottom w:w="50" w:type="dxa"/>
              <w:left w:w="90" w:type="dxa"/>
              <w:right w:w="90" w:type="dxa"/>
            </w:tcMar>
          </w:tcPr>
          <w:p>
            <w:pPr>
              <w:pStyle w:val="BDOITable"/>
            </w:pPr>
            <w:r>
              <w:rPr>
                <w:b/>
                <w:sz w:val="17"/>
              </w:rPr>
              <w:t>Drop 0</w:t>
            </w:r>
          </w:p>
        </w:tc>
        <w:tc>
          <w:tcPr>
            <w:tcW w:type="dxa" w:w="8499"/>
            <w:tcMar>
              <w:top w:w="50" w:type="dxa"/>
              <w:bottom w:w="50" w:type="dxa"/>
              <w:left w:w="90" w:type="dxa"/>
              <w:right w:w="90" w:type="dxa"/>
            </w:tcMar>
          </w:tcPr>
          <w:p>
            <w:pPr>
              <w:pStyle w:val="BDOITable"/>
            </w:pPr>
            <w:r>
              <w:rPr>
                <w:sz w:val="17"/>
              </w:rPr>
              <w:t>INT-01 EIAM, INT-02 UIDM-ISC, INT-03 LMS, INT-04 HL-LOAS (HLS side), INT-06 PMS, INT-07 CMS / New BOB, INT-08 OBPCS, INT-09 Old BOB, INT-10 AFTS, INT-12 ECM, INT-13 CCM, INT-14 M365, INT-15 TFS, INT-26 document store, INT-27 legacy extracts</w:t>
            </w:r>
          </w:p>
        </w:tc>
      </w:tr>
      <w:tr>
        <w:trPr>
          <w:cantSplit w:val="true"/>
        </w:trPr>
        <w:tc>
          <w:tcPr>
            <w:tcW w:type="dxa" w:w="1473"/>
            <w:tcMar>
              <w:top w:w="50" w:type="dxa"/>
              <w:bottom w:w="50" w:type="dxa"/>
              <w:left w:w="90" w:type="dxa"/>
              <w:right w:w="90" w:type="dxa"/>
            </w:tcMar>
            <w:shd w:val="clear" w:color="auto" w:fill="E5F5FF"/>
          </w:tcPr>
          <w:p>
            <w:pPr>
              <w:pStyle w:val="BDOITable"/>
            </w:pPr>
            <w:r>
              <w:rPr>
                <w:b/>
                <w:sz w:val="17"/>
              </w:rPr>
              <w:t>Drop 1</w:t>
            </w:r>
          </w:p>
        </w:tc>
        <w:tc>
          <w:tcPr>
            <w:tcW w:type="dxa" w:w="8499"/>
            <w:tcMar>
              <w:top w:w="50" w:type="dxa"/>
              <w:bottom w:w="50" w:type="dxa"/>
              <w:left w:w="90" w:type="dxa"/>
              <w:right w:w="90" w:type="dxa"/>
            </w:tcMar>
            <w:shd w:val="clear" w:color="auto" w:fill="E5F5FF"/>
          </w:tcPr>
          <w:p>
            <w:pPr>
              <w:pStyle w:val="BDOITable"/>
            </w:pPr>
            <w:r>
              <w:rPr>
                <w:sz w:val="17"/>
              </w:rPr>
              <w:t>INT-05 LFS (proposed), INT-21 watchlist feeds, INT-22 AMLC STR filing, INT-23 BIR e-filing, INT-24 file server, INT-25 mail house</w:t>
            </w:r>
          </w:p>
        </w:tc>
      </w:tr>
      <w:tr>
        <w:trPr>
          <w:cantSplit w:val="true"/>
        </w:trPr>
        <w:tc>
          <w:tcPr>
            <w:tcW w:type="dxa" w:w="1473"/>
            <w:tcMar>
              <w:top w:w="50" w:type="dxa"/>
              <w:bottom w:w="50" w:type="dxa"/>
              <w:left w:w="90" w:type="dxa"/>
              <w:right w:w="90" w:type="dxa"/>
            </w:tcMar>
          </w:tcPr>
          <w:p>
            <w:pPr>
              <w:pStyle w:val="BDOITable"/>
            </w:pPr>
            <w:r>
              <w:rPr>
                <w:b/>
                <w:sz w:val="17"/>
              </w:rPr>
              <w:t>Drop 2</w:t>
            </w:r>
          </w:p>
        </w:tc>
        <w:tc>
          <w:tcPr>
            <w:tcW w:type="dxa" w:w="8499"/>
            <w:tcMar>
              <w:top w:w="50" w:type="dxa"/>
              <w:bottom w:w="50" w:type="dxa"/>
              <w:left w:w="90" w:type="dxa"/>
              <w:right w:w="90" w:type="dxa"/>
            </w:tcMar>
          </w:tcPr>
          <w:p>
            <w:pPr>
              <w:pStyle w:val="BDOITable"/>
            </w:pPr>
            <w:r>
              <w:rPr>
                <w:sz w:val="17"/>
              </w:rPr>
              <w:t>INT-04 HL-LOAS (LOAS side), INT-16 EDP, INT-17 EGL, INT-18 CARMS, INT-19 insurer interfaces, INT-20 Bridger Insight XG</w:t>
            </w:r>
          </w:p>
        </w:tc>
      </w:tr>
    </w:tbl>
    <w:p>
      <w:pPr>
        <w:pStyle w:val="BDOISpacer"/>
      </w:pPr>
    </w:p>
    <w:p>
      <w:pPr>
        <w:pStyle w:val="Heading1"/>
        <w:pBdr>
          <w:bottom w:val="single" w:sz="4" w:space="4" w:color="99C1E7"/>
        </w:pBdr>
      </w:pPr>
      <w:bookmarkStart w:id="108" w:name="_Toc000108"/>
      <w:r>
        <w:rPr/>
        <w:t>4 Integration patterns</w:t>
      </w:r>
      <w:bookmarkEnd w:id="108"/>
    </w:p>
    <w:p>
      <w:pPr>
        <w:pStyle w:val="Heading2"/>
      </w:pPr>
      <w:bookmarkStart w:id="109" w:name="_Toc000109"/>
      <w:r>
        <w:rPr/>
        <w:t>4.1 Synchronous APIs through Apigee X</w:t>
      </w:r>
      <w:bookmarkEnd w:id="109"/>
    </w:p>
    <w:p>
      <w:r>
        <w:rPr>
          <w:b/>
        </w:rPr>
        <w:t>Inbound (a BDO system calls BIBS).</w:t>
      </w:r>
      <w:r>
        <w:rPr/>
        <w:t xml:space="preserve"> The system obtains an OAuth 2.0 access token from Apigee X (client credentials) and calls the Apigee proxy of the BIBS API; Apigee applies quotas, spike arrest and analytics and forwards the call over the private route to the internal load balancer, where only the integration path prefix is admitted from the Apigee source ranges. bibs-integration validates the token in its own security chain - signature against the Apigee key set, issuer, audience, validity, asymmetric algorithms only - and the scopes configured for the path of the API; a path without a rule is refused. A BIBS user token is refused there, and an Apigee token is refused on the user operations.</w:t>
      </w:r>
    </w:p>
    <w:p>
      <w:pPr>
        <w:tabs>
          <w:tab w:pos="312" w:val="left"/>
        </w:tabs>
        <w:spacing w:after="40"/>
        <w:ind w:left="312" w:hanging="283"/>
      </w:pPr>
      <w:r>
        <w:rPr>
          <w:color w:val="004EA8"/>
        </w:rPr>
        <w:t>•</w:t>
        <w:tab/>
      </w:r>
      <w:r>
        <w:rPr/>
        <w:t>Operations are versioned in the path (integration/v1) and follow the API standards of the API Specification (problem details, correlation identifier, Idempotency-Key header on creations).</w:t>
      </w:r>
    </w:p>
    <w:p>
      <w:pPr>
        <w:tabs>
          <w:tab w:pos="312" w:val="left"/>
        </w:tabs>
        <w:spacing w:after="40"/>
        <w:ind w:left="312" w:hanging="283"/>
      </w:pPr>
      <w:r>
        <w:rPr>
          <w:color w:val="004EA8"/>
        </w:rPr>
        <w:t>•</w:t>
        <w:tab/>
      </w:r>
      <w:r>
        <w:rPr/>
        <w:t>Answers: 401 for a missing or invalid token, 403 for a missing scope or an unconfigured path, 409 for a repeated source reference, 422 for a business rule.</w:t>
      </w:r>
    </w:p>
    <w:p>
      <w:pPr>
        <w:tabs>
          <w:tab w:pos="312" w:val="left"/>
        </w:tabs>
        <w:spacing w:after="120"/>
        <w:ind w:left="312" w:hanging="283"/>
      </w:pPr>
      <w:r>
        <w:rPr>
          <w:color w:val="004EA8"/>
        </w:rPr>
        <w:t>•</w:t>
        <w:tab/>
      </w:r>
      <w:r>
        <w:rPr/>
        <w:t>The connectivity check of the integration interface answers the client identifier and scopes of the token, so each Apigee proxy can be tested end to end before its first business call.</w:t>
      </w:r>
    </w:p>
    <w:p>
      <w:r>
        <w:rPr>
          <w:b/>
        </w:rPr>
        <w:t>Outbound (BIBS calls a BDO system).</w:t>
      </w:r>
      <w:r>
        <w:rPr/>
        <w:t xml:space="preserve"> BIBS calls the Apigee proxy of the target with its own client credentials; connect time-out 5 seconds and response time-out 30 seconds (proposed); safe reads are retried twice with back-off; a failed call never fails the user's transaction - it leaves the item in the work queue of the module with the reason, and the job retries it.</w:t>
      </w:r>
    </w:p>
    <w:p>
      <w:pPr>
        <w:pStyle w:val="Heading2"/>
      </w:pPr>
      <w:bookmarkStart w:id="110" w:name="_Toc000110"/>
      <w:r>
        <w:rPr/>
        <w:t>4.2 Events (Kafka)</w:t>
      </w:r>
      <w:bookmarkEnd w:id="110"/>
    </w:p>
    <w:p>
      <w:r>
        <w:rPr/>
        <w:t>Integration events leave BIBS through the transactional outbox on the ten topics bibs.&lt;domain&gt;.&lt;event&gt;.v1 (Solution Architecture, chapter 6). Consumers inside BIBS deliver e-mail (INT-13), archive events and archive final records to ECM (INT-12). A BDO system that needs a BIBS event subscribes through a consumer group agreed with BDOI IT on MSK, or receives it through Apigee from a BIBS connector; the payloads carry identifiers, status and amounts, never personal data.</w:t>
      </w:r>
    </w:p>
    <w:p>
      <w:pPr>
        <w:pStyle w:val="Caption"/>
        <w:keepNext/>
        <w:spacing w:after="60"/>
      </w:pPr>
      <w:r>
        <w:rPr>
          <w:b/>
          <w:i w:val="0"/>
        </w:rPr>
        <w:t xml:space="preserve">Table 5: </w:t>
      </w:r>
      <w:r>
        <w:rPr/>
        <w:t>Kafka topics available to consumers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39"/>
        <w:gridCol w:w="2493"/>
        <w:gridCol w:w="1699"/>
        <w:gridCol w:w="2039"/>
      </w:tblGrid>
      <w:tr>
        <w:trPr>
          <w:tblHeader w:val="true"/>
          <w:cantSplit w:val="true"/>
        </w:trPr>
        <w:tc>
          <w:tcPr>
            <w:tcW w:type="dxa" w:w="3739"/>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6"/>
              </w:rPr>
              <w:t>Event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Record key</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Published by</w:t>
            </w:r>
          </w:p>
        </w:tc>
      </w:tr>
      <w:tr>
        <w:trPr>
          <w:cantSplit w:val="true"/>
        </w:trPr>
        <w:tc>
          <w:tcPr>
            <w:tcW w:type="dxa" w:w="3739"/>
            <w:tcMar>
              <w:top w:w="50" w:type="dxa"/>
              <w:bottom w:w="50" w:type="dxa"/>
              <w:left w:w="90" w:type="dxa"/>
              <w:right w:w="90" w:type="dxa"/>
            </w:tcMar>
          </w:tcPr>
          <w:p>
            <w:pPr>
              <w:pStyle w:val="BDOITable"/>
            </w:pPr>
            <w:r>
              <w:rPr>
                <w:b/>
                <w:sz w:val="16"/>
              </w:rPr>
              <w:t>bibs.booking.invoice-booked.v1</w:t>
            </w:r>
          </w:p>
        </w:tc>
        <w:tc>
          <w:tcPr>
            <w:tcW w:type="dxa" w:w="2493"/>
            <w:tcMar>
              <w:top w:w="50" w:type="dxa"/>
              <w:bottom w:w="50" w:type="dxa"/>
              <w:left w:w="90" w:type="dxa"/>
              <w:right w:w="90" w:type="dxa"/>
            </w:tcMar>
          </w:tcPr>
          <w:p>
            <w:pPr>
              <w:pStyle w:val="BDOITable"/>
            </w:pPr>
            <w:r>
              <w:rPr>
                <w:sz w:val="16"/>
              </w:rPr>
              <w:t>Invoice booked</w:t>
            </w:r>
          </w:p>
        </w:tc>
        <w:tc>
          <w:tcPr>
            <w:tcW w:type="dxa" w:w="1700"/>
            <w:tcMar>
              <w:top w:w="50" w:type="dxa"/>
              <w:bottom w:w="50" w:type="dxa"/>
              <w:left w:w="90" w:type="dxa"/>
              <w:right w:w="90" w:type="dxa"/>
            </w:tcMar>
          </w:tcPr>
          <w:p>
            <w:pPr>
              <w:pStyle w:val="BDOITable"/>
            </w:pPr>
            <w:r>
              <w:rPr>
                <w:sz w:val="16"/>
              </w:rPr>
              <w:t>Invoice number</w:t>
            </w:r>
          </w:p>
        </w:tc>
        <w:tc>
          <w:tcPr>
            <w:tcW w:type="dxa" w:w="2040"/>
            <w:tcMar>
              <w:top w:w="50" w:type="dxa"/>
              <w:bottom w:w="50" w:type="dxa"/>
              <w:left w:w="90" w:type="dxa"/>
              <w:right w:w="90" w:type="dxa"/>
            </w:tcMar>
          </w:tcPr>
          <w:p>
            <w:pPr>
              <w:pStyle w:val="BDOITable"/>
            </w:pPr>
            <w:r>
              <w:rPr>
                <w:sz w:val="16"/>
              </w:rPr>
              <w:t>Booking</w:t>
            </w:r>
          </w:p>
        </w:tc>
      </w:tr>
      <w:tr>
        <w:trPr>
          <w:cantSplit w:val="true"/>
        </w:trPr>
        <w:tc>
          <w:tcPr>
            <w:tcW w:type="dxa" w:w="3739"/>
            <w:tcMar>
              <w:top w:w="50" w:type="dxa"/>
              <w:bottom w:w="50" w:type="dxa"/>
              <w:left w:w="90" w:type="dxa"/>
              <w:right w:w="90" w:type="dxa"/>
            </w:tcMar>
            <w:shd w:val="clear" w:color="auto" w:fill="E5F5FF"/>
          </w:tcPr>
          <w:p>
            <w:pPr>
              <w:pStyle w:val="BDOITable"/>
            </w:pPr>
            <w:r>
              <w:rPr>
                <w:b/>
                <w:sz w:val="16"/>
              </w:rPr>
              <w:t>bibs.cashiering.payment-applied.v1</w:t>
            </w:r>
          </w:p>
        </w:tc>
        <w:tc>
          <w:tcPr>
            <w:tcW w:type="dxa" w:w="2493"/>
            <w:tcMar>
              <w:top w:w="50" w:type="dxa"/>
              <w:bottom w:w="50" w:type="dxa"/>
              <w:left w:w="90" w:type="dxa"/>
              <w:right w:w="90" w:type="dxa"/>
            </w:tcMar>
            <w:shd w:val="clear" w:color="auto" w:fill="E5F5FF"/>
          </w:tcPr>
          <w:p>
            <w:pPr>
              <w:pStyle w:val="BDOITable"/>
            </w:pPr>
            <w:r>
              <w:rPr>
                <w:sz w:val="16"/>
              </w:rPr>
              <w:t>Payment applied or unapplied</w:t>
            </w:r>
          </w:p>
        </w:tc>
        <w:tc>
          <w:tcPr>
            <w:tcW w:type="dxa" w:w="1700"/>
            <w:tcMar>
              <w:top w:w="50" w:type="dxa"/>
              <w:bottom w:w="50" w:type="dxa"/>
              <w:left w:w="90" w:type="dxa"/>
              <w:right w:w="90" w:type="dxa"/>
            </w:tcMar>
            <w:shd w:val="clear" w:color="auto" w:fill="E5F5FF"/>
          </w:tcPr>
          <w:p>
            <w:pPr>
              <w:pStyle w:val="BDOITable"/>
            </w:pPr>
            <w:r>
              <w:rPr>
                <w:sz w:val="16"/>
              </w:rPr>
              <w:t>Invoice number</w:t>
            </w:r>
          </w:p>
        </w:tc>
        <w:tc>
          <w:tcPr>
            <w:tcW w:type="dxa" w:w="2040"/>
            <w:tcMar>
              <w:top w:w="50" w:type="dxa"/>
              <w:bottom w:w="50" w:type="dxa"/>
              <w:left w:w="90" w:type="dxa"/>
              <w:right w:w="90" w:type="dxa"/>
            </w:tcMar>
            <w:shd w:val="clear" w:color="auto" w:fill="E5F5FF"/>
          </w:tcPr>
          <w:p>
            <w:pPr>
              <w:pStyle w:val="BDOITable"/>
            </w:pPr>
            <w:r>
              <w:rPr>
                <w:sz w:val="16"/>
              </w:rPr>
              <w:t>Operations invoice ledger</w:t>
            </w:r>
          </w:p>
        </w:tc>
      </w:tr>
      <w:tr>
        <w:trPr>
          <w:cantSplit w:val="true"/>
        </w:trPr>
        <w:tc>
          <w:tcPr>
            <w:tcW w:type="dxa" w:w="3739"/>
            <w:tcMar>
              <w:top w:w="50" w:type="dxa"/>
              <w:bottom w:w="50" w:type="dxa"/>
              <w:left w:w="90" w:type="dxa"/>
              <w:right w:w="90" w:type="dxa"/>
            </w:tcMar>
          </w:tcPr>
          <w:p>
            <w:pPr>
              <w:pStyle w:val="BDOITable"/>
            </w:pPr>
            <w:r>
              <w:rPr>
                <w:b/>
                <w:sz w:val="16"/>
              </w:rPr>
              <w:t>bibs.cashiering.receipt-issued.v1</w:t>
            </w:r>
          </w:p>
        </w:tc>
        <w:tc>
          <w:tcPr>
            <w:tcW w:type="dxa" w:w="2493"/>
            <w:tcMar>
              <w:top w:w="50" w:type="dxa"/>
              <w:bottom w:w="50" w:type="dxa"/>
              <w:left w:w="90" w:type="dxa"/>
              <w:right w:w="90" w:type="dxa"/>
            </w:tcMar>
          </w:tcPr>
          <w:p>
            <w:pPr>
              <w:pStyle w:val="BDOITable"/>
            </w:pPr>
            <w:r>
              <w:rPr>
                <w:sz w:val="16"/>
              </w:rPr>
              <w:t>Receipt issued</w:t>
            </w:r>
          </w:p>
        </w:tc>
        <w:tc>
          <w:tcPr>
            <w:tcW w:type="dxa" w:w="1700"/>
            <w:tcMar>
              <w:top w:w="50" w:type="dxa"/>
              <w:bottom w:w="50" w:type="dxa"/>
              <w:left w:w="90" w:type="dxa"/>
              <w:right w:w="90" w:type="dxa"/>
            </w:tcMar>
          </w:tcPr>
          <w:p>
            <w:pPr>
              <w:pStyle w:val="BDOITable"/>
            </w:pPr>
            <w:r>
              <w:rPr>
                <w:sz w:val="16"/>
              </w:rPr>
              <w:t>Receipt number</w:t>
            </w:r>
          </w:p>
        </w:tc>
        <w:tc>
          <w:tcPr>
            <w:tcW w:type="dxa" w:w="2040"/>
            <w:tcMar>
              <w:top w:w="50" w:type="dxa"/>
              <w:bottom w:w="50" w:type="dxa"/>
              <w:left w:w="90" w:type="dxa"/>
              <w:right w:w="90" w:type="dxa"/>
            </w:tcMar>
          </w:tcPr>
          <w:p>
            <w:pPr>
              <w:pStyle w:val="BDOITable"/>
            </w:pPr>
            <w:r>
              <w:rPr>
                <w:sz w:val="16"/>
              </w:rPr>
              <w:t>Cashiering</w:t>
            </w:r>
          </w:p>
        </w:tc>
      </w:tr>
      <w:tr>
        <w:trPr>
          <w:cantSplit w:val="true"/>
        </w:trPr>
        <w:tc>
          <w:tcPr>
            <w:tcW w:type="dxa" w:w="3739"/>
            <w:tcMar>
              <w:top w:w="50" w:type="dxa"/>
              <w:bottom w:w="50" w:type="dxa"/>
              <w:left w:w="90" w:type="dxa"/>
              <w:right w:w="90" w:type="dxa"/>
            </w:tcMar>
            <w:shd w:val="clear" w:color="auto" w:fill="E5F5FF"/>
          </w:tcPr>
          <w:p>
            <w:pPr>
              <w:pStyle w:val="BDOITable"/>
            </w:pPr>
            <w:r>
              <w:rPr>
                <w:b/>
                <w:sz w:val="16"/>
              </w:rPr>
              <w:t>bibs.remittance.batch-status.v1</w:t>
            </w:r>
          </w:p>
        </w:tc>
        <w:tc>
          <w:tcPr>
            <w:tcW w:type="dxa" w:w="2493"/>
            <w:tcMar>
              <w:top w:w="50" w:type="dxa"/>
              <w:bottom w:w="50" w:type="dxa"/>
              <w:left w:w="90" w:type="dxa"/>
              <w:right w:w="90" w:type="dxa"/>
            </w:tcMar>
            <w:shd w:val="clear" w:color="auto" w:fill="E5F5FF"/>
          </w:tcPr>
          <w:p>
            <w:pPr>
              <w:pStyle w:val="BDOITable"/>
            </w:pPr>
            <w:r>
              <w:rPr>
                <w:sz w:val="16"/>
              </w:rPr>
              <w:t>Remittance batch stage changed</w:t>
            </w:r>
          </w:p>
        </w:tc>
        <w:tc>
          <w:tcPr>
            <w:tcW w:type="dxa" w:w="1700"/>
            <w:tcMar>
              <w:top w:w="50" w:type="dxa"/>
              <w:bottom w:w="50" w:type="dxa"/>
              <w:left w:w="90" w:type="dxa"/>
              <w:right w:w="90" w:type="dxa"/>
            </w:tcMar>
            <w:shd w:val="clear" w:color="auto" w:fill="E5F5FF"/>
          </w:tcPr>
          <w:p>
            <w:pPr>
              <w:pStyle w:val="BDOITable"/>
            </w:pPr>
            <w:r>
              <w:rPr>
                <w:sz w:val="16"/>
              </w:rPr>
              <w:t>Batch number</w:t>
            </w:r>
          </w:p>
        </w:tc>
        <w:tc>
          <w:tcPr>
            <w:tcW w:type="dxa" w:w="2040"/>
            <w:tcMar>
              <w:top w:w="50" w:type="dxa"/>
              <w:bottom w:w="50" w:type="dxa"/>
              <w:left w:w="90" w:type="dxa"/>
              <w:right w:w="90" w:type="dxa"/>
            </w:tcMar>
            <w:shd w:val="clear" w:color="auto" w:fill="E5F5FF"/>
          </w:tcPr>
          <w:p>
            <w:pPr>
              <w:pStyle w:val="BDOITable"/>
            </w:pPr>
            <w:r>
              <w:rPr>
                <w:sz w:val="16"/>
              </w:rPr>
              <w:t>Remittance</w:t>
            </w:r>
          </w:p>
        </w:tc>
      </w:tr>
      <w:tr>
        <w:trPr>
          <w:cantSplit w:val="true"/>
        </w:trPr>
        <w:tc>
          <w:tcPr>
            <w:tcW w:type="dxa" w:w="3739"/>
            <w:tcMar>
              <w:top w:w="50" w:type="dxa"/>
              <w:bottom w:w="50" w:type="dxa"/>
              <w:left w:w="90" w:type="dxa"/>
              <w:right w:w="90" w:type="dxa"/>
            </w:tcMar>
          </w:tcPr>
          <w:p>
            <w:pPr>
              <w:pStyle w:val="BDOITable"/>
            </w:pPr>
            <w:r>
              <w:rPr>
                <w:b/>
                <w:sz w:val="16"/>
              </w:rPr>
              <w:t>bibs.disbursement.status-changed.v1</w:t>
            </w:r>
          </w:p>
        </w:tc>
        <w:tc>
          <w:tcPr>
            <w:tcW w:type="dxa" w:w="2493"/>
            <w:tcMar>
              <w:top w:w="50" w:type="dxa"/>
              <w:bottom w:w="50" w:type="dxa"/>
              <w:left w:w="90" w:type="dxa"/>
              <w:right w:w="90" w:type="dxa"/>
            </w:tcMar>
          </w:tcPr>
          <w:p>
            <w:pPr>
              <w:pStyle w:val="BDOITable"/>
            </w:pPr>
            <w:r>
              <w:rPr>
                <w:sz w:val="16"/>
              </w:rPr>
              <w:t>Disbursement request status changed</w:t>
            </w:r>
          </w:p>
        </w:tc>
        <w:tc>
          <w:tcPr>
            <w:tcW w:type="dxa" w:w="1700"/>
            <w:tcMar>
              <w:top w:w="50" w:type="dxa"/>
              <w:bottom w:w="50" w:type="dxa"/>
              <w:left w:w="90" w:type="dxa"/>
              <w:right w:w="90" w:type="dxa"/>
            </w:tcMar>
          </w:tcPr>
          <w:p>
            <w:pPr>
              <w:pStyle w:val="BDOITable"/>
            </w:pPr>
            <w:r>
              <w:rPr>
                <w:sz w:val="16"/>
              </w:rPr>
              <w:t>Request number</w:t>
            </w:r>
          </w:p>
        </w:tc>
        <w:tc>
          <w:tcPr>
            <w:tcW w:type="dxa" w:w="2040"/>
            <w:tcMar>
              <w:top w:w="50" w:type="dxa"/>
              <w:bottom w:w="50" w:type="dxa"/>
              <w:left w:w="90" w:type="dxa"/>
              <w:right w:w="90" w:type="dxa"/>
            </w:tcMar>
          </w:tcPr>
          <w:p>
            <w:pPr>
              <w:pStyle w:val="BDOITable"/>
            </w:pPr>
            <w:r>
              <w:rPr>
                <w:sz w:val="16"/>
              </w:rPr>
              <w:t>Disbursement</w:t>
            </w:r>
          </w:p>
        </w:tc>
      </w:tr>
      <w:tr>
        <w:trPr>
          <w:cantSplit w:val="true"/>
        </w:trPr>
        <w:tc>
          <w:tcPr>
            <w:tcW w:type="dxa" w:w="3739"/>
            <w:tcMar>
              <w:top w:w="50" w:type="dxa"/>
              <w:bottom w:w="50" w:type="dxa"/>
              <w:left w:w="90" w:type="dxa"/>
              <w:right w:w="90" w:type="dxa"/>
            </w:tcMar>
            <w:shd w:val="clear" w:color="auto" w:fill="E5F5FF"/>
          </w:tcPr>
          <w:p>
            <w:pPr>
              <w:pStyle w:val="BDOITable"/>
            </w:pPr>
            <w:r>
              <w:rPr>
                <w:b/>
                <w:sz w:val="16"/>
              </w:rPr>
              <w:t>bibs.collections.feed-ready.v1</w:t>
            </w:r>
          </w:p>
        </w:tc>
        <w:tc>
          <w:tcPr>
            <w:tcW w:type="dxa" w:w="2493"/>
            <w:tcMar>
              <w:top w:w="50" w:type="dxa"/>
              <w:bottom w:w="50" w:type="dxa"/>
              <w:left w:w="90" w:type="dxa"/>
              <w:right w:w="90" w:type="dxa"/>
            </w:tcMar>
            <w:shd w:val="clear" w:color="auto" w:fill="E5F5FF"/>
          </w:tcPr>
          <w:p>
            <w:pPr>
              <w:pStyle w:val="BDOITable"/>
            </w:pPr>
            <w:r>
              <w:rPr>
                <w:sz w:val="16"/>
              </w:rPr>
              <w:t>Collection feed ready</w:t>
            </w:r>
          </w:p>
        </w:tc>
        <w:tc>
          <w:tcPr>
            <w:tcW w:type="dxa" w:w="1700"/>
            <w:tcMar>
              <w:top w:w="50" w:type="dxa"/>
              <w:bottom w:w="50" w:type="dxa"/>
              <w:left w:w="90" w:type="dxa"/>
              <w:right w:w="90" w:type="dxa"/>
            </w:tcMar>
            <w:shd w:val="clear" w:color="auto" w:fill="E5F5FF"/>
          </w:tcPr>
          <w:p>
            <w:pPr>
              <w:pStyle w:val="BDOITable"/>
            </w:pPr>
            <w:r>
              <w:rPr>
                <w:sz w:val="16"/>
              </w:rPr>
              <w:t>Feed code</w:t>
            </w:r>
          </w:p>
        </w:tc>
        <w:tc>
          <w:tcPr>
            <w:tcW w:type="dxa" w:w="2040"/>
            <w:tcMar>
              <w:top w:w="50" w:type="dxa"/>
              <w:bottom w:w="50" w:type="dxa"/>
              <w:left w:w="90" w:type="dxa"/>
              <w:right w:w="90" w:type="dxa"/>
            </w:tcMar>
            <w:shd w:val="clear" w:color="auto" w:fill="E5F5FF"/>
          </w:tcPr>
          <w:p>
            <w:pPr>
              <w:pStyle w:val="BDOITable"/>
            </w:pPr>
            <w:r>
              <w:rPr>
                <w:sz w:val="16"/>
              </w:rPr>
              <w:t>Operations invoice ledger</w:t>
            </w:r>
          </w:p>
        </w:tc>
      </w:tr>
      <w:tr>
        <w:trPr>
          <w:cantSplit w:val="true"/>
        </w:trPr>
        <w:tc>
          <w:tcPr>
            <w:tcW w:type="dxa" w:w="3739"/>
            <w:tcMar>
              <w:top w:w="50" w:type="dxa"/>
              <w:bottom w:w="50" w:type="dxa"/>
              <w:left w:w="90" w:type="dxa"/>
              <w:right w:w="90" w:type="dxa"/>
            </w:tcMar>
          </w:tcPr>
          <w:p>
            <w:pPr>
              <w:pStyle w:val="BDOITable"/>
            </w:pPr>
            <w:r>
              <w:rPr>
                <w:b/>
                <w:sz w:val="16"/>
              </w:rPr>
              <w:t>bibs.catalog.product-version-released.v1</w:t>
            </w:r>
          </w:p>
        </w:tc>
        <w:tc>
          <w:tcPr>
            <w:tcW w:type="dxa" w:w="2493"/>
            <w:tcMar>
              <w:top w:w="50" w:type="dxa"/>
              <w:bottom w:w="50" w:type="dxa"/>
              <w:left w:w="90" w:type="dxa"/>
              <w:right w:w="90" w:type="dxa"/>
            </w:tcMar>
          </w:tcPr>
          <w:p>
            <w:pPr>
              <w:pStyle w:val="BDOITable"/>
            </w:pPr>
            <w:r>
              <w:rPr>
                <w:sz w:val="16"/>
              </w:rPr>
              <w:t>Package version released</w:t>
            </w:r>
          </w:p>
        </w:tc>
        <w:tc>
          <w:tcPr>
            <w:tcW w:type="dxa" w:w="1700"/>
            <w:tcMar>
              <w:top w:w="50" w:type="dxa"/>
              <w:bottom w:w="50" w:type="dxa"/>
              <w:left w:w="90" w:type="dxa"/>
              <w:right w:w="90" w:type="dxa"/>
            </w:tcMar>
          </w:tcPr>
          <w:p>
            <w:pPr>
              <w:pStyle w:val="BDOITable"/>
            </w:pPr>
            <w:r>
              <w:rPr>
                <w:sz w:val="16"/>
              </w:rPr>
              <w:t>Product code</w:t>
            </w:r>
          </w:p>
        </w:tc>
        <w:tc>
          <w:tcPr>
            <w:tcW w:type="dxa" w:w="2040"/>
            <w:tcMar>
              <w:top w:w="50" w:type="dxa"/>
              <w:bottom w:w="50" w:type="dxa"/>
              <w:left w:w="90" w:type="dxa"/>
              <w:right w:w="90" w:type="dxa"/>
            </w:tcMar>
          </w:tcPr>
          <w:p>
            <w:pPr>
              <w:pStyle w:val="BDOITable"/>
            </w:pPr>
            <w:r>
              <w:rPr>
                <w:sz w:val="16"/>
              </w:rPr>
              <w:t>Product catalogue</w:t>
            </w:r>
          </w:p>
        </w:tc>
      </w:tr>
      <w:tr>
        <w:trPr>
          <w:cantSplit w:val="true"/>
        </w:trPr>
        <w:tc>
          <w:tcPr>
            <w:tcW w:type="dxa" w:w="3739"/>
            <w:tcMar>
              <w:top w:w="50" w:type="dxa"/>
              <w:bottom w:w="50" w:type="dxa"/>
              <w:left w:w="90" w:type="dxa"/>
              <w:right w:w="90" w:type="dxa"/>
            </w:tcMar>
            <w:shd w:val="clear" w:color="auto" w:fill="E5F5FF"/>
          </w:tcPr>
          <w:p>
            <w:pPr>
              <w:pStyle w:val="BDOITable"/>
            </w:pPr>
            <w:r>
              <w:rPr>
                <w:b/>
                <w:sz w:val="16"/>
              </w:rPr>
              <w:t>bibs.crm.client-changed.v1</w:t>
            </w:r>
          </w:p>
        </w:tc>
        <w:tc>
          <w:tcPr>
            <w:tcW w:type="dxa" w:w="2493"/>
            <w:tcMar>
              <w:top w:w="50" w:type="dxa"/>
              <w:bottom w:w="50" w:type="dxa"/>
              <w:left w:w="90" w:type="dxa"/>
              <w:right w:w="90" w:type="dxa"/>
            </w:tcMar>
            <w:shd w:val="clear" w:color="auto" w:fill="E5F5FF"/>
          </w:tcPr>
          <w:p>
            <w:pPr>
              <w:pStyle w:val="BDOITable"/>
            </w:pPr>
            <w:r>
              <w:rPr>
                <w:sz w:val="16"/>
              </w:rPr>
              <w:t>Client registered or changed</w:t>
            </w:r>
          </w:p>
        </w:tc>
        <w:tc>
          <w:tcPr>
            <w:tcW w:type="dxa" w:w="1700"/>
            <w:tcMar>
              <w:top w:w="50" w:type="dxa"/>
              <w:bottom w:w="50" w:type="dxa"/>
              <w:left w:w="90" w:type="dxa"/>
              <w:right w:w="90" w:type="dxa"/>
            </w:tcMar>
            <w:shd w:val="clear" w:color="auto" w:fill="E5F5FF"/>
          </w:tcPr>
          <w:p>
            <w:pPr>
              <w:pStyle w:val="BDOITable"/>
            </w:pPr>
            <w:r>
              <w:rPr>
                <w:sz w:val="16"/>
              </w:rPr>
              <w:t>Client identifier</w:t>
            </w:r>
          </w:p>
        </w:tc>
        <w:tc>
          <w:tcPr>
            <w:tcW w:type="dxa" w:w="2040"/>
            <w:tcMar>
              <w:top w:w="50" w:type="dxa"/>
              <w:bottom w:w="50" w:type="dxa"/>
              <w:left w:w="90" w:type="dxa"/>
              <w:right w:w="90" w:type="dxa"/>
            </w:tcMar>
            <w:shd w:val="clear" w:color="auto" w:fill="E5F5FF"/>
          </w:tcPr>
          <w:p>
            <w:pPr>
              <w:pStyle w:val="BDOITable"/>
            </w:pPr>
            <w:r>
              <w:rPr>
                <w:sz w:val="16"/>
              </w:rPr>
              <w:t>Clients (CRM)</w:t>
            </w:r>
          </w:p>
        </w:tc>
      </w:tr>
      <w:tr>
        <w:trPr>
          <w:cantSplit w:val="true"/>
        </w:trPr>
        <w:tc>
          <w:tcPr>
            <w:tcW w:type="dxa" w:w="3739"/>
            <w:tcMar>
              <w:top w:w="50" w:type="dxa"/>
              <w:bottom w:w="50" w:type="dxa"/>
              <w:left w:w="90" w:type="dxa"/>
              <w:right w:w="90" w:type="dxa"/>
            </w:tcMar>
          </w:tcPr>
          <w:p>
            <w:pPr>
              <w:pStyle w:val="BDOITable"/>
            </w:pPr>
            <w:r>
              <w:rPr>
                <w:b/>
                <w:sz w:val="16"/>
              </w:rPr>
              <w:t>bibs.messaging.notification-requested.v1</w:t>
            </w:r>
          </w:p>
        </w:tc>
        <w:tc>
          <w:tcPr>
            <w:tcW w:type="dxa" w:w="2493"/>
            <w:tcMar>
              <w:top w:w="50" w:type="dxa"/>
              <w:bottom w:w="50" w:type="dxa"/>
              <w:left w:w="90" w:type="dxa"/>
              <w:right w:w="90" w:type="dxa"/>
            </w:tcMar>
          </w:tcPr>
          <w:p>
            <w:pPr>
              <w:pStyle w:val="BDOITable"/>
            </w:pPr>
            <w:r>
              <w:rPr>
                <w:sz w:val="16"/>
              </w:rPr>
              <w:t>E-mail or notification queued</w:t>
            </w:r>
          </w:p>
        </w:tc>
        <w:tc>
          <w:tcPr>
            <w:tcW w:type="dxa" w:w="1700"/>
            <w:tcMar>
              <w:top w:w="50" w:type="dxa"/>
              <w:bottom w:w="50" w:type="dxa"/>
              <w:left w:w="90" w:type="dxa"/>
              <w:right w:w="90" w:type="dxa"/>
            </w:tcMar>
          </w:tcPr>
          <w:p>
            <w:pPr>
              <w:pStyle w:val="BDOITable"/>
            </w:pPr>
            <w:r>
              <w:rPr>
                <w:sz w:val="16"/>
              </w:rPr>
              <w:t>Message identifier</w:t>
            </w:r>
          </w:p>
        </w:tc>
        <w:tc>
          <w:tcPr>
            <w:tcW w:type="dxa" w:w="2040"/>
            <w:tcMar>
              <w:top w:w="50" w:type="dxa"/>
              <w:bottom w:w="50" w:type="dxa"/>
              <w:left w:w="90" w:type="dxa"/>
              <w:right w:w="90" w:type="dxa"/>
            </w:tcMar>
          </w:tcPr>
          <w:p>
            <w:pPr>
              <w:pStyle w:val="BDOITable"/>
            </w:pPr>
            <w:r>
              <w:rPr>
                <w:sz w:val="16"/>
              </w:rPr>
              <w:t>Messaging</w:t>
            </w:r>
          </w:p>
        </w:tc>
      </w:tr>
      <w:tr>
        <w:trPr>
          <w:cantSplit w:val="true"/>
        </w:trPr>
        <w:tc>
          <w:tcPr>
            <w:tcW w:type="dxa" w:w="3739"/>
            <w:tcMar>
              <w:top w:w="50" w:type="dxa"/>
              <w:bottom w:w="50" w:type="dxa"/>
              <w:left w:w="90" w:type="dxa"/>
              <w:right w:w="90" w:type="dxa"/>
            </w:tcMar>
            <w:shd w:val="clear" w:color="auto" w:fill="E5F5FF"/>
          </w:tcPr>
          <w:p>
            <w:pPr>
              <w:pStyle w:val="BDOITable"/>
            </w:pPr>
            <w:r>
              <w:rPr>
                <w:b/>
                <w:sz w:val="16"/>
              </w:rPr>
              <w:t>bibs.storage.ecm-archive-requested.v1</w:t>
            </w:r>
          </w:p>
        </w:tc>
        <w:tc>
          <w:tcPr>
            <w:tcW w:type="dxa" w:w="2493"/>
            <w:tcMar>
              <w:top w:w="50" w:type="dxa"/>
              <w:bottom w:w="50" w:type="dxa"/>
              <w:left w:w="90" w:type="dxa"/>
              <w:right w:w="90" w:type="dxa"/>
            </w:tcMar>
            <w:shd w:val="clear" w:color="auto" w:fill="E5F5FF"/>
          </w:tcPr>
          <w:p>
            <w:pPr>
              <w:pStyle w:val="BDOITable"/>
            </w:pPr>
            <w:r>
              <w:rPr>
                <w:sz w:val="16"/>
              </w:rPr>
              <w:t>Final record ready for the ECM archive</w:t>
            </w:r>
          </w:p>
        </w:tc>
        <w:tc>
          <w:tcPr>
            <w:tcW w:type="dxa" w:w="1700"/>
            <w:tcMar>
              <w:top w:w="50" w:type="dxa"/>
              <w:bottom w:w="50" w:type="dxa"/>
              <w:left w:w="90" w:type="dxa"/>
              <w:right w:w="90" w:type="dxa"/>
            </w:tcMar>
            <w:shd w:val="clear" w:color="auto" w:fill="E5F5FF"/>
          </w:tcPr>
          <w:p>
            <w:pPr>
              <w:pStyle w:val="BDOITable"/>
            </w:pPr>
            <w:r>
              <w:rPr>
                <w:sz w:val="16"/>
              </w:rPr>
              <w:t>Stored file</w:t>
            </w:r>
          </w:p>
        </w:tc>
        <w:tc>
          <w:tcPr>
            <w:tcW w:type="dxa" w:w="2040"/>
            <w:tcMar>
              <w:top w:w="50" w:type="dxa"/>
              <w:bottom w:w="50" w:type="dxa"/>
              <w:left w:w="90" w:type="dxa"/>
              <w:right w:w="90" w:type="dxa"/>
            </w:tcMar>
            <w:shd w:val="clear" w:color="auto" w:fill="E5F5FF"/>
          </w:tcPr>
          <w:p>
            <w:pPr>
              <w:pStyle w:val="BDOITable"/>
            </w:pPr>
            <w:r>
              <w:rPr>
                <w:sz w:val="16"/>
              </w:rPr>
              <w:t>File storage</w:t>
            </w:r>
          </w:p>
        </w:tc>
      </w:tr>
    </w:tbl>
    <w:p>
      <w:pPr>
        <w:pStyle w:val="BDOISpacer"/>
      </w:pPr>
    </w:p>
    <w:p>
      <w:pPr>
        <w:pStyle w:val="Heading2"/>
      </w:pPr>
      <w:bookmarkStart w:id="111" w:name="_Toc000111"/>
      <w:r>
        <w:rPr/>
        <w:t>4.3 Files</w:t>
      </w:r>
      <w:bookmarkEnd w:id="111"/>
    </w:p>
    <w:p>
      <w:r>
        <w:rPr>
          <w:b/>
        </w:rPr>
        <w:t>Inbound files</w:t>
      </w:r>
      <w:r>
        <w:rPr/>
        <w:t xml:space="preserve"> (bank, loan, PDC, watchlist, insurer, migration) arrive in the incoming prefix of the inbound bucket of the environment - by AWS Transfer Family (SFTP) for host-to-host senders, by a presigned upload link, or by a user upload on the BIBS screen - with a declared SHA-256. The malware scan tags each object; only clean objects are processed (chapter 7).</w:t>
      </w:r>
    </w:p>
    <w:p>
      <w:r>
        <w:rPr>
          <w:b/>
        </w:rPr>
        <w:t>Outbound files</w:t>
      </w:r>
      <w:r>
        <w:rPr/>
        <w:t xml:space="preserve"> (payment instructions, extracts for EGL and EDP, collection and remittance files, print batches) are written by bibs-jobs to the reports bucket with a control file and recorded in the file register (name, size, SHA-256, run). Recipients download them with a presigned link valid 5 minutes after the BIBS permission check, or receive them by managed transfer to their own landing area.</w:t>
      </w:r>
    </w:p>
    <w:p>
      <w:pPr>
        <w:pStyle w:val="Caption"/>
        <w:keepNext/>
        <w:spacing w:after="60"/>
      </w:pPr>
      <w:r>
        <w:rPr>
          <w:b/>
          <w:i w:val="0"/>
        </w:rPr>
        <w:t xml:space="preserve">Table 6: </w:t>
      </w:r>
      <w:r>
        <w:rPr/>
        <w:t>File standards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Standard</w:t>
            </w:r>
          </w:p>
        </w:tc>
      </w:tr>
      <w:tr>
        <w:trPr>
          <w:cantSplit w:val="true"/>
        </w:trPr>
        <w:tc>
          <w:tcPr>
            <w:tcW w:type="dxa" w:w="2266"/>
            <w:tcMar>
              <w:top w:w="50" w:type="dxa"/>
              <w:bottom w:w="50" w:type="dxa"/>
              <w:left w:w="90" w:type="dxa"/>
              <w:right w:w="90" w:type="dxa"/>
            </w:tcMar>
          </w:tcPr>
          <w:p>
            <w:pPr>
              <w:pStyle w:val="BDOITable"/>
            </w:pPr>
            <w:r>
              <w:rPr>
                <w:b/>
                <w:sz w:val="17"/>
              </w:rPr>
              <w:t>Naming</w:t>
            </w:r>
          </w:p>
        </w:tc>
        <w:tc>
          <w:tcPr>
            <w:tcW w:type="dxa" w:w="7706"/>
            <w:tcMar>
              <w:top w:w="50" w:type="dxa"/>
              <w:bottom w:w="50" w:type="dxa"/>
              <w:left w:w="90" w:type="dxa"/>
              <w:right w:w="90" w:type="dxa"/>
            </w:tcMar>
          </w:tcPr>
          <w:p>
            <w:pPr>
              <w:pStyle w:val="BDOITable"/>
            </w:pPr>
            <w:r>
              <w:rPr>
                <w:sz w:val="17"/>
              </w:rPr>
              <w:t>&lt;SOURCE&gt;_&lt;FILE TYPE&gt;_&lt;company&gt;_&lt;yyyyMMdd&gt;_&lt;HHmmss&gt;.&lt;ext&gt;, unique per run; the date is the business date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Encoding</w:t>
            </w:r>
          </w:p>
        </w:tc>
        <w:tc>
          <w:tcPr>
            <w:tcW w:type="dxa" w:w="7706"/>
            <w:tcMar>
              <w:top w:w="50" w:type="dxa"/>
              <w:bottom w:w="50" w:type="dxa"/>
              <w:left w:w="90" w:type="dxa"/>
              <w:right w:w="90" w:type="dxa"/>
            </w:tcMar>
            <w:shd w:val="clear" w:color="auto" w:fill="E5F5FF"/>
          </w:tcPr>
          <w:p>
            <w:pPr>
              <w:pStyle w:val="BDOITable"/>
            </w:pPr>
            <w:r>
              <w:rPr>
                <w:sz w:val="17"/>
              </w:rPr>
              <w:t>UTF-8 text without control characters (CSV, TXT, pipe-delimited) or the Excel template of the upload screen; fixed-width only where a bank layout requires it</w:t>
            </w:r>
          </w:p>
        </w:tc>
      </w:tr>
      <w:tr>
        <w:trPr>
          <w:cantSplit w:val="true"/>
        </w:trPr>
        <w:tc>
          <w:tcPr>
            <w:tcW w:type="dxa" w:w="2266"/>
            <w:tcMar>
              <w:top w:w="50" w:type="dxa"/>
              <w:bottom w:w="50" w:type="dxa"/>
              <w:left w:w="90" w:type="dxa"/>
              <w:right w:w="90" w:type="dxa"/>
            </w:tcMar>
          </w:tcPr>
          <w:p>
            <w:pPr>
              <w:pStyle w:val="BDOITable"/>
            </w:pPr>
            <w:r>
              <w:rPr>
                <w:b/>
                <w:sz w:val="17"/>
              </w:rPr>
              <w:t>Control</w:t>
            </w:r>
          </w:p>
        </w:tc>
        <w:tc>
          <w:tcPr>
            <w:tcW w:type="dxa" w:w="7706"/>
            <w:tcMar>
              <w:top w:w="50" w:type="dxa"/>
              <w:bottom w:w="50" w:type="dxa"/>
              <w:left w:w="90" w:type="dxa"/>
              <w:right w:w="90" w:type="dxa"/>
            </w:tcMar>
          </w:tcPr>
          <w:p>
            <w:pPr>
              <w:pStyle w:val="BDOITable"/>
            </w:pPr>
            <w:r>
              <w:rPr>
                <w:sz w:val="17"/>
              </w:rPr>
              <w:t>Header and trailer (or a separate control file) with record count and amount totals per currency; a file whose totals do not match is refused as a whole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Size</w:t>
            </w:r>
          </w:p>
        </w:tc>
        <w:tc>
          <w:tcPr>
            <w:tcW w:type="dxa" w:w="7706"/>
            <w:tcMar>
              <w:top w:w="50" w:type="dxa"/>
              <w:bottom w:w="50" w:type="dxa"/>
              <w:left w:w="90" w:type="dxa"/>
              <w:right w:w="90" w:type="dxa"/>
            </w:tcMar>
            <w:shd w:val="clear" w:color="auto" w:fill="E5F5FF"/>
          </w:tcPr>
          <w:p>
            <w:pPr>
              <w:pStyle w:val="BDOITable"/>
            </w:pPr>
            <w:r>
              <w:rPr>
                <w:sz w:val="17"/>
              </w:rPr>
              <w:t>Up to 25 MB through the application; larger files by presigned upload or transfer, up to 5 GB</w:t>
            </w:r>
          </w:p>
        </w:tc>
      </w:tr>
      <w:tr>
        <w:trPr>
          <w:cantSplit w:val="true"/>
        </w:trPr>
        <w:tc>
          <w:tcPr>
            <w:tcW w:type="dxa" w:w="2266"/>
            <w:tcMar>
              <w:top w:w="50" w:type="dxa"/>
              <w:bottom w:w="50" w:type="dxa"/>
              <w:left w:w="90" w:type="dxa"/>
              <w:right w:w="90" w:type="dxa"/>
            </w:tcMar>
          </w:tcPr>
          <w:p>
            <w:pPr>
              <w:pStyle w:val="BDOITable"/>
            </w:pPr>
            <w:r>
              <w:rPr>
                <w:b/>
                <w:sz w:val="17"/>
              </w:rPr>
              <w:t>Duplicates</w:t>
            </w:r>
          </w:p>
        </w:tc>
        <w:tc>
          <w:tcPr>
            <w:tcW w:type="dxa" w:w="7706"/>
            <w:tcMar>
              <w:top w:w="50" w:type="dxa"/>
              <w:bottom w:w="50" w:type="dxa"/>
              <w:left w:w="90" w:type="dxa"/>
              <w:right w:w="90" w:type="dxa"/>
            </w:tcMar>
          </w:tcPr>
          <w:p>
            <w:pPr>
              <w:pStyle w:val="BDOITable"/>
            </w:pPr>
            <w:r>
              <w:rPr>
                <w:sz w:val="17"/>
              </w:rPr>
              <w:t>A file with the same name or SHA-256 as an accepted file is refused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Retention</w:t>
            </w:r>
          </w:p>
        </w:tc>
        <w:tc>
          <w:tcPr>
            <w:tcW w:type="dxa" w:w="7706"/>
            <w:tcMar>
              <w:top w:w="50" w:type="dxa"/>
              <w:bottom w:w="50" w:type="dxa"/>
              <w:left w:w="90" w:type="dxa"/>
              <w:right w:w="90" w:type="dxa"/>
            </w:tcMar>
            <w:shd w:val="clear" w:color="auto" w:fill="E5F5FF"/>
          </w:tcPr>
          <w:p>
            <w:pPr>
              <w:pStyle w:val="BDOITable"/>
            </w:pPr>
            <w:r>
              <w:rPr>
                <w:sz w:val="17"/>
              </w:rPr>
              <w:t>Inbound 90 days, reports per the report archive setting (default 400 days), migration extracts 5 days</w:t>
            </w:r>
          </w:p>
        </w:tc>
      </w:tr>
    </w:tbl>
    <w:p>
      <w:pPr>
        <w:pStyle w:val="BDOISpacer"/>
      </w:pPr>
    </w:p>
    <w:p>
      <w:pPr>
        <w:pStyle w:val="Heading2"/>
      </w:pPr>
      <w:bookmarkStart w:id="112" w:name="_Toc000112"/>
      <w:r>
        <w:rPr/>
        <w:t>4.4 Sign-in redirect, e-mail and manual steps</w:t>
      </w:r>
      <w:bookmarkEnd w:id="112"/>
    </w:p>
    <w:p>
      <w:pPr>
        <w:tabs>
          <w:tab w:pos="312" w:val="left"/>
        </w:tabs>
        <w:spacing w:after="40"/>
        <w:ind w:left="312" w:hanging="283"/>
      </w:pPr>
      <w:r>
        <w:rPr>
          <w:color w:val="004EA8"/>
        </w:rPr>
        <w:t>•</w:t>
        <w:tab/>
      </w:r>
      <w:r>
        <w:rPr>
          <w:b/>
        </w:rPr>
        <w:t>Browser redirect</w:t>
      </w:r>
      <w:r>
        <w:rPr/>
        <w:t xml:space="preserve"> (INT-01): OpenID Connect with Entra ID; SAML 2.0 supported as the alternative (ADR-09).</w:t>
      </w:r>
    </w:p>
    <w:p>
      <w:pPr>
        <w:tabs>
          <w:tab w:pos="312" w:val="left"/>
        </w:tabs>
        <w:spacing w:after="40"/>
        <w:ind w:left="312" w:hanging="283"/>
      </w:pPr>
      <w:r>
        <w:rPr>
          <w:color w:val="004EA8"/>
        </w:rPr>
        <w:t>•</w:t>
        <w:tab/>
      </w:r>
      <w:r>
        <w:rPr>
          <w:b/>
        </w:rPr>
        <w:t>E-mail</w:t>
      </w:r>
      <w:r>
        <w:rPr/>
        <w:t xml:space="preserve"> (INT-13): SMTP relay of CCM with STARTTLS, password-protected PDF attachments; the queue and the retry job make delivery independent of the user transaction.</w:t>
      </w:r>
    </w:p>
    <w:p>
      <w:pPr>
        <w:tabs>
          <w:tab w:pos="312" w:val="left"/>
        </w:tabs>
        <w:spacing w:after="120"/>
        <w:ind w:left="312" w:hanging="283"/>
      </w:pPr>
      <w:r>
        <w:rPr>
          <w:color w:val="004EA8"/>
        </w:rPr>
        <w:t>•</w:t>
        <w:tab/>
      </w:r>
      <w:r>
        <w:rPr>
          <w:b/>
        </w:rPr>
        <w:t>Manual</w:t>
      </w:r>
      <w:r>
        <w:rPr/>
        <w:t xml:space="preserve"> (INT-15, INT-20, INT-22, INT-23): BIBS produces or records the data (Trade client and payment file, Bridger result, STR file, BIR returns); a user carries it to or from the counterpart and records its reference in BIBS.</w:t>
      </w:r>
    </w:p>
    <w:p>
      <w:pPr>
        <w:pStyle w:val="Heading2"/>
      </w:pPr>
      <w:bookmarkStart w:id="113" w:name="_Toc000113"/>
      <w:r>
        <w:rPr/>
        <w:t>4.5 Choosing the pattern</w:t>
      </w:r>
      <w:bookmarkEnd w:id="113"/>
    </w:p>
    <w:p>
      <w:pPr>
        <w:pStyle w:val="Caption"/>
        <w:keepNext/>
        <w:spacing w:after="60"/>
      </w:pPr>
      <w:r>
        <w:rPr>
          <w:b/>
          <w:i w:val="0"/>
        </w:rPr>
        <w:t xml:space="preserve">Table 7: </w:t>
      </w:r>
      <w:r>
        <w:rPr/>
        <w:t>Pattern selection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59"/>
        <w:gridCol w:w="2266"/>
        <w:gridCol w:w="4646"/>
      </w:tblGrid>
      <w:tr>
        <w:trPr>
          <w:tblHeader w:val="true"/>
          <w:cantSplit w:val="true"/>
        </w:trPr>
        <w:tc>
          <w:tcPr>
            <w:tcW w:type="dxa" w:w="3060"/>
            <w:shd w:val="clear" w:color="auto" w:fill="004EA8"/>
            <w:tcMar>
              <w:top w:w="50" w:type="dxa"/>
              <w:bottom w:w="50" w:type="dxa"/>
              <w:left w:w="90" w:type="dxa"/>
              <w:right w:w="90" w:type="dxa"/>
            </w:tcMar>
            <w:vAlign w:val="center"/>
          </w:tcPr>
          <w:p>
            <w:pPr>
              <w:pStyle w:val="BDOITableHeader"/>
            </w:pPr>
            <w:r>
              <w:rPr>
                <w:b/>
                <w:color w:val="FFFFFF"/>
                <w:sz w:val="17"/>
              </w:rPr>
              <w:t>Need</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7"/>
              </w:rPr>
              <w:t>Pattern</w:t>
            </w:r>
          </w:p>
        </w:tc>
        <w:tc>
          <w:tcPr>
            <w:tcW w:type="dxa" w:w="4646"/>
            <w:shd w:val="clear" w:color="auto" w:fill="004EA8"/>
            <w:tcMar>
              <w:top w:w="50" w:type="dxa"/>
              <w:bottom w:w="50" w:type="dxa"/>
              <w:left w:w="90" w:type="dxa"/>
              <w:right w:w="90" w:type="dxa"/>
            </w:tcMar>
            <w:vAlign w:val="center"/>
          </w:tcPr>
          <w:p>
            <w:pPr>
              <w:pStyle w:val="BDOITableHeader"/>
            </w:pPr>
            <w:r>
              <w:rPr>
                <w:b/>
                <w:color w:val="FFFFFF"/>
                <w:sz w:val="17"/>
              </w:rPr>
              <w:t>Examples</w:t>
            </w:r>
          </w:p>
        </w:tc>
      </w:tr>
      <w:tr>
        <w:trPr>
          <w:cantSplit w:val="true"/>
        </w:trPr>
        <w:tc>
          <w:tcPr>
            <w:tcW w:type="dxa" w:w="3060"/>
            <w:tcMar>
              <w:top w:w="50" w:type="dxa"/>
              <w:bottom w:w="50" w:type="dxa"/>
              <w:left w:w="90" w:type="dxa"/>
              <w:right w:w="90" w:type="dxa"/>
            </w:tcMar>
          </w:tcPr>
          <w:p>
            <w:pPr>
              <w:pStyle w:val="BDOITable"/>
            </w:pPr>
            <w:r>
              <w:rPr>
                <w:b/>
                <w:sz w:val="17"/>
              </w:rPr>
              <w:t>Immediate answer to a request</w:t>
            </w:r>
          </w:p>
        </w:tc>
        <w:tc>
          <w:tcPr>
            <w:tcW w:type="dxa" w:w="2266"/>
            <w:tcMar>
              <w:top w:w="50" w:type="dxa"/>
              <w:bottom w:w="50" w:type="dxa"/>
              <w:left w:w="90" w:type="dxa"/>
              <w:right w:w="90" w:type="dxa"/>
            </w:tcMar>
          </w:tcPr>
          <w:p>
            <w:pPr>
              <w:pStyle w:val="BDOITable"/>
            </w:pPr>
            <w:r>
              <w:rPr>
                <w:sz w:val="17"/>
              </w:rPr>
              <w:t>Synchronous API through Apigee X</w:t>
            </w:r>
          </w:p>
        </w:tc>
        <w:tc>
          <w:tcPr>
            <w:tcW w:type="dxa" w:w="4646"/>
            <w:tcMar>
              <w:top w:w="50" w:type="dxa"/>
              <w:bottom w:w="50" w:type="dxa"/>
              <w:left w:w="90" w:type="dxa"/>
              <w:right w:w="90" w:type="dxa"/>
            </w:tcMar>
          </w:tcPr>
          <w:p>
            <w:pPr>
              <w:pStyle w:val="BDOITable"/>
            </w:pPr>
            <w:r>
              <w:rPr>
                <w:sz w:val="17"/>
              </w:rPr>
              <w:t>Quotation request from HL-LOAS, account provisioning from UIDM-ISC</w:t>
            </w:r>
          </w:p>
        </w:tc>
      </w:tr>
      <w:tr>
        <w:trPr>
          <w:cantSplit w:val="true"/>
        </w:trPr>
        <w:tc>
          <w:tcPr>
            <w:tcW w:type="dxa" w:w="3060"/>
            <w:tcMar>
              <w:top w:w="50" w:type="dxa"/>
              <w:bottom w:w="50" w:type="dxa"/>
              <w:left w:w="90" w:type="dxa"/>
              <w:right w:w="90" w:type="dxa"/>
            </w:tcMar>
            <w:shd w:val="clear" w:color="auto" w:fill="E5F5FF"/>
          </w:tcPr>
          <w:p>
            <w:pPr>
              <w:pStyle w:val="BDOITable"/>
            </w:pPr>
            <w:r>
              <w:rPr>
                <w:b/>
                <w:sz w:val="17"/>
              </w:rPr>
              <w:t>A fact others react to, no answer needed</w:t>
            </w:r>
          </w:p>
        </w:tc>
        <w:tc>
          <w:tcPr>
            <w:tcW w:type="dxa" w:w="2266"/>
            <w:tcMar>
              <w:top w:w="50" w:type="dxa"/>
              <w:bottom w:w="50" w:type="dxa"/>
              <w:left w:w="90" w:type="dxa"/>
              <w:right w:w="90" w:type="dxa"/>
            </w:tcMar>
            <w:shd w:val="clear" w:color="auto" w:fill="E5F5FF"/>
          </w:tcPr>
          <w:p>
            <w:pPr>
              <w:pStyle w:val="BDOITable"/>
            </w:pPr>
            <w:r>
              <w:rPr>
                <w:sz w:val="17"/>
              </w:rPr>
              <w:t>Event</w:t>
            </w:r>
          </w:p>
        </w:tc>
        <w:tc>
          <w:tcPr>
            <w:tcW w:type="dxa" w:w="4646"/>
            <w:tcMar>
              <w:top w:w="50" w:type="dxa"/>
              <w:bottom w:w="50" w:type="dxa"/>
              <w:left w:w="90" w:type="dxa"/>
              <w:right w:w="90" w:type="dxa"/>
            </w:tcMar>
            <w:shd w:val="clear" w:color="auto" w:fill="E5F5FF"/>
          </w:tcPr>
          <w:p>
            <w:pPr>
              <w:pStyle w:val="BDOITable"/>
            </w:pPr>
            <w:r>
              <w:rPr>
                <w:sz w:val="17"/>
              </w:rPr>
              <w:t>Invoice booked, receipt issued, record to archive</w:t>
            </w:r>
          </w:p>
        </w:tc>
      </w:tr>
      <w:tr>
        <w:trPr>
          <w:cantSplit w:val="true"/>
        </w:trPr>
        <w:tc>
          <w:tcPr>
            <w:tcW w:type="dxa" w:w="3060"/>
            <w:tcMar>
              <w:top w:w="50" w:type="dxa"/>
              <w:bottom w:w="50" w:type="dxa"/>
              <w:left w:w="90" w:type="dxa"/>
              <w:right w:w="90" w:type="dxa"/>
            </w:tcMar>
          </w:tcPr>
          <w:p>
            <w:pPr>
              <w:pStyle w:val="BDOITable"/>
            </w:pPr>
            <w:r>
              <w:rPr>
                <w:b/>
                <w:sz w:val="17"/>
              </w:rPr>
              <w:t>Bulk or scheduled exchange, bank or insurer layouts</w:t>
            </w:r>
          </w:p>
        </w:tc>
        <w:tc>
          <w:tcPr>
            <w:tcW w:type="dxa" w:w="2266"/>
            <w:tcMar>
              <w:top w:w="50" w:type="dxa"/>
              <w:bottom w:w="50" w:type="dxa"/>
              <w:left w:w="90" w:type="dxa"/>
              <w:right w:w="90" w:type="dxa"/>
            </w:tcMar>
          </w:tcPr>
          <w:p>
            <w:pPr>
              <w:pStyle w:val="BDOITable"/>
            </w:pPr>
            <w:r>
              <w:rPr>
                <w:sz w:val="17"/>
              </w:rPr>
              <w:t>File</w:t>
            </w:r>
          </w:p>
        </w:tc>
        <w:tc>
          <w:tcPr>
            <w:tcW w:type="dxa" w:w="4646"/>
            <w:tcMar>
              <w:top w:w="50" w:type="dxa"/>
              <w:bottom w:w="50" w:type="dxa"/>
              <w:left w:w="90" w:type="dxa"/>
              <w:right w:w="90" w:type="dxa"/>
            </w:tcMar>
          </w:tcPr>
          <w:p>
            <w:pPr>
              <w:pStyle w:val="BDOITable"/>
            </w:pPr>
            <w:r>
              <w:rPr>
                <w:sz w:val="17"/>
              </w:rPr>
              <w:t>Payment instructions, collection files, EGL and EDP extracts</w:t>
            </w:r>
          </w:p>
        </w:tc>
      </w:tr>
      <w:tr>
        <w:trPr>
          <w:cantSplit w:val="true"/>
        </w:trPr>
        <w:tc>
          <w:tcPr>
            <w:tcW w:type="dxa" w:w="3060"/>
            <w:tcMar>
              <w:top w:w="50" w:type="dxa"/>
              <w:bottom w:w="50" w:type="dxa"/>
              <w:left w:w="90" w:type="dxa"/>
              <w:right w:w="90" w:type="dxa"/>
            </w:tcMar>
            <w:shd w:val="clear" w:color="auto" w:fill="E5F5FF"/>
          </w:tcPr>
          <w:p>
            <w:pPr>
              <w:pStyle w:val="BDOITable"/>
            </w:pPr>
            <w:r>
              <w:rPr>
                <w:b/>
                <w:sz w:val="17"/>
              </w:rPr>
              <w:t>User identity</w:t>
            </w:r>
          </w:p>
        </w:tc>
        <w:tc>
          <w:tcPr>
            <w:tcW w:type="dxa" w:w="2266"/>
            <w:tcMar>
              <w:top w:w="50" w:type="dxa"/>
              <w:bottom w:w="50" w:type="dxa"/>
              <w:left w:w="90" w:type="dxa"/>
              <w:right w:w="90" w:type="dxa"/>
            </w:tcMar>
            <w:shd w:val="clear" w:color="auto" w:fill="E5F5FF"/>
          </w:tcPr>
          <w:p>
            <w:pPr>
              <w:pStyle w:val="BDOITable"/>
            </w:pPr>
            <w:r>
              <w:rPr>
                <w:sz w:val="17"/>
              </w:rPr>
              <w:t>Browser redirect</w:t>
            </w:r>
          </w:p>
        </w:tc>
        <w:tc>
          <w:tcPr>
            <w:tcW w:type="dxa" w:w="4646"/>
            <w:tcMar>
              <w:top w:w="50" w:type="dxa"/>
              <w:bottom w:w="50" w:type="dxa"/>
              <w:left w:w="90" w:type="dxa"/>
              <w:right w:w="90" w:type="dxa"/>
            </w:tcMar>
            <w:shd w:val="clear" w:color="auto" w:fill="E5F5FF"/>
          </w:tcPr>
          <w:p>
            <w:pPr>
              <w:pStyle w:val="BDOITable"/>
            </w:pPr>
            <w:r>
              <w:rPr>
                <w:sz w:val="17"/>
              </w:rPr>
              <w:t>EIAM sign-in</w:t>
            </w:r>
          </w:p>
        </w:tc>
      </w:tr>
      <w:tr>
        <w:trPr>
          <w:cantSplit w:val="true"/>
        </w:trPr>
        <w:tc>
          <w:tcPr>
            <w:tcW w:type="dxa" w:w="3060"/>
            <w:tcMar>
              <w:top w:w="50" w:type="dxa"/>
              <w:bottom w:w="50" w:type="dxa"/>
              <w:left w:w="90" w:type="dxa"/>
              <w:right w:w="90" w:type="dxa"/>
            </w:tcMar>
          </w:tcPr>
          <w:p>
            <w:pPr>
              <w:pStyle w:val="BDOITable"/>
            </w:pPr>
            <w:r>
              <w:rPr>
                <w:b/>
                <w:sz w:val="17"/>
              </w:rPr>
              <w:t>Counterpart without an interface</w:t>
            </w:r>
          </w:p>
        </w:tc>
        <w:tc>
          <w:tcPr>
            <w:tcW w:type="dxa" w:w="2266"/>
            <w:tcMar>
              <w:top w:w="50" w:type="dxa"/>
              <w:bottom w:w="50" w:type="dxa"/>
              <w:left w:w="90" w:type="dxa"/>
              <w:right w:w="90" w:type="dxa"/>
            </w:tcMar>
          </w:tcPr>
          <w:p>
            <w:pPr>
              <w:pStyle w:val="BDOITable"/>
            </w:pPr>
            <w:r>
              <w:rPr>
                <w:sz w:val="17"/>
              </w:rPr>
              <w:t>Manual with a reference recorded</w:t>
            </w:r>
          </w:p>
        </w:tc>
        <w:tc>
          <w:tcPr>
            <w:tcW w:type="dxa" w:w="4646"/>
            <w:tcMar>
              <w:top w:w="50" w:type="dxa"/>
              <w:bottom w:w="50" w:type="dxa"/>
              <w:left w:w="90" w:type="dxa"/>
              <w:right w:w="90" w:type="dxa"/>
            </w:tcMar>
          </w:tcPr>
          <w:p>
            <w:pPr>
              <w:pStyle w:val="BDOITable"/>
            </w:pPr>
            <w:r>
              <w:rPr>
                <w:sz w:val="17"/>
              </w:rPr>
              <w:t>BIR e-filing, AMLC STR filing</w:t>
            </w:r>
          </w:p>
        </w:tc>
      </w:tr>
    </w:tbl>
    <w:p>
      <w:pPr>
        <w:pStyle w:val="BDOISpacer"/>
      </w:pPr>
    </w:p>
    <w:p>
      <w:pPr>
        <w:pStyle w:val="Heading1"/>
        <w:pBdr>
          <w:bottom w:val="single" w:sz="4" w:space="4" w:color="99C1E7"/>
        </w:pBdr>
      </w:pPr>
      <w:bookmarkStart w:id="114" w:name="_Toc000114"/>
      <w:r>
        <w:rPr/>
        <w:t>5 Transport and data per interface</w:t>
      </w:r>
      <w:bookmarkEnd w:id="114"/>
    </w:p>
    <w:p>
      <w:pPr>
        <w:pStyle w:val="Caption"/>
        <w:keepNext/>
        <w:spacing w:after="60"/>
      </w:pPr>
      <w:r>
        <w:rPr>
          <w:b/>
          <w:i w:val="0"/>
        </w:rPr>
        <w:t xml:space="preserve">Table 8: </w:t>
      </w:r>
      <w:r>
        <w:rPr/>
        <w:t>Transport and data per interface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1699"/>
        <w:gridCol w:w="4533"/>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Interface</w:t>
            </w:r>
          </w:p>
        </w:tc>
        <w:tc>
          <w:tcPr>
            <w:tcW w:type="dxa" w:w="4533"/>
            <w:shd w:val="clear" w:color="auto" w:fill="004EA8"/>
            <w:tcMar>
              <w:top w:w="50" w:type="dxa"/>
              <w:bottom w:w="50" w:type="dxa"/>
              <w:left w:w="90" w:type="dxa"/>
              <w:right w:w="90" w:type="dxa"/>
            </w:tcMar>
            <w:vAlign w:val="center"/>
          </w:tcPr>
          <w:p>
            <w:pPr>
              <w:pStyle w:val="BDOITableHeader"/>
            </w:pPr>
            <w:r>
              <w:rPr>
                <w:b/>
                <w:color w:val="FFFFFF"/>
                <w:sz w:val="15"/>
              </w:rPr>
              <w:t>Transport and format</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5"/>
              </w:rPr>
              <w:t>Data</w:t>
            </w:r>
          </w:p>
        </w:tc>
      </w:tr>
      <w:tr>
        <w:trPr>
          <w:cantSplit w:val="true"/>
        </w:trPr>
        <w:tc>
          <w:tcPr>
            <w:tcW w:type="dxa" w:w="680"/>
            <w:tcMar>
              <w:top w:w="50" w:type="dxa"/>
              <w:bottom w:w="50" w:type="dxa"/>
              <w:left w:w="90" w:type="dxa"/>
              <w:right w:w="90" w:type="dxa"/>
            </w:tcMar>
          </w:tcPr>
          <w:p>
            <w:pPr>
              <w:pStyle w:val="BDOITable"/>
            </w:pPr>
            <w:r>
              <w:rPr>
                <w:b/>
                <w:sz w:val="15"/>
              </w:rPr>
              <w:t>INT-01</w:t>
            </w:r>
          </w:p>
        </w:tc>
        <w:tc>
          <w:tcPr>
            <w:tcW w:type="dxa" w:w="1700"/>
            <w:tcMar>
              <w:top w:w="50" w:type="dxa"/>
              <w:bottom w:w="50" w:type="dxa"/>
              <w:left w:w="90" w:type="dxa"/>
              <w:right w:w="90" w:type="dxa"/>
            </w:tcMar>
          </w:tcPr>
          <w:p>
            <w:pPr>
              <w:pStyle w:val="BDOITable"/>
            </w:pPr>
            <w:r>
              <w:rPr>
                <w:sz w:val="15"/>
              </w:rPr>
              <w:t>EIAM single sign-on</w:t>
            </w:r>
          </w:p>
        </w:tc>
        <w:tc>
          <w:tcPr>
            <w:tcW w:type="dxa" w:w="4533"/>
            <w:tcMar>
              <w:top w:w="50" w:type="dxa"/>
              <w:bottom w:w="50" w:type="dxa"/>
              <w:left w:w="90" w:type="dxa"/>
              <w:right w:w="90" w:type="dxa"/>
            </w:tcMar>
          </w:tcPr>
          <w:p>
            <w:pPr>
              <w:pStyle w:val="BDOITable"/>
            </w:pPr>
            <w:r>
              <w:rPr>
                <w:sz w:val="15"/>
              </w:rPr>
              <w:t>OpenID Connect authorisation code with PKCE S256 (SAML 2.0 supported as the alternative); BIBS issues its own session after the identity is linked to an active BIBS user</w:t>
            </w:r>
          </w:p>
        </w:tc>
        <w:tc>
          <w:tcPr>
            <w:tcW w:type="dxa" w:w="3060"/>
            <w:tcMar>
              <w:top w:w="50" w:type="dxa"/>
              <w:bottom w:w="50" w:type="dxa"/>
              <w:left w:w="90" w:type="dxa"/>
              <w:right w:w="90" w:type="dxa"/>
            </w:tcMar>
          </w:tcPr>
          <w:p>
            <w:pPr>
              <w:pStyle w:val="BDOITable"/>
            </w:pPr>
            <w:r>
              <w:rPr>
                <w:sz w:val="15"/>
              </w:rPr>
              <w:t>User name claim (UPN or Windows ID), name, e-mail; optional group claim for the group check</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INT-02</w:t>
            </w:r>
          </w:p>
        </w:tc>
        <w:tc>
          <w:tcPr>
            <w:tcW w:type="dxa" w:w="1700"/>
            <w:tcMar>
              <w:top w:w="50" w:type="dxa"/>
              <w:bottom w:w="50" w:type="dxa"/>
              <w:left w:w="90" w:type="dxa"/>
              <w:right w:w="90" w:type="dxa"/>
            </w:tcMar>
            <w:shd w:val="clear" w:color="auto" w:fill="E5F5FF"/>
          </w:tcPr>
          <w:p>
            <w:pPr>
              <w:pStyle w:val="BDOITable"/>
            </w:pPr>
            <w:r>
              <w:rPr>
                <w:sz w:val="15"/>
              </w:rPr>
              <w:t>UIDM-ISC provisioning</w:t>
            </w:r>
          </w:p>
        </w:tc>
        <w:tc>
          <w:tcPr>
            <w:tcW w:type="dxa" w:w="4533"/>
            <w:tcMar>
              <w:top w:w="50" w:type="dxa"/>
              <w:bottom w:w="50" w:type="dxa"/>
              <w:left w:w="90" w:type="dxa"/>
              <w:right w:w="90" w:type="dxa"/>
            </w:tcMar>
            <w:shd w:val="clear" w:color="auto" w:fill="E5F5FF"/>
          </w:tcPr>
          <w:p>
            <w:pPr>
              <w:pStyle w:val="BDOITable"/>
            </w:pPr>
            <w:r>
              <w:rPr>
                <w:sz w:val="15"/>
              </w:rPr>
              <w:t>SCIM 2.0 Users (and Groups for option b) published through Apigee X; account and entitlement aggregation for certification</w:t>
            </w:r>
          </w:p>
        </w:tc>
        <w:tc>
          <w:tcPr>
            <w:tcW w:type="dxa" w:w="3060"/>
            <w:tcMar>
              <w:top w:w="50" w:type="dxa"/>
              <w:bottom w:w="50" w:type="dxa"/>
              <w:left w:w="90" w:type="dxa"/>
              <w:right w:w="90" w:type="dxa"/>
            </w:tcMar>
            <w:shd w:val="clear" w:color="auto" w:fill="E5F5FF"/>
          </w:tcPr>
          <w:p>
            <w:pPr>
              <w:pStyle w:val="BDOITable"/>
            </w:pPr>
            <w:r>
              <w:rPr>
                <w:sz w:val="15"/>
              </w:rPr>
              <w:t>User accounts (create, update, enable, disable), group profiles (BIBS roles) as entitlements, data scope</w:t>
            </w:r>
          </w:p>
        </w:tc>
      </w:tr>
      <w:tr>
        <w:trPr>
          <w:cantSplit w:val="true"/>
        </w:trPr>
        <w:tc>
          <w:tcPr>
            <w:tcW w:type="dxa" w:w="680"/>
            <w:tcMar>
              <w:top w:w="50" w:type="dxa"/>
              <w:bottom w:w="50" w:type="dxa"/>
              <w:left w:w="90" w:type="dxa"/>
              <w:right w:w="90" w:type="dxa"/>
            </w:tcMar>
          </w:tcPr>
          <w:p>
            <w:pPr>
              <w:pStyle w:val="BDOITable"/>
            </w:pPr>
            <w:r>
              <w:rPr>
                <w:b/>
                <w:sz w:val="15"/>
              </w:rPr>
              <w:t>INT-03</w:t>
            </w:r>
          </w:p>
        </w:tc>
        <w:tc>
          <w:tcPr>
            <w:tcW w:type="dxa" w:w="1700"/>
            <w:tcMar>
              <w:top w:w="50" w:type="dxa"/>
              <w:bottom w:w="50" w:type="dxa"/>
              <w:left w:w="90" w:type="dxa"/>
              <w:right w:w="90" w:type="dxa"/>
            </w:tcMar>
          </w:tcPr>
          <w:p>
            <w:pPr>
              <w:pStyle w:val="BDOITable"/>
            </w:pPr>
            <w:r>
              <w:rPr>
                <w:sz w:val="15"/>
              </w:rPr>
              <w:t>LMS loan data</w:t>
            </w:r>
          </w:p>
        </w:tc>
        <w:tc>
          <w:tcPr>
            <w:tcW w:type="dxa" w:w="4533"/>
            <w:tcMar>
              <w:top w:w="50" w:type="dxa"/>
              <w:bottom w:w="50" w:type="dxa"/>
              <w:left w:w="90" w:type="dxa"/>
              <w:right w:w="90" w:type="dxa"/>
            </w:tcMar>
          </w:tcPr>
          <w:p>
            <w:pPr>
              <w:pStyle w:val="BDOITable"/>
            </w:pPr>
            <w:r>
              <w:rPr>
                <w:sz w:val="15"/>
              </w:rPr>
              <w:t>Daily file to the inbound bucket (managed transfer or presigned upload through Apigee X)</w:t>
            </w:r>
          </w:p>
        </w:tc>
        <w:tc>
          <w:tcPr>
            <w:tcW w:type="dxa" w:w="3060"/>
            <w:tcMar>
              <w:top w:w="50" w:type="dxa"/>
              <w:bottom w:w="50" w:type="dxa"/>
              <w:left w:w="90" w:type="dxa"/>
              <w:right w:w="90" w:type="dxa"/>
            </w:tcMar>
          </w:tcPr>
          <w:p>
            <w:pPr>
              <w:pStyle w:val="BDOITable"/>
            </w:pPr>
            <w:r>
              <w:rPr>
                <w:sz w:val="15"/>
              </w:rPr>
              <w:t>PN number, loan status (paid-off, RMU), loan release and amortisation for CLPC billing</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INT-04</w:t>
            </w:r>
          </w:p>
        </w:tc>
        <w:tc>
          <w:tcPr>
            <w:tcW w:type="dxa" w:w="1700"/>
            <w:tcMar>
              <w:top w:w="50" w:type="dxa"/>
              <w:bottom w:w="50" w:type="dxa"/>
              <w:left w:w="90" w:type="dxa"/>
              <w:right w:w="90" w:type="dxa"/>
            </w:tcMar>
            <w:shd w:val="clear" w:color="auto" w:fill="E5F5FF"/>
          </w:tcPr>
          <w:p>
            <w:pPr>
              <w:pStyle w:val="BDOITable"/>
            </w:pPr>
            <w:r>
              <w:rPr>
                <w:sz w:val="15"/>
              </w:rPr>
              <w:t>HL-LOAS quotation requests and loan data</w:t>
            </w:r>
          </w:p>
        </w:tc>
        <w:tc>
          <w:tcPr>
            <w:tcW w:type="dxa" w:w="4533"/>
            <w:tcMar>
              <w:top w:w="50" w:type="dxa"/>
              <w:bottom w:w="50" w:type="dxa"/>
              <w:left w:w="90" w:type="dxa"/>
              <w:right w:w="90" w:type="dxa"/>
            </w:tcMar>
            <w:shd w:val="clear" w:color="auto" w:fill="E5F5FF"/>
          </w:tcPr>
          <w:p>
            <w:pPr>
              <w:pStyle w:val="BDOITable"/>
            </w:pPr>
            <w:r>
              <w:rPr>
                <w:sz w:val="15"/>
              </w:rPr>
              <w:t>Quotation requests through Apigee X into the quotation request inbox; HLS insurance report and amortised loan data as daily files</w:t>
            </w:r>
          </w:p>
        </w:tc>
        <w:tc>
          <w:tcPr>
            <w:tcW w:type="dxa" w:w="3060"/>
            <w:tcMar>
              <w:top w:w="50" w:type="dxa"/>
              <w:bottom w:w="50" w:type="dxa"/>
              <w:left w:w="90" w:type="dxa"/>
              <w:right w:w="90" w:type="dxa"/>
            </w:tcMar>
            <w:shd w:val="clear" w:color="auto" w:fill="E5F5FF"/>
          </w:tcPr>
          <w:p>
            <w:pPr>
              <w:pStyle w:val="BDOITable"/>
            </w:pPr>
            <w:r>
              <w:rPr>
                <w:sz w:val="15"/>
              </w:rPr>
              <w:t>Borrower, property, sum insured, PN; HLS insurance report; amortised loan release</w:t>
            </w:r>
          </w:p>
        </w:tc>
      </w:tr>
      <w:tr>
        <w:trPr>
          <w:cantSplit w:val="true"/>
        </w:trPr>
        <w:tc>
          <w:tcPr>
            <w:tcW w:type="dxa" w:w="680"/>
            <w:tcMar>
              <w:top w:w="50" w:type="dxa"/>
              <w:bottom w:w="50" w:type="dxa"/>
              <w:left w:w="90" w:type="dxa"/>
              <w:right w:w="90" w:type="dxa"/>
            </w:tcMar>
          </w:tcPr>
          <w:p>
            <w:pPr>
              <w:pStyle w:val="BDOITable"/>
            </w:pPr>
            <w:r>
              <w:rPr>
                <w:b/>
                <w:sz w:val="15"/>
              </w:rPr>
              <w:t>INT-05</w:t>
            </w:r>
          </w:p>
        </w:tc>
        <w:tc>
          <w:tcPr>
            <w:tcW w:type="dxa" w:w="1700"/>
            <w:tcMar>
              <w:top w:w="50" w:type="dxa"/>
              <w:bottom w:w="50" w:type="dxa"/>
              <w:left w:w="90" w:type="dxa"/>
              <w:right w:w="90" w:type="dxa"/>
            </w:tcMar>
          </w:tcPr>
          <w:p>
            <w:pPr>
              <w:pStyle w:val="BDOITable"/>
            </w:pPr>
            <w:r>
              <w:rPr>
                <w:sz w:val="15"/>
              </w:rPr>
              <w:t>LFS insurance report</w:t>
            </w:r>
          </w:p>
        </w:tc>
        <w:tc>
          <w:tcPr>
            <w:tcW w:type="dxa" w:w="4533"/>
            <w:tcMar>
              <w:top w:w="50" w:type="dxa"/>
              <w:bottom w:w="50" w:type="dxa"/>
              <w:left w:w="90" w:type="dxa"/>
              <w:right w:w="90" w:type="dxa"/>
            </w:tcMar>
          </w:tcPr>
          <w:p>
            <w:pPr>
              <w:pStyle w:val="BDOITable"/>
            </w:pPr>
            <w:r>
              <w:rPr>
                <w:sz w:val="15"/>
              </w:rPr>
              <w:t>Daily file to the inbound bucket</w:t>
            </w:r>
          </w:p>
        </w:tc>
        <w:tc>
          <w:tcPr>
            <w:tcW w:type="dxa" w:w="3060"/>
            <w:tcMar>
              <w:top w:w="50" w:type="dxa"/>
              <w:bottom w:w="50" w:type="dxa"/>
              <w:left w:w="90" w:type="dxa"/>
              <w:right w:w="90" w:type="dxa"/>
            </w:tcMar>
          </w:tcPr>
          <w:p>
            <w:pPr>
              <w:pStyle w:val="BDOITable"/>
            </w:pPr>
            <w:r>
              <w:rPr>
                <w:sz w:val="15"/>
              </w:rPr>
              <w:t>Loan-linked policies submitted by borrowers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INT-06</w:t>
            </w:r>
          </w:p>
        </w:tc>
        <w:tc>
          <w:tcPr>
            <w:tcW w:type="dxa" w:w="1700"/>
            <w:tcMar>
              <w:top w:w="50" w:type="dxa"/>
              <w:bottom w:w="50" w:type="dxa"/>
              <w:left w:w="90" w:type="dxa"/>
              <w:right w:w="90" w:type="dxa"/>
            </w:tcMar>
            <w:shd w:val="clear" w:color="auto" w:fill="E5F5FF"/>
          </w:tcPr>
          <w:p>
            <w:pPr>
              <w:pStyle w:val="BDOITable"/>
            </w:pPr>
            <w:r>
              <w:rPr>
                <w:sz w:val="15"/>
              </w:rPr>
              <w:t>PMS post-dated checks</w:t>
            </w:r>
          </w:p>
        </w:tc>
        <w:tc>
          <w:tcPr>
            <w:tcW w:type="dxa" w:w="4533"/>
            <w:tcMar>
              <w:top w:w="50" w:type="dxa"/>
              <w:bottom w:w="50" w:type="dxa"/>
              <w:left w:w="90" w:type="dxa"/>
              <w:right w:w="90" w:type="dxa"/>
            </w:tcMar>
            <w:shd w:val="clear" w:color="auto" w:fill="E5F5FF"/>
          </w:tcPr>
          <w:p>
            <w:pPr>
              <w:pStyle w:val="BDOITable"/>
            </w:pPr>
            <w:r>
              <w:rPr>
                <w:sz w:val="15"/>
              </w:rPr>
              <w:t>Daily PDC list to the inbound bucket</w:t>
            </w:r>
          </w:p>
        </w:tc>
        <w:tc>
          <w:tcPr>
            <w:tcW w:type="dxa" w:w="3060"/>
            <w:tcMar>
              <w:top w:w="50" w:type="dxa"/>
              <w:bottom w:w="50" w:type="dxa"/>
              <w:left w:w="90" w:type="dxa"/>
              <w:right w:w="90" w:type="dxa"/>
            </w:tcMar>
            <w:shd w:val="clear" w:color="auto" w:fill="E5F5FF"/>
          </w:tcPr>
          <w:p>
            <w:pPr>
              <w:pStyle w:val="BDOITable"/>
            </w:pPr>
            <w:r>
              <w:rPr>
                <w:sz w:val="15"/>
              </w:rPr>
              <w:t>PDC number, bank, date, amount, payor, account or invoice reference</w:t>
            </w:r>
          </w:p>
        </w:tc>
      </w:tr>
      <w:tr>
        <w:trPr>
          <w:cantSplit w:val="true"/>
        </w:trPr>
        <w:tc>
          <w:tcPr>
            <w:tcW w:type="dxa" w:w="680"/>
            <w:tcMar>
              <w:top w:w="50" w:type="dxa"/>
              <w:bottom w:w="50" w:type="dxa"/>
              <w:left w:w="90" w:type="dxa"/>
              <w:right w:w="90" w:type="dxa"/>
            </w:tcMar>
          </w:tcPr>
          <w:p>
            <w:pPr>
              <w:pStyle w:val="BDOITable"/>
            </w:pPr>
            <w:r>
              <w:rPr>
                <w:b/>
                <w:sz w:val="15"/>
              </w:rPr>
              <w:t>INT-07</w:t>
            </w:r>
          </w:p>
        </w:tc>
        <w:tc>
          <w:tcPr>
            <w:tcW w:type="dxa" w:w="1700"/>
            <w:tcMar>
              <w:top w:w="50" w:type="dxa"/>
              <w:bottom w:w="50" w:type="dxa"/>
              <w:left w:w="90" w:type="dxa"/>
              <w:right w:w="90" w:type="dxa"/>
            </w:tcMar>
          </w:tcPr>
          <w:p>
            <w:pPr>
              <w:pStyle w:val="BDOITable"/>
            </w:pPr>
            <w:r>
              <w:rPr>
                <w:sz w:val="15"/>
              </w:rPr>
              <w:t>CMS / New BOB outward payments</w:t>
            </w:r>
          </w:p>
        </w:tc>
        <w:tc>
          <w:tcPr>
            <w:tcW w:type="dxa" w:w="4533"/>
            <w:tcMar>
              <w:top w:w="50" w:type="dxa"/>
              <w:bottom w:w="50" w:type="dxa"/>
              <w:left w:w="90" w:type="dxa"/>
              <w:right w:w="90" w:type="dxa"/>
            </w:tcMar>
          </w:tcPr>
          <w:p>
            <w:pPr>
              <w:pStyle w:val="BDOITable"/>
            </w:pPr>
            <w:r>
              <w:rPr>
                <w:sz w:val="15"/>
              </w:rPr>
              <w:t>Payment instruction file from Disbursement; status and debit confirmation file back (host-to-host or user upload, IQ10)</w:t>
            </w:r>
          </w:p>
        </w:tc>
        <w:tc>
          <w:tcPr>
            <w:tcW w:type="dxa" w:w="3060"/>
            <w:tcMar>
              <w:top w:w="50" w:type="dxa"/>
              <w:bottom w:w="50" w:type="dxa"/>
              <w:left w:w="90" w:type="dxa"/>
              <w:right w:w="90" w:type="dxa"/>
            </w:tcMar>
          </w:tcPr>
          <w:p>
            <w:pPr>
              <w:pStyle w:val="BDOITable"/>
            </w:pPr>
            <w:r>
              <w:rPr>
                <w:sz w:val="15"/>
              </w:rPr>
              <w:t>Payee, account, amount, currency, value date, voucher reference; status per transaction</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INT-08</w:t>
            </w:r>
          </w:p>
        </w:tc>
        <w:tc>
          <w:tcPr>
            <w:tcW w:type="dxa" w:w="1700"/>
            <w:tcMar>
              <w:top w:w="50" w:type="dxa"/>
              <w:bottom w:w="50" w:type="dxa"/>
              <w:left w:w="90" w:type="dxa"/>
              <w:right w:w="90" w:type="dxa"/>
            </w:tcMar>
            <w:shd w:val="clear" w:color="auto" w:fill="E5F5FF"/>
          </w:tcPr>
          <w:p>
            <w:pPr>
              <w:pStyle w:val="BDOITable"/>
            </w:pPr>
            <w:r>
              <w:rPr>
                <w:sz w:val="15"/>
              </w:rPr>
              <w:t>OBPCS bills payment collections</w:t>
            </w:r>
          </w:p>
        </w:tc>
        <w:tc>
          <w:tcPr>
            <w:tcW w:type="dxa" w:w="4533"/>
            <w:tcMar>
              <w:top w:w="50" w:type="dxa"/>
              <w:bottom w:w="50" w:type="dxa"/>
              <w:left w:w="90" w:type="dxa"/>
              <w:right w:w="90" w:type="dxa"/>
            </w:tcMar>
            <w:shd w:val="clear" w:color="auto" w:fill="E5F5FF"/>
          </w:tcPr>
          <w:p>
            <w:pPr>
              <w:pStyle w:val="BDOITable"/>
            </w:pPr>
            <w:r>
              <w:rPr>
                <w:sz w:val="15"/>
              </w:rPr>
              <w:t>Consolidated bills-payment file uploaded to Cashiering</w:t>
            </w:r>
          </w:p>
        </w:tc>
        <w:tc>
          <w:tcPr>
            <w:tcW w:type="dxa" w:w="3060"/>
            <w:tcMar>
              <w:top w:w="50" w:type="dxa"/>
              <w:bottom w:w="50" w:type="dxa"/>
              <w:left w:w="90" w:type="dxa"/>
              <w:right w:w="90" w:type="dxa"/>
            </w:tcMar>
            <w:shd w:val="clear" w:color="auto" w:fill="E5F5FF"/>
          </w:tcPr>
          <w:p>
            <w:pPr>
              <w:pStyle w:val="BDOITable"/>
            </w:pPr>
            <w:r>
              <w:rPr>
                <w:sz w:val="15"/>
              </w:rPr>
              <w:t>Payment date, reference (ARN, invoice, PN), payor, amount, channel</w:t>
            </w:r>
          </w:p>
        </w:tc>
      </w:tr>
      <w:tr>
        <w:trPr>
          <w:cantSplit w:val="true"/>
        </w:trPr>
        <w:tc>
          <w:tcPr>
            <w:tcW w:type="dxa" w:w="680"/>
            <w:tcMar>
              <w:top w:w="50" w:type="dxa"/>
              <w:bottom w:w="50" w:type="dxa"/>
              <w:left w:w="90" w:type="dxa"/>
              <w:right w:w="90" w:type="dxa"/>
            </w:tcMar>
          </w:tcPr>
          <w:p>
            <w:pPr>
              <w:pStyle w:val="BDOITable"/>
            </w:pPr>
            <w:r>
              <w:rPr>
                <w:b/>
                <w:sz w:val="15"/>
              </w:rPr>
              <w:t>INT-09</w:t>
            </w:r>
          </w:p>
        </w:tc>
        <w:tc>
          <w:tcPr>
            <w:tcW w:type="dxa" w:w="1700"/>
            <w:tcMar>
              <w:top w:w="50" w:type="dxa"/>
              <w:bottom w:w="50" w:type="dxa"/>
              <w:left w:w="90" w:type="dxa"/>
              <w:right w:w="90" w:type="dxa"/>
            </w:tcMar>
          </w:tcPr>
          <w:p>
            <w:pPr>
              <w:pStyle w:val="BDOITable"/>
            </w:pPr>
            <w:r>
              <w:rPr>
                <w:sz w:val="15"/>
              </w:rPr>
              <w:t>Old BOB SOA funds transfers</w:t>
            </w:r>
          </w:p>
        </w:tc>
        <w:tc>
          <w:tcPr>
            <w:tcW w:type="dxa" w:w="4533"/>
            <w:tcMar>
              <w:top w:w="50" w:type="dxa"/>
              <w:bottom w:w="50" w:type="dxa"/>
              <w:left w:w="90" w:type="dxa"/>
              <w:right w:w="90" w:type="dxa"/>
            </w:tcMar>
          </w:tcPr>
          <w:p>
            <w:pPr>
              <w:pStyle w:val="BDOITable"/>
            </w:pPr>
            <w:r>
              <w:rPr>
                <w:sz w:val="15"/>
              </w:rPr>
              <w:t>Collection file applied in Cashiering</w:t>
            </w:r>
          </w:p>
        </w:tc>
        <w:tc>
          <w:tcPr>
            <w:tcW w:type="dxa" w:w="3060"/>
            <w:tcMar>
              <w:top w:w="50" w:type="dxa"/>
              <w:bottom w:w="50" w:type="dxa"/>
              <w:left w:w="90" w:type="dxa"/>
              <w:right w:w="90" w:type="dxa"/>
            </w:tcMar>
          </w:tcPr>
          <w:p>
            <w:pPr>
              <w:pStyle w:val="BDOITable"/>
            </w:pPr>
            <w:r>
              <w:rPr>
                <w:sz w:val="15"/>
              </w:rPr>
              <w:t>Funds-transfer credits with SOA or invoice reference</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INT-10</w:t>
            </w:r>
          </w:p>
        </w:tc>
        <w:tc>
          <w:tcPr>
            <w:tcW w:type="dxa" w:w="1700"/>
            <w:tcMar>
              <w:top w:w="50" w:type="dxa"/>
              <w:bottom w:w="50" w:type="dxa"/>
              <w:left w:w="90" w:type="dxa"/>
              <w:right w:w="90" w:type="dxa"/>
            </w:tcMar>
            <w:shd w:val="clear" w:color="auto" w:fill="E5F5FF"/>
          </w:tcPr>
          <w:p>
            <w:pPr>
              <w:pStyle w:val="BDOITable"/>
            </w:pPr>
            <w:r>
              <w:rPr>
                <w:sz w:val="15"/>
              </w:rPr>
              <w:t>AFTS automatic fund transfer</w:t>
            </w:r>
          </w:p>
        </w:tc>
        <w:tc>
          <w:tcPr>
            <w:tcW w:type="dxa" w:w="4533"/>
            <w:tcMar>
              <w:top w:w="50" w:type="dxa"/>
              <w:bottom w:w="50" w:type="dxa"/>
              <w:left w:w="90" w:type="dxa"/>
              <w:right w:w="90" w:type="dxa"/>
            </w:tcMar>
            <w:shd w:val="clear" w:color="auto" w:fill="E5F5FF"/>
          </w:tcPr>
          <w:p>
            <w:pPr>
              <w:pStyle w:val="BDOITable"/>
            </w:pPr>
            <w:r>
              <w:rPr>
                <w:sz w:val="15"/>
              </w:rPr>
              <w:t>To be agreed with BDOI IT (IQ10)</w:t>
            </w:r>
          </w:p>
        </w:tc>
        <w:tc>
          <w:tcPr>
            <w:tcW w:type="dxa" w:w="3060"/>
            <w:tcMar>
              <w:top w:w="50" w:type="dxa"/>
              <w:bottom w:w="50" w:type="dxa"/>
              <w:left w:w="90" w:type="dxa"/>
              <w:right w:w="90" w:type="dxa"/>
            </w:tcMar>
            <w:shd w:val="clear" w:color="auto" w:fill="E5F5FF"/>
          </w:tcPr>
          <w:p>
            <w:pPr>
              <w:pStyle w:val="BDOITable"/>
            </w:pPr>
            <w:r>
              <w:rPr>
                <w:sz w:val="15"/>
              </w:rPr>
              <w:t>To be agreed</w:t>
            </w:r>
          </w:p>
        </w:tc>
      </w:tr>
      <w:tr>
        <w:trPr>
          <w:cantSplit w:val="true"/>
        </w:trPr>
        <w:tc>
          <w:tcPr>
            <w:tcW w:type="dxa" w:w="680"/>
            <w:tcMar>
              <w:top w:w="50" w:type="dxa"/>
              <w:bottom w:w="50" w:type="dxa"/>
              <w:left w:w="90" w:type="dxa"/>
              <w:right w:w="90" w:type="dxa"/>
            </w:tcMar>
          </w:tcPr>
          <w:p>
            <w:pPr>
              <w:pStyle w:val="BDOITable"/>
            </w:pPr>
            <w:r>
              <w:rPr>
                <w:b/>
                <w:sz w:val="15"/>
              </w:rPr>
              <w:t>INT-12</w:t>
            </w:r>
          </w:p>
        </w:tc>
        <w:tc>
          <w:tcPr>
            <w:tcW w:type="dxa" w:w="1700"/>
            <w:tcMar>
              <w:top w:w="50" w:type="dxa"/>
              <w:bottom w:w="50" w:type="dxa"/>
              <w:left w:w="90" w:type="dxa"/>
              <w:right w:w="90" w:type="dxa"/>
            </w:tcMar>
          </w:tcPr>
          <w:p>
            <w:pPr>
              <w:pStyle w:val="BDOITable"/>
            </w:pPr>
            <w:r>
              <w:rPr>
                <w:sz w:val="15"/>
              </w:rPr>
              <w:t>ECM records archive</w:t>
            </w:r>
          </w:p>
        </w:tc>
        <w:tc>
          <w:tcPr>
            <w:tcW w:type="dxa" w:w="4533"/>
            <w:tcMar>
              <w:top w:w="50" w:type="dxa"/>
              <w:bottom w:w="50" w:type="dxa"/>
              <w:left w:w="90" w:type="dxa"/>
              <w:right w:w="90" w:type="dxa"/>
            </w:tcMar>
          </w:tcPr>
          <w:p>
            <w:pPr>
              <w:pStyle w:val="BDOITable"/>
            </w:pPr>
            <w:r>
              <w:rPr>
                <w:sz w:val="15"/>
              </w:rPr>
              <w:t>Final records of the "archive to ECM" record classes published on the topic bibs.storage.ecm-archive-requested.v1; the ECM connector stores the ECM reference back on the file record</w:t>
            </w:r>
          </w:p>
        </w:tc>
        <w:tc>
          <w:tcPr>
            <w:tcW w:type="dxa" w:w="3060"/>
            <w:tcMar>
              <w:top w:w="50" w:type="dxa"/>
              <w:bottom w:w="50" w:type="dxa"/>
              <w:left w:w="90" w:type="dxa"/>
              <w:right w:w="90" w:type="dxa"/>
            </w:tcMar>
          </w:tcPr>
          <w:p>
            <w:pPr>
              <w:pStyle w:val="BDOITable"/>
            </w:pPr>
            <w:r>
              <w:rPr>
                <w:sz w:val="15"/>
              </w:rPr>
              <w:t>Stored file identifier, record class, document type, owner, content type, size, SHA-256, object location (no file name)</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INT-13</w:t>
            </w:r>
          </w:p>
        </w:tc>
        <w:tc>
          <w:tcPr>
            <w:tcW w:type="dxa" w:w="1700"/>
            <w:tcMar>
              <w:top w:w="50" w:type="dxa"/>
              <w:bottom w:w="50" w:type="dxa"/>
              <w:left w:w="90" w:type="dxa"/>
              <w:right w:w="90" w:type="dxa"/>
            </w:tcMar>
            <w:shd w:val="clear" w:color="auto" w:fill="E5F5FF"/>
          </w:tcPr>
          <w:p>
            <w:pPr>
              <w:pStyle w:val="BDOITable"/>
            </w:pPr>
            <w:r>
              <w:rPr>
                <w:sz w:val="15"/>
              </w:rPr>
              <w:t>CCM outbound e-mail</w:t>
            </w:r>
          </w:p>
        </w:tc>
        <w:tc>
          <w:tcPr>
            <w:tcW w:type="dxa" w:w="4533"/>
            <w:tcMar>
              <w:top w:w="50" w:type="dxa"/>
              <w:bottom w:w="50" w:type="dxa"/>
              <w:left w:w="90" w:type="dxa"/>
              <w:right w:w="90" w:type="dxa"/>
            </w:tcMar>
            <w:shd w:val="clear" w:color="auto" w:fill="E5F5FF"/>
          </w:tcPr>
          <w:p>
            <w:pPr>
              <w:pStyle w:val="BDOITable"/>
            </w:pPr>
            <w:r>
              <w:rPr>
                <w:sz w:val="15"/>
              </w:rPr>
              <w:t>SMTP relay with STARTTLS on port 587 (or the CCM API, IQ11) through the private route</w:t>
            </w:r>
          </w:p>
        </w:tc>
        <w:tc>
          <w:tcPr>
            <w:tcW w:type="dxa" w:w="3060"/>
            <w:tcMar>
              <w:top w:w="50" w:type="dxa"/>
              <w:bottom w:w="50" w:type="dxa"/>
              <w:left w:w="90" w:type="dxa"/>
              <w:right w:w="90" w:type="dxa"/>
            </w:tcMar>
            <w:shd w:val="clear" w:color="auto" w:fill="E5F5FF"/>
          </w:tcPr>
          <w:p>
            <w:pPr>
              <w:pStyle w:val="BDOITable"/>
            </w:pPr>
            <w:r>
              <w:rPr>
                <w:sz w:val="15"/>
              </w:rPr>
              <w:t>Recipient, subject, body, password-protected PDF attachments, template</w:t>
            </w:r>
          </w:p>
        </w:tc>
      </w:tr>
      <w:tr>
        <w:trPr>
          <w:cantSplit w:val="true"/>
        </w:trPr>
        <w:tc>
          <w:tcPr>
            <w:tcW w:type="dxa" w:w="680"/>
            <w:tcMar>
              <w:top w:w="50" w:type="dxa"/>
              <w:bottom w:w="50" w:type="dxa"/>
              <w:left w:w="90" w:type="dxa"/>
              <w:right w:w="90" w:type="dxa"/>
            </w:tcMar>
          </w:tcPr>
          <w:p>
            <w:pPr>
              <w:pStyle w:val="BDOITable"/>
            </w:pPr>
            <w:r>
              <w:rPr>
                <w:b/>
                <w:sz w:val="15"/>
              </w:rPr>
              <w:t>INT-14</w:t>
            </w:r>
          </w:p>
        </w:tc>
        <w:tc>
          <w:tcPr>
            <w:tcW w:type="dxa" w:w="1700"/>
            <w:tcMar>
              <w:top w:w="50" w:type="dxa"/>
              <w:bottom w:w="50" w:type="dxa"/>
              <w:left w:w="90" w:type="dxa"/>
              <w:right w:w="90" w:type="dxa"/>
            </w:tcMar>
          </w:tcPr>
          <w:p>
            <w:pPr>
              <w:pStyle w:val="BDOITable"/>
            </w:pPr>
            <w:r>
              <w:rPr>
                <w:sz w:val="15"/>
              </w:rPr>
              <w:t>M365 Exchange mailboxes</w:t>
            </w:r>
          </w:p>
        </w:tc>
        <w:tc>
          <w:tcPr>
            <w:tcW w:type="dxa" w:w="4533"/>
            <w:tcMar>
              <w:top w:w="50" w:type="dxa"/>
              <w:bottom w:w="50" w:type="dxa"/>
              <w:left w:w="90" w:type="dxa"/>
              <w:right w:w="90" w:type="dxa"/>
            </w:tcMar>
          </w:tcPr>
          <w:p>
            <w:pPr>
              <w:pStyle w:val="BDOITable"/>
            </w:pPr>
            <w:r>
              <w:rPr>
                <w:sz w:val="15"/>
              </w:rPr>
              <w:t>Microsoft Graph read of the quotation-request and insurer-reply mailboxes, if BDOI confirms the use (IQ12)</w:t>
            </w:r>
          </w:p>
        </w:tc>
        <w:tc>
          <w:tcPr>
            <w:tcW w:type="dxa" w:w="3060"/>
            <w:tcMar>
              <w:top w:w="50" w:type="dxa"/>
              <w:bottom w:w="50" w:type="dxa"/>
              <w:left w:w="90" w:type="dxa"/>
              <w:right w:w="90" w:type="dxa"/>
            </w:tcMar>
          </w:tcPr>
          <w:p>
            <w:pPr>
              <w:pStyle w:val="BDOITable"/>
            </w:pPr>
            <w:r>
              <w:rPr>
                <w:sz w:val="15"/>
              </w:rPr>
              <w:t>E-mails and attachments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INT-15</w:t>
            </w:r>
          </w:p>
        </w:tc>
        <w:tc>
          <w:tcPr>
            <w:tcW w:type="dxa" w:w="1700"/>
            <w:tcMar>
              <w:top w:w="50" w:type="dxa"/>
              <w:bottom w:w="50" w:type="dxa"/>
              <w:left w:w="90" w:type="dxa"/>
              <w:right w:w="90" w:type="dxa"/>
            </w:tcMar>
            <w:shd w:val="clear" w:color="auto" w:fill="E5F5FF"/>
          </w:tcPr>
          <w:p>
            <w:pPr>
              <w:pStyle w:val="BDOITable"/>
            </w:pPr>
            <w:r>
              <w:rPr>
                <w:sz w:val="15"/>
              </w:rPr>
              <w:t>TFS trade clients (manual)</w:t>
            </w:r>
          </w:p>
        </w:tc>
        <w:tc>
          <w:tcPr>
            <w:tcW w:type="dxa" w:w="4533"/>
            <w:tcMar>
              <w:top w:w="50" w:type="dxa"/>
              <w:bottom w:w="50" w:type="dxa"/>
              <w:left w:w="90" w:type="dxa"/>
              <w:right w:w="90" w:type="dxa"/>
            </w:tcMar>
            <w:shd w:val="clear" w:color="auto" w:fill="E5F5FF"/>
          </w:tcPr>
          <w:p>
            <w:pPr>
              <w:pStyle w:val="BDOITable"/>
            </w:pPr>
            <w:r>
              <w:rPr>
                <w:sz w:val="15"/>
              </w:rPr>
              <w:t>Users key the client in BIBS and upload the Trade payment file</w:t>
            </w:r>
          </w:p>
        </w:tc>
        <w:tc>
          <w:tcPr>
            <w:tcW w:type="dxa" w:w="3060"/>
            <w:tcMar>
              <w:top w:w="50" w:type="dxa"/>
              <w:bottom w:w="50" w:type="dxa"/>
              <w:left w:w="90" w:type="dxa"/>
              <w:right w:w="90" w:type="dxa"/>
            </w:tcMar>
            <w:shd w:val="clear" w:color="auto" w:fill="E5F5FF"/>
          </w:tcPr>
          <w:p>
            <w:pPr>
              <w:pStyle w:val="BDOITable"/>
            </w:pPr>
            <w:r>
              <w:rPr>
                <w:sz w:val="15"/>
              </w:rPr>
              <w:t>Trade client details; Trade payment file</w:t>
            </w:r>
          </w:p>
        </w:tc>
      </w:tr>
      <w:tr>
        <w:trPr>
          <w:cantSplit w:val="true"/>
        </w:trPr>
        <w:tc>
          <w:tcPr>
            <w:tcW w:type="dxa" w:w="680"/>
            <w:tcMar>
              <w:top w:w="50" w:type="dxa"/>
              <w:bottom w:w="50" w:type="dxa"/>
              <w:left w:w="90" w:type="dxa"/>
              <w:right w:w="90" w:type="dxa"/>
            </w:tcMar>
          </w:tcPr>
          <w:p>
            <w:pPr>
              <w:pStyle w:val="BDOITable"/>
            </w:pPr>
            <w:r>
              <w:rPr>
                <w:b/>
                <w:sz w:val="15"/>
              </w:rPr>
              <w:t>INT-16</w:t>
            </w:r>
          </w:p>
        </w:tc>
        <w:tc>
          <w:tcPr>
            <w:tcW w:type="dxa" w:w="1700"/>
            <w:tcMar>
              <w:top w:w="50" w:type="dxa"/>
              <w:bottom w:w="50" w:type="dxa"/>
              <w:left w:w="90" w:type="dxa"/>
              <w:right w:w="90" w:type="dxa"/>
            </w:tcMar>
          </w:tcPr>
          <w:p>
            <w:pPr>
              <w:pStyle w:val="BDOITable"/>
            </w:pPr>
            <w:r>
              <w:rPr>
                <w:sz w:val="15"/>
              </w:rPr>
              <w:t>EDP data ingestion (SD 11)</w:t>
            </w:r>
          </w:p>
        </w:tc>
        <w:tc>
          <w:tcPr>
            <w:tcW w:type="dxa" w:w="4533"/>
            <w:tcMar>
              <w:top w:w="50" w:type="dxa"/>
              <w:bottom w:w="50" w:type="dxa"/>
              <w:left w:w="90" w:type="dxa"/>
              <w:right w:w="90" w:type="dxa"/>
            </w:tcMar>
          </w:tcPr>
          <w:p>
            <w:pPr>
              <w:pStyle w:val="BDOITable"/>
            </w:pPr>
            <w:r>
              <w:rPr>
                <w:sz w:val="15"/>
              </w:rPr>
              <w:t>Daily extracts written to an EDP landing bucket (or events, IQ15)</w:t>
            </w:r>
          </w:p>
        </w:tc>
        <w:tc>
          <w:tcPr>
            <w:tcW w:type="dxa" w:w="3060"/>
            <w:tcMar>
              <w:top w:w="50" w:type="dxa"/>
              <w:bottom w:w="50" w:type="dxa"/>
              <w:left w:w="90" w:type="dxa"/>
              <w:right w:w="90" w:type="dxa"/>
            </w:tcMar>
          </w:tcPr>
          <w:p>
            <w:pPr>
              <w:pStyle w:val="BDOITable"/>
            </w:pPr>
            <w:r>
              <w:rPr>
                <w:sz w:val="15"/>
              </w:rPr>
              <w:t>Clients, accounts, invoices, receipts, remittances, GL; history and daily changes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INT-17</w:t>
            </w:r>
          </w:p>
        </w:tc>
        <w:tc>
          <w:tcPr>
            <w:tcW w:type="dxa" w:w="1700"/>
            <w:tcMar>
              <w:top w:w="50" w:type="dxa"/>
              <w:bottom w:w="50" w:type="dxa"/>
              <w:left w:w="90" w:type="dxa"/>
              <w:right w:w="90" w:type="dxa"/>
            </w:tcMar>
            <w:shd w:val="clear" w:color="auto" w:fill="E5F5FF"/>
          </w:tcPr>
          <w:p>
            <w:pPr>
              <w:pStyle w:val="BDOITable"/>
            </w:pPr>
            <w:r>
              <w:rPr>
                <w:sz w:val="15"/>
              </w:rPr>
              <w:t>EGL general ledger feed</w:t>
            </w:r>
          </w:p>
        </w:tc>
        <w:tc>
          <w:tcPr>
            <w:tcW w:type="dxa" w:w="4533"/>
            <w:tcMar>
              <w:top w:w="50" w:type="dxa"/>
              <w:bottom w:w="50" w:type="dxa"/>
              <w:left w:w="90" w:type="dxa"/>
              <w:right w:w="90" w:type="dxa"/>
            </w:tcMar>
            <w:shd w:val="clear" w:color="auto" w:fill="E5F5FF"/>
          </w:tcPr>
          <w:p>
            <w:pPr>
              <w:pStyle w:val="BDOITable"/>
            </w:pPr>
            <w:r>
              <w:rPr>
                <w:sz w:val="15"/>
              </w:rPr>
              <w:t>Daily journal detail or balance file (IQ16) through Apigee X or a file exchange</w:t>
            </w:r>
          </w:p>
        </w:tc>
        <w:tc>
          <w:tcPr>
            <w:tcW w:type="dxa" w:w="3060"/>
            <w:tcMar>
              <w:top w:w="50" w:type="dxa"/>
              <w:bottom w:w="50" w:type="dxa"/>
              <w:left w:w="90" w:type="dxa"/>
              <w:right w:w="90" w:type="dxa"/>
            </w:tcMar>
            <w:shd w:val="clear" w:color="auto" w:fill="E5F5FF"/>
          </w:tcPr>
          <w:p>
            <w:pPr>
              <w:pStyle w:val="BDOITable"/>
            </w:pPr>
            <w:r>
              <w:rPr>
                <w:sz w:val="15"/>
              </w:rPr>
              <w:t>Journals or trial balance by account, branch, cost centre, currency, mapped to EGL accounts</w:t>
            </w:r>
          </w:p>
        </w:tc>
      </w:tr>
      <w:tr>
        <w:trPr>
          <w:cantSplit w:val="true"/>
        </w:trPr>
        <w:tc>
          <w:tcPr>
            <w:tcW w:type="dxa" w:w="680"/>
            <w:tcMar>
              <w:top w:w="50" w:type="dxa"/>
              <w:bottom w:w="50" w:type="dxa"/>
              <w:left w:w="90" w:type="dxa"/>
              <w:right w:w="90" w:type="dxa"/>
            </w:tcMar>
          </w:tcPr>
          <w:p>
            <w:pPr>
              <w:pStyle w:val="BDOITable"/>
            </w:pPr>
            <w:r>
              <w:rPr>
                <w:b/>
                <w:sz w:val="15"/>
              </w:rPr>
              <w:t>INT-18</w:t>
            </w:r>
          </w:p>
        </w:tc>
        <w:tc>
          <w:tcPr>
            <w:tcW w:type="dxa" w:w="1700"/>
            <w:tcMar>
              <w:top w:w="50" w:type="dxa"/>
              <w:bottom w:w="50" w:type="dxa"/>
              <w:left w:w="90" w:type="dxa"/>
              <w:right w:w="90" w:type="dxa"/>
            </w:tcMar>
          </w:tcPr>
          <w:p>
            <w:pPr>
              <w:pStyle w:val="BDOITable"/>
            </w:pPr>
            <w:r>
              <w:rPr>
                <w:sz w:val="15"/>
              </w:rPr>
              <w:t>CARMS</w:t>
            </w:r>
          </w:p>
        </w:tc>
        <w:tc>
          <w:tcPr>
            <w:tcW w:type="dxa" w:w="4533"/>
            <w:tcMar>
              <w:top w:w="50" w:type="dxa"/>
              <w:bottom w:w="50" w:type="dxa"/>
              <w:left w:w="90" w:type="dxa"/>
              <w:right w:w="90" w:type="dxa"/>
            </w:tcMar>
          </w:tcPr>
          <w:p>
            <w:pPr>
              <w:pStyle w:val="BDOITable"/>
            </w:pPr>
            <w:r>
              <w:rPr>
                <w:sz w:val="15"/>
              </w:rPr>
              <w:t>To be agreed (IQ17)</w:t>
            </w:r>
          </w:p>
        </w:tc>
        <w:tc>
          <w:tcPr>
            <w:tcW w:type="dxa" w:w="3060"/>
            <w:tcMar>
              <w:top w:w="50" w:type="dxa"/>
              <w:bottom w:w="50" w:type="dxa"/>
              <w:left w:w="90" w:type="dxa"/>
              <w:right w:w="90" w:type="dxa"/>
            </w:tcMar>
          </w:tcPr>
          <w:p>
            <w:pPr>
              <w:pStyle w:val="BDOITable"/>
            </w:pPr>
            <w:r>
              <w:rPr>
                <w:sz w:val="15"/>
              </w:rPr>
              <w:t>To be agreed</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INT-19</w:t>
            </w:r>
          </w:p>
        </w:tc>
        <w:tc>
          <w:tcPr>
            <w:tcW w:type="dxa" w:w="1700"/>
            <w:tcMar>
              <w:top w:w="50" w:type="dxa"/>
              <w:bottom w:w="50" w:type="dxa"/>
              <w:left w:w="90" w:type="dxa"/>
              <w:right w:w="90" w:type="dxa"/>
            </w:tcMar>
            <w:shd w:val="clear" w:color="auto" w:fill="E5F5FF"/>
          </w:tcPr>
          <w:p>
            <w:pPr>
              <w:pStyle w:val="BDOITable"/>
            </w:pPr>
            <w:r>
              <w:rPr>
                <w:sz w:val="15"/>
              </w:rPr>
              <w:t>Insurer interfaces</w:t>
            </w:r>
          </w:p>
        </w:tc>
        <w:tc>
          <w:tcPr>
            <w:tcW w:type="dxa" w:w="4533"/>
            <w:tcMar>
              <w:top w:w="50" w:type="dxa"/>
              <w:bottom w:w="50" w:type="dxa"/>
              <w:left w:w="90" w:type="dxa"/>
              <w:right w:w="90" w:type="dxa"/>
            </w:tcMar>
            <w:shd w:val="clear" w:color="auto" w:fill="E5F5FF"/>
          </w:tcPr>
          <w:p>
            <w:pPr>
              <w:pStyle w:val="BDOITable"/>
            </w:pPr>
            <w:r>
              <w:rPr>
                <w:sz w:val="15"/>
              </w:rPr>
              <w:t>Per insurer: e-mail with protected attachments today; SFTP or API through Apigee X where the insurer offers it (IQ18)</w:t>
            </w:r>
          </w:p>
        </w:tc>
        <w:tc>
          <w:tcPr>
            <w:tcW w:type="dxa" w:w="3060"/>
            <w:tcMar>
              <w:top w:w="50" w:type="dxa"/>
              <w:bottom w:w="50" w:type="dxa"/>
              <w:left w:w="90" w:type="dxa"/>
              <w:right w:w="90" w:type="dxa"/>
            </w:tcMar>
            <w:shd w:val="clear" w:color="auto" w:fill="E5F5FF"/>
          </w:tcPr>
          <w:p>
            <w:pPr>
              <w:pStyle w:val="BDOITable"/>
            </w:pPr>
            <w:r>
              <w:rPr>
                <w:sz w:val="15"/>
              </w:rPr>
              <w:t>Placement slips, production reports and feedback, remittance schedules and ORs, DP billing responses, renewal responses, SOAs, e-policies, claims</w:t>
            </w:r>
          </w:p>
        </w:tc>
      </w:tr>
      <w:tr>
        <w:trPr>
          <w:cantSplit w:val="true"/>
        </w:trPr>
        <w:tc>
          <w:tcPr>
            <w:tcW w:type="dxa" w:w="680"/>
            <w:tcMar>
              <w:top w:w="50" w:type="dxa"/>
              <w:bottom w:w="50" w:type="dxa"/>
              <w:left w:w="90" w:type="dxa"/>
              <w:right w:w="90" w:type="dxa"/>
            </w:tcMar>
          </w:tcPr>
          <w:p>
            <w:pPr>
              <w:pStyle w:val="BDOITable"/>
            </w:pPr>
            <w:r>
              <w:rPr>
                <w:b/>
                <w:sz w:val="15"/>
              </w:rPr>
              <w:t>INT-20</w:t>
            </w:r>
          </w:p>
        </w:tc>
        <w:tc>
          <w:tcPr>
            <w:tcW w:type="dxa" w:w="1700"/>
            <w:tcMar>
              <w:top w:w="50" w:type="dxa"/>
              <w:bottom w:w="50" w:type="dxa"/>
              <w:left w:w="90" w:type="dxa"/>
              <w:right w:w="90" w:type="dxa"/>
            </w:tcMar>
          </w:tcPr>
          <w:p>
            <w:pPr>
              <w:pStyle w:val="BDOITable"/>
            </w:pPr>
            <w:r>
              <w:rPr>
                <w:sz w:val="15"/>
              </w:rPr>
              <w:t>Bridger Insight XG screening (manual)</w:t>
            </w:r>
          </w:p>
        </w:tc>
        <w:tc>
          <w:tcPr>
            <w:tcW w:type="dxa" w:w="4533"/>
            <w:tcMar>
              <w:top w:w="50" w:type="dxa"/>
              <w:bottom w:w="50" w:type="dxa"/>
              <w:left w:w="90" w:type="dxa"/>
              <w:right w:w="90" w:type="dxa"/>
            </w:tcMar>
          </w:tcPr>
          <w:p>
            <w:pPr>
              <w:pStyle w:val="BDOITable"/>
            </w:pPr>
            <w:r>
              <w:rPr>
                <w:sz w:val="15"/>
              </w:rPr>
              <w:t>Compliance screens names in Bridger and records the result in the BIBS screening case</w:t>
            </w:r>
          </w:p>
        </w:tc>
        <w:tc>
          <w:tcPr>
            <w:tcW w:type="dxa" w:w="3060"/>
            <w:tcMar>
              <w:top w:w="50" w:type="dxa"/>
              <w:bottom w:w="50" w:type="dxa"/>
              <w:left w:w="90" w:type="dxa"/>
              <w:right w:w="90" w:type="dxa"/>
            </w:tcMar>
          </w:tcPr>
          <w:p>
            <w:pPr>
              <w:pStyle w:val="BDOITable"/>
            </w:pPr>
            <w:r>
              <w:rPr>
                <w:sz w:val="15"/>
              </w:rPr>
              <w:t>Screening result and evidence</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INT-21</w:t>
            </w:r>
          </w:p>
        </w:tc>
        <w:tc>
          <w:tcPr>
            <w:tcW w:type="dxa" w:w="1700"/>
            <w:tcMar>
              <w:top w:w="50" w:type="dxa"/>
              <w:bottom w:w="50" w:type="dxa"/>
              <w:left w:w="90" w:type="dxa"/>
              <w:right w:w="90" w:type="dxa"/>
            </w:tcMar>
            <w:shd w:val="clear" w:color="auto" w:fill="E5F5FF"/>
          </w:tcPr>
          <w:p>
            <w:pPr>
              <w:pStyle w:val="BDOITable"/>
            </w:pPr>
            <w:r>
              <w:rPr>
                <w:sz w:val="15"/>
              </w:rPr>
              <w:t>Watchlist feeds (AML advisory, NLDS PEP)</w:t>
            </w:r>
          </w:p>
        </w:tc>
        <w:tc>
          <w:tcPr>
            <w:tcW w:type="dxa" w:w="4533"/>
            <w:tcMar>
              <w:top w:w="50" w:type="dxa"/>
              <w:bottom w:w="50" w:type="dxa"/>
              <w:left w:w="90" w:type="dxa"/>
              <w:right w:w="90" w:type="dxa"/>
            </w:tcMar>
            <w:shd w:val="clear" w:color="auto" w:fill="E5F5FF"/>
          </w:tcPr>
          <w:p>
            <w:pPr>
              <w:pStyle w:val="BDOITable"/>
            </w:pPr>
            <w:r>
              <w:rPr>
                <w:sz w:val="15"/>
              </w:rPr>
              <w:t>List files uploaded or dropped in the inbound bucket; daily ingestion job before business hours</w:t>
            </w:r>
          </w:p>
        </w:tc>
        <w:tc>
          <w:tcPr>
            <w:tcW w:type="dxa" w:w="3060"/>
            <w:tcMar>
              <w:top w:w="50" w:type="dxa"/>
              <w:bottom w:w="50" w:type="dxa"/>
              <w:left w:w="90" w:type="dxa"/>
              <w:right w:w="90" w:type="dxa"/>
            </w:tcMar>
            <w:shd w:val="clear" w:color="auto" w:fill="E5F5FF"/>
          </w:tcPr>
          <w:p>
            <w:pPr>
              <w:pStyle w:val="BDOITable"/>
            </w:pPr>
            <w:r>
              <w:rPr>
                <w:sz w:val="15"/>
              </w:rPr>
              <w:t>Sanction and PEP entries with aliases</w:t>
            </w:r>
          </w:p>
        </w:tc>
      </w:tr>
      <w:tr>
        <w:trPr>
          <w:cantSplit w:val="true"/>
        </w:trPr>
        <w:tc>
          <w:tcPr>
            <w:tcW w:type="dxa" w:w="680"/>
            <w:tcMar>
              <w:top w:w="50" w:type="dxa"/>
              <w:bottom w:w="50" w:type="dxa"/>
              <w:left w:w="90" w:type="dxa"/>
              <w:right w:w="90" w:type="dxa"/>
            </w:tcMar>
          </w:tcPr>
          <w:p>
            <w:pPr>
              <w:pStyle w:val="BDOITable"/>
            </w:pPr>
            <w:r>
              <w:rPr>
                <w:b/>
                <w:sz w:val="15"/>
              </w:rPr>
              <w:t>INT-22</w:t>
            </w:r>
          </w:p>
        </w:tc>
        <w:tc>
          <w:tcPr>
            <w:tcW w:type="dxa" w:w="1700"/>
            <w:tcMar>
              <w:top w:w="50" w:type="dxa"/>
              <w:bottom w:w="50" w:type="dxa"/>
              <w:left w:w="90" w:type="dxa"/>
              <w:right w:w="90" w:type="dxa"/>
            </w:tcMar>
          </w:tcPr>
          <w:p>
            <w:pPr>
              <w:pStyle w:val="BDOITable"/>
            </w:pPr>
            <w:r>
              <w:rPr>
                <w:sz w:val="15"/>
              </w:rPr>
              <w:t>AMLC STR filing</w:t>
            </w:r>
          </w:p>
        </w:tc>
        <w:tc>
          <w:tcPr>
            <w:tcW w:type="dxa" w:w="4533"/>
            <w:tcMar>
              <w:top w:w="50" w:type="dxa"/>
              <w:bottom w:w="50" w:type="dxa"/>
              <w:left w:w="90" w:type="dxa"/>
              <w:right w:w="90" w:type="dxa"/>
            </w:tcMar>
          </w:tcPr>
          <w:p>
            <w:pPr>
              <w:pStyle w:val="BDOITable"/>
            </w:pPr>
            <w:r>
              <w:rPr>
                <w:sz w:val="15"/>
              </w:rPr>
              <w:t>STR file extracted by BIBS in the configured layout; filed by Compliance on the AMLC portal; the AMLC reference recorded in BIBS</w:t>
            </w:r>
          </w:p>
        </w:tc>
        <w:tc>
          <w:tcPr>
            <w:tcW w:type="dxa" w:w="3060"/>
            <w:tcMar>
              <w:top w:w="50" w:type="dxa"/>
              <w:bottom w:w="50" w:type="dxa"/>
              <w:left w:w="90" w:type="dxa"/>
              <w:right w:w="90" w:type="dxa"/>
            </w:tcMar>
          </w:tcPr>
          <w:p>
            <w:pPr>
              <w:pStyle w:val="BDOITable"/>
            </w:pPr>
            <w:r>
              <w:rPr>
                <w:sz w:val="15"/>
              </w:rPr>
              <w:t>Suspicious transaction report and its transactions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INT-23</w:t>
            </w:r>
          </w:p>
        </w:tc>
        <w:tc>
          <w:tcPr>
            <w:tcW w:type="dxa" w:w="1700"/>
            <w:tcMar>
              <w:top w:w="50" w:type="dxa"/>
              <w:bottom w:w="50" w:type="dxa"/>
              <w:left w:w="90" w:type="dxa"/>
              <w:right w:w="90" w:type="dxa"/>
            </w:tcMar>
            <w:shd w:val="clear" w:color="auto" w:fill="E5F5FF"/>
          </w:tcPr>
          <w:p>
            <w:pPr>
              <w:pStyle w:val="BDOITable"/>
            </w:pPr>
            <w:r>
              <w:rPr>
                <w:sz w:val="15"/>
              </w:rPr>
              <w:t>BIR e-filing</w:t>
            </w:r>
          </w:p>
        </w:tc>
        <w:tc>
          <w:tcPr>
            <w:tcW w:type="dxa" w:w="4533"/>
            <w:tcMar>
              <w:top w:w="50" w:type="dxa"/>
              <w:bottom w:w="50" w:type="dxa"/>
              <w:left w:w="90" w:type="dxa"/>
              <w:right w:w="90" w:type="dxa"/>
            </w:tcMar>
            <w:shd w:val="clear" w:color="auto" w:fill="E5F5FF"/>
          </w:tcPr>
          <w:p>
            <w:pPr>
              <w:pStyle w:val="BDOITable"/>
            </w:pPr>
            <w:r>
              <w:rPr>
                <w:sz w:val="15"/>
              </w:rPr>
              <w:t>Returns, certificates (2307) and alphalists produced by BIBS; filed by Comptrollership on eFPS or eBIRForms; filing reference recorded</w:t>
            </w:r>
          </w:p>
        </w:tc>
        <w:tc>
          <w:tcPr>
            <w:tcW w:type="dxa" w:w="3060"/>
            <w:tcMar>
              <w:top w:w="50" w:type="dxa"/>
              <w:bottom w:w="50" w:type="dxa"/>
              <w:left w:w="90" w:type="dxa"/>
              <w:right w:w="90" w:type="dxa"/>
            </w:tcMar>
            <w:shd w:val="clear" w:color="auto" w:fill="E5F5FF"/>
          </w:tcPr>
          <w:p>
            <w:pPr>
              <w:pStyle w:val="BDOITable"/>
            </w:pPr>
            <w:r>
              <w:rPr>
                <w:sz w:val="15"/>
              </w:rPr>
              <w:t>2550Q, 0619-E, 1601-EQ with QAP, 2307, alphalists</w:t>
            </w:r>
          </w:p>
        </w:tc>
      </w:tr>
      <w:tr>
        <w:trPr>
          <w:cantSplit w:val="true"/>
        </w:trPr>
        <w:tc>
          <w:tcPr>
            <w:tcW w:type="dxa" w:w="680"/>
            <w:tcMar>
              <w:top w:w="50" w:type="dxa"/>
              <w:bottom w:w="50" w:type="dxa"/>
              <w:left w:w="90" w:type="dxa"/>
              <w:right w:w="90" w:type="dxa"/>
            </w:tcMar>
          </w:tcPr>
          <w:p>
            <w:pPr>
              <w:pStyle w:val="BDOITable"/>
            </w:pPr>
            <w:r>
              <w:rPr>
                <w:b/>
                <w:sz w:val="15"/>
              </w:rPr>
              <w:t>INT-24</w:t>
            </w:r>
          </w:p>
        </w:tc>
        <w:tc>
          <w:tcPr>
            <w:tcW w:type="dxa" w:w="1700"/>
            <w:tcMar>
              <w:top w:w="50" w:type="dxa"/>
              <w:bottom w:w="50" w:type="dxa"/>
              <w:left w:w="90" w:type="dxa"/>
              <w:right w:w="90" w:type="dxa"/>
            </w:tcMar>
          </w:tcPr>
          <w:p>
            <w:pPr>
              <w:pStyle w:val="BDOITable"/>
            </w:pPr>
            <w:r>
              <w:rPr>
                <w:sz w:val="15"/>
              </w:rPr>
              <w:t>Shared folders and file server (extract repository)</w:t>
            </w:r>
          </w:p>
        </w:tc>
        <w:tc>
          <w:tcPr>
            <w:tcW w:type="dxa" w:w="4533"/>
            <w:tcMar>
              <w:top w:w="50" w:type="dxa"/>
              <w:bottom w:w="50" w:type="dxa"/>
              <w:left w:w="90" w:type="dxa"/>
              <w:right w:w="90" w:type="dxa"/>
            </w:tcMar>
          </w:tcPr>
          <w:p>
            <w:pPr>
              <w:pStyle w:val="BDOITable"/>
            </w:pPr>
            <w:r>
              <w:rPr>
                <w:sz w:val="15"/>
              </w:rPr>
              <w:t>Scheduled files (Collections daily files, application-to-invoice file, remittance and DP lists) written to the reports bucket and offered for download; delivery to FS04 when the folder route is agreed</w:t>
            </w:r>
          </w:p>
        </w:tc>
        <w:tc>
          <w:tcPr>
            <w:tcW w:type="dxa" w:w="3060"/>
            <w:tcMar>
              <w:top w:w="50" w:type="dxa"/>
              <w:bottom w:w="50" w:type="dxa"/>
              <w:left w:w="90" w:type="dxa"/>
              <w:right w:w="90" w:type="dxa"/>
            </w:tcMar>
          </w:tcPr>
          <w:p>
            <w:pPr>
              <w:pStyle w:val="BDOITable"/>
            </w:pPr>
            <w:r>
              <w:rPr>
                <w:sz w:val="15"/>
              </w:rPr>
              <w:t>Report and extract files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INT-25</w:t>
            </w:r>
          </w:p>
        </w:tc>
        <w:tc>
          <w:tcPr>
            <w:tcW w:type="dxa" w:w="1700"/>
            <w:tcMar>
              <w:top w:w="50" w:type="dxa"/>
              <w:bottom w:w="50" w:type="dxa"/>
              <w:left w:w="90" w:type="dxa"/>
              <w:right w:w="90" w:type="dxa"/>
            </w:tcMar>
            <w:shd w:val="clear" w:color="auto" w:fill="E5F5FF"/>
          </w:tcPr>
          <w:p>
            <w:pPr>
              <w:pStyle w:val="BDOITable"/>
            </w:pPr>
            <w:r>
              <w:rPr>
                <w:sz w:val="15"/>
              </w:rPr>
              <w:t>Mail house print batches</w:t>
            </w:r>
          </w:p>
        </w:tc>
        <w:tc>
          <w:tcPr>
            <w:tcW w:type="dxa" w:w="4533"/>
            <w:tcMar>
              <w:top w:w="50" w:type="dxa"/>
              <w:bottom w:w="50" w:type="dxa"/>
              <w:left w:w="90" w:type="dxa"/>
              <w:right w:w="90" w:type="dxa"/>
            </w:tcMar>
            <w:shd w:val="clear" w:color="auto" w:fill="E5F5FF"/>
          </w:tcPr>
          <w:p>
            <w:pPr>
              <w:pStyle w:val="BDOITable"/>
            </w:pPr>
            <w:r>
              <w:rPr>
                <w:sz w:val="15"/>
              </w:rPr>
              <w:t>Merged PDF print batch with a control list per run</w:t>
            </w:r>
          </w:p>
        </w:tc>
        <w:tc>
          <w:tcPr>
            <w:tcW w:type="dxa" w:w="3060"/>
            <w:tcMar>
              <w:top w:w="50" w:type="dxa"/>
              <w:bottom w:w="50" w:type="dxa"/>
              <w:left w:w="90" w:type="dxa"/>
              <w:right w:w="90" w:type="dxa"/>
            </w:tcMar>
            <w:shd w:val="clear" w:color="auto" w:fill="E5F5FF"/>
          </w:tcPr>
          <w:p>
            <w:pPr>
              <w:pStyle w:val="BDOITable"/>
            </w:pPr>
            <w:r>
              <w:rPr>
                <w:sz w:val="15"/>
              </w:rPr>
              <w:t>Renewal advice and submitted-policy letters for printing</w:t>
            </w:r>
          </w:p>
        </w:tc>
      </w:tr>
      <w:tr>
        <w:trPr>
          <w:cantSplit w:val="true"/>
        </w:trPr>
        <w:tc>
          <w:tcPr>
            <w:tcW w:type="dxa" w:w="680"/>
            <w:tcMar>
              <w:top w:w="50" w:type="dxa"/>
              <w:bottom w:w="50" w:type="dxa"/>
              <w:left w:w="90" w:type="dxa"/>
              <w:right w:w="90" w:type="dxa"/>
            </w:tcMar>
          </w:tcPr>
          <w:p>
            <w:pPr>
              <w:pStyle w:val="BDOITable"/>
            </w:pPr>
            <w:r>
              <w:rPr>
                <w:b/>
                <w:sz w:val="15"/>
              </w:rPr>
              <w:t>INT-26</w:t>
            </w:r>
          </w:p>
        </w:tc>
        <w:tc>
          <w:tcPr>
            <w:tcW w:type="dxa" w:w="1700"/>
            <w:tcMar>
              <w:top w:w="50" w:type="dxa"/>
              <w:bottom w:w="50" w:type="dxa"/>
              <w:left w:w="90" w:type="dxa"/>
              <w:right w:w="90" w:type="dxa"/>
            </w:tcMar>
          </w:tcPr>
          <w:p>
            <w:pPr>
              <w:pStyle w:val="BDOITable"/>
            </w:pPr>
            <w:r>
              <w:rPr>
                <w:sz w:val="15"/>
              </w:rPr>
              <w:t>Document store</w:t>
            </w:r>
          </w:p>
        </w:tc>
        <w:tc>
          <w:tcPr>
            <w:tcW w:type="dxa" w:w="4533"/>
            <w:tcMar>
              <w:top w:w="50" w:type="dxa"/>
              <w:bottom w:w="50" w:type="dxa"/>
              <w:left w:w="90" w:type="dxa"/>
              <w:right w:w="90" w:type="dxa"/>
            </w:tcMar>
          </w:tcPr>
          <w:p>
            <w:pPr>
              <w:pStyle w:val="BDOITable"/>
            </w:pPr>
            <w:r>
              <w:rPr>
                <w:sz w:val="15"/>
              </w:rPr>
              <w:t>AWS SDK over the S3 VPC gateway; presigned links of 5 minutes for the browser</w:t>
            </w:r>
          </w:p>
        </w:tc>
        <w:tc>
          <w:tcPr>
            <w:tcW w:type="dxa" w:w="3060"/>
            <w:tcMar>
              <w:top w:w="50" w:type="dxa"/>
              <w:bottom w:w="50" w:type="dxa"/>
              <w:left w:w="90" w:type="dxa"/>
              <w:right w:w="90" w:type="dxa"/>
            </w:tcMar>
          </w:tcPr>
          <w:p>
            <w:pPr>
              <w:pStyle w:val="BDOITable"/>
            </w:pPr>
            <w:r>
              <w:rPr>
                <w:sz w:val="15"/>
              </w:rPr>
              <w:t>Attachments, generated documents, report files, inbound files, migration extracts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INT-27</w:t>
            </w:r>
          </w:p>
        </w:tc>
        <w:tc>
          <w:tcPr>
            <w:tcW w:type="dxa" w:w="1700"/>
            <w:tcMar>
              <w:top w:w="50" w:type="dxa"/>
              <w:bottom w:w="50" w:type="dxa"/>
              <w:left w:w="90" w:type="dxa"/>
              <w:right w:w="90" w:type="dxa"/>
            </w:tcMar>
            <w:shd w:val="clear" w:color="auto" w:fill="E5F5FF"/>
          </w:tcPr>
          <w:p>
            <w:pPr>
              <w:pStyle w:val="BDOITable"/>
            </w:pPr>
            <w:r>
              <w:rPr>
                <w:sz w:val="15"/>
              </w:rPr>
              <w:t>Legacy systems for data migration</w:t>
            </w:r>
          </w:p>
        </w:tc>
        <w:tc>
          <w:tcPr>
            <w:tcW w:type="dxa" w:w="4533"/>
            <w:tcMar>
              <w:top w:w="50" w:type="dxa"/>
              <w:bottom w:w="50" w:type="dxa"/>
              <w:left w:w="90" w:type="dxa"/>
              <w:right w:w="90" w:type="dxa"/>
            </w:tcMar>
            <w:shd w:val="clear" w:color="auto" w:fill="E5F5FF"/>
          </w:tcPr>
          <w:p>
            <w:pPr>
              <w:pStyle w:val="BDOITable"/>
            </w:pPr>
            <w:r>
              <w:rPr>
                <w:sz w:val="15"/>
              </w:rPr>
              <w:t>Extracts with a control file uploaded to the migration bucket (expiry after 5 days)</w:t>
            </w:r>
          </w:p>
        </w:tc>
        <w:tc>
          <w:tcPr>
            <w:tcW w:type="dxa" w:w="3060"/>
            <w:tcMar>
              <w:top w:w="50" w:type="dxa"/>
              <w:bottom w:w="50" w:type="dxa"/>
              <w:left w:w="90" w:type="dxa"/>
              <w:right w:w="90" w:type="dxa"/>
            </w:tcMar>
            <w:shd w:val="clear" w:color="auto" w:fill="E5F5FF"/>
          </w:tcPr>
          <w:p>
            <w:pPr>
              <w:pStyle w:val="BDOITable"/>
            </w:pPr>
            <w:r>
              <w:rPr>
                <w:sz w:val="15"/>
              </w:rPr>
              <w:t>Migration objects R, C, P and the opening balances</w:t>
            </w:r>
          </w:p>
        </w:tc>
      </w:tr>
      <w:tr>
        <w:trPr>
          <w:cantSplit w:val="true"/>
        </w:trPr>
        <w:tc>
          <w:tcPr>
            <w:tcW w:type="dxa" w:w="680"/>
            <w:tcMar>
              <w:top w:w="50" w:type="dxa"/>
              <w:bottom w:w="50" w:type="dxa"/>
              <w:left w:w="90" w:type="dxa"/>
              <w:right w:w="90" w:type="dxa"/>
            </w:tcMar>
          </w:tcPr>
          <w:p>
            <w:pPr>
              <w:pStyle w:val="BDOITable"/>
            </w:pPr>
            <w:r>
              <w:rPr>
                <w:b/>
                <w:sz w:val="15"/>
              </w:rPr>
              <w:t>INT-28</w:t>
            </w:r>
          </w:p>
        </w:tc>
        <w:tc>
          <w:tcPr>
            <w:tcW w:type="dxa" w:w="1700"/>
            <w:tcMar>
              <w:top w:w="50" w:type="dxa"/>
              <w:bottom w:w="50" w:type="dxa"/>
              <w:left w:w="90" w:type="dxa"/>
              <w:right w:w="90" w:type="dxa"/>
            </w:tcMar>
          </w:tcPr>
          <w:p>
            <w:pPr>
              <w:pStyle w:val="BDOITable"/>
            </w:pPr>
            <w:r>
              <w:rPr>
                <w:sz w:val="15"/>
              </w:rPr>
              <w:t>SMS notifications</w:t>
            </w:r>
          </w:p>
        </w:tc>
        <w:tc>
          <w:tcPr>
            <w:tcW w:type="dxa" w:w="4533"/>
            <w:tcMar>
              <w:top w:w="50" w:type="dxa"/>
              <w:bottom w:w="50" w:type="dxa"/>
              <w:left w:w="90" w:type="dxa"/>
              <w:right w:w="90" w:type="dxa"/>
            </w:tcMar>
          </w:tcPr>
          <w:p>
            <w:pPr>
              <w:pStyle w:val="BDOITable"/>
            </w:pPr>
            <w:r>
              <w:rPr>
                <w:sz w:val="15"/>
              </w:rPr>
              <w:t>No BRD requires SMS; notifications go by e-mail (INT-13) and in-app. An SMS channel would be added as a further transport of the messaging module through Apigee X</w:t>
            </w:r>
          </w:p>
        </w:tc>
        <w:tc>
          <w:tcPr>
            <w:tcW w:type="dxa" w:w="3060"/>
            <w:tcMar>
              <w:top w:w="50" w:type="dxa"/>
              <w:bottom w:w="50" w:type="dxa"/>
              <w:left w:w="90" w:type="dxa"/>
              <w:right w:w="90" w:type="dxa"/>
            </w:tcMar>
          </w:tcPr>
          <w:p>
            <w:pPr>
              <w:pStyle w:val="BDOITable"/>
            </w:pPr>
            <w:r>
              <w:rPr>
                <w:sz w:val="15"/>
              </w:rPr>
              <w:t>-</w:t>
            </w:r>
          </w:p>
        </w:tc>
      </w:tr>
    </w:tbl>
    <w:p>
      <w:pPr>
        <w:pStyle w:val="BDOISpacer"/>
      </w:pPr>
    </w:p>
    <w:p>
      <w:pPr>
        <w:pStyle w:val="Heading1"/>
        <w:pBdr>
          <w:bottom w:val="single" w:sz="4" w:space="4" w:color="99C1E7"/>
        </w:pBdr>
      </w:pPr>
      <w:bookmarkStart w:id="115" w:name="_Toc000115"/>
      <w:r>
        <w:rPr/>
        <w:t>6 Security per interface</w:t>
      </w:r>
      <w:bookmarkEnd w:id="115"/>
    </w:p>
    <w:p>
      <w:r>
        <w:rPr/>
        <w:t>General controls that apply to every interface:</w:t>
      </w:r>
    </w:p>
    <w:p>
      <w:pPr>
        <w:tabs>
          <w:tab w:pos="312" w:val="left"/>
        </w:tabs>
        <w:spacing w:after="40"/>
        <w:ind w:left="312" w:hanging="283"/>
      </w:pPr>
      <w:r>
        <w:rPr>
          <w:color w:val="004EA8"/>
        </w:rPr>
        <w:t>•</w:t>
        <w:tab/>
      </w:r>
      <w:r>
        <w:rPr/>
        <w:t>TLS 1.2 or higher on every hop; no plaintext protocol anywhere (the backend refuses to start in production with a plaintext connection).</w:t>
      </w:r>
    </w:p>
    <w:p>
      <w:pPr>
        <w:tabs>
          <w:tab w:pos="312" w:val="left"/>
        </w:tabs>
        <w:spacing w:after="40"/>
        <w:ind w:left="312" w:hanging="283"/>
      </w:pPr>
      <w:r>
        <w:rPr>
          <w:color w:val="004EA8"/>
        </w:rPr>
        <w:t>•</w:t>
        <w:tab/>
      </w:r>
      <w:r>
        <w:rPr/>
        <w:t>Synchronous calls: OAuth 2.0 client credentials through Apigee X with scopes per API; tokens validated by BIBS; source ranges limited at the WAF.</w:t>
      </w:r>
    </w:p>
    <w:p>
      <w:pPr>
        <w:tabs>
          <w:tab w:pos="312" w:val="left"/>
        </w:tabs>
        <w:spacing w:after="40"/>
        <w:ind w:left="312" w:hanging="283"/>
      </w:pPr>
      <w:r>
        <w:rPr>
          <w:color w:val="004EA8"/>
        </w:rPr>
        <w:t>•</w:t>
        <w:tab/>
      </w:r>
      <w:r>
        <w:rPr/>
        <w:t>Files: encrypted at rest with the BDOI KMS key of the bucket class; malware scan before processing; access by IAM role of the workload; presigned links valid 5 minutes, issued after the permission check and audited.</w:t>
      </w:r>
    </w:p>
    <w:p>
      <w:pPr>
        <w:tabs>
          <w:tab w:pos="312" w:val="left"/>
        </w:tabs>
        <w:spacing w:after="40"/>
        <w:ind w:left="312" w:hanging="283"/>
      </w:pPr>
      <w:r>
        <w:rPr>
          <w:color w:val="004EA8"/>
        </w:rPr>
        <w:t>•</w:t>
        <w:tab/>
      </w:r>
      <w:r>
        <w:rPr/>
        <w:t>Events: SASL_SSL; topics created by the application only; payloads without personal data.</w:t>
      </w:r>
    </w:p>
    <w:p>
      <w:pPr>
        <w:tabs>
          <w:tab w:pos="312" w:val="left"/>
        </w:tabs>
        <w:spacing w:after="120"/>
        <w:ind w:left="312" w:hanging="283"/>
      </w:pPr>
      <w:r>
        <w:rPr>
          <w:color w:val="004EA8"/>
        </w:rPr>
        <w:t>•</w:t>
        <w:tab/>
      </w:r>
      <w:r>
        <w:rPr/>
        <w:t>Personal data in extracts for non-production or for EDP is masked unless the recipient is authorised (IN-06).</w:t>
      </w:r>
    </w:p>
    <w:p>
      <w:pPr>
        <w:pStyle w:val="Caption"/>
        <w:keepNext/>
        <w:spacing w:after="60"/>
      </w:pPr>
      <w:r>
        <w:rPr>
          <w:b/>
          <w:i w:val="0"/>
        </w:rPr>
        <w:t xml:space="preserve">Table 9: </w:t>
      </w:r>
      <w:r>
        <w:rPr/>
        <w:t>Security per interface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1926"/>
        <w:gridCol w:w="736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Interface</w:t>
            </w:r>
          </w:p>
        </w:tc>
        <w:tc>
          <w:tcPr>
            <w:tcW w:type="dxa" w:w="7366"/>
            <w:shd w:val="clear" w:color="auto" w:fill="004EA8"/>
            <w:tcMar>
              <w:top w:w="50" w:type="dxa"/>
              <w:bottom w:w="50" w:type="dxa"/>
              <w:left w:w="90" w:type="dxa"/>
              <w:right w:w="90" w:type="dxa"/>
            </w:tcMar>
            <w:vAlign w:val="center"/>
          </w:tcPr>
          <w:p>
            <w:pPr>
              <w:pStyle w:val="BDOITableHeader"/>
            </w:pPr>
            <w:r>
              <w:rPr>
                <w:b/>
                <w:color w:val="FFFFFF"/>
                <w:sz w:val="15"/>
              </w:rPr>
              <w:t>Security controls</w:t>
            </w:r>
          </w:p>
        </w:tc>
      </w:tr>
      <w:tr>
        <w:trPr>
          <w:cantSplit w:val="true"/>
        </w:trPr>
        <w:tc>
          <w:tcPr>
            <w:tcW w:type="dxa" w:w="680"/>
            <w:tcMar>
              <w:top w:w="50" w:type="dxa"/>
              <w:bottom w:w="50" w:type="dxa"/>
              <w:left w:w="90" w:type="dxa"/>
              <w:right w:w="90" w:type="dxa"/>
            </w:tcMar>
          </w:tcPr>
          <w:p>
            <w:pPr>
              <w:pStyle w:val="BDOITable"/>
            </w:pPr>
            <w:r>
              <w:rPr>
                <w:b/>
                <w:sz w:val="15"/>
              </w:rPr>
              <w:t>INT-01</w:t>
            </w:r>
          </w:p>
        </w:tc>
        <w:tc>
          <w:tcPr>
            <w:tcW w:type="dxa" w:w="1926"/>
            <w:tcMar>
              <w:top w:w="50" w:type="dxa"/>
              <w:bottom w:w="50" w:type="dxa"/>
              <w:left w:w="90" w:type="dxa"/>
              <w:right w:w="90" w:type="dxa"/>
            </w:tcMar>
          </w:tcPr>
          <w:p>
            <w:pPr>
              <w:pStyle w:val="BDOITable"/>
            </w:pPr>
            <w:r>
              <w:rPr>
                <w:sz w:val="15"/>
              </w:rPr>
              <w:t>EIAM single sign-on</w:t>
            </w:r>
          </w:p>
        </w:tc>
        <w:tc>
          <w:tcPr>
            <w:tcW w:type="dxa" w:w="7366"/>
            <w:tcMar>
              <w:top w:w="50" w:type="dxa"/>
              <w:bottom w:w="50" w:type="dxa"/>
              <w:left w:w="90" w:type="dxa"/>
              <w:right w:w="90" w:type="dxa"/>
            </w:tcMar>
          </w:tcPr>
          <w:p>
            <w:pPr>
              <w:pStyle w:val="BDOITable"/>
            </w:pPr>
            <w:r>
              <w:rPr>
                <w:sz w:val="15"/>
              </w:rPr>
              <w:t>Confidential client; ID token signature from the tenant key set, issuer, audience, expiry and nonce checked; roles stay in BIBS; break-glass administrators keep a local password with TOTP</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INT-02</w:t>
            </w:r>
          </w:p>
        </w:tc>
        <w:tc>
          <w:tcPr>
            <w:tcW w:type="dxa" w:w="1926"/>
            <w:tcMar>
              <w:top w:w="50" w:type="dxa"/>
              <w:bottom w:w="50" w:type="dxa"/>
              <w:left w:w="90" w:type="dxa"/>
              <w:right w:w="90" w:type="dxa"/>
            </w:tcMar>
            <w:shd w:val="clear" w:color="auto" w:fill="E5F5FF"/>
          </w:tcPr>
          <w:p>
            <w:pPr>
              <w:pStyle w:val="BDOITable"/>
            </w:pPr>
            <w:r>
              <w:rPr>
                <w:sz w:val="15"/>
              </w:rPr>
              <w:t>UIDM-ISC provisioning</w:t>
            </w:r>
          </w:p>
        </w:tc>
        <w:tc>
          <w:tcPr>
            <w:tcW w:type="dxa" w:w="7366"/>
            <w:tcMar>
              <w:top w:w="50" w:type="dxa"/>
              <w:bottom w:w="50" w:type="dxa"/>
              <w:left w:w="90" w:type="dxa"/>
              <w:right w:w="90" w:type="dxa"/>
            </w:tcMar>
            <w:shd w:val="clear" w:color="auto" w:fill="E5F5FF"/>
          </w:tcPr>
          <w:p>
            <w:pPr>
              <w:pStyle w:val="BDOITable"/>
            </w:pPr>
            <w:r>
              <w:rPr>
                <w:sz w:val="15"/>
              </w:rPr>
              <w:t>Apigee X OAuth 2.0 client credentials token with the SCIM scopes; TLS over the private route from Apigee X to the internal load balancer</w:t>
            </w:r>
          </w:p>
        </w:tc>
      </w:tr>
      <w:tr>
        <w:trPr>
          <w:cantSplit w:val="true"/>
        </w:trPr>
        <w:tc>
          <w:tcPr>
            <w:tcW w:type="dxa" w:w="680"/>
            <w:tcMar>
              <w:top w:w="50" w:type="dxa"/>
              <w:bottom w:w="50" w:type="dxa"/>
              <w:left w:w="90" w:type="dxa"/>
              <w:right w:w="90" w:type="dxa"/>
            </w:tcMar>
          </w:tcPr>
          <w:p>
            <w:pPr>
              <w:pStyle w:val="BDOITable"/>
            </w:pPr>
            <w:r>
              <w:rPr>
                <w:b/>
                <w:sz w:val="15"/>
              </w:rPr>
              <w:t>INT-03</w:t>
            </w:r>
          </w:p>
        </w:tc>
        <w:tc>
          <w:tcPr>
            <w:tcW w:type="dxa" w:w="1926"/>
            <w:tcMar>
              <w:top w:w="50" w:type="dxa"/>
              <w:bottom w:w="50" w:type="dxa"/>
              <w:left w:w="90" w:type="dxa"/>
              <w:right w:w="90" w:type="dxa"/>
            </w:tcMar>
          </w:tcPr>
          <w:p>
            <w:pPr>
              <w:pStyle w:val="BDOITable"/>
            </w:pPr>
            <w:r>
              <w:rPr>
                <w:sz w:val="15"/>
              </w:rPr>
              <w:t>LMS loan data</w:t>
            </w:r>
          </w:p>
        </w:tc>
        <w:tc>
          <w:tcPr>
            <w:tcW w:type="dxa" w:w="7366"/>
            <w:tcMar>
              <w:top w:w="50" w:type="dxa"/>
              <w:bottom w:w="50" w:type="dxa"/>
              <w:left w:w="90" w:type="dxa"/>
              <w:right w:w="90" w:type="dxa"/>
            </w:tcMar>
          </w:tcPr>
          <w:p>
            <w:pPr>
              <w:pStyle w:val="BDOITable"/>
            </w:pPr>
            <w:r>
              <w:rPr>
                <w:sz w:val="15"/>
              </w:rPr>
              <w:t>File encrypted in transit (TLS); SSE-KMS at rest; malware scan before processing</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INT-04</w:t>
            </w:r>
          </w:p>
        </w:tc>
        <w:tc>
          <w:tcPr>
            <w:tcW w:type="dxa" w:w="1926"/>
            <w:tcMar>
              <w:top w:w="50" w:type="dxa"/>
              <w:bottom w:w="50" w:type="dxa"/>
              <w:left w:w="90" w:type="dxa"/>
              <w:right w:w="90" w:type="dxa"/>
            </w:tcMar>
            <w:shd w:val="clear" w:color="auto" w:fill="E5F5FF"/>
          </w:tcPr>
          <w:p>
            <w:pPr>
              <w:pStyle w:val="BDOITable"/>
            </w:pPr>
            <w:r>
              <w:rPr>
                <w:sz w:val="15"/>
              </w:rPr>
              <w:t>HL-LOAS quotation requests and loan data</w:t>
            </w:r>
          </w:p>
        </w:tc>
        <w:tc>
          <w:tcPr>
            <w:tcW w:type="dxa" w:w="7366"/>
            <w:tcMar>
              <w:top w:w="50" w:type="dxa"/>
              <w:bottom w:w="50" w:type="dxa"/>
              <w:left w:w="90" w:type="dxa"/>
              <w:right w:w="90" w:type="dxa"/>
            </w:tcMar>
            <w:shd w:val="clear" w:color="auto" w:fill="E5F5FF"/>
          </w:tcPr>
          <w:p>
            <w:pPr>
              <w:pStyle w:val="BDOITable"/>
            </w:pPr>
            <w:r>
              <w:rPr>
                <w:sz w:val="15"/>
              </w:rPr>
              <w:t>Apigee X token with the quotation-request scope; files as INT-03</w:t>
            </w:r>
          </w:p>
        </w:tc>
      </w:tr>
      <w:tr>
        <w:trPr>
          <w:cantSplit w:val="true"/>
        </w:trPr>
        <w:tc>
          <w:tcPr>
            <w:tcW w:type="dxa" w:w="680"/>
            <w:tcMar>
              <w:top w:w="50" w:type="dxa"/>
              <w:bottom w:w="50" w:type="dxa"/>
              <w:left w:w="90" w:type="dxa"/>
              <w:right w:w="90" w:type="dxa"/>
            </w:tcMar>
          </w:tcPr>
          <w:p>
            <w:pPr>
              <w:pStyle w:val="BDOITable"/>
            </w:pPr>
            <w:r>
              <w:rPr>
                <w:b/>
                <w:sz w:val="15"/>
              </w:rPr>
              <w:t>INT-05</w:t>
            </w:r>
          </w:p>
        </w:tc>
        <w:tc>
          <w:tcPr>
            <w:tcW w:type="dxa" w:w="1926"/>
            <w:tcMar>
              <w:top w:w="50" w:type="dxa"/>
              <w:bottom w:w="50" w:type="dxa"/>
              <w:left w:w="90" w:type="dxa"/>
              <w:right w:w="90" w:type="dxa"/>
            </w:tcMar>
          </w:tcPr>
          <w:p>
            <w:pPr>
              <w:pStyle w:val="BDOITable"/>
            </w:pPr>
            <w:r>
              <w:rPr>
                <w:sz w:val="15"/>
              </w:rPr>
              <w:t>LFS insurance report</w:t>
            </w:r>
          </w:p>
        </w:tc>
        <w:tc>
          <w:tcPr>
            <w:tcW w:type="dxa" w:w="7366"/>
            <w:tcMar>
              <w:top w:w="50" w:type="dxa"/>
              <w:bottom w:w="50" w:type="dxa"/>
              <w:left w:w="90" w:type="dxa"/>
              <w:right w:w="90" w:type="dxa"/>
            </w:tcMar>
          </w:tcPr>
          <w:p>
            <w:pPr>
              <w:pStyle w:val="BDOITable"/>
            </w:pPr>
            <w:r>
              <w:rPr>
                <w:sz w:val="15"/>
              </w:rPr>
              <w:t>As INT-03</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INT-06</w:t>
            </w:r>
          </w:p>
        </w:tc>
        <w:tc>
          <w:tcPr>
            <w:tcW w:type="dxa" w:w="1926"/>
            <w:tcMar>
              <w:top w:w="50" w:type="dxa"/>
              <w:bottom w:w="50" w:type="dxa"/>
              <w:left w:w="90" w:type="dxa"/>
              <w:right w:w="90" w:type="dxa"/>
            </w:tcMar>
            <w:shd w:val="clear" w:color="auto" w:fill="E5F5FF"/>
          </w:tcPr>
          <w:p>
            <w:pPr>
              <w:pStyle w:val="BDOITable"/>
            </w:pPr>
            <w:r>
              <w:rPr>
                <w:sz w:val="15"/>
              </w:rPr>
              <w:t>PMS post-dated checks</w:t>
            </w:r>
          </w:p>
        </w:tc>
        <w:tc>
          <w:tcPr>
            <w:tcW w:type="dxa" w:w="7366"/>
            <w:tcMar>
              <w:top w:w="50" w:type="dxa"/>
              <w:bottom w:w="50" w:type="dxa"/>
              <w:left w:w="90" w:type="dxa"/>
              <w:right w:w="90" w:type="dxa"/>
            </w:tcMar>
            <w:shd w:val="clear" w:color="auto" w:fill="E5F5FF"/>
          </w:tcPr>
          <w:p>
            <w:pPr>
              <w:pStyle w:val="BDOITable"/>
            </w:pPr>
            <w:r>
              <w:rPr>
                <w:sz w:val="15"/>
              </w:rPr>
              <w:t>As INT-03</w:t>
            </w:r>
          </w:p>
        </w:tc>
      </w:tr>
      <w:tr>
        <w:trPr>
          <w:cantSplit w:val="true"/>
        </w:trPr>
        <w:tc>
          <w:tcPr>
            <w:tcW w:type="dxa" w:w="680"/>
            <w:tcMar>
              <w:top w:w="50" w:type="dxa"/>
              <w:bottom w:w="50" w:type="dxa"/>
              <w:left w:w="90" w:type="dxa"/>
              <w:right w:w="90" w:type="dxa"/>
            </w:tcMar>
          </w:tcPr>
          <w:p>
            <w:pPr>
              <w:pStyle w:val="BDOITable"/>
            </w:pPr>
            <w:r>
              <w:rPr>
                <w:b/>
                <w:sz w:val="15"/>
              </w:rPr>
              <w:t>INT-07</w:t>
            </w:r>
          </w:p>
        </w:tc>
        <w:tc>
          <w:tcPr>
            <w:tcW w:type="dxa" w:w="1926"/>
            <w:tcMar>
              <w:top w:w="50" w:type="dxa"/>
              <w:bottom w:w="50" w:type="dxa"/>
              <w:left w:w="90" w:type="dxa"/>
              <w:right w:w="90" w:type="dxa"/>
            </w:tcMar>
          </w:tcPr>
          <w:p>
            <w:pPr>
              <w:pStyle w:val="BDOITable"/>
            </w:pPr>
            <w:r>
              <w:rPr>
                <w:sz w:val="15"/>
              </w:rPr>
              <w:t>CMS / New BOB outward payments</w:t>
            </w:r>
          </w:p>
        </w:tc>
        <w:tc>
          <w:tcPr>
            <w:tcW w:type="dxa" w:w="7366"/>
            <w:tcMar>
              <w:top w:w="50" w:type="dxa"/>
              <w:bottom w:w="50" w:type="dxa"/>
              <w:left w:w="90" w:type="dxa"/>
              <w:right w:w="90" w:type="dxa"/>
            </w:tcMar>
          </w:tcPr>
          <w:p>
            <w:pPr>
              <w:pStyle w:val="BDOITable"/>
            </w:pPr>
            <w:r>
              <w:rPr>
                <w:sz w:val="15"/>
              </w:rPr>
              <w:t>Signed and encrypted file per bank standard; approvals in BIBS before the file is released</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INT-08</w:t>
            </w:r>
          </w:p>
        </w:tc>
        <w:tc>
          <w:tcPr>
            <w:tcW w:type="dxa" w:w="1926"/>
            <w:tcMar>
              <w:top w:w="50" w:type="dxa"/>
              <w:bottom w:w="50" w:type="dxa"/>
              <w:left w:w="90" w:type="dxa"/>
              <w:right w:w="90" w:type="dxa"/>
            </w:tcMar>
            <w:shd w:val="clear" w:color="auto" w:fill="E5F5FF"/>
          </w:tcPr>
          <w:p>
            <w:pPr>
              <w:pStyle w:val="BDOITable"/>
            </w:pPr>
            <w:r>
              <w:rPr>
                <w:sz w:val="15"/>
              </w:rPr>
              <w:t>OBPCS bills payment collections</w:t>
            </w:r>
          </w:p>
        </w:tc>
        <w:tc>
          <w:tcPr>
            <w:tcW w:type="dxa" w:w="7366"/>
            <w:tcMar>
              <w:top w:w="50" w:type="dxa"/>
              <w:bottom w:w="50" w:type="dxa"/>
              <w:left w:w="90" w:type="dxa"/>
              <w:right w:w="90" w:type="dxa"/>
            </w:tcMar>
            <w:shd w:val="clear" w:color="auto" w:fill="E5F5FF"/>
          </w:tcPr>
          <w:p>
            <w:pPr>
              <w:pStyle w:val="BDOITable"/>
            </w:pPr>
            <w:r>
              <w:rPr>
                <w:sz w:val="15"/>
              </w:rPr>
              <w:t>As INT-03</w:t>
            </w:r>
          </w:p>
        </w:tc>
      </w:tr>
      <w:tr>
        <w:trPr>
          <w:cantSplit w:val="true"/>
        </w:trPr>
        <w:tc>
          <w:tcPr>
            <w:tcW w:type="dxa" w:w="680"/>
            <w:tcMar>
              <w:top w:w="50" w:type="dxa"/>
              <w:bottom w:w="50" w:type="dxa"/>
              <w:left w:w="90" w:type="dxa"/>
              <w:right w:w="90" w:type="dxa"/>
            </w:tcMar>
          </w:tcPr>
          <w:p>
            <w:pPr>
              <w:pStyle w:val="BDOITable"/>
            </w:pPr>
            <w:r>
              <w:rPr>
                <w:b/>
                <w:sz w:val="15"/>
              </w:rPr>
              <w:t>INT-09</w:t>
            </w:r>
          </w:p>
        </w:tc>
        <w:tc>
          <w:tcPr>
            <w:tcW w:type="dxa" w:w="1926"/>
            <w:tcMar>
              <w:top w:w="50" w:type="dxa"/>
              <w:bottom w:w="50" w:type="dxa"/>
              <w:left w:w="90" w:type="dxa"/>
              <w:right w:w="90" w:type="dxa"/>
            </w:tcMar>
          </w:tcPr>
          <w:p>
            <w:pPr>
              <w:pStyle w:val="BDOITable"/>
            </w:pPr>
            <w:r>
              <w:rPr>
                <w:sz w:val="15"/>
              </w:rPr>
              <w:t>Old BOB SOA funds transfers</w:t>
            </w:r>
          </w:p>
        </w:tc>
        <w:tc>
          <w:tcPr>
            <w:tcW w:type="dxa" w:w="7366"/>
            <w:tcMar>
              <w:top w:w="50" w:type="dxa"/>
              <w:bottom w:w="50" w:type="dxa"/>
              <w:left w:w="90" w:type="dxa"/>
              <w:right w:w="90" w:type="dxa"/>
            </w:tcMar>
          </w:tcPr>
          <w:p>
            <w:pPr>
              <w:pStyle w:val="BDOITable"/>
            </w:pPr>
            <w:r>
              <w:rPr>
                <w:sz w:val="15"/>
              </w:rPr>
              <w:t>As INT-03</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INT-10</w:t>
            </w:r>
          </w:p>
        </w:tc>
        <w:tc>
          <w:tcPr>
            <w:tcW w:type="dxa" w:w="1926"/>
            <w:tcMar>
              <w:top w:w="50" w:type="dxa"/>
              <w:bottom w:w="50" w:type="dxa"/>
              <w:left w:w="90" w:type="dxa"/>
              <w:right w:w="90" w:type="dxa"/>
            </w:tcMar>
            <w:shd w:val="clear" w:color="auto" w:fill="E5F5FF"/>
          </w:tcPr>
          <w:p>
            <w:pPr>
              <w:pStyle w:val="BDOITable"/>
            </w:pPr>
            <w:r>
              <w:rPr>
                <w:sz w:val="15"/>
              </w:rPr>
              <w:t>AFTS automatic fund transfer</w:t>
            </w:r>
          </w:p>
        </w:tc>
        <w:tc>
          <w:tcPr>
            <w:tcW w:type="dxa" w:w="7366"/>
            <w:tcMar>
              <w:top w:w="50" w:type="dxa"/>
              <w:bottom w:w="50" w:type="dxa"/>
              <w:left w:w="90" w:type="dxa"/>
              <w:right w:w="90" w:type="dxa"/>
            </w:tcMar>
            <w:shd w:val="clear" w:color="auto" w:fill="E5F5FF"/>
          </w:tcPr>
          <w:p>
            <w:pPr>
              <w:pStyle w:val="BDOITable"/>
            </w:pPr>
            <w:r>
              <w:rPr>
                <w:sz w:val="15"/>
              </w:rPr>
              <w:t>As INT-07</w:t>
            </w:r>
          </w:p>
        </w:tc>
      </w:tr>
      <w:tr>
        <w:trPr>
          <w:cantSplit w:val="true"/>
        </w:trPr>
        <w:tc>
          <w:tcPr>
            <w:tcW w:type="dxa" w:w="680"/>
            <w:tcMar>
              <w:top w:w="50" w:type="dxa"/>
              <w:bottom w:w="50" w:type="dxa"/>
              <w:left w:w="90" w:type="dxa"/>
              <w:right w:w="90" w:type="dxa"/>
            </w:tcMar>
          </w:tcPr>
          <w:p>
            <w:pPr>
              <w:pStyle w:val="BDOITable"/>
            </w:pPr>
            <w:r>
              <w:rPr>
                <w:b/>
                <w:sz w:val="15"/>
              </w:rPr>
              <w:t>INT-12</w:t>
            </w:r>
          </w:p>
        </w:tc>
        <w:tc>
          <w:tcPr>
            <w:tcW w:type="dxa" w:w="1926"/>
            <w:tcMar>
              <w:top w:w="50" w:type="dxa"/>
              <w:bottom w:w="50" w:type="dxa"/>
              <w:left w:w="90" w:type="dxa"/>
              <w:right w:w="90" w:type="dxa"/>
            </w:tcMar>
          </w:tcPr>
          <w:p>
            <w:pPr>
              <w:pStyle w:val="BDOITable"/>
            </w:pPr>
            <w:r>
              <w:rPr>
                <w:sz w:val="15"/>
              </w:rPr>
              <w:t>ECM records archive</w:t>
            </w:r>
          </w:p>
        </w:tc>
        <w:tc>
          <w:tcPr>
            <w:tcW w:type="dxa" w:w="7366"/>
            <w:tcMar>
              <w:top w:w="50" w:type="dxa"/>
              <w:bottom w:w="50" w:type="dxa"/>
              <w:left w:w="90" w:type="dxa"/>
              <w:right w:w="90" w:type="dxa"/>
            </w:tcMar>
          </w:tcPr>
          <w:p>
            <w:pPr>
              <w:pStyle w:val="BDOITable"/>
            </w:pPr>
            <w:r>
              <w:rPr>
                <w:sz w:val="15"/>
              </w:rPr>
              <w:t>Kafka SASL_SSL; S3 read through a presigned link or the ECM role; payload without personal data</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INT-13</w:t>
            </w:r>
          </w:p>
        </w:tc>
        <w:tc>
          <w:tcPr>
            <w:tcW w:type="dxa" w:w="1926"/>
            <w:tcMar>
              <w:top w:w="50" w:type="dxa"/>
              <w:bottom w:w="50" w:type="dxa"/>
              <w:left w:w="90" w:type="dxa"/>
              <w:right w:w="90" w:type="dxa"/>
            </w:tcMar>
            <w:shd w:val="clear" w:color="auto" w:fill="E5F5FF"/>
          </w:tcPr>
          <w:p>
            <w:pPr>
              <w:pStyle w:val="BDOITable"/>
            </w:pPr>
            <w:r>
              <w:rPr>
                <w:sz w:val="15"/>
              </w:rPr>
              <w:t>CCM outbound e-mail</w:t>
            </w:r>
          </w:p>
        </w:tc>
        <w:tc>
          <w:tcPr>
            <w:tcW w:type="dxa" w:w="7366"/>
            <w:tcMar>
              <w:top w:w="50" w:type="dxa"/>
              <w:bottom w:w="50" w:type="dxa"/>
              <w:left w:w="90" w:type="dxa"/>
              <w:right w:w="90" w:type="dxa"/>
            </w:tcMar>
            <w:shd w:val="clear" w:color="auto" w:fill="E5F5FF"/>
          </w:tcPr>
          <w:p>
            <w:pPr>
              <w:pStyle w:val="BDOITable"/>
            </w:pPr>
            <w:r>
              <w:rPr>
                <w:sz w:val="15"/>
              </w:rPr>
              <w:t>TLS; authenticated relay; attachments protected with the document password policy</w:t>
            </w:r>
          </w:p>
        </w:tc>
      </w:tr>
      <w:tr>
        <w:trPr>
          <w:cantSplit w:val="true"/>
        </w:trPr>
        <w:tc>
          <w:tcPr>
            <w:tcW w:type="dxa" w:w="680"/>
            <w:tcMar>
              <w:top w:w="50" w:type="dxa"/>
              <w:bottom w:w="50" w:type="dxa"/>
              <w:left w:w="90" w:type="dxa"/>
              <w:right w:w="90" w:type="dxa"/>
            </w:tcMar>
          </w:tcPr>
          <w:p>
            <w:pPr>
              <w:pStyle w:val="BDOITable"/>
            </w:pPr>
            <w:r>
              <w:rPr>
                <w:b/>
                <w:sz w:val="15"/>
              </w:rPr>
              <w:t>INT-14</w:t>
            </w:r>
          </w:p>
        </w:tc>
        <w:tc>
          <w:tcPr>
            <w:tcW w:type="dxa" w:w="1926"/>
            <w:tcMar>
              <w:top w:w="50" w:type="dxa"/>
              <w:bottom w:w="50" w:type="dxa"/>
              <w:left w:w="90" w:type="dxa"/>
              <w:right w:w="90" w:type="dxa"/>
            </w:tcMar>
          </w:tcPr>
          <w:p>
            <w:pPr>
              <w:pStyle w:val="BDOITable"/>
            </w:pPr>
            <w:r>
              <w:rPr>
                <w:sz w:val="15"/>
              </w:rPr>
              <w:t>M365 Exchange mailboxes</w:t>
            </w:r>
          </w:p>
        </w:tc>
        <w:tc>
          <w:tcPr>
            <w:tcW w:type="dxa" w:w="7366"/>
            <w:tcMar>
              <w:top w:w="50" w:type="dxa"/>
              <w:bottom w:w="50" w:type="dxa"/>
              <w:left w:w="90" w:type="dxa"/>
              <w:right w:w="90" w:type="dxa"/>
            </w:tcMar>
          </w:tcPr>
          <w:p>
            <w:pPr>
              <w:pStyle w:val="BDOITable"/>
            </w:pPr>
            <w:r>
              <w:rPr>
                <w:sz w:val="15"/>
              </w:rPr>
              <w:t>Application permission limited to the named mailboxes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INT-15</w:t>
            </w:r>
          </w:p>
        </w:tc>
        <w:tc>
          <w:tcPr>
            <w:tcW w:type="dxa" w:w="1926"/>
            <w:tcMar>
              <w:top w:w="50" w:type="dxa"/>
              <w:bottom w:w="50" w:type="dxa"/>
              <w:left w:w="90" w:type="dxa"/>
              <w:right w:w="90" w:type="dxa"/>
            </w:tcMar>
            <w:shd w:val="clear" w:color="auto" w:fill="E5F5FF"/>
          </w:tcPr>
          <w:p>
            <w:pPr>
              <w:pStyle w:val="BDOITable"/>
            </w:pPr>
            <w:r>
              <w:rPr>
                <w:sz w:val="15"/>
              </w:rPr>
              <w:t>TFS trade clients (manual)</w:t>
            </w:r>
          </w:p>
        </w:tc>
        <w:tc>
          <w:tcPr>
            <w:tcW w:type="dxa" w:w="7366"/>
            <w:tcMar>
              <w:top w:w="50" w:type="dxa"/>
              <w:bottom w:w="50" w:type="dxa"/>
              <w:left w:w="90" w:type="dxa"/>
              <w:right w:w="90" w:type="dxa"/>
            </w:tcMar>
            <w:shd w:val="clear" w:color="auto" w:fill="E5F5FF"/>
          </w:tcPr>
          <w:p>
            <w:pPr>
              <w:pStyle w:val="BDOITable"/>
            </w:pPr>
            <w:r>
              <w:rPr>
                <w:sz w:val="15"/>
              </w:rPr>
              <w:t>User permissions and upload checks</w:t>
            </w:r>
          </w:p>
        </w:tc>
      </w:tr>
      <w:tr>
        <w:trPr>
          <w:cantSplit w:val="true"/>
        </w:trPr>
        <w:tc>
          <w:tcPr>
            <w:tcW w:type="dxa" w:w="680"/>
            <w:tcMar>
              <w:top w:w="50" w:type="dxa"/>
              <w:bottom w:w="50" w:type="dxa"/>
              <w:left w:w="90" w:type="dxa"/>
              <w:right w:w="90" w:type="dxa"/>
            </w:tcMar>
          </w:tcPr>
          <w:p>
            <w:pPr>
              <w:pStyle w:val="BDOITable"/>
            </w:pPr>
            <w:r>
              <w:rPr>
                <w:b/>
                <w:sz w:val="15"/>
              </w:rPr>
              <w:t>INT-16</w:t>
            </w:r>
          </w:p>
        </w:tc>
        <w:tc>
          <w:tcPr>
            <w:tcW w:type="dxa" w:w="1926"/>
            <w:tcMar>
              <w:top w:w="50" w:type="dxa"/>
              <w:bottom w:w="50" w:type="dxa"/>
              <w:left w:w="90" w:type="dxa"/>
              <w:right w:w="90" w:type="dxa"/>
            </w:tcMar>
          </w:tcPr>
          <w:p>
            <w:pPr>
              <w:pStyle w:val="BDOITable"/>
            </w:pPr>
            <w:r>
              <w:rPr>
                <w:sz w:val="15"/>
              </w:rPr>
              <w:t>EDP data ingestion (SD 11)</w:t>
            </w:r>
          </w:p>
        </w:tc>
        <w:tc>
          <w:tcPr>
            <w:tcW w:type="dxa" w:w="7366"/>
            <w:tcMar>
              <w:top w:w="50" w:type="dxa"/>
              <w:bottom w:w="50" w:type="dxa"/>
              <w:left w:w="90" w:type="dxa"/>
              <w:right w:w="90" w:type="dxa"/>
            </w:tcMar>
          </w:tcPr>
          <w:p>
            <w:pPr>
              <w:pStyle w:val="BDOITable"/>
            </w:pPr>
            <w:r>
              <w:rPr>
                <w:sz w:val="15"/>
              </w:rPr>
              <w:t>Cross-account bucket policy with the EDP role; SSE-KMS; personal data masked unless EDP is authorised</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INT-17</w:t>
            </w:r>
          </w:p>
        </w:tc>
        <w:tc>
          <w:tcPr>
            <w:tcW w:type="dxa" w:w="1926"/>
            <w:tcMar>
              <w:top w:w="50" w:type="dxa"/>
              <w:bottom w:w="50" w:type="dxa"/>
              <w:left w:w="90" w:type="dxa"/>
              <w:right w:w="90" w:type="dxa"/>
            </w:tcMar>
            <w:shd w:val="clear" w:color="auto" w:fill="E5F5FF"/>
          </w:tcPr>
          <w:p>
            <w:pPr>
              <w:pStyle w:val="BDOITable"/>
            </w:pPr>
            <w:r>
              <w:rPr>
                <w:sz w:val="15"/>
              </w:rPr>
              <w:t>EGL general ledger feed</w:t>
            </w:r>
          </w:p>
        </w:tc>
        <w:tc>
          <w:tcPr>
            <w:tcW w:type="dxa" w:w="7366"/>
            <w:tcMar>
              <w:top w:w="50" w:type="dxa"/>
              <w:bottom w:w="50" w:type="dxa"/>
              <w:left w:w="90" w:type="dxa"/>
              <w:right w:w="90" w:type="dxa"/>
            </w:tcMar>
            <w:shd w:val="clear" w:color="auto" w:fill="E5F5FF"/>
          </w:tcPr>
          <w:p>
            <w:pPr>
              <w:pStyle w:val="BDOITable"/>
            </w:pPr>
            <w:r>
              <w:rPr>
                <w:sz w:val="15"/>
              </w:rPr>
              <w:t>Apigee X token or signed file; SSE-KMS</w:t>
            </w:r>
          </w:p>
        </w:tc>
      </w:tr>
      <w:tr>
        <w:trPr>
          <w:cantSplit w:val="true"/>
        </w:trPr>
        <w:tc>
          <w:tcPr>
            <w:tcW w:type="dxa" w:w="680"/>
            <w:tcMar>
              <w:top w:w="50" w:type="dxa"/>
              <w:bottom w:w="50" w:type="dxa"/>
              <w:left w:w="90" w:type="dxa"/>
              <w:right w:w="90" w:type="dxa"/>
            </w:tcMar>
          </w:tcPr>
          <w:p>
            <w:pPr>
              <w:pStyle w:val="BDOITable"/>
            </w:pPr>
            <w:r>
              <w:rPr>
                <w:b/>
                <w:sz w:val="15"/>
              </w:rPr>
              <w:t>INT-18</w:t>
            </w:r>
          </w:p>
        </w:tc>
        <w:tc>
          <w:tcPr>
            <w:tcW w:type="dxa" w:w="1926"/>
            <w:tcMar>
              <w:top w:w="50" w:type="dxa"/>
              <w:bottom w:w="50" w:type="dxa"/>
              <w:left w:w="90" w:type="dxa"/>
              <w:right w:w="90" w:type="dxa"/>
            </w:tcMar>
          </w:tcPr>
          <w:p>
            <w:pPr>
              <w:pStyle w:val="BDOITable"/>
            </w:pPr>
            <w:r>
              <w:rPr>
                <w:sz w:val="15"/>
              </w:rPr>
              <w:t>CARMS</w:t>
            </w:r>
          </w:p>
        </w:tc>
        <w:tc>
          <w:tcPr>
            <w:tcW w:type="dxa" w:w="7366"/>
            <w:tcMar>
              <w:top w:w="50" w:type="dxa"/>
              <w:bottom w:w="50" w:type="dxa"/>
              <w:left w:w="90" w:type="dxa"/>
              <w:right w:w="90" w:type="dxa"/>
            </w:tcMar>
          </w:tcPr>
          <w:p>
            <w:pPr>
              <w:pStyle w:val="BDOITable"/>
            </w:pPr>
            <w:r>
              <w:rPr>
                <w:sz w:val="15"/>
              </w:rPr>
              <w:t>Apigee X or file exchange, per the agreed pattern</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INT-19</w:t>
            </w:r>
          </w:p>
        </w:tc>
        <w:tc>
          <w:tcPr>
            <w:tcW w:type="dxa" w:w="1926"/>
            <w:tcMar>
              <w:top w:w="50" w:type="dxa"/>
              <w:bottom w:w="50" w:type="dxa"/>
              <w:left w:w="90" w:type="dxa"/>
              <w:right w:w="90" w:type="dxa"/>
            </w:tcMar>
            <w:shd w:val="clear" w:color="auto" w:fill="E5F5FF"/>
          </w:tcPr>
          <w:p>
            <w:pPr>
              <w:pStyle w:val="BDOITable"/>
            </w:pPr>
            <w:r>
              <w:rPr>
                <w:sz w:val="15"/>
              </w:rPr>
              <w:t>Insurer interfaces</w:t>
            </w:r>
          </w:p>
        </w:tc>
        <w:tc>
          <w:tcPr>
            <w:tcW w:type="dxa" w:w="7366"/>
            <w:tcMar>
              <w:top w:w="50" w:type="dxa"/>
              <w:bottom w:w="50" w:type="dxa"/>
              <w:left w:w="90" w:type="dxa"/>
              <w:right w:w="90" w:type="dxa"/>
            </w:tcMar>
            <w:shd w:val="clear" w:color="auto" w:fill="E5F5FF"/>
          </w:tcPr>
          <w:p>
            <w:pPr>
              <w:pStyle w:val="BDOITable"/>
            </w:pPr>
            <w:r>
              <w:rPr>
                <w:sz w:val="15"/>
              </w:rPr>
              <w:t>Password-protected PDFs by e-mail; for files, insurer-specific keys; inbound files scanned for malware</w:t>
            </w:r>
          </w:p>
        </w:tc>
      </w:tr>
      <w:tr>
        <w:trPr>
          <w:cantSplit w:val="true"/>
        </w:trPr>
        <w:tc>
          <w:tcPr>
            <w:tcW w:type="dxa" w:w="680"/>
            <w:tcMar>
              <w:top w:w="50" w:type="dxa"/>
              <w:bottom w:w="50" w:type="dxa"/>
              <w:left w:w="90" w:type="dxa"/>
              <w:right w:w="90" w:type="dxa"/>
            </w:tcMar>
          </w:tcPr>
          <w:p>
            <w:pPr>
              <w:pStyle w:val="BDOITable"/>
            </w:pPr>
            <w:r>
              <w:rPr>
                <w:b/>
                <w:sz w:val="15"/>
              </w:rPr>
              <w:t>INT-20</w:t>
            </w:r>
          </w:p>
        </w:tc>
        <w:tc>
          <w:tcPr>
            <w:tcW w:type="dxa" w:w="1926"/>
            <w:tcMar>
              <w:top w:w="50" w:type="dxa"/>
              <w:bottom w:w="50" w:type="dxa"/>
              <w:left w:w="90" w:type="dxa"/>
              <w:right w:w="90" w:type="dxa"/>
            </w:tcMar>
          </w:tcPr>
          <w:p>
            <w:pPr>
              <w:pStyle w:val="BDOITable"/>
            </w:pPr>
            <w:r>
              <w:rPr>
                <w:sz w:val="15"/>
              </w:rPr>
              <w:t>Bridger Insight XG screening (manual)</w:t>
            </w:r>
          </w:p>
        </w:tc>
        <w:tc>
          <w:tcPr>
            <w:tcW w:type="dxa" w:w="7366"/>
            <w:tcMar>
              <w:top w:w="50" w:type="dxa"/>
              <w:bottom w:w="50" w:type="dxa"/>
              <w:left w:w="90" w:type="dxa"/>
              <w:right w:w="90" w:type="dxa"/>
            </w:tcMar>
          </w:tcPr>
          <w:p>
            <w:pPr>
              <w:pStyle w:val="BDOITable"/>
            </w:pPr>
            <w:r>
              <w:rPr>
                <w:sz w:val="15"/>
              </w:rPr>
              <w:t>User permissions; evidence stored as an attachment</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INT-21</w:t>
            </w:r>
          </w:p>
        </w:tc>
        <w:tc>
          <w:tcPr>
            <w:tcW w:type="dxa" w:w="1926"/>
            <w:tcMar>
              <w:top w:w="50" w:type="dxa"/>
              <w:bottom w:w="50" w:type="dxa"/>
              <w:left w:w="90" w:type="dxa"/>
              <w:right w:w="90" w:type="dxa"/>
            </w:tcMar>
            <w:shd w:val="clear" w:color="auto" w:fill="E5F5FF"/>
          </w:tcPr>
          <w:p>
            <w:pPr>
              <w:pStyle w:val="BDOITable"/>
            </w:pPr>
            <w:r>
              <w:rPr>
                <w:sz w:val="15"/>
              </w:rPr>
              <w:t>Watchlist feeds (AML advisory, NLDS PEP)</w:t>
            </w:r>
          </w:p>
        </w:tc>
        <w:tc>
          <w:tcPr>
            <w:tcW w:type="dxa" w:w="7366"/>
            <w:tcMar>
              <w:top w:w="50" w:type="dxa"/>
              <w:bottom w:w="50" w:type="dxa"/>
              <w:left w:w="90" w:type="dxa"/>
              <w:right w:w="90" w:type="dxa"/>
            </w:tcMar>
            <w:shd w:val="clear" w:color="auto" w:fill="E5F5FF"/>
          </w:tcPr>
          <w:p>
            <w:pPr>
              <w:pStyle w:val="BDOITable"/>
            </w:pPr>
            <w:r>
              <w:rPr>
                <w:sz w:val="15"/>
              </w:rPr>
              <w:t>As INT-03; list changes under maker-checker</w:t>
            </w:r>
          </w:p>
        </w:tc>
      </w:tr>
      <w:tr>
        <w:trPr>
          <w:cantSplit w:val="true"/>
        </w:trPr>
        <w:tc>
          <w:tcPr>
            <w:tcW w:type="dxa" w:w="680"/>
            <w:tcMar>
              <w:top w:w="50" w:type="dxa"/>
              <w:bottom w:w="50" w:type="dxa"/>
              <w:left w:w="90" w:type="dxa"/>
              <w:right w:w="90" w:type="dxa"/>
            </w:tcMar>
          </w:tcPr>
          <w:p>
            <w:pPr>
              <w:pStyle w:val="BDOITable"/>
            </w:pPr>
            <w:r>
              <w:rPr>
                <w:b/>
                <w:sz w:val="15"/>
              </w:rPr>
              <w:t>INT-22</w:t>
            </w:r>
          </w:p>
        </w:tc>
        <w:tc>
          <w:tcPr>
            <w:tcW w:type="dxa" w:w="1926"/>
            <w:tcMar>
              <w:top w:w="50" w:type="dxa"/>
              <w:bottom w:w="50" w:type="dxa"/>
              <w:left w:w="90" w:type="dxa"/>
              <w:right w:w="90" w:type="dxa"/>
            </w:tcMar>
          </w:tcPr>
          <w:p>
            <w:pPr>
              <w:pStyle w:val="BDOITable"/>
            </w:pPr>
            <w:r>
              <w:rPr>
                <w:sz w:val="15"/>
              </w:rPr>
              <w:t>AMLC STR filing</w:t>
            </w:r>
          </w:p>
        </w:tc>
        <w:tc>
          <w:tcPr>
            <w:tcW w:type="dxa" w:w="7366"/>
            <w:tcMar>
              <w:top w:w="50" w:type="dxa"/>
              <w:bottom w:w="50" w:type="dxa"/>
              <w:left w:w="90" w:type="dxa"/>
              <w:right w:w="90" w:type="dxa"/>
            </w:tcMar>
          </w:tcPr>
          <w:p>
            <w:pPr>
              <w:pStyle w:val="BDOITable"/>
            </w:pPr>
            <w:r>
              <w:rPr>
                <w:sz w:val="15"/>
              </w:rPr>
              <w:t>Extraction permission; file under legal hold</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INT-23</w:t>
            </w:r>
          </w:p>
        </w:tc>
        <w:tc>
          <w:tcPr>
            <w:tcW w:type="dxa" w:w="1926"/>
            <w:tcMar>
              <w:top w:w="50" w:type="dxa"/>
              <w:bottom w:w="50" w:type="dxa"/>
              <w:left w:w="90" w:type="dxa"/>
              <w:right w:w="90" w:type="dxa"/>
            </w:tcMar>
            <w:shd w:val="clear" w:color="auto" w:fill="E5F5FF"/>
          </w:tcPr>
          <w:p>
            <w:pPr>
              <w:pStyle w:val="BDOITable"/>
            </w:pPr>
            <w:r>
              <w:rPr>
                <w:sz w:val="15"/>
              </w:rPr>
              <w:t>BIR e-filing</w:t>
            </w:r>
          </w:p>
        </w:tc>
        <w:tc>
          <w:tcPr>
            <w:tcW w:type="dxa" w:w="7366"/>
            <w:tcMar>
              <w:top w:w="50" w:type="dxa"/>
              <w:bottom w:w="50" w:type="dxa"/>
              <w:left w:w="90" w:type="dxa"/>
              <w:right w:w="90" w:type="dxa"/>
            </w:tcMar>
            <w:shd w:val="clear" w:color="auto" w:fill="E5F5FF"/>
          </w:tcPr>
          <w:p>
            <w:pPr>
              <w:pStyle w:val="BDOITable"/>
            </w:pPr>
            <w:r>
              <w:rPr>
                <w:sz w:val="15"/>
              </w:rPr>
              <w:t>Tax permissions; filed forms under legal hold</w:t>
            </w:r>
          </w:p>
        </w:tc>
      </w:tr>
      <w:tr>
        <w:trPr>
          <w:cantSplit w:val="true"/>
        </w:trPr>
        <w:tc>
          <w:tcPr>
            <w:tcW w:type="dxa" w:w="680"/>
            <w:tcMar>
              <w:top w:w="50" w:type="dxa"/>
              <w:bottom w:w="50" w:type="dxa"/>
              <w:left w:w="90" w:type="dxa"/>
              <w:right w:w="90" w:type="dxa"/>
            </w:tcMar>
          </w:tcPr>
          <w:p>
            <w:pPr>
              <w:pStyle w:val="BDOITable"/>
            </w:pPr>
            <w:r>
              <w:rPr>
                <w:b/>
                <w:sz w:val="15"/>
              </w:rPr>
              <w:t>INT-24</w:t>
            </w:r>
          </w:p>
        </w:tc>
        <w:tc>
          <w:tcPr>
            <w:tcW w:type="dxa" w:w="1926"/>
            <w:tcMar>
              <w:top w:w="50" w:type="dxa"/>
              <w:bottom w:w="50" w:type="dxa"/>
              <w:left w:w="90" w:type="dxa"/>
              <w:right w:w="90" w:type="dxa"/>
            </w:tcMar>
          </w:tcPr>
          <w:p>
            <w:pPr>
              <w:pStyle w:val="BDOITable"/>
            </w:pPr>
            <w:r>
              <w:rPr>
                <w:sz w:val="15"/>
              </w:rPr>
              <w:t>Shared folders and file server (extract repository)</w:t>
            </w:r>
          </w:p>
        </w:tc>
        <w:tc>
          <w:tcPr>
            <w:tcW w:type="dxa" w:w="7366"/>
            <w:tcMar>
              <w:top w:w="50" w:type="dxa"/>
              <w:bottom w:w="50" w:type="dxa"/>
              <w:left w:w="90" w:type="dxa"/>
              <w:right w:w="90" w:type="dxa"/>
            </w:tcMar>
          </w:tcPr>
          <w:p>
            <w:pPr>
              <w:pStyle w:val="BDOITable"/>
            </w:pPr>
            <w:r>
              <w:rPr>
                <w:sz w:val="15"/>
              </w:rPr>
              <w:t>Presigned links of 5 minutes after the permission check; SSE-KMS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INT-25</w:t>
            </w:r>
          </w:p>
        </w:tc>
        <w:tc>
          <w:tcPr>
            <w:tcW w:type="dxa" w:w="1926"/>
            <w:tcMar>
              <w:top w:w="50" w:type="dxa"/>
              <w:bottom w:w="50" w:type="dxa"/>
              <w:left w:w="90" w:type="dxa"/>
              <w:right w:w="90" w:type="dxa"/>
            </w:tcMar>
            <w:shd w:val="clear" w:color="auto" w:fill="E5F5FF"/>
          </w:tcPr>
          <w:p>
            <w:pPr>
              <w:pStyle w:val="BDOITable"/>
            </w:pPr>
            <w:r>
              <w:rPr>
                <w:sz w:val="15"/>
              </w:rPr>
              <w:t>Mail house print batches</w:t>
            </w:r>
          </w:p>
        </w:tc>
        <w:tc>
          <w:tcPr>
            <w:tcW w:type="dxa" w:w="7366"/>
            <w:tcMar>
              <w:top w:w="50" w:type="dxa"/>
              <w:bottom w:w="50" w:type="dxa"/>
              <w:left w:w="90" w:type="dxa"/>
              <w:right w:w="90" w:type="dxa"/>
            </w:tcMar>
            <w:shd w:val="clear" w:color="auto" w:fill="E5F5FF"/>
          </w:tcPr>
          <w:p>
            <w:pPr>
              <w:pStyle w:val="BDOITable"/>
            </w:pPr>
            <w:r>
              <w:rPr>
                <w:sz w:val="15"/>
              </w:rPr>
              <w:t>Presigned link or managed transfer; SSE-KMS</w:t>
            </w:r>
          </w:p>
        </w:tc>
      </w:tr>
      <w:tr>
        <w:trPr>
          <w:cantSplit w:val="true"/>
        </w:trPr>
        <w:tc>
          <w:tcPr>
            <w:tcW w:type="dxa" w:w="680"/>
            <w:tcMar>
              <w:top w:w="50" w:type="dxa"/>
              <w:bottom w:w="50" w:type="dxa"/>
              <w:left w:w="90" w:type="dxa"/>
              <w:right w:w="90" w:type="dxa"/>
            </w:tcMar>
          </w:tcPr>
          <w:p>
            <w:pPr>
              <w:pStyle w:val="BDOITable"/>
            </w:pPr>
            <w:r>
              <w:rPr>
                <w:b/>
                <w:sz w:val="15"/>
              </w:rPr>
              <w:t>INT-26</w:t>
            </w:r>
          </w:p>
        </w:tc>
        <w:tc>
          <w:tcPr>
            <w:tcW w:type="dxa" w:w="1926"/>
            <w:tcMar>
              <w:top w:w="50" w:type="dxa"/>
              <w:bottom w:w="50" w:type="dxa"/>
              <w:left w:w="90" w:type="dxa"/>
              <w:right w:w="90" w:type="dxa"/>
            </w:tcMar>
          </w:tcPr>
          <w:p>
            <w:pPr>
              <w:pStyle w:val="BDOITable"/>
            </w:pPr>
            <w:r>
              <w:rPr>
                <w:sz w:val="15"/>
              </w:rPr>
              <w:t>Document store</w:t>
            </w:r>
          </w:p>
        </w:tc>
        <w:tc>
          <w:tcPr>
            <w:tcW w:type="dxa" w:w="7366"/>
            <w:tcMar>
              <w:top w:w="50" w:type="dxa"/>
              <w:bottom w:w="50" w:type="dxa"/>
              <w:left w:w="90" w:type="dxa"/>
              <w:right w:w="90" w:type="dxa"/>
            </w:tcMar>
          </w:tcPr>
          <w:p>
            <w:pPr>
              <w:pStyle w:val="BDOITable"/>
            </w:pPr>
            <w:r>
              <w:rPr>
                <w:sz w:val="15"/>
              </w:rPr>
              <w:t>IRSA role per workload; SSE-KMS with BDOI-owned keys; Object Lock governance mode and legal hold; GuardDuty malware protection</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INT-27</w:t>
            </w:r>
          </w:p>
        </w:tc>
        <w:tc>
          <w:tcPr>
            <w:tcW w:type="dxa" w:w="1926"/>
            <w:tcMar>
              <w:top w:w="50" w:type="dxa"/>
              <w:bottom w:w="50" w:type="dxa"/>
              <w:left w:w="90" w:type="dxa"/>
              <w:right w:w="90" w:type="dxa"/>
            </w:tcMar>
            <w:shd w:val="clear" w:color="auto" w:fill="E5F5FF"/>
          </w:tcPr>
          <w:p>
            <w:pPr>
              <w:pStyle w:val="BDOITable"/>
            </w:pPr>
            <w:r>
              <w:rPr>
                <w:sz w:val="15"/>
              </w:rPr>
              <w:t>Legacy systems for data migration</w:t>
            </w:r>
          </w:p>
        </w:tc>
        <w:tc>
          <w:tcPr>
            <w:tcW w:type="dxa" w:w="7366"/>
            <w:tcMar>
              <w:top w:w="50" w:type="dxa"/>
              <w:bottom w:w="50" w:type="dxa"/>
              <w:left w:w="90" w:type="dxa"/>
              <w:right w:w="90" w:type="dxa"/>
            </w:tcMar>
            <w:shd w:val="clear" w:color="auto" w:fill="E5F5FF"/>
          </w:tcPr>
          <w:p>
            <w:pPr>
              <w:pStyle w:val="BDOITable"/>
            </w:pPr>
            <w:r>
              <w:rPr>
                <w:sz w:val="15"/>
              </w:rPr>
              <w:t>Migration role only; masking of personal data outside production</w:t>
            </w:r>
          </w:p>
        </w:tc>
      </w:tr>
      <w:tr>
        <w:trPr>
          <w:cantSplit w:val="true"/>
        </w:trPr>
        <w:tc>
          <w:tcPr>
            <w:tcW w:type="dxa" w:w="680"/>
            <w:tcMar>
              <w:top w:w="50" w:type="dxa"/>
              <w:bottom w:w="50" w:type="dxa"/>
              <w:left w:w="90" w:type="dxa"/>
              <w:right w:w="90" w:type="dxa"/>
            </w:tcMar>
          </w:tcPr>
          <w:p>
            <w:pPr>
              <w:pStyle w:val="BDOITable"/>
            </w:pPr>
            <w:r>
              <w:rPr>
                <w:b/>
                <w:sz w:val="15"/>
              </w:rPr>
              <w:t>INT-28</w:t>
            </w:r>
          </w:p>
        </w:tc>
        <w:tc>
          <w:tcPr>
            <w:tcW w:type="dxa" w:w="1926"/>
            <w:tcMar>
              <w:top w:w="50" w:type="dxa"/>
              <w:bottom w:w="50" w:type="dxa"/>
              <w:left w:w="90" w:type="dxa"/>
              <w:right w:w="90" w:type="dxa"/>
            </w:tcMar>
          </w:tcPr>
          <w:p>
            <w:pPr>
              <w:pStyle w:val="BDOITable"/>
            </w:pPr>
            <w:r>
              <w:rPr>
                <w:sz w:val="15"/>
              </w:rPr>
              <w:t>SMS notifications</w:t>
            </w:r>
          </w:p>
        </w:tc>
        <w:tc>
          <w:tcPr>
            <w:tcW w:type="dxa" w:w="7366"/>
            <w:tcMar>
              <w:top w:w="50" w:type="dxa"/>
              <w:bottom w:w="50" w:type="dxa"/>
              <w:left w:w="90" w:type="dxa"/>
              <w:right w:w="90" w:type="dxa"/>
            </w:tcMar>
          </w:tcPr>
          <w:p>
            <w:pPr>
              <w:pStyle w:val="BDOITable"/>
            </w:pPr>
            <w:r>
              <w:rPr>
                <w:sz w:val="15"/>
              </w:rPr>
              <w:t>-</w:t>
            </w:r>
          </w:p>
        </w:tc>
      </w:tr>
    </w:tbl>
    <w:p>
      <w:pPr>
        <w:pStyle w:val="BDOISpacer"/>
      </w:pPr>
    </w:p>
    <w:p>
      <w:pPr>
        <w:pStyle w:val="Heading1"/>
        <w:pBdr>
          <w:bottom w:val="single" w:sz="4" w:space="4" w:color="99C1E7"/>
        </w:pBdr>
      </w:pPr>
      <w:bookmarkStart w:id="116" w:name="_Toc000116"/>
      <w:r>
        <w:rPr/>
        <w:t>7 Error handling and reconciliation</w:t>
      </w:r>
      <w:bookmarkEnd w:id="116"/>
    </w:p>
    <w:p>
      <w:pPr>
        <w:pStyle w:val="Heading2"/>
      </w:pPr>
      <w:bookmarkStart w:id="117" w:name="_Toc000117"/>
      <w:r>
        <w:rPr/>
        <w:t>7.1 Handling errors by pattern</w:t>
      </w:r>
      <w:bookmarkEnd w:id="117"/>
    </w:p>
    <w:p>
      <w:pPr>
        <w:pStyle w:val="Caption"/>
        <w:keepNext/>
        <w:spacing w:after="60"/>
      </w:pPr>
      <w:r>
        <w:rPr>
          <w:b/>
          <w:i w:val="0"/>
        </w:rPr>
        <w:t xml:space="preserve">Table 10: </w:t>
      </w:r>
      <w:r>
        <w:rPr/>
        <w:t>Error handling by pattern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804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7"/>
              </w:rPr>
              <w:t>Pattern</w:t>
            </w:r>
          </w:p>
        </w:tc>
        <w:tc>
          <w:tcPr>
            <w:tcW w:type="dxa" w:w="8046"/>
            <w:shd w:val="clear" w:color="auto" w:fill="004EA8"/>
            <w:tcMar>
              <w:top w:w="50" w:type="dxa"/>
              <w:bottom w:w="50" w:type="dxa"/>
              <w:left w:w="90" w:type="dxa"/>
              <w:right w:w="90" w:type="dxa"/>
            </w:tcMar>
            <w:vAlign w:val="center"/>
          </w:tcPr>
          <w:p>
            <w:pPr>
              <w:pStyle w:val="BDOITableHeader"/>
            </w:pPr>
            <w:r>
              <w:rPr>
                <w:b/>
                <w:color w:val="FFFFFF"/>
                <w:sz w:val="17"/>
              </w:rPr>
              <w:t>Handling</w:t>
            </w:r>
          </w:p>
        </w:tc>
      </w:tr>
      <w:tr>
        <w:trPr>
          <w:cantSplit w:val="true"/>
        </w:trPr>
        <w:tc>
          <w:tcPr>
            <w:tcW w:type="dxa" w:w="1926"/>
            <w:tcMar>
              <w:top w:w="50" w:type="dxa"/>
              <w:bottom w:w="50" w:type="dxa"/>
              <w:left w:w="90" w:type="dxa"/>
              <w:right w:w="90" w:type="dxa"/>
            </w:tcMar>
          </w:tcPr>
          <w:p>
            <w:pPr>
              <w:pStyle w:val="BDOITable"/>
            </w:pPr>
            <w:r>
              <w:rPr>
                <w:b/>
                <w:sz w:val="17"/>
              </w:rPr>
              <w:t>Inbound API</w:t>
            </w:r>
          </w:p>
        </w:tc>
        <w:tc>
          <w:tcPr>
            <w:tcW w:type="dxa" w:w="8046"/>
            <w:tcMar>
              <w:top w:w="50" w:type="dxa"/>
              <w:bottom w:w="50" w:type="dxa"/>
              <w:left w:w="90" w:type="dxa"/>
              <w:right w:w="90" w:type="dxa"/>
            </w:tcMar>
          </w:tcPr>
          <w:p>
            <w:pPr>
              <w:pStyle w:val="BDOITable"/>
            </w:pPr>
            <w:r>
              <w:rPr>
                <w:sz w:val="17"/>
              </w:rPr>
              <w:t>Validation and business errors answered at once as problem details with a code; the caller corrects and calls again; a repeated source reference is refused (409) so a retry after a time-out never creates a duplicate</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Outbound API</w:t>
            </w:r>
          </w:p>
        </w:tc>
        <w:tc>
          <w:tcPr>
            <w:tcW w:type="dxa" w:w="8046"/>
            <w:tcMar>
              <w:top w:w="50" w:type="dxa"/>
              <w:bottom w:w="50" w:type="dxa"/>
              <w:left w:w="90" w:type="dxa"/>
              <w:right w:w="90" w:type="dxa"/>
            </w:tcMar>
            <w:shd w:val="clear" w:color="auto" w:fill="E5F5FF"/>
          </w:tcPr>
          <w:p>
            <w:pPr>
              <w:pStyle w:val="BDOITable"/>
            </w:pPr>
            <w:r>
              <w:rPr>
                <w:sz w:val="17"/>
              </w:rPr>
              <w:t>Safe reads retried twice with back-off; other failures leave the item in the module's work queue with the reason; a job retries; repeated failures raise an exception code alert to the owner unit</w:t>
            </w:r>
          </w:p>
        </w:tc>
      </w:tr>
      <w:tr>
        <w:trPr>
          <w:cantSplit w:val="true"/>
        </w:trPr>
        <w:tc>
          <w:tcPr>
            <w:tcW w:type="dxa" w:w="1926"/>
            <w:tcMar>
              <w:top w:w="50" w:type="dxa"/>
              <w:bottom w:w="50" w:type="dxa"/>
              <w:left w:w="90" w:type="dxa"/>
              <w:right w:w="90" w:type="dxa"/>
            </w:tcMar>
          </w:tcPr>
          <w:p>
            <w:pPr>
              <w:pStyle w:val="BDOITable"/>
            </w:pPr>
            <w:r>
              <w:rPr>
                <w:b/>
                <w:sz w:val="17"/>
              </w:rPr>
              <w:t>Events</w:t>
            </w:r>
          </w:p>
        </w:tc>
        <w:tc>
          <w:tcPr>
            <w:tcW w:type="dxa" w:w="8046"/>
            <w:tcMar>
              <w:top w:w="50" w:type="dxa"/>
              <w:bottom w:w="50" w:type="dxa"/>
              <w:left w:w="90" w:type="dxa"/>
              <w:right w:w="90" w:type="dxa"/>
            </w:tcMar>
          </w:tcPr>
          <w:p>
            <w:pPr>
              <w:pStyle w:val="BDOITable"/>
            </w:pPr>
            <w:r>
              <w:rPr>
                <w:sz w:val="17"/>
              </w:rPr>
              <w:t>Outbox retries with back-off, failed after 10 attempts and visible on the Integration Events screen; consumer retries 3 times, then the dead-letter topic with retry and discard on the same screen</w:t>
            </w:r>
          </w:p>
        </w:tc>
      </w:tr>
      <w:tr>
        <w:trPr>
          <w:cantSplit w:val="true"/>
        </w:trPr>
        <w:tc>
          <w:tcPr>
            <w:tcW w:type="dxa" w:w="1926"/>
            <w:tcMar>
              <w:top w:w="50" w:type="dxa"/>
              <w:bottom w:w="50" w:type="dxa"/>
              <w:left w:w="90" w:type="dxa"/>
              <w:right w:w="90" w:type="dxa"/>
            </w:tcMar>
            <w:shd w:val="clear" w:color="auto" w:fill="E5F5FF"/>
          </w:tcPr>
          <w:p>
            <w:pPr>
              <w:pStyle w:val="BDOITable"/>
            </w:pPr>
            <w:r>
              <w:rPr>
                <w:b/>
                <w:sz w:val="17"/>
              </w:rPr>
              <w:t>Inbound file</w:t>
            </w:r>
          </w:p>
        </w:tc>
        <w:tc>
          <w:tcPr>
            <w:tcW w:type="dxa" w:w="8046"/>
            <w:tcMar>
              <w:top w:w="50" w:type="dxa"/>
              <w:bottom w:w="50" w:type="dxa"/>
              <w:left w:w="90" w:type="dxa"/>
              <w:right w:w="90" w:type="dxa"/>
            </w:tcMar>
            <w:shd w:val="clear" w:color="auto" w:fill="E5F5FF"/>
          </w:tcPr>
          <w:p>
            <w:pPr>
              <w:pStyle w:val="BDOITable"/>
            </w:pPr>
            <w:r>
              <w:rPr>
                <w:sz w:val="17"/>
              </w:rPr>
              <w:t>Whole-file checks (scan, structure, totals, duplicate) refuse the file with a result; row errors are listed per row while valid rows are processed in their own transaction; the sender corrects and re-sends only the rejected rows when the layout allows it</w:t>
            </w:r>
          </w:p>
        </w:tc>
      </w:tr>
      <w:tr>
        <w:trPr>
          <w:cantSplit w:val="true"/>
        </w:trPr>
        <w:tc>
          <w:tcPr>
            <w:tcW w:type="dxa" w:w="1926"/>
            <w:tcMar>
              <w:top w:w="50" w:type="dxa"/>
              <w:bottom w:w="50" w:type="dxa"/>
              <w:left w:w="90" w:type="dxa"/>
              <w:right w:w="90" w:type="dxa"/>
            </w:tcMar>
          </w:tcPr>
          <w:p>
            <w:pPr>
              <w:pStyle w:val="BDOITable"/>
            </w:pPr>
            <w:r>
              <w:rPr>
                <w:b/>
                <w:sz w:val="17"/>
              </w:rPr>
              <w:t>Outbound file</w:t>
            </w:r>
          </w:p>
        </w:tc>
        <w:tc>
          <w:tcPr>
            <w:tcW w:type="dxa" w:w="8046"/>
            <w:tcMar>
              <w:top w:w="50" w:type="dxa"/>
              <w:bottom w:w="50" w:type="dxa"/>
              <w:left w:w="90" w:type="dxa"/>
              <w:right w:w="90" w:type="dxa"/>
            </w:tcMar>
          </w:tcPr>
          <w:p>
            <w:pPr>
              <w:pStyle w:val="BDOITable"/>
            </w:pPr>
            <w:r>
              <w:rPr>
                <w:sz w:val="17"/>
              </w:rPr>
              <w:t>A failed run raises JOB_FAILURE; the job is re-run for the same business date and replaces the file (same name with a new run time); the recipient takes the latest run</w:t>
            </w:r>
          </w:p>
        </w:tc>
      </w:tr>
    </w:tbl>
    <w:p>
      <w:pPr>
        <w:pStyle w:val="BDOISpacer"/>
      </w:pPr>
    </w:p>
    <w:p>
      <w:pPr>
        <w:keepNext/>
        <w:spacing w:before="80" w:after="0"/>
        <w:jc w:val="center"/>
      </w:pPr>
      <w:r>
        <w:drawing>
          <wp:inline xmlns:a="http://schemas.openxmlformats.org/drawingml/2006/main" xmlns:pic="http://schemas.openxmlformats.org/drawingml/2006/picture">
            <wp:extent cx="4320000" cy="3782017"/>
            <wp:docPr id="4" name="Picture 4"/>
            <wp:cNvGraphicFramePr>
              <a:graphicFrameLocks noChangeAspect="1"/>
            </wp:cNvGraphicFramePr>
            <a:graphic>
              <a:graphicData uri="http://schemas.openxmlformats.org/drawingml/2006/picture">
                <pic:pic>
                  <pic:nvPicPr>
                    <pic:cNvPr id="0" name="in_fileflow_803.jpg"/>
                    <pic:cNvPicPr/>
                  </pic:nvPicPr>
                  <pic:blipFill>
                    <a:blip r:embed="rId16"/>
                    <a:stretch>
                      <a:fillRect/>
                    </a:stretch>
                  </pic:blipFill>
                  <pic:spPr>
                    <a:xfrm>
                      <a:off x="0" y="0"/>
                      <a:ext cx="4320000" cy="3782017"/>
                    </a:xfrm>
                    <a:prstGeom prst="rect"/>
                  </pic:spPr>
                </pic:pic>
              </a:graphicData>
            </a:graphic>
          </wp:inline>
        </w:drawing>
      </w:r>
    </w:p>
    <w:p>
      <w:pPr>
        <w:pStyle w:val="Caption"/>
        <w:jc w:val="center"/>
      </w:pPr>
      <w:r>
        <w:rPr>
          <w:b/>
          <w:i w:val="0"/>
        </w:rPr>
        <w:t xml:space="preserve">Figure 2: </w:t>
      </w:r>
      <w:r>
        <w:rPr/>
        <w:t>Inbound file: from arrival to reconciliation</w:t>
      </w:r>
    </w:p>
    <w:p>
      <w:pPr>
        <w:pStyle w:val="Heading2"/>
      </w:pPr>
      <w:bookmarkStart w:id="118" w:name="_Toc000118"/>
      <w:r>
        <w:rPr/>
        <w:t>7.2 Error handling and reconciliation per interface</w:t>
      </w:r>
      <w:bookmarkEnd w:id="118"/>
    </w:p>
    <w:p>
      <w:pPr>
        <w:pStyle w:val="Caption"/>
        <w:keepNext/>
        <w:spacing w:after="60"/>
      </w:pPr>
      <w:r>
        <w:rPr>
          <w:b/>
          <w:i w:val="0"/>
        </w:rPr>
        <w:t xml:space="preserve">Table 11: </w:t>
      </w:r>
      <w:r>
        <w:rPr/>
        <w:t>Error handling and reconciliation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1699"/>
        <w:gridCol w:w="3966"/>
        <w:gridCol w:w="362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Interface</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5"/>
              </w:rPr>
              <w:t>Error handling</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Reconciliation</w:t>
            </w:r>
          </w:p>
        </w:tc>
      </w:tr>
      <w:tr>
        <w:trPr>
          <w:cantSplit w:val="true"/>
        </w:trPr>
        <w:tc>
          <w:tcPr>
            <w:tcW w:type="dxa" w:w="680"/>
            <w:tcMar>
              <w:top w:w="50" w:type="dxa"/>
              <w:bottom w:w="50" w:type="dxa"/>
              <w:left w:w="90" w:type="dxa"/>
              <w:right w:w="90" w:type="dxa"/>
            </w:tcMar>
          </w:tcPr>
          <w:p>
            <w:pPr>
              <w:pStyle w:val="BDOITable"/>
            </w:pPr>
            <w:r>
              <w:rPr>
                <w:b/>
                <w:sz w:val="15"/>
              </w:rPr>
              <w:t>INT-01</w:t>
            </w:r>
          </w:p>
        </w:tc>
        <w:tc>
          <w:tcPr>
            <w:tcW w:type="dxa" w:w="1700"/>
            <w:tcMar>
              <w:top w:w="50" w:type="dxa"/>
              <w:bottom w:w="50" w:type="dxa"/>
              <w:left w:w="90" w:type="dxa"/>
              <w:right w:w="90" w:type="dxa"/>
            </w:tcMar>
          </w:tcPr>
          <w:p>
            <w:pPr>
              <w:pStyle w:val="BDOITable"/>
            </w:pPr>
            <w:r>
              <w:rPr>
                <w:sz w:val="15"/>
              </w:rPr>
              <w:t>EIAM single sign-on</w:t>
            </w:r>
          </w:p>
        </w:tc>
        <w:tc>
          <w:tcPr>
            <w:tcW w:type="dxa" w:w="3966"/>
            <w:tcMar>
              <w:top w:w="50" w:type="dxa"/>
              <w:bottom w:w="50" w:type="dxa"/>
              <w:left w:w="90" w:type="dxa"/>
              <w:right w:w="90" w:type="dxa"/>
            </w:tcMar>
          </w:tcPr>
          <w:p>
            <w:pPr>
              <w:pStyle w:val="BDOITable"/>
            </w:pPr>
            <w:r>
              <w:rPr>
                <w:sz w:val="15"/>
              </w:rPr>
              <w:t>Unknown, inactive or locked user refused with the standard sign-in message; provider errors logged with a reference; break-glass sign-in meanwhile</w:t>
            </w:r>
          </w:p>
        </w:tc>
        <w:tc>
          <w:tcPr>
            <w:tcW w:type="dxa" w:w="3626"/>
            <w:tcMar>
              <w:top w:w="50" w:type="dxa"/>
              <w:bottom w:w="50" w:type="dxa"/>
              <w:left w:w="90" w:type="dxa"/>
              <w:right w:w="90" w:type="dxa"/>
            </w:tcMar>
          </w:tcPr>
          <w:p>
            <w:pPr>
              <w:pStyle w:val="BDOITable"/>
            </w:pPr>
            <w:r>
              <w:rPr>
                <w:sz w:val="15"/>
              </w:rPr>
              <w:t>Monthly comparison of active BIBS users with the EIAM directory through the UIDM-ISC aggregation (INT-02)</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INT-02</w:t>
            </w:r>
          </w:p>
        </w:tc>
        <w:tc>
          <w:tcPr>
            <w:tcW w:type="dxa" w:w="1700"/>
            <w:tcMar>
              <w:top w:w="50" w:type="dxa"/>
              <w:bottom w:w="50" w:type="dxa"/>
              <w:left w:w="90" w:type="dxa"/>
              <w:right w:w="90" w:type="dxa"/>
            </w:tcMar>
            <w:shd w:val="clear" w:color="auto" w:fill="E5F5FF"/>
          </w:tcPr>
          <w:p>
            <w:pPr>
              <w:pStyle w:val="BDOITable"/>
            </w:pPr>
            <w:r>
              <w:rPr>
                <w:sz w:val="15"/>
              </w:rPr>
              <w:t>UIDM-ISC provisioning</w:t>
            </w:r>
          </w:p>
        </w:tc>
        <w:tc>
          <w:tcPr>
            <w:tcW w:type="dxa" w:w="3966"/>
            <w:tcMar>
              <w:top w:w="50" w:type="dxa"/>
              <w:bottom w:w="50" w:type="dxa"/>
              <w:left w:w="90" w:type="dxa"/>
              <w:right w:w="90" w:type="dxa"/>
            </w:tcMar>
            <w:shd w:val="clear" w:color="auto" w:fill="E5F5FF"/>
          </w:tcPr>
          <w:p>
            <w:pPr>
              <w:pStyle w:val="BDOITable"/>
            </w:pPr>
            <w:r>
              <w:rPr>
                <w:sz w:val="15"/>
              </w:rPr>
              <w:t>SCIM error responses; a change that breaks a BIBS rule (separation of duties, data scope) is refused and returned to the requester in UIDM-ISC</w:t>
            </w:r>
          </w:p>
        </w:tc>
        <w:tc>
          <w:tcPr>
            <w:tcW w:type="dxa" w:w="3626"/>
            <w:tcMar>
              <w:top w:w="50" w:type="dxa"/>
              <w:bottom w:w="50" w:type="dxa"/>
              <w:left w:w="90" w:type="dxa"/>
              <w:right w:w="90" w:type="dxa"/>
            </w:tcMar>
            <w:shd w:val="clear" w:color="auto" w:fill="E5F5FF"/>
          </w:tcPr>
          <w:p>
            <w:pPr>
              <w:pStyle w:val="BDOITable"/>
            </w:pPr>
            <w:r>
              <w:rPr>
                <w:sz w:val="15"/>
              </w:rPr>
              <w:t>Daily aggregation; differences listed in the access change log report</w:t>
            </w:r>
          </w:p>
        </w:tc>
      </w:tr>
      <w:tr>
        <w:trPr>
          <w:cantSplit w:val="true"/>
        </w:trPr>
        <w:tc>
          <w:tcPr>
            <w:tcW w:type="dxa" w:w="680"/>
            <w:tcMar>
              <w:top w:w="50" w:type="dxa"/>
              <w:bottom w:w="50" w:type="dxa"/>
              <w:left w:w="90" w:type="dxa"/>
              <w:right w:w="90" w:type="dxa"/>
            </w:tcMar>
          </w:tcPr>
          <w:p>
            <w:pPr>
              <w:pStyle w:val="BDOITable"/>
            </w:pPr>
            <w:r>
              <w:rPr>
                <w:b/>
                <w:sz w:val="15"/>
              </w:rPr>
              <w:t>INT-03</w:t>
            </w:r>
          </w:p>
        </w:tc>
        <w:tc>
          <w:tcPr>
            <w:tcW w:type="dxa" w:w="1700"/>
            <w:tcMar>
              <w:top w:w="50" w:type="dxa"/>
              <w:bottom w:w="50" w:type="dxa"/>
              <w:left w:w="90" w:type="dxa"/>
              <w:right w:w="90" w:type="dxa"/>
            </w:tcMar>
          </w:tcPr>
          <w:p>
            <w:pPr>
              <w:pStyle w:val="BDOITable"/>
            </w:pPr>
            <w:r>
              <w:rPr>
                <w:sz w:val="15"/>
              </w:rPr>
              <w:t>LMS loan data</w:t>
            </w:r>
          </w:p>
        </w:tc>
        <w:tc>
          <w:tcPr>
            <w:tcW w:type="dxa" w:w="3966"/>
            <w:tcMar>
              <w:top w:w="50" w:type="dxa"/>
              <w:bottom w:w="50" w:type="dxa"/>
              <w:left w:w="90" w:type="dxa"/>
              <w:right w:w="90" w:type="dxa"/>
            </w:tcMar>
          </w:tcPr>
          <w:p>
            <w:pPr>
              <w:pStyle w:val="BDOITable"/>
            </w:pPr>
            <w:r>
              <w:rPr>
                <w:sz w:val="15"/>
              </w:rPr>
              <w:t>Row errors listed in the upload result; the file is re-sent after correction</w:t>
            </w:r>
          </w:p>
        </w:tc>
        <w:tc>
          <w:tcPr>
            <w:tcW w:type="dxa" w:w="3626"/>
            <w:tcMar>
              <w:top w:w="50" w:type="dxa"/>
              <w:bottom w:w="50" w:type="dxa"/>
              <w:left w:w="90" w:type="dxa"/>
              <w:right w:w="90" w:type="dxa"/>
            </w:tcMar>
          </w:tcPr>
          <w:p>
            <w:pPr>
              <w:pStyle w:val="BDOITable"/>
            </w:pPr>
            <w:r>
              <w:rPr>
                <w:sz w:val="15"/>
              </w:rPr>
              <w:t>Record count and control totals per file against the file trailer</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INT-04</w:t>
            </w:r>
          </w:p>
        </w:tc>
        <w:tc>
          <w:tcPr>
            <w:tcW w:type="dxa" w:w="1700"/>
            <w:tcMar>
              <w:top w:w="50" w:type="dxa"/>
              <w:bottom w:w="50" w:type="dxa"/>
              <w:left w:w="90" w:type="dxa"/>
              <w:right w:w="90" w:type="dxa"/>
            </w:tcMar>
            <w:shd w:val="clear" w:color="auto" w:fill="E5F5FF"/>
          </w:tcPr>
          <w:p>
            <w:pPr>
              <w:pStyle w:val="BDOITable"/>
            </w:pPr>
            <w:r>
              <w:rPr>
                <w:sz w:val="15"/>
              </w:rPr>
              <w:t>HL-LOAS quotation requests and loan data</w:t>
            </w:r>
          </w:p>
        </w:tc>
        <w:tc>
          <w:tcPr>
            <w:tcW w:type="dxa" w:w="3966"/>
            <w:tcMar>
              <w:top w:w="50" w:type="dxa"/>
              <w:bottom w:w="50" w:type="dxa"/>
              <w:left w:w="90" w:type="dxa"/>
              <w:right w:w="90" w:type="dxa"/>
            </w:tcMar>
            <w:shd w:val="clear" w:color="auto" w:fill="E5F5FF"/>
          </w:tcPr>
          <w:p>
            <w:pPr>
              <w:pStyle w:val="BDOITable"/>
            </w:pPr>
            <w:r>
              <w:rPr>
                <w:sz w:val="15"/>
              </w:rPr>
              <w:t>Invalid request refused with a problem response; duplicates refused on the source reference</w:t>
            </w:r>
          </w:p>
        </w:tc>
        <w:tc>
          <w:tcPr>
            <w:tcW w:type="dxa" w:w="3626"/>
            <w:tcMar>
              <w:top w:w="50" w:type="dxa"/>
              <w:bottom w:w="50" w:type="dxa"/>
              <w:left w:w="90" w:type="dxa"/>
              <w:right w:w="90" w:type="dxa"/>
            </w:tcMar>
            <w:shd w:val="clear" w:color="auto" w:fill="E5F5FF"/>
          </w:tcPr>
          <w:p>
            <w:pPr>
              <w:pStyle w:val="BDOITable"/>
            </w:pPr>
            <w:r>
              <w:rPr>
                <w:sz w:val="15"/>
              </w:rPr>
              <w:t>Daily count of requests received against HL-LOAS sent</w:t>
            </w:r>
          </w:p>
        </w:tc>
      </w:tr>
      <w:tr>
        <w:trPr>
          <w:cantSplit w:val="true"/>
        </w:trPr>
        <w:tc>
          <w:tcPr>
            <w:tcW w:type="dxa" w:w="680"/>
            <w:tcMar>
              <w:top w:w="50" w:type="dxa"/>
              <w:bottom w:w="50" w:type="dxa"/>
              <w:left w:w="90" w:type="dxa"/>
              <w:right w:w="90" w:type="dxa"/>
            </w:tcMar>
          </w:tcPr>
          <w:p>
            <w:pPr>
              <w:pStyle w:val="BDOITable"/>
            </w:pPr>
            <w:r>
              <w:rPr>
                <w:b/>
                <w:sz w:val="15"/>
              </w:rPr>
              <w:t>INT-05</w:t>
            </w:r>
          </w:p>
        </w:tc>
        <w:tc>
          <w:tcPr>
            <w:tcW w:type="dxa" w:w="1700"/>
            <w:tcMar>
              <w:top w:w="50" w:type="dxa"/>
              <w:bottom w:w="50" w:type="dxa"/>
              <w:left w:w="90" w:type="dxa"/>
              <w:right w:w="90" w:type="dxa"/>
            </w:tcMar>
          </w:tcPr>
          <w:p>
            <w:pPr>
              <w:pStyle w:val="BDOITable"/>
            </w:pPr>
            <w:r>
              <w:rPr>
                <w:sz w:val="15"/>
              </w:rPr>
              <w:t>LFS insurance report</w:t>
            </w:r>
          </w:p>
        </w:tc>
        <w:tc>
          <w:tcPr>
            <w:tcW w:type="dxa" w:w="3966"/>
            <w:tcMar>
              <w:top w:w="50" w:type="dxa"/>
              <w:bottom w:w="50" w:type="dxa"/>
              <w:left w:w="90" w:type="dxa"/>
              <w:right w:w="90" w:type="dxa"/>
            </w:tcMar>
          </w:tcPr>
          <w:p>
            <w:pPr>
              <w:pStyle w:val="BDOITable"/>
            </w:pPr>
            <w:r>
              <w:rPr>
                <w:sz w:val="15"/>
              </w:rPr>
              <w:t>As INT-03</w:t>
            </w:r>
          </w:p>
        </w:tc>
        <w:tc>
          <w:tcPr>
            <w:tcW w:type="dxa" w:w="3626"/>
            <w:tcMar>
              <w:top w:w="50" w:type="dxa"/>
              <w:bottom w:w="50" w:type="dxa"/>
              <w:left w:w="90" w:type="dxa"/>
              <w:right w:w="90" w:type="dxa"/>
            </w:tcMar>
          </w:tcPr>
          <w:p>
            <w:pPr>
              <w:pStyle w:val="BDOITable"/>
            </w:pPr>
            <w:r>
              <w:rPr>
                <w:sz w:val="15"/>
              </w:rPr>
              <w:t>Count per file; unmatched rows listed for Submitted Policies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INT-06</w:t>
            </w:r>
          </w:p>
        </w:tc>
        <w:tc>
          <w:tcPr>
            <w:tcW w:type="dxa" w:w="1700"/>
            <w:tcMar>
              <w:top w:w="50" w:type="dxa"/>
              <w:bottom w:w="50" w:type="dxa"/>
              <w:left w:w="90" w:type="dxa"/>
              <w:right w:w="90" w:type="dxa"/>
            </w:tcMar>
            <w:shd w:val="clear" w:color="auto" w:fill="E5F5FF"/>
          </w:tcPr>
          <w:p>
            <w:pPr>
              <w:pStyle w:val="BDOITable"/>
            </w:pPr>
            <w:r>
              <w:rPr>
                <w:sz w:val="15"/>
              </w:rPr>
              <w:t>PMS post-dated checks</w:t>
            </w:r>
          </w:p>
        </w:tc>
        <w:tc>
          <w:tcPr>
            <w:tcW w:type="dxa" w:w="3966"/>
            <w:tcMar>
              <w:top w:w="50" w:type="dxa"/>
              <w:bottom w:w="50" w:type="dxa"/>
              <w:left w:w="90" w:type="dxa"/>
              <w:right w:w="90" w:type="dxa"/>
            </w:tcMar>
            <w:shd w:val="clear" w:color="auto" w:fill="E5F5FF"/>
          </w:tcPr>
          <w:p>
            <w:pPr>
              <w:pStyle w:val="BDOITable"/>
            </w:pPr>
            <w:r>
              <w:rPr>
                <w:sz w:val="15"/>
              </w:rPr>
              <w:t>Rejected rows in the upload result</w:t>
            </w:r>
          </w:p>
        </w:tc>
        <w:tc>
          <w:tcPr>
            <w:tcW w:type="dxa" w:w="3626"/>
            <w:tcMar>
              <w:top w:w="50" w:type="dxa"/>
              <w:bottom w:w="50" w:type="dxa"/>
              <w:left w:w="90" w:type="dxa"/>
              <w:right w:w="90" w:type="dxa"/>
            </w:tcMar>
            <w:shd w:val="clear" w:color="auto" w:fill="E5F5FF"/>
          </w:tcPr>
          <w:p>
            <w:pPr>
              <w:pStyle w:val="BDOITable"/>
            </w:pPr>
            <w:r>
              <w:rPr>
                <w:sz w:val="15"/>
              </w:rPr>
              <w:t>PDC count and amount per file; maturity run reconciles warehoused PDCs</w:t>
            </w:r>
          </w:p>
        </w:tc>
      </w:tr>
      <w:tr>
        <w:trPr>
          <w:cantSplit w:val="true"/>
        </w:trPr>
        <w:tc>
          <w:tcPr>
            <w:tcW w:type="dxa" w:w="680"/>
            <w:tcMar>
              <w:top w:w="50" w:type="dxa"/>
              <w:bottom w:w="50" w:type="dxa"/>
              <w:left w:w="90" w:type="dxa"/>
              <w:right w:w="90" w:type="dxa"/>
            </w:tcMar>
          </w:tcPr>
          <w:p>
            <w:pPr>
              <w:pStyle w:val="BDOITable"/>
            </w:pPr>
            <w:r>
              <w:rPr>
                <w:b/>
                <w:sz w:val="15"/>
              </w:rPr>
              <w:t>INT-07</w:t>
            </w:r>
          </w:p>
        </w:tc>
        <w:tc>
          <w:tcPr>
            <w:tcW w:type="dxa" w:w="1700"/>
            <w:tcMar>
              <w:top w:w="50" w:type="dxa"/>
              <w:bottom w:w="50" w:type="dxa"/>
              <w:left w:w="90" w:type="dxa"/>
              <w:right w:w="90" w:type="dxa"/>
            </w:tcMar>
          </w:tcPr>
          <w:p>
            <w:pPr>
              <w:pStyle w:val="BDOITable"/>
            </w:pPr>
            <w:r>
              <w:rPr>
                <w:sz w:val="15"/>
              </w:rPr>
              <w:t>CMS / New BOB outward payments</w:t>
            </w:r>
          </w:p>
        </w:tc>
        <w:tc>
          <w:tcPr>
            <w:tcW w:type="dxa" w:w="3966"/>
            <w:tcMar>
              <w:top w:w="50" w:type="dxa"/>
              <w:bottom w:w="50" w:type="dxa"/>
              <w:left w:w="90" w:type="dxa"/>
              <w:right w:w="90" w:type="dxa"/>
            </w:tcMar>
          </w:tcPr>
          <w:p>
            <w:pPr>
              <w:pStyle w:val="BDOITable"/>
            </w:pPr>
            <w:r>
              <w:rPr>
                <w:sz w:val="15"/>
              </w:rPr>
              <w:t>Rejected instructions return to the disbursement queue with the bank reason</w:t>
            </w:r>
          </w:p>
        </w:tc>
        <w:tc>
          <w:tcPr>
            <w:tcW w:type="dxa" w:w="3626"/>
            <w:tcMar>
              <w:top w:w="50" w:type="dxa"/>
              <w:bottom w:w="50" w:type="dxa"/>
              <w:left w:w="90" w:type="dxa"/>
              <w:right w:w="90" w:type="dxa"/>
            </w:tcMar>
          </w:tcPr>
          <w:p>
            <w:pPr>
              <w:pStyle w:val="BDOITable"/>
            </w:pPr>
            <w:r>
              <w:rPr>
                <w:sz w:val="15"/>
              </w:rPr>
              <w:t>Voucher totals against the bank confirmation; bank reconciliation in Receivables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INT-08</w:t>
            </w:r>
          </w:p>
        </w:tc>
        <w:tc>
          <w:tcPr>
            <w:tcW w:type="dxa" w:w="1700"/>
            <w:tcMar>
              <w:top w:w="50" w:type="dxa"/>
              <w:bottom w:w="50" w:type="dxa"/>
              <w:left w:w="90" w:type="dxa"/>
              <w:right w:w="90" w:type="dxa"/>
            </w:tcMar>
            <w:shd w:val="clear" w:color="auto" w:fill="E5F5FF"/>
          </w:tcPr>
          <w:p>
            <w:pPr>
              <w:pStyle w:val="BDOITable"/>
            </w:pPr>
            <w:r>
              <w:rPr>
                <w:sz w:val="15"/>
              </w:rPr>
              <w:t>OBPCS bills payment collections</w:t>
            </w:r>
          </w:p>
        </w:tc>
        <w:tc>
          <w:tcPr>
            <w:tcW w:type="dxa" w:w="3966"/>
            <w:tcMar>
              <w:top w:w="50" w:type="dxa"/>
              <w:bottom w:w="50" w:type="dxa"/>
              <w:left w:w="90" w:type="dxa"/>
              <w:right w:w="90" w:type="dxa"/>
            </w:tcMar>
            <w:shd w:val="clear" w:color="auto" w:fill="E5F5FF"/>
          </w:tcPr>
          <w:p>
            <w:pPr>
              <w:pStyle w:val="BDOITable"/>
            </w:pPr>
            <w:r>
              <w:rPr>
                <w:sz w:val="15"/>
              </w:rPr>
              <w:t>Unmatched payments go to the unapplied queue</w:t>
            </w:r>
          </w:p>
        </w:tc>
        <w:tc>
          <w:tcPr>
            <w:tcW w:type="dxa" w:w="3626"/>
            <w:tcMar>
              <w:top w:w="50" w:type="dxa"/>
              <w:bottom w:w="50" w:type="dxa"/>
              <w:left w:w="90" w:type="dxa"/>
              <w:right w:w="90" w:type="dxa"/>
            </w:tcMar>
            <w:shd w:val="clear" w:color="auto" w:fill="E5F5FF"/>
          </w:tcPr>
          <w:p>
            <w:pPr>
              <w:pStyle w:val="BDOITable"/>
            </w:pPr>
            <w:r>
              <w:rPr>
                <w:sz w:val="15"/>
              </w:rPr>
              <w:t>File total against the bank credit; automatching report</w:t>
            </w:r>
          </w:p>
        </w:tc>
      </w:tr>
      <w:tr>
        <w:trPr>
          <w:cantSplit w:val="true"/>
        </w:trPr>
        <w:tc>
          <w:tcPr>
            <w:tcW w:type="dxa" w:w="680"/>
            <w:tcMar>
              <w:top w:w="50" w:type="dxa"/>
              <w:bottom w:w="50" w:type="dxa"/>
              <w:left w:w="90" w:type="dxa"/>
              <w:right w:w="90" w:type="dxa"/>
            </w:tcMar>
          </w:tcPr>
          <w:p>
            <w:pPr>
              <w:pStyle w:val="BDOITable"/>
            </w:pPr>
            <w:r>
              <w:rPr>
                <w:b/>
                <w:sz w:val="15"/>
              </w:rPr>
              <w:t>INT-09</w:t>
            </w:r>
          </w:p>
        </w:tc>
        <w:tc>
          <w:tcPr>
            <w:tcW w:type="dxa" w:w="1700"/>
            <w:tcMar>
              <w:top w:w="50" w:type="dxa"/>
              <w:bottom w:w="50" w:type="dxa"/>
              <w:left w:w="90" w:type="dxa"/>
              <w:right w:w="90" w:type="dxa"/>
            </w:tcMar>
          </w:tcPr>
          <w:p>
            <w:pPr>
              <w:pStyle w:val="BDOITable"/>
            </w:pPr>
            <w:r>
              <w:rPr>
                <w:sz w:val="15"/>
              </w:rPr>
              <w:t>Old BOB SOA funds transfers</w:t>
            </w:r>
          </w:p>
        </w:tc>
        <w:tc>
          <w:tcPr>
            <w:tcW w:type="dxa" w:w="3966"/>
            <w:tcMar>
              <w:top w:w="50" w:type="dxa"/>
              <w:bottom w:w="50" w:type="dxa"/>
              <w:left w:w="90" w:type="dxa"/>
              <w:right w:w="90" w:type="dxa"/>
            </w:tcMar>
          </w:tcPr>
          <w:p>
            <w:pPr>
              <w:pStyle w:val="BDOITable"/>
            </w:pPr>
            <w:r>
              <w:rPr>
                <w:sz w:val="15"/>
              </w:rPr>
              <w:t>Unmatched credits to the unapplied queue</w:t>
            </w:r>
          </w:p>
        </w:tc>
        <w:tc>
          <w:tcPr>
            <w:tcW w:type="dxa" w:w="3626"/>
            <w:tcMar>
              <w:top w:w="50" w:type="dxa"/>
              <w:bottom w:w="50" w:type="dxa"/>
              <w:left w:w="90" w:type="dxa"/>
              <w:right w:w="90" w:type="dxa"/>
            </w:tcMar>
          </w:tcPr>
          <w:p>
            <w:pPr>
              <w:pStyle w:val="BDOITable"/>
            </w:pPr>
            <w:r>
              <w:rPr>
                <w:sz w:val="15"/>
              </w:rPr>
              <w:t>File total against the bank statement</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INT-10</w:t>
            </w:r>
          </w:p>
        </w:tc>
        <w:tc>
          <w:tcPr>
            <w:tcW w:type="dxa" w:w="1700"/>
            <w:tcMar>
              <w:top w:w="50" w:type="dxa"/>
              <w:bottom w:w="50" w:type="dxa"/>
              <w:left w:w="90" w:type="dxa"/>
              <w:right w:w="90" w:type="dxa"/>
            </w:tcMar>
            <w:shd w:val="clear" w:color="auto" w:fill="E5F5FF"/>
          </w:tcPr>
          <w:p>
            <w:pPr>
              <w:pStyle w:val="BDOITable"/>
            </w:pPr>
            <w:r>
              <w:rPr>
                <w:sz w:val="15"/>
              </w:rPr>
              <w:t>AFTS automatic fund transfer</w:t>
            </w:r>
          </w:p>
        </w:tc>
        <w:tc>
          <w:tcPr>
            <w:tcW w:type="dxa" w:w="3966"/>
            <w:tcMar>
              <w:top w:w="50" w:type="dxa"/>
              <w:bottom w:w="50" w:type="dxa"/>
              <w:left w:w="90" w:type="dxa"/>
              <w:right w:w="90" w:type="dxa"/>
            </w:tcMar>
            <w:shd w:val="clear" w:color="auto" w:fill="E5F5FF"/>
          </w:tcPr>
          <w:p>
            <w:pPr>
              <w:pStyle w:val="BDOITable"/>
            </w:pPr>
            <w:r>
              <w:rPr>
                <w:sz w:val="15"/>
              </w:rPr>
              <w:t>As INT-07</w:t>
            </w:r>
          </w:p>
        </w:tc>
        <w:tc>
          <w:tcPr>
            <w:tcW w:type="dxa" w:w="3626"/>
            <w:tcMar>
              <w:top w:w="50" w:type="dxa"/>
              <w:bottom w:w="50" w:type="dxa"/>
              <w:left w:w="90" w:type="dxa"/>
              <w:right w:w="90" w:type="dxa"/>
            </w:tcMar>
            <w:shd w:val="clear" w:color="auto" w:fill="E5F5FF"/>
          </w:tcPr>
          <w:p>
            <w:pPr>
              <w:pStyle w:val="BDOITable"/>
            </w:pPr>
            <w:r>
              <w:rPr>
                <w:sz w:val="15"/>
              </w:rPr>
              <w:t>As INT-07</w:t>
            </w:r>
          </w:p>
        </w:tc>
      </w:tr>
      <w:tr>
        <w:trPr>
          <w:cantSplit w:val="true"/>
        </w:trPr>
        <w:tc>
          <w:tcPr>
            <w:tcW w:type="dxa" w:w="680"/>
            <w:tcMar>
              <w:top w:w="50" w:type="dxa"/>
              <w:bottom w:w="50" w:type="dxa"/>
              <w:left w:w="90" w:type="dxa"/>
              <w:right w:w="90" w:type="dxa"/>
            </w:tcMar>
          </w:tcPr>
          <w:p>
            <w:pPr>
              <w:pStyle w:val="BDOITable"/>
            </w:pPr>
            <w:r>
              <w:rPr>
                <w:b/>
                <w:sz w:val="15"/>
              </w:rPr>
              <w:t>INT-12</w:t>
            </w:r>
          </w:p>
        </w:tc>
        <w:tc>
          <w:tcPr>
            <w:tcW w:type="dxa" w:w="1700"/>
            <w:tcMar>
              <w:top w:w="50" w:type="dxa"/>
              <w:bottom w:w="50" w:type="dxa"/>
              <w:left w:w="90" w:type="dxa"/>
              <w:right w:w="90" w:type="dxa"/>
            </w:tcMar>
          </w:tcPr>
          <w:p>
            <w:pPr>
              <w:pStyle w:val="BDOITable"/>
            </w:pPr>
            <w:r>
              <w:rPr>
                <w:sz w:val="15"/>
              </w:rPr>
              <w:t>ECM records archive</w:t>
            </w:r>
          </w:p>
        </w:tc>
        <w:tc>
          <w:tcPr>
            <w:tcW w:type="dxa" w:w="3966"/>
            <w:tcMar>
              <w:top w:w="50" w:type="dxa"/>
              <w:bottom w:w="50" w:type="dxa"/>
              <w:left w:w="90" w:type="dxa"/>
              <w:right w:w="90" w:type="dxa"/>
            </w:tcMar>
          </w:tcPr>
          <w:p>
            <w:pPr>
              <w:pStyle w:val="BDOITable"/>
            </w:pPr>
            <w:r>
              <w:rPr>
                <w:sz w:val="15"/>
              </w:rPr>
              <w:t>Retries, then dead-letter topic and the Integration Events screen</w:t>
            </w:r>
          </w:p>
        </w:tc>
        <w:tc>
          <w:tcPr>
            <w:tcW w:type="dxa" w:w="3626"/>
            <w:tcMar>
              <w:top w:w="50" w:type="dxa"/>
              <w:bottom w:w="50" w:type="dxa"/>
              <w:left w:w="90" w:type="dxa"/>
              <w:right w:w="90" w:type="dxa"/>
            </w:tcMar>
          </w:tcPr>
          <w:p>
            <w:pPr>
              <w:pStyle w:val="BDOITable"/>
            </w:pPr>
            <w:r>
              <w:rPr>
                <w:sz w:val="15"/>
              </w:rPr>
              <w:t>ECM status per stored file (pending, archived, failed) in the file store report</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INT-13</w:t>
            </w:r>
          </w:p>
        </w:tc>
        <w:tc>
          <w:tcPr>
            <w:tcW w:type="dxa" w:w="1700"/>
            <w:tcMar>
              <w:top w:w="50" w:type="dxa"/>
              <w:bottom w:w="50" w:type="dxa"/>
              <w:left w:w="90" w:type="dxa"/>
              <w:right w:w="90" w:type="dxa"/>
            </w:tcMar>
            <w:shd w:val="clear" w:color="auto" w:fill="E5F5FF"/>
          </w:tcPr>
          <w:p>
            <w:pPr>
              <w:pStyle w:val="BDOITable"/>
            </w:pPr>
            <w:r>
              <w:rPr>
                <w:sz w:val="15"/>
              </w:rPr>
              <w:t>CCM outbound e-mail</w:t>
            </w:r>
          </w:p>
        </w:tc>
        <w:tc>
          <w:tcPr>
            <w:tcW w:type="dxa" w:w="3966"/>
            <w:tcMar>
              <w:top w:w="50" w:type="dxa"/>
              <w:bottom w:w="50" w:type="dxa"/>
              <w:left w:w="90" w:type="dxa"/>
              <w:right w:w="90" w:type="dxa"/>
            </w:tcMar>
            <w:shd w:val="clear" w:color="auto" w:fill="E5F5FF"/>
          </w:tcPr>
          <w:p>
            <w:pPr>
              <w:pStyle w:val="BDOITable"/>
            </w:pPr>
            <w:r>
              <w:rPr>
                <w:sz w:val="15"/>
              </w:rPr>
              <w:t>Failed sends stay queued and are retried by the mail dispatch job up to the MAIL_MAX_ATTEMPTS parameter; bounces reported</w:t>
            </w:r>
          </w:p>
        </w:tc>
        <w:tc>
          <w:tcPr>
            <w:tcW w:type="dxa" w:w="3626"/>
            <w:tcMar>
              <w:top w:w="50" w:type="dxa"/>
              <w:bottom w:w="50" w:type="dxa"/>
              <w:left w:w="90" w:type="dxa"/>
              <w:right w:w="90" w:type="dxa"/>
            </w:tcMar>
            <w:shd w:val="clear" w:color="auto" w:fill="E5F5FF"/>
          </w:tcPr>
          <w:p>
            <w:pPr>
              <w:pStyle w:val="BDOITable"/>
            </w:pPr>
            <w:r>
              <w:rPr>
                <w:sz w:val="15"/>
              </w:rPr>
              <w:t>Send log per message; daily sent and failed counts</w:t>
            </w:r>
          </w:p>
        </w:tc>
      </w:tr>
      <w:tr>
        <w:trPr>
          <w:cantSplit w:val="true"/>
        </w:trPr>
        <w:tc>
          <w:tcPr>
            <w:tcW w:type="dxa" w:w="680"/>
            <w:tcMar>
              <w:top w:w="50" w:type="dxa"/>
              <w:bottom w:w="50" w:type="dxa"/>
              <w:left w:w="90" w:type="dxa"/>
              <w:right w:w="90" w:type="dxa"/>
            </w:tcMar>
          </w:tcPr>
          <w:p>
            <w:pPr>
              <w:pStyle w:val="BDOITable"/>
            </w:pPr>
            <w:r>
              <w:rPr>
                <w:b/>
                <w:sz w:val="15"/>
              </w:rPr>
              <w:t>INT-14</w:t>
            </w:r>
          </w:p>
        </w:tc>
        <w:tc>
          <w:tcPr>
            <w:tcW w:type="dxa" w:w="1700"/>
            <w:tcMar>
              <w:top w:w="50" w:type="dxa"/>
              <w:bottom w:w="50" w:type="dxa"/>
              <w:left w:w="90" w:type="dxa"/>
              <w:right w:w="90" w:type="dxa"/>
            </w:tcMar>
          </w:tcPr>
          <w:p>
            <w:pPr>
              <w:pStyle w:val="BDOITable"/>
            </w:pPr>
            <w:r>
              <w:rPr>
                <w:sz w:val="15"/>
              </w:rPr>
              <w:t>M365 Exchange mailboxes</w:t>
            </w:r>
          </w:p>
        </w:tc>
        <w:tc>
          <w:tcPr>
            <w:tcW w:type="dxa" w:w="3966"/>
            <w:tcMar>
              <w:top w:w="50" w:type="dxa"/>
              <w:bottom w:w="50" w:type="dxa"/>
              <w:left w:w="90" w:type="dxa"/>
              <w:right w:w="90" w:type="dxa"/>
            </w:tcMar>
          </w:tcPr>
          <w:p>
            <w:pPr>
              <w:pStyle w:val="BDOITable"/>
            </w:pPr>
            <w:r>
              <w:rPr>
                <w:sz w:val="15"/>
              </w:rPr>
              <w:t>Mail not read stays in the mailbox and is listed for manual capture</w:t>
            </w:r>
          </w:p>
        </w:tc>
        <w:tc>
          <w:tcPr>
            <w:tcW w:type="dxa" w:w="3626"/>
            <w:tcMar>
              <w:top w:w="50" w:type="dxa"/>
              <w:bottom w:w="50" w:type="dxa"/>
              <w:left w:w="90" w:type="dxa"/>
              <w:right w:w="90" w:type="dxa"/>
            </w:tcMar>
          </w:tcPr>
          <w:p>
            <w:pPr>
              <w:pStyle w:val="BDOITable"/>
            </w:pPr>
            <w:r>
              <w:rPr>
                <w:sz w:val="15"/>
              </w:rPr>
              <w:t>Mailbox count against requests captured</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INT-15</w:t>
            </w:r>
          </w:p>
        </w:tc>
        <w:tc>
          <w:tcPr>
            <w:tcW w:type="dxa" w:w="1700"/>
            <w:tcMar>
              <w:top w:w="50" w:type="dxa"/>
              <w:bottom w:w="50" w:type="dxa"/>
              <w:left w:w="90" w:type="dxa"/>
              <w:right w:w="90" w:type="dxa"/>
            </w:tcMar>
            <w:shd w:val="clear" w:color="auto" w:fill="E5F5FF"/>
          </w:tcPr>
          <w:p>
            <w:pPr>
              <w:pStyle w:val="BDOITable"/>
            </w:pPr>
            <w:r>
              <w:rPr>
                <w:sz w:val="15"/>
              </w:rPr>
              <w:t>TFS trade clients (manual)</w:t>
            </w:r>
          </w:p>
        </w:tc>
        <w:tc>
          <w:tcPr>
            <w:tcW w:type="dxa" w:w="3966"/>
            <w:tcMar>
              <w:top w:w="50" w:type="dxa"/>
              <w:bottom w:w="50" w:type="dxa"/>
              <w:left w:w="90" w:type="dxa"/>
              <w:right w:w="90" w:type="dxa"/>
            </w:tcMar>
            <w:shd w:val="clear" w:color="auto" w:fill="E5F5FF"/>
          </w:tcPr>
          <w:p>
            <w:pPr>
              <w:pStyle w:val="BDOITable"/>
            </w:pPr>
            <w:r>
              <w:rPr>
                <w:sz w:val="15"/>
              </w:rPr>
              <w:t>Upload result per row</w:t>
            </w:r>
          </w:p>
        </w:tc>
        <w:tc>
          <w:tcPr>
            <w:tcW w:type="dxa" w:w="3626"/>
            <w:tcMar>
              <w:top w:w="50" w:type="dxa"/>
              <w:bottom w:w="50" w:type="dxa"/>
              <w:left w:w="90" w:type="dxa"/>
              <w:right w:w="90" w:type="dxa"/>
            </w:tcMar>
            <w:shd w:val="clear" w:color="auto" w:fill="E5F5FF"/>
          </w:tcPr>
          <w:p>
            <w:pPr>
              <w:pStyle w:val="BDOITable"/>
            </w:pPr>
            <w:r>
              <w:rPr>
                <w:sz w:val="15"/>
              </w:rPr>
              <w:t>Upload totals</w:t>
            </w:r>
          </w:p>
        </w:tc>
      </w:tr>
      <w:tr>
        <w:trPr>
          <w:cantSplit w:val="true"/>
        </w:trPr>
        <w:tc>
          <w:tcPr>
            <w:tcW w:type="dxa" w:w="680"/>
            <w:tcMar>
              <w:top w:w="50" w:type="dxa"/>
              <w:bottom w:w="50" w:type="dxa"/>
              <w:left w:w="90" w:type="dxa"/>
              <w:right w:w="90" w:type="dxa"/>
            </w:tcMar>
          </w:tcPr>
          <w:p>
            <w:pPr>
              <w:pStyle w:val="BDOITable"/>
            </w:pPr>
            <w:r>
              <w:rPr>
                <w:b/>
                <w:sz w:val="15"/>
              </w:rPr>
              <w:t>INT-16</w:t>
            </w:r>
          </w:p>
        </w:tc>
        <w:tc>
          <w:tcPr>
            <w:tcW w:type="dxa" w:w="1700"/>
            <w:tcMar>
              <w:top w:w="50" w:type="dxa"/>
              <w:bottom w:w="50" w:type="dxa"/>
              <w:left w:w="90" w:type="dxa"/>
              <w:right w:w="90" w:type="dxa"/>
            </w:tcMar>
          </w:tcPr>
          <w:p>
            <w:pPr>
              <w:pStyle w:val="BDOITable"/>
            </w:pPr>
            <w:r>
              <w:rPr>
                <w:sz w:val="15"/>
              </w:rPr>
              <w:t>EDP data ingestion (SD 11)</w:t>
            </w:r>
          </w:p>
        </w:tc>
        <w:tc>
          <w:tcPr>
            <w:tcW w:type="dxa" w:w="3966"/>
            <w:tcMar>
              <w:top w:w="50" w:type="dxa"/>
              <w:bottom w:w="50" w:type="dxa"/>
              <w:left w:w="90" w:type="dxa"/>
              <w:right w:w="90" w:type="dxa"/>
            </w:tcMar>
          </w:tcPr>
          <w:p>
            <w:pPr>
              <w:pStyle w:val="BDOITable"/>
            </w:pPr>
            <w:r>
              <w:rPr>
                <w:sz w:val="15"/>
              </w:rPr>
              <w:t>Extract job failure raises the JOB_FAILURE alert; re-run for the business date</w:t>
            </w:r>
          </w:p>
        </w:tc>
        <w:tc>
          <w:tcPr>
            <w:tcW w:type="dxa" w:w="3626"/>
            <w:tcMar>
              <w:top w:w="50" w:type="dxa"/>
              <w:bottom w:w="50" w:type="dxa"/>
              <w:left w:w="90" w:type="dxa"/>
              <w:right w:w="90" w:type="dxa"/>
            </w:tcMar>
          </w:tcPr>
          <w:p>
            <w:pPr>
              <w:pStyle w:val="BDOITable"/>
            </w:pPr>
            <w:r>
              <w:rPr>
                <w:sz w:val="15"/>
              </w:rPr>
              <w:t>Control file with counts and amount totals per extract</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INT-17</w:t>
            </w:r>
          </w:p>
        </w:tc>
        <w:tc>
          <w:tcPr>
            <w:tcW w:type="dxa" w:w="1700"/>
            <w:tcMar>
              <w:top w:w="50" w:type="dxa"/>
              <w:bottom w:w="50" w:type="dxa"/>
              <w:left w:w="90" w:type="dxa"/>
              <w:right w:w="90" w:type="dxa"/>
            </w:tcMar>
            <w:shd w:val="clear" w:color="auto" w:fill="E5F5FF"/>
          </w:tcPr>
          <w:p>
            <w:pPr>
              <w:pStyle w:val="BDOITable"/>
            </w:pPr>
            <w:r>
              <w:rPr>
                <w:sz w:val="15"/>
              </w:rPr>
              <w:t>EGL general ledger feed</w:t>
            </w:r>
          </w:p>
        </w:tc>
        <w:tc>
          <w:tcPr>
            <w:tcW w:type="dxa" w:w="3966"/>
            <w:tcMar>
              <w:top w:w="50" w:type="dxa"/>
              <w:bottom w:w="50" w:type="dxa"/>
              <w:left w:w="90" w:type="dxa"/>
              <w:right w:w="90" w:type="dxa"/>
            </w:tcMar>
            <w:shd w:val="clear" w:color="auto" w:fill="E5F5FF"/>
          </w:tcPr>
          <w:p>
            <w:pPr>
              <w:pStyle w:val="BDOITable"/>
            </w:pPr>
            <w:r>
              <w:rPr>
                <w:sz w:val="15"/>
              </w:rPr>
              <w:t>Rejected lines returned and corrected by Accounting; the feed is re-sent for the business date</w:t>
            </w:r>
          </w:p>
        </w:tc>
        <w:tc>
          <w:tcPr>
            <w:tcW w:type="dxa" w:w="3626"/>
            <w:tcMar>
              <w:top w:w="50" w:type="dxa"/>
              <w:bottom w:w="50" w:type="dxa"/>
              <w:left w:w="90" w:type="dxa"/>
              <w:right w:w="90" w:type="dxa"/>
            </w:tcMar>
            <w:shd w:val="clear" w:color="auto" w:fill="E5F5FF"/>
          </w:tcPr>
          <w:p>
            <w:pPr>
              <w:pStyle w:val="BDOITable"/>
            </w:pPr>
            <w:r>
              <w:rPr>
                <w:sz w:val="15"/>
              </w:rPr>
              <w:t>Trial balance of BIBS against EGL per period, owned by Comptrollership</w:t>
            </w:r>
          </w:p>
        </w:tc>
      </w:tr>
      <w:tr>
        <w:trPr>
          <w:cantSplit w:val="true"/>
        </w:trPr>
        <w:tc>
          <w:tcPr>
            <w:tcW w:type="dxa" w:w="680"/>
            <w:tcMar>
              <w:top w:w="50" w:type="dxa"/>
              <w:bottom w:w="50" w:type="dxa"/>
              <w:left w:w="90" w:type="dxa"/>
              <w:right w:w="90" w:type="dxa"/>
            </w:tcMar>
          </w:tcPr>
          <w:p>
            <w:pPr>
              <w:pStyle w:val="BDOITable"/>
            </w:pPr>
            <w:r>
              <w:rPr>
                <w:b/>
                <w:sz w:val="15"/>
              </w:rPr>
              <w:t>INT-18</w:t>
            </w:r>
          </w:p>
        </w:tc>
        <w:tc>
          <w:tcPr>
            <w:tcW w:type="dxa" w:w="1700"/>
            <w:tcMar>
              <w:top w:w="50" w:type="dxa"/>
              <w:bottom w:w="50" w:type="dxa"/>
              <w:left w:w="90" w:type="dxa"/>
              <w:right w:w="90" w:type="dxa"/>
            </w:tcMar>
          </w:tcPr>
          <w:p>
            <w:pPr>
              <w:pStyle w:val="BDOITable"/>
            </w:pPr>
            <w:r>
              <w:rPr>
                <w:sz w:val="15"/>
              </w:rPr>
              <w:t>CARMS</w:t>
            </w:r>
          </w:p>
        </w:tc>
        <w:tc>
          <w:tcPr>
            <w:tcW w:type="dxa" w:w="3966"/>
            <w:tcMar>
              <w:top w:w="50" w:type="dxa"/>
              <w:bottom w:w="50" w:type="dxa"/>
              <w:left w:w="90" w:type="dxa"/>
              <w:right w:w="90" w:type="dxa"/>
            </w:tcMar>
          </w:tcPr>
          <w:p>
            <w:pPr>
              <w:pStyle w:val="BDOITable"/>
            </w:pPr>
            <w:r>
              <w:rPr>
                <w:sz w:val="15"/>
              </w:rPr>
              <w:t>Per the agreed pattern</w:t>
            </w:r>
          </w:p>
        </w:tc>
        <w:tc>
          <w:tcPr>
            <w:tcW w:type="dxa" w:w="3626"/>
            <w:tcMar>
              <w:top w:w="50" w:type="dxa"/>
              <w:bottom w:w="50" w:type="dxa"/>
              <w:left w:w="90" w:type="dxa"/>
              <w:right w:w="90" w:type="dxa"/>
            </w:tcMar>
          </w:tcPr>
          <w:p>
            <w:pPr>
              <w:pStyle w:val="BDOITable"/>
            </w:pPr>
            <w:r>
              <w:rPr>
                <w:sz w:val="15"/>
              </w:rPr>
              <w:t>Per the agreed pattern</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INT-19</w:t>
            </w:r>
          </w:p>
        </w:tc>
        <w:tc>
          <w:tcPr>
            <w:tcW w:type="dxa" w:w="1700"/>
            <w:tcMar>
              <w:top w:w="50" w:type="dxa"/>
              <w:bottom w:w="50" w:type="dxa"/>
              <w:left w:w="90" w:type="dxa"/>
              <w:right w:w="90" w:type="dxa"/>
            </w:tcMar>
            <w:shd w:val="clear" w:color="auto" w:fill="E5F5FF"/>
          </w:tcPr>
          <w:p>
            <w:pPr>
              <w:pStyle w:val="BDOITable"/>
            </w:pPr>
            <w:r>
              <w:rPr>
                <w:sz w:val="15"/>
              </w:rPr>
              <w:t>Insurer interfaces</w:t>
            </w:r>
          </w:p>
        </w:tc>
        <w:tc>
          <w:tcPr>
            <w:tcW w:type="dxa" w:w="3966"/>
            <w:tcMar>
              <w:top w:w="50" w:type="dxa"/>
              <w:bottom w:w="50" w:type="dxa"/>
              <w:left w:w="90" w:type="dxa"/>
              <w:right w:w="90" w:type="dxa"/>
            </w:tcMar>
            <w:shd w:val="clear" w:color="auto" w:fill="E5F5FF"/>
          </w:tcPr>
          <w:p>
            <w:pPr>
              <w:pStyle w:val="BDOITable"/>
            </w:pPr>
            <w:r>
              <w:rPr>
                <w:sz w:val="15"/>
              </w:rPr>
              <w:t>Insurer file errors in the insurer file inbox with the reason; follow-up in the Operations work queues</w:t>
            </w:r>
          </w:p>
        </w:tc>
        <w:tc>
          <w:tcPr>
            <w:tcW w:type="dxa" w:w="3626"/>
            <w:tcMar>
              <w:top w:w="50" w:type="dxa"/>
              <w:bottom w:w="50" w:type="dxa"/>
              <w:left w:w="90" w:type="dxa"/>
              <w:right w:w="90" w:type="dxa"/>
            </w:tcMar>
            <w:shd w:val="clear" w:color="auto" w:fill="E5F5FF"/>
          </w:tcPr>
          <w:p>
            <w:pPr>
              <w:pStyle w:val="BDOITable"/>
            </w:pPr>
            <w:r>
              <w:rPr>
                <w:sz w:val="15"/>
              </w:rPr>
              <w:t>Production reconciliation (PRCID), SOA reconciliation in ACSL, remittance confirmation</w:t>
            </w:r>
          </w:p>
        </w:tc>
      </w:tr>
      <w:tr>
        <w:trPr>
          <w:cantSplit w:val="true"/>
        </w:trPr>
        <w:tc>
          <w:tcPr>
            <w:tcW w:type="dxa" w:w="680"/>
            <w:tcMar>
              <w:top w:w="50" w:type="dxa"/>
              <w:bottom w:w="50" w:type="dxa"/>
              <w:left w:w="90" w:type="dxa"/>
              <w:right w:w="90" w:type="dxa"/>
            </w:tcMar>
          </w:tcPr>
          <w:p>
            <w:pPr>
              <w:pStyle w:val="BDOITable"/>
            </w:pPr>
            <w:r>
              <w:rPr>
                <w:b/>
                <w:sz w:val="15"/>
              </w:rPr>
              <w:t>INT-20</w:t>
            </w:r>
          </w:p>
        </w:tc>
        <w:tc>
          <w:tcPr>
            <w:tcW w:type="dxa" w:w="1700"/>
            <w:tcMar>
              <w:top w:w="50" w:type="dxa"/>
              <w:bottom w:w="50" w:type="dxa"/>
              <w:left w:w="90" w:type="dxa"/>
              <w:right w:w="90" w:type="dxa"/>
            </w:tcMar>
          </w:tcPr>
          <w:p>
            <w:pPr>
              <w:pStyle w:val="BDOITable"/>
            </w:pPr>
            <w:r>
              <w:rPr>
                <w:sz w:val="15"/>
              </w:rPr>
              <w:t>Bridger Insight XG screening (manual)</w:t>
            </w:r>
          </w:p>
        </w:tc>
        <w:tc>
          <w:tcPr>
            <w:tcW w:type="dxa" w:w="3966"/>
            <w:tcMar>
              <w:top w:w="50" w:type="dxa"/>
              <w:bottom w:w="50" w:type="dxa"/>
              <w:left w:w="90" w:type="dxa"/>
              <w:right w:w="90" w:type="dxa"/>
            </w:tcMar>
          </w:tcPr>
          <w:p>
            <w:pPr>
              <w:pStyle w:val="BDOITable"/>
            </w:pPr>
            <w:r>
              <w:rPr>
                <w:sz w:val="15"/>
              </w:rPr>
              <w:t>-</w:t>
            </w:r>
          </w:p>
        </w:tc>
        <w:tc>
          <w:tcPr>
            <w:tcW w:type="dxa" w:w="3626"/>
            <w:tcMar>
              <w:top w:w="50" w:type="dxa"/>
              <w:bottom w:w="50" w:type="dxa"/>
              <w:left w:w="90" w:type="dxa"/>
              <w:right w:w="90" w:type="dxa"/>
            </w:tcMar>
          </w:tcPr>
          <w:p>
            <w:pPr>
              <w:pStyle w:val="BDOITable"/>
            </w:pPr>
            <w:r>
              <w:rPr>
                <w:sz w:val="15"/>
              </w:rPr>
              <w:t>Screening case report</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INT-21</w:t>
            </w:r>
          </w:p>
        </w:tc>
        <w:tc>
          <w:tcPr>
            <w:tcW w:type="dxa" w:w="1700"/>
            <w:tcMar>
              <w:top w:w="50" w:type="dxa"/>
              <w:bottom w:w="50" w:type="dxa"/>
              <w:left w:w="90" w:type="dxa"/>
              <w:right w:w="90" w:type="dxa"/>
            </w:tcMar>
            <w:shd w:val="clear" w:color="auto" w:fill="E5F5FF"/>
          </w:tcPr>
          <w:p>
            <w:pPr>
              <w:pStyle w:val="BDOITable"/>
            </w:pPr>
            <w:r>
              <w:rPr>
                <w:sz w:val="15"/>
              </w:rPr>
              <w:t>Watchlist feeds (AML advisory, NLDS PEP)</w:t>
            </w:r>
          </w:p>
        </w:tc>
        <w:tc>
          <w:tcPr>
            <w:tcW w:type="dxa" w:w="3966"/>
            <w:tcMar>
              <w:top w:w="50" w:type="dxa"/>
              <w:bottom w:w="50" w:type="dxa"/>
              <w:left w:w="90" w:type="dxa"/>
              <w:right w:w="90" w:type="dxa"/>
            </w:tcMar>
            <w:shd w:val="clear" w:color="auto" w:fill="E5F5FF"/>
          </w:tcPr>
          <w:p>
            <w:pPr>
              <w:pStyle w:val="BDOITable"/>
            </w:pPr>
            <w:r>
              <w:rPr>
                <w:sz w:val="15"/>
              </w:rPr>
              <w:t>Ingestion errors listed per run; error digest to Compliance</w:t>
            </w:r>
          </w:p>
        </w:tc>
        <w:tc>
          <w:tcPr>
            <w:tcW w:type="dxa" w:w="3626"/>
            <w:tcMar>
              <w:top w:w="50" w:type="dxa"/>
              <w:bottom w:w="50" w:type="dxa"/>
              <w:left w:w="90" w:type="dxa"/>
              <w:right w:w="90" w:type="dxa"/>
            </w:tcMar>
            <w:shd w:val="clear" w:color="auto" w:fill="E5F5FF"/>
          </w:tcPr>
          <w:p>
            <w:pPr>
              <w:pStyle w:val="BDOITable"/>
            </w:pPr>
            <w:r>
              <w:rPr>
                <w:sz w:val="15"/>
              </w:rPr>
              <w:t>Entries added, changed and removed per run; delta screening of clients</w:t>
            </w:r>
          </w:p>
        </w:tc>
      </w:tr>
      <w:tr>
        <w:trPr>
          <w:cantSplit w:val="true"/>
        </w:trPr>
        <w:tc>
          <w:tcPr>
            <w:tcW w:type="dxa" w:w="680"/>
            <w:tcMar>
              <w:top w:w="50" w:type="dxa"/>
              <w:bottom w:w="50" w:type="dxa"/>
              <w:left w:w="90" w:type="dxa"/>
              <w:right w:w="90" w:type="dxa"/>
            </w:tcMar>
          </w:tcPr>
          <w:p>
            <w:pPr>
              <w:pStyle w:val="BDOITable"/>
            </w:pPr>
            <w:r>
              <w:rPr>
                <w:b/>
                <w:sz w:val="15"/>
              </w:rPr>
              <w:t>INT-22</w:t>
            </w:r>
          </w:p>
        </w:tc>
        <w:tc>
          <w:tcPr>
            <w:tcW w:type="dxa" w:w="1700"/>
            <w:tcMar>
              <w:top w:w="50" w:type="dxa"/>
              <w:bottom w:w="50" w:type="dxa"/>
              <w:left w:w="90" w:type="dxa"/>
              <w:right w:w="90" w:type="dxa"/>
            </w:tcMar>
          </w:tcPr>
          <w:p>
            <w:pPr>
              <w:pStyle w:val="BDOITable"/>
            </w:pPr>
            <w:r>
              <w:rPr>
                <w:sz w:val="15"/>
              </w:rPr>
              <w:t>AMLC STR filing</w:t>
            </w:r>
          </w:p>
        </w:tc>
        <w:tc>
          <w:tcPr>
            <w:tcW w:type="dxa" w:w="3966"/>
            <w:tcMar>
              <w:top w:w="50" w:type="dxa"/>
              <w:bottom w:w="50" w:type="dxa"/>
              <w:left w:w="90" w:type="dxa"/>
              <w:right w:w="90" w:type="dxa"/>
            </w:tcMar>
          </w:tcPr>
          <w:p>
            <w:pPr>
              <w:pStyle w:val="BDOITable"/>
            </w:pPr>
            <w:r>
              <w:rPr>
                <w:sz w:val="15"/>
              </w:rPr>
              <w:t>-</w:t>
            </w:r>
          </w:p>
        </w:tc>
        <w:tc>
          <w:tcPr>
            <w:tcW w:type="dxa" w:w="3626"/>
            <w:tcMar>
              <w:top w:w="50" w:type="dxa"/>
              <w:bottom w:w="50" w:type="dxa"/>
              <w:left w:w="90" w:type="dxa"/>
              <w:right w:w="90" w:type="dxa"/>
            </w:tcMar>
          </w:tcPr>
          <w:p>
            <w:pPr>
              <w:pStyle w:val="BDOITable"/>
            </w:pPr>
            <w:r>
              <w:rPr>
                <w:sz w:val="15"/>
              </w:rPr>
              <w:t>STR register with the AMLC reference per report</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INT-23</w:t>
            </w:r>
          </w:p>
        </w:tc>
        <w:tc>
          <w:tcPr>
            <w:tcW w:type="dxa" w:w="1700"/>
            <w:tcMar>
              <w:top w:w="50" w:type="dxa"/>
              <w:bottom w:w="50" w:type="dxa"/>
              <w:left w:w="90" w:type="dxa"/>
              <w:right w:w="90" w:type="dxa"/>
            </w:tcMar>
            <w:shd w:val="clear" w:color="auto" w:fill="E5F5FF"/>
          </w:tcPr>
          <w:p>
            <w:pPr>
              <w:pStyle w:val="BDOITable"/>
            </w:pPr>
            <w:r>
              <w:rPr>
                <w:sz w:val="15"/>
              </w:rPr>
              <w:t>BIR e-filing</w:t>
            </w:r>
          </w:p>
        </w:tc>
        <w:tc>
          <w:tcPr>
            <w:tcW w:type="dxa" w:w="3966"/>
            <w:tcMar>
              <w:top w:w="50" w:type="dxa"/>
              <w:bottom w:w="50" w:type="dxa"/>
              <w:left w:w="90" w:type="dxa"/>
              <w:right w:w="90" w:type="dxa"/>
            </w:tcMar>
            <w:shd w:val="clear" w:color="auto" w:fill="E5F5FF"/>
          </w:tcPr>
          <w:p>
            <w:pPr>
              <w:pStyle w:val="BDOITable"/>
            </w:pPr>
            <w:r>
              <w:rPr>
                <w:sz w:val="15"/>
              </w:rPr>
              <w:t>-</w:t>
            </w:r>
          </w:p>
        </w:tc>
        <w:tc>
          <w:tcPr>
            <w:tcW w:type="dxa" w:w="3626"/>
            <w:tcMar>
              <w:top w:w="50" w:type="dxa"/>
              <w:bottom w:w="50" w:type="dxa"/>
              <w:left w:w="90" w:type="dxa"/>
              <w:right w:w="90" w:type="dxa"/>
            </w:tcMar>
            <w:shd w:val="clear" w:color="auto" w:fill="E5F5FF"/>
          </w:tcPr>
          <w:p>
            <w:pPr>
              <w:pStyle w:val="BDOITable"/>
            </w:pPr>
            <w:r>
              <w:rPr>
                <w:sz w:val="15"/>
              </w:rPr>
              <w:t>Tax worksheet against the ledger per tax account</w:t>
            </w:r>
          </w:p>
        </w:tc>
      </w:tr>
      <w:tr>
        <w:trPr>
          <w:cantSplit w:val="true"/>
        </w:trPr>
        <w:tc>
          <w:tcPr>
            <w:tcW w:type="dxa" w:w="680"/>
            <w:tcMar>
              <w:top w:w="50" w:type="dxa"/>
              <w:bottom w:w="50" w:type="dxa"/>
              <w:left w:w="90" w:type="dxa"/>
              <w:right w:w="90" w:type="dxa"/>
            </w:tcMar>
          </w:tcPr>
          <w:p>
            <w:pPr>
              <w:pStyle w:val="BDOITable"/>
            </w:pPr>
            <w:r>
              <w:rPr>
                <w:b/>
                <w:sz w:val="15"/>
              </w:rPr>
              <w:t>INT-24</w:t>
            </w:r>
          </w:p>
        </w:tc>
        <w:tc>
          <w:tcPr>
            <w:tcW w:type="dxa" w:w="1700"/>
            <w:tcMar>
              <w:top w:w="50" w:type="dxa"/>
              <w:bottom w:w="50" w:type="dxa"/>
              <w:left w:w="90" w:type="dxa"/>
              <w:right w:w="90" w:type="dxa"/>
            </w:tcMar>
          </w:tcPr>
          <w:p>
            <w:pPr>
              <w:pStyle w:val="BDOITable"/>
            </w:pPr>
            <w:r>
              <w:rPr>
                <w:sz w:val="15"/>
              </w:rPr>
              <w:t>Shared folders and file server (extract repository)</w:t>
            </w:r>
          </w:p>
        </w:tc>
        <w:tc>
          <w:tcPr>
            <w:tcW w:type="dxa" w:w="3966"/>
            <w:tcMar>
              <w:top w:w="50" w:type="dxa"/>
              <w:bottom w:w="50" w:type="dxa"/>
              <w:left w:w="90" w:type="dxa"/>
              <w:right w:w="90" w:type="dxa"/>
            </w:tcMar>
          </w:tcPr>
          <w:p>
            <w:pPr>
              <w:pStyle w:val="BDOITable"/>
            </w:pPr>
            <w:r>
              <w:rPr>
                <w:sz w:val="15"/>
              </w:rPr>
              <w:t>Job failure alert; re-run for the business date</w:t>
            </w:r>
          </w:p>
        </w:tc>
        <w:tc>
          <w:tcPr>
            <w:tcW w:type="dxa" w:w="3626"/>
            <w:tcMar>
              <w:top w:w="50" w:type="dxa"/>
              <w:bottom w:w="50" w:type="dxa"/>
              <w:left w:w="90" w:type="dxa"/>
              <w:right w:w="90" w:type="dxa"/>
            </w:tcMar>
          </w:tcPr>
          <w:p>
            <w:pPr>
              <w:pStyle w:val="BDOITable"/>
            </w:pPr>
            <w:r>
              <w:rPr>
                <w:sz w:val="15"/>
              </w:rPr>
              <w:t>File register per run with name, size and SHA-256</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INT-25</w:t>
            </w:r>
          </w:p>
        </w:tc>
        <w:tc>
          <w:tcPr>
            <w:tcW w:type="dxa" w:w="1700"/>
            <w:tcMar>
              <w:top w:w="50" w:type="dxa"/>
              <w:bottom w:w="50" w:type="dxa"/>
              <w:left w:w="90" w:type="dxa"/>
              <w:right w:w="90" w:type="dxa"/>
            </w:tcMar>
            <w:shd w:val="clear" w:color="auto" w:fill="E5F5FF"/>
          </w:tcPr>
          <w:p>
            <w:pPr>
              <w:pStyle w:val="BDOITable"/>
            </w:pPr>
            <w:r>
              <w:rPr>
                <w:sz w:val="15"/>
              </w:rPr>
              <w:t>Mail house print batches</w:t>
            </w:r>
          </w:p>
        </w:tc>
        <w:tc>
          <w:tcPr>
            <w:tcW w:type="dxa" w:w="3966"/>
            <w:tcMar>
              <w:top w:w="50" w:type="dxa"/>
              <w:bottom w:w="50" w:type="dxa"/>
              <w:left w:w="90" w:type="dxa"/>
              <w:right w:w="90" w:type="dxa"/>
            </w:tcMar>
            <w:shd w:val="clear" w:color="auto" w:fill="E5F5FF"/>
          </w:tcPr>
          <w:p>
            <w:pPr>
              <w:pStyle w:val="BDOITable"/>
            </w:pPr>
            <w:r>
              <w:rPr>
                <w:sz w:val="15"/>
              </w:rPr>
              <w:t>Batch re-generated on request</w:t>
            </w:r>
          </w:p>
        </w:tc>
        <w:tc>
          <w:tcPr>
            <w:tcW w:type="dxa" w:w="3626"/>
            <w:tcMar>
              <w:top w:w="50" w:type="dxa"/>
              <w:bottom w:w="50" w:type="dxa"/>
              <w:left w:w="90" w:type="dxa"/>
              <w:right w:w="90" w:type="dxa"/>
            </w:tcMar>
            <w:shd w:val="clear" w:color="auto" w:fill="E5F5FF"/>
          </w:tcPr>
          <w:p>
            <w:pPr>
              <w:pStyle w:val="BDOITable"/>
            </w:pPr>
            <w:r>
              <w:rPr>
                <w:sz w:val="15"/>
              </w:rPr>
              <w:t>Control list count against letters printed</w:t>
            </w:r>
          </w:p>
        </w:tc>
      </w:tr>
      <w:tr>
        <w:trPr>
          <w:cantSplit w:val="true"/>
        </w:trPr>
        <w:tc>
          <w:tcPr>
            <w:tcW w:type="dxa" w:w="680"/>
            <w:tcMar>
              <w:top w:w="50" w:type="dxa"/>
              <w:bottom w:w="50" w:type="dxa"/>
              <w:left w:w="90" w:type="dxa"/>
              <w:right w:w="90" w:type="dxa"/>
            </w:tcMar>
          </w:tcPr>
          <w:p>
            <w:pPr>
              <w:pStyle w:val="BDOITable"/>
            </w:pPr>
            <w:r>
              <w:rPr>
                <w:b/>
                <w:sz w:val="15"/>
              </w:rPr>
              <w:t>INT-26</w:t>
            </w:r>
          </w:p>
        </w:tc>
        <w:tc>
          <w:tcPr>
            <w:tcW w:type="dxa" w:w="1700"/>
            <w:tcMar>
              <w:top w:w="50" w:type="dxa"/>
              <w:bottom w:w="50" w:type="dxa"/>
              <w:left w:w="90" w:type="dxa"/>
              <w:right w:w="90" w:type="dxa"/>
            </w:tcMar>
          </w:tcPr>
          <w:p>
            <w:pPr>
              <w:pStyle w:val="BDOITable"/>
            </w:pPr>
            <w:r>
              <w:rPr>
                <w:sz w:val="15"/>
              </w:rPr>
              <w:t>Document store</w:t>
            </w:r>
          </w:p>
        </w:tc>
        <w:tc>
          <w:tcPr>
            <w:tcW w:type="dxa" w:w="3966"/>
            <w:tcMar>
              <w:top w:w="50" w:type="dxa"/>
              <w:bottom w:w="50" w:type="dxa"/>
              <w:left w:w="90" w:type="dxa"/>
              <w:right w:w="90" w:type="dxa"/>
            </w:tcMar>
          </w:tcPr>
          <w:p>
            <w:pPr>
              <w:pStyle w:val="BDOITable"/>
            </w:pPr>
            <w:r>
              <w:rPr>
                <w:sz w:val="15"/>
              </w:rPr>
              <w:t>Files without a clean scan cannot be downloaded; infected files quarantined with an alert</w:t>
            </w:r>
          </w:p>
        </w:tc>
        <w:tc>
          <w:tcPr>
            <w:tcW w:type="dxa" w:w="3626"/>
            <w:tcMar>
              <w:top w:w="50" w:type="dxa"/>
              <w:bottom w:w="50" w:type="dxa"/>
              <w:left w:w="90" w:type="dxa"/>
              <w:right w:w="90" w:type="dxa"/>
            </w:tcMar>
          </w:tcPr>
          <w:p>
            <w:pPr>
              <w:pStyle w:val="BDOITable"/>
            </w:pPr>
            <w:r>
              <w:rPr>
                <w:sz w:val="15"/>
              </w:rPr>
              <w:t>Nightly orphan reconciliation (objects without a record after 24 hours); SHA-256 on every file</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INT-27</w:t>
            </w:r>
          </w:p>
        </w:tc>
        <w:tc>
          <w:tcPr>
            <w:tcW w:type="dxa" w:w="1700"/>
            <w:tcMar>
              <w:top w:w="50" w:type="dxa"/>
              <w:bottom w:w="50" w:type="dxa"/>
              <w:left w:w="90" w:type="dxa"/>
              <w:right w:w="90" w:type="dxa"/>
            </w:tcMar>
            <w:shd w:val="clear" w:color="auto" w:fill="E5F5FF"/>
          </w:tcPr>
          <w:p>
            <w:pPr>
              <w:pStyle w:val="BDOITable"/>
            </w:pPr>
            <w:r>
              <w:rPr>
                <w:sz w:val="15"/>
              </w:rPr>
              <w:t>Legacy systems for data migration</w:t>
            </w:r>
          </w:p>
        </w:tc>
        <w:tc>
          <w:tcPr>
            <w:tcW w:type="dxa" w:w="3966"/>
            <w:tcMar>
              <w:top w:w="50" w:type="dxa"/>
              <w:bottom w:w="50" w:type="dxa"/>
              <w:left w:w="90" w:type="dxa"/>
              <w:right w:w="90" w:type="dxa"/>
            </w:tcMar>
            <w:shd w:val="clear" w:color="auto" w:fill="E5F5FF"/>
          </w:tcPr>
          <w:p>
            <w:pPr>
              <w:pStyle w:val="BDOITable"/>
            </w:pPr>
            <w:r>
              <w:rPr>
                <w:sz w:val="15"/>
              </w:rPr>
              <w:t>Batch validation report; rejected batch resubmitted</w:t>
            </w:r>
          </w:p>
        </w:tc>
        <w:tc>
          <w:tcPr>
            <w:tcW w:type="dxa" w:w="3626"/>
            <w:tcMar>
              <w:top w:w="50" w:type="dxa"/>
              <w:bottom w:w="50" w:type="dxa"/>
              <w:left w:w="90" w:type="dxa"/>
              <w:right w:w="90" w:type="dxa"/>
            </w:tcMar>
            <w:shd w:val="clear" w:color="auto" w:fill="E5F5FF"/>
          </w:tcPr>
          <w:p>
            <w:pPr>
              <w:pStyle w:val="BDOITable"/>
            </w:pPr>
            <w:r>
              <w:rPr>
                <w:sz w:val="15"/>
              </w:rPr>
              <w:t>Control totals per object and the reconciliation reports of the Migration Console</w:t>
            </w:r>
          </w:p>
        </w:tc>
      </w:tr>
      <w:tr>
        <w:trPr>
          <w:cantSplit w:val="true"/>
        </w:trPr>
        <w:tc>
          <w:tcPr>
            <w:tcW w:type="dxa" w:w="680"/>
            <w:tcMar>
              <w:top w:w="50" w:type="dxa"/>
              <w:bottom w:w="50" w:type="dxa"/>
              <w:left w:w="90" w:type="dxa"/>
              <w:right w:w="90" w:type="dxa"/>
            </w:tcMar>
          </w:tcPr>
          <w:p>
            <w:pPr>
              <w:pStyle w:val="BDOITable"/>
            </w:pPr>
            <w:r>
              <w:rPr>
                <w:b/>
                <w:sz w:val="15"/>
              </w:rPr>
              <w:t>INT-28</w:t>
            </w:r>
          </w:p>
        </w:tc>
        <w:tc>
          <w:tcPr>
            <w:tcW w:type="dxa" w:w="1700"/>
            <w:tcMar>
              <w:top w:w="50" w:type="dxa"/>
              <w:bottom w:w="50" w:type="dxa"/>
              <w:left w:w="90" w:type="dxa"/>
              <w:right w:w="90" w:type="dxa"/>
            </w:tcMar>
          </w:tcPr>
          <w:p>
            <w:pPr>
              <w:pStyle w:val="BDOITable"/>
            </w:pPr>
            <w:r>
              <w:rPr>
                <w:sz w:val="15"/>
              </w:rPr>
              <w:t>SMS notifications</w:t>
            </w:r>
          </w:p>
        </w:tc>
        <w:tc>
          <w:tcPr>
            <w:tcW w:type="dxa" w:w="3966"/>
            <w:tcMar>
              <w:top w:w="50" w:type="dxa"/>
              <w:bottom w:w="50" w:type="dxa"/>
              <w:left w:w="90" w:type="dxa"/>
              <w:right w:w="90" w:type="dxa"/>
            </w:tcMar>
          </w:tcPr>
          <w:p>
            <w:pPr>
              <w:pStyle w:val="BDOITable"/>
            </w:pPr>
            <w:r>
              <w:rPr>
                <w:sz w:val="15"/>
              </w:rPr>
              <w:t>-</w:t>
            </w:r>
          </w:p>
        </w:tc>
        <w:tc>
          <w:tcPr>
            <w:tcW w:type="dxa" w:w="3626"/>
            <w:tcMar>
              <w:top w:w="50" w:type="dxa"/>
              <w:bottom w:w="50" w:type="dxa"/>
              <w:left w:w="90" w:type="dxa"/>
              <w:right w:w="90" w:type="dxa"/>
            </w:tcMar>
          </w:tcPr>
          <w:p>
            <w:pPr>
              <w:pStyle w:val="BDOITable"/>
            </w:pPr>
            <w:r>
              <w:rPr>
                <w:sz w:val="15"/>
              </w:rPr>
              <w:t>-</w:t>
            </w:r>
          </w:p>
        </w:tc>
      </w:tr>
    </w:tbl>
    <w:p>
      <w:pPr>
        <w:pStyle w:val="BDOISpacer"/>
      </w:pPr>
    </w:p>
    <w:p>
      <w:r>
        <w:rPr/>
        <w:t>Reconciliation reports are part of the interface: each one shows what was sent or received (count and totals), what was processed, what was rejected and the differences, and is signed off by the business owner of the interface on the frequency of the interface (daily for bank and collection files, per period for EGL).</w:t>
      </w:r>
    </w:p>
    <w:p>
      <w:pPr>
        <w:pStyle w:val="Heading1"/>
        <w:pBdr>
          <w:bottom w:val="single" w:sz="4" w:space="4" w:color="99C1E7"/>
        </w:pBdr>
      </w:pPr>
      <w:bookmarkStart w:id="119" w:name="_Toc000119"/>
      <w:r>
        <w:rPr/>
        <w:t>8 Ownership and governance</w:t>
      </w:r>
      <w:bookmarkEnd w:id="119"/>
    </w:p>
    <w:p>
      <w:pPr>
        <w:pStyle w:val="Heading2"/>
      </w:pPr>
      <w:bookmarkStart w:id="120" w:name="_Toc000120"/>
      <w:r>
        <w:rPr/>
        <w:t>8.1 Interface ownership</w:t>
      </w:r>
      <w:bookmarkEnd w:id="120"/>
    </w:p>
    <w:p>
      <w:r>
        <w:rPr/>
        <w:t>All external touch-points are owned by BDOI IT (answer A2); the business owner of each interface is the unit that reconciles it.</w:t>
      </w:r>
    </w:p>
    <w:p>
      <w:pPr>
        <w:pStyle w:val="Caption"/>
        <w:keepNext/>
        <w:spacing w:after="60"/>
      </w:pPr>
      <w:r>
        <w:rPr>
          <w:b/>
          <w:i w:val="0"/>
        </w:rPr>
        <w:t xml:space="preserve">Table 12: </w:t>
      </w:r>
      <w:r>
        <w:rPr/>
        <w:t>Interface ownership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1926"/>
        <w:gridCol w:w="3173"/>
        <w:gridCol w:w="4193"/>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Interface</w:t>
            </w:r>
          </w:p>
        </w:tc>
        <w:tc>
          <w:tcPr>
            <w:tcW w:type="dxa" w:w="3173"/>
            <w:shd w:val="clear" w:color="auto" w:fill="004EA8"/>
            <w:tcMar>
              <w:top w:w="50" w:type="dxa"/>
              <w:bottom w:w="50" w:type="dxa"/>
              <w:left w:w="90" w:type="dxa"/>
              <w:right w:w="90" w:type="dxa"/>
            </w:tcMar>
            <w:vAlign w:val="center"/>
          </w:tcPr>
          <w:p>
            <w:pPr>
              <w:pStyle w:val="BDOITableHeader"/>
            </w:pPr>
            <w:r>
              <w:rPr>
                <w:b/>
                <w:color w:val="FFFFFF"/>
                <w:sz w:val="15"/>
              </w:rPr>
              <w:t>BDOI owner (counterpart system)</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5"/>
              </w:rPr>
              <w:t>BIBS module and workload</w:t>
            </w:r>
          </w:p>
        </w:tc>
      </w:tr>
      <w:tr>
        <w:trPr>
          <w:cantSplit w:val="true"/>
        </w:trPr>
        <w:tc>
          <w:tcPr>
            <w:tcW w:type="dxa" w:w="680"/>
            <w:tcMar>
              <w:top w:w="50" w:type="dxa"/>
              <w:bottom w:w="50" w:type="dxa"/>
              <w:left w:w="90" w:type="dxa"/>
              <w:right w:w="90" w:type="dxa"/>
            </w:tcMar>
          </w:tcPr>
          <w:p>
            <w:pPr>
              <w:pStyle w:val="BDOITable"/>
            </w:pPr>
            <w:r>
              <w:rPr>
                <w:b/>
                <w:sz w:val="15"/>
              </w:rPr>
              <w:t>INT-01</w:t>
            </w:r>
          </w:p>
        </w:tc>
        <w:tc>
          <w:tcPr>
            <w:tcW w:type="dxa" w:w="1926"/>
            <w:tcMar>
              <w:top w:w="50" w:type="dxa"/>
              <w:bottom w:w="50" w:type="dxa"/>
              <w:left w:w="90" w:type="dxa"/>
              <w:right w:w="90" w:type="dxa"/>
            </w:tcMar>
          </w:tcPr>
          <w:p>
            <w:pPr>
              <w:pStyle w:val="BDOITable"/>
            </w:pPr>
            <w:r>
              <w:rPr>
                <w:sz w:val="15"/>
              </w:rPr>
              <w:t>EIAM single sign-on</w:t>
            </w:r>
          </w:p>
        </w:tc>
        <w:tc>
          <w:tcPr>
            <w:tcW w:type="dxa" w:w="3173"/>
            <w:tcMar>
              <w:top w:w="50" w:type="dxa"/>
              <w:bottom w:w="50" w:type="dxa"/>
              <w:left w:w="90" w:type="dxa"/>
              <w:right w:w="90" w:type="dxa"/>
            </w:tcMar>
          </w:tcPr>
          <w:p>
            <w:pPr>
              <w:pStyle w:val="BDOITable"/>
            </w:pPr>
            <w:r>
              <w:rPr>
                <w:sz w:val="15"/>
              </w:rPr>
              <w:t>BDOI IT Identity and Access Management</w:t>
            </w:r>
          </w:p>
        </w:tc>
        <w:tc>
          <w:tcPr>
            <w:tcW w:type="dxa" w:w="4193"/>
            <w:tcMar>
              <w:top w:w="50" w:type="dxa"/>
              <w:bottom w:w="50" w:type="dxa"/>
              <w:left w:w="90" w:type="dxa"/>
              <w:right w:w="90" w:type="dxa"/>
            </w:tcMar>
          </w:tcPr>
          <w:p>
            <w:pPr>
              <w:pStyle w:val="BDOITable"/>
            </w:pPr>
            <w:r>
              <w:rPr>
                <w:sz w:val="15"/>
              </w:rPr>
              <w:t>User access and identity (security); bibs-web</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INT-02</w:t>
            </w:r>
          </w:p>
        </w:tc>
        <w:tc>
          <w:tcPr>
            <w:tcW w:type="dxa" w:w="1926"/>
            <w:tcMar>
              <w:top w:w="50" w:type="dxa"/>
              <w:bottom w:w="50" w:type="dxa"/>
              <w:left w:w="90" w:type="dxa"/>
              <w:right w:w="90" w:type="dxa"/>
            </w:tcMar>
            <w:shd w:val="clear" w:color="auto" w:fill="E5F5FF"/>
          </w:tcPr>
          <w:p>
            <w:pPr>
              <w:pStyle w:val="BDOITable"/>
            </w:pPr>
            <w:r>
              <w:rPr>
                <w:sz w:val="15"/>
              </w:rPr>
              <w:t>UIDM-ISC provisioning</w:t>
            </w:r>
          </w:p>
        </w:tc>
        <w:tc>
          <w:tcPr>
            <w:tcW w:type="dxa" w:w="3173"/>
            <w:tcMar>
              <w:top w:w="50" w:type="dxa"/>
              <w:bottom w:w="50" w:type="dxa"/>
              <w:left w:w="90" w:type="dxa"/>
              <w:right w:w="90" w:type="dxa"/>
            </w:tcMar>
            <w:shd w:val="clear" w:color="auto" w:fill="E5F5FF"/>
          </w:tcPr>
          <w:p>
            <w:pPr>
              <w:pStyle w:val="BDOITable"/>
            </w:pPr>
            <w:r>
              <w:rPr>
                <w:sz w:val="15"/>
              </w:rPr>
              <w:t>BDOI IT Identity Governance</w:t>
            </w:r>
          </w:p>
        </w:tc>
        <w:tc>
          <w:tcPr>
            <w:tcW w:type="dxa" w:w="4193"/>
            <w:tcMar>
              <w:top w:w="50" w:type="dxa"/>
              <w:bottom w:w="50" w:type="dxa"/>
              <w:left w:w="90" w:type="dxa"/>
              <w:right w:w="90" w:type="dxa"/>
            </w:tcMar>
            <w:shd w:val="clear" w:color="auto" w:fill="E5F5FF"/>
          </w:tcPr>
          <w:p>
            <w:pPr>
              <w:pStyle w:val="BDOITable"/>
            </w:pPr>
            <w:r>
              <w:rPr>
                <w:sz w:val="15"/>
              </w:rPr>
              <w:t>User access and identity (nbadmin, security); bibs-integration</w:t>
            </w:r>
          </w:p>
        </w:tc>
      </w:tr>
      <w:tr>
        <w:trPr>
          <w:cantSplit w:val="true"/>
        </w:trPr>
        <w:tc>
          <w:tcPr>
            <w:tcW w:type="dxa" w:w="680"/>
            <w:tcMar>
              <w:top w:w="50" w:type="dxa"/>
              <w:bottom w:w="50" w:type="dxa"/>
              <w:left w:w="90" w:type="dxa"/>
              <w:right w:w="90" w:type="dxa"/>
            </w:tcMar>
          </w:tcPr>
          <w:p>
            <w:pPr>
              <w:pStyle w:val="BDOITable"/>
            </w:pPr>
            <w:r>
              <w:rPr>
                <w:b/>
                <w:sz w:val="15"/>
              </w:rPr>
              <w:t>INT-03</w:t>
            </w:r>
          </w:p>
        </w:tc>
        <w:tc>
          <w:tcPr>
            <w:tcW w:type="dxa" w:w="1926"/>
            <w:tcMar>
              <w:top w:w="50" w:type="dxa"/>
              <w:bottom w:w="50" w:type="dxa"/>
              <w:left w:w="90" w:type="dxa"/>
              <w:right w:w="90" w:type="dxa"/>
            </w:tcMar>
          </w:tcPr>
          <w:p>
            <w:pPr>
              <w:pStyle w:val="BDOITable"/>
            </w:pPr>
            <w:r>
              <w:rPr>
                <w:sz w:val="15"/>
              </w:rPr>
              <w:t>LMS loan data</w:t>
            </w:r>
          </w:p>
        </w:tc>
        <w:tc>
          <w:tcPr>
            <w:tcW w:type="dxa" w:w="3173"/>
            <w:tcMar>
              <w:top w:w="50" w:type="dxa"/>
              <w:bottom w:w="50" w:type="dxa"/>
              <w:left w:w="90" w:type="dxa"/>
              <w:right w:w="90" w:type="dxa"/>
            </w:tcMar>
          </w:tcPr>
          <w:p>
            <w:pPr>
              <w:pStyle w:val="BDOITable"/>
            </w:pPr>
            <w:r>
              <w:rPr>
                <w:sz w:val="15"/>
              </w:rPr>
              <w:t>BDOI IT (LMS owner)</w:t>
            </w:r>
          </w:p>
        </w:tc>
        <w:tc>
          <w:tcPr>
            <w:tcW w:type="dxa" w:w="4193"/>
            <w:tcMar>
              <w:top w:w="50" w:type="dxa"/>
              <w:bottom w:w="50" w:type="dxa"/>
              <w:left w:w="90" w:type="dxa"/>
              <w:right w:w="90" w:type="dxa"/>
            </w:tcMar>
          </w:tcPr>
          <w:p>
            <w:pPr>
              <w:pStyle w:val="BDOITable"/>
            </w:pPr>
            <w:r>
              <w:rPr>
                <w:sz w:val="15"/>
              </w:rPr>
              <w:t>Renewal, Submitted policies, Placement; bibs-integration</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INT-04</w:t>
            </w:r>
          </w:p>
        </w:tc>
        <w:tc>
          <w:tcPr>
            <w:tcW w:type="dxa" w:w="1926"/>
            <w:tcMar>
              <w:top w:w="50" w:type="dxa"/>
              <w:bottom w:w="50" w:type="dxa"/>
              <w:left w:w="90" w:type="dxa"/>
              <w:right w:w="90" w:type="dxa"/>
            </w:tcMar>
            <w:shd w:val="clear" w:color="auto" w:fill="E5F5FF"/>
          </w:tcPr>
          <w:p>
            <w:pPr>
              <w:pStyle w:val="BDOITable"/>
            </w:pPr>
            <w:r>
              <w:rPr>
                <w:sz w:val="15"/>
              </w:rPr>
              <w:t>HL-LOAS quotation requests and loan data</w:t>
            </w:r>
          </w:p>
        </w:tc>
        <w:tc>
          <w:tcPr>
            <w:tcW w:type="dxa" w:w="3173"/>
            <w:tcMar>
              <w:top w:w="50" w:type="dxa"/>
              <w:bottom w:w="50" w:type="dxa"/>
              <w:left w:w="90" w:type="dxa"/>
              <w:right w:w="90" w:type="dxa"/>
            </w:tcMar>
            <w:shd w:val="clear" w:color="auto" w:fill="E5F5FF"/>
          </w:tcPr>
          <w:p>
            <w:pPr>
              <w:pStyle w:val="BDOITable"/>
            </w:pPr>
            <w:r>
              <w:rPr>
                <w:sz w:val="15"/>
              </w:rPr>
              <w:t>BDOI IT (HL-LOAS owner)</w:t>
            </w:r>
          </w:p>
        </w:tc>
        <w:tc>
          <w:tcPr>
            <w:tcW w:type="dxa" w:w="4193"/>
            <w:tcMar>
              <w:top w:w="50" w:type="dxa"/>
              <w:bottom w:w="50" w:type="dxa"/>
              <w:left w:w="90" w:type="dxa"/>
              <w:right w:w="90" w:type="dxa"/>
            </w:tcMar>
            <w:shd w:val="clear" w:color="auto" w:fill="E5F5FF"/>
          </w:tcPr>
          <w:p>
            <w:pPr>
              <w:pStyle w:val="BDOITable"/>
            </w:pPr>
            <w:r>
              <w:rPr>
                <w:sz w:val="15"/>
              </w:rPr>
              <w:t>Package quotations, Placement; bibs-integration</w:t>
            </w:r>
          </w:p>
        </w:tc>
      </w:tr>
      <w:tr>
        <w:trPr>
          <w:cantSplit w:val="true"/>
        </w:trPr>
        <w:tc>
          <w:tcPr>
            <w:tcW w:type="dxa" w:w="680"/>
            <w:tcMar>
              <w:top w:w="50" w:type="dxa"/>
              <w:bottom w:w="50" w:type="dxa"/>
              <w:left w:w="90" w:type="dxa"/>
              <w:right w:w="90" w:type="dxa"/>
            </w:tcMar>
          </w:tcPr>
          <w:p>
            <w:pPr>
              <w:pStyle w:val="BDOITable"/>
            </w:pPr>
            <w:r>
              <w:rPr>
                <w:b/>
                <w:sz w:val="15"/>
              </w:rPr>
              <w:t>INT-05</w:t>
            </w:r>
          </w:p>
        </w:tc>
        <w:tc>
          <w:tcPr>
            <w:tcW w:type="dxa" w:w="1926"/>
            <w:tcMar>
              <w:top w:w="50" w:type="dxa"/>
              <w:bottom w:w="50" w:type="dxa"/>
              <w:left w:w="90" w:type="dxa"/>
              <w:right w:w="90" w:type="dxa"/>
            </w:tcMar>
          </w:tcPr>
          <w:p>
            <w:pPr>
              <w:pStyle w:val="BDOITable"/>
            </w:pPr>
            <w:r>
              <w:rPr>
                <w:sz w:val="15"/>
              </w:rPr>
              <w:t>LFS insurance report</w:t>
            </w:r>
          </w:p>
        </w:tc>
        <w:tc>
          <w:tcPr>
            <w:tcW w:type="dxa" w:w="3173"/>
            <w:tcMar>
              <w:top w:w="50" w:type="dxa"/>
              <w:bottom w:w="50" w:type="dxa"/>
              <w:left w:w="90" w:type="dxa"/>
              <w:right w:w="90" w:type="dxa"/>
            </w:tcMar>
          </w:tcPr>
          <w:p>
            <w:pPr>
              <w:pStyle w:val="BDOITable"/>
            </w:pPr>
            <w:r>
              <w:rPr>
                <w:sz w:val="15"/>
              </w:rPr>
              <w:t>BDOI IT (LFS owner)</w:t>
            </w:r>
          </w:p>
        </w:tc>
        <w:tc>
          <w:tcPr>
            <w:tcW w:type="dxa" w:w="4193"/>
            <w:tcMar>
              <w:top w:w="50" w:type="dxa"/>
              <w:bottom w:w="50" w:type="dxa"/>
              <w:left w:w="90" w:type="dxa"/>
              <w:right w:w="90" w:type="dxa"/>
            </w:tcMar>
          </w:tcPr>
          <w:p>
            <w:pPr>
              <w:pStyle w:val="BDOITable"/>
            </w:pPr>
            <w:r>
              <w:rPr>
                <w:sz w:val="15"/>
              </w:rPr>
              <w:t>Submitted policies; bibs-integration</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INT-06</w:t>
            </w:r>
          </w:p>
        </w:tc>
        <w:tc>
          <w:tcPr>
            <w:tcW w:type="dxa" w:w="1926"/>
            <w:tcMar>
              <w:top w:w="50" w:type="dxa"/>
              <w:bottom w:w="50" w:type="dxa"/>
              <w:left w:w="90" w:type="dxa"/>
              <w:right w:w="90" w:type="dxa"/>
            </w:tcMar>
            <w:shd w:val="clear" w:color="auto" w:fill="E5F5FF"/>
          </w:tcPr>
          <w:p>
            <w:pPr>
              <w:pStyle w:val="BDOITable"/>
            </w:pPr>
            <w:r>
              <w:rPr>
                <w:sz w:val="15"/>
              </w:rPr>
              <w:t>PMS post-dated checks</w:t>
            </w:r>
          </w:p>
        </w:tc>
        <w:tc>
          <w:tcPr>
            <w:tcW w:type="dxa" w:w="3173"/>
            <w:tcMar>
              <w:top w:w="50" w:type="dxa"/>
              <w:bottom w:w="50" w:type="dxa"/>
              <w:left w:w="90" w:type="dxa"/>
              <w:right w:w="90" w:type="dxa"/>
            </w:tcMar>
            <w:shd w:val="clear" w:color="auto" w:fill="E5F5FF"/>
          </w:tcPr>
          <w:p>
            <w:pPr>
              <w:pStyle w:val="BDOITable"/>
            </w:pPr>
            <w:r>
              <w:rPr>
                <w:sz w:val="15"/>
              </w:rPr>
              <w:t>BDOI IT (PMS owner)</w:t>
            </w:r>
          </w:p>
        </w:tc>
        <w:tc>
          <w:tcPr>
            <w:tcW w:type="dxa" w:w="4193"/>
            <w:tcMar>
              <w:top w:w="50" w:type="dxa"/>
              <w:bottom w:w="50" w:type="dxa"/>
              <w:left w:w="90" w:type="dxa"/>
              <w:right w:w="90" w:type="dxa"/>
            </w:tcMar>
            <w:shd w:val="clear" w:color="auto" w:fill="E5F5FF"/>
          </w:tcPr>
          <w:p>
            <w:pPr>
              <w:pStyle w:val="BDOITable"/>
            </w:pPr>
            <w:r>
              <w:rPr>
                <w:sz w:val="15"/>
              </w:rPr>
              <w:t>Cashiering; bibs-jobs</w:t>
            </w:r>
          </w:p>
        </w:tc>
      </w:tr>
      <w:tr>
        <w:trPr>
          <w:cantSplit w:val="true"/>
        </w:trPr>
        <w:tc>
          <w:tcPr>
            <w:tcW w:type="dxa" w:w="680"/>
            <w:tcMar>
              <w:top w:w="50" w:type="dxa"/>
              <w:bottom w:w="50" w:type="dxa"/>
              <w:left w:w="90" w:type="dxa"/>
              <w:right w:w="90" w:type="dxa"/>
            </w:tcMar>
          </w:tcPr>
          <w:p>
            <w:pPr>
              <w:pStyle w:val="BDOITable"/>
            </w:pPr>
            <w:r>
              <w:rPr>
                <w:b/>
                <w:sz w:val="15"/>
              </w:rPr>
              <w:t>INT-07</w:t>
            </w:r>
          </w:p>
        </w:tc>
        <w:tc>
          <w:tcPr>
            <w:tcW w:type="dxa" w:w="1926"/>
            <w:tcMar>
              <w:top w:w="50" w:type="dxa"/>
              <w:bottom w:w="50" w:type="dxa"/>
              <w:left w:w="90" w:type="dxa"/>
              <w:right w:w="90" w:type="dxa"/>
            </w:tcMar>
          </w:tcPr>
          <w:p>
            <w:pPr>
              <w:pStyle w:val="BDOITable"/>
            </w:pPr>
            <w:r>
              <w:rPr>
                <w:sz w:val="15"/>
              </w:rPr>
              <w:t>CMS / New BOB outward payments</w:t>
            </w:r>
          </w:p>
        </w:tc>
        <w:tc>
          <w:tcPr>
            <w:tcW w:type="dxa" w:w="3173"/>
            <w:tcMar>
              <w:top w:w="50" w:type="dxa"/>
              <w:bottom w:w="50" w:type="dxa"/>
              <w:left w:w="90" w:type="dxa"/>
              <w:right w:w="90" w:type="dxa"/>
            </w:tcMar>
          </w:tcPr>
          <w:p>
            <w:pPr>
              <w:pStyle w:val="BDOITable"/>
            </w:pPr>
            <w:r>
              <w:rPr>
                <w:sz w:val="15"/>
              </w:rPr>
              <w:t>BDOI Treasury with BDOI IT</w:t>
            </w:r>
          </w:p>
        </w:tc>
        <w:tc>
          <w:tcPr>
            <w:tcW w:type="dxa" w:w="4193"/>
            <w:tcMar>
              <w:top w:w="50" w:type="dxa"/>
              <w:bottom w:w="50" w:type="dxa"/>
              <w:left w:w="90" w:type="dxa"/>
              <w:right w:w="90" w:type="dxa"/>
            </w:tcMar>
          </w:tcPr>
          <w:p>
            <w:pPr>
              <w:pStyle w:val="BDOITable"/>
            </w:pPr>
            <w:r>
              <w:rPr>
                <w:sz w:val="15"/>
              </w:rPr>
              <w:t>Disbursement; bibs-jobs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INT-08</w:t>
            </w:r>
          </w:p>
        </w:tc>
        <w:tc>
          <w:tcPr>
            <w:tcW w:type="dxa" w:w="1926"/>
            <w:tcMar>
              <w:top w:w="50" w:type="dxa"/>
              <w:bottom w:w="50" w:type="dxa"/>
              <w:left w:w="90" w:type="dxa"/>
              <w:right w:w="90" w:type="dxa"/>
            </w:tcMar>
            <w:shd w:val="clear" w:color="auto" w:fill="E5F5FF"/>
          </w:tcPr>
          <w:p>
            <w:pPr>
              <w:pStyle w:val="BDOITable"/>
            </w:pPr>
            <w:r>
              <w:rPr>
                <w:sz w:val="15"/>
              </w:rPr>
              <w:t>OBPCS bills payment collections</w:t>
            </w:r>
          </w:p>
        </w:tc>
        <w:tc>
          <w:tcPr>
            <w:tcW w:type="dxa" w:w="3173"/>
            <w:tcMar>
              <w:top w:w="50" w:type="dxa"/>
              <w:bottom w:w="50" w:type="dxa"/>
              <w:left w:w="90" w:type="dxa"/>
              <w:right w:w="90" w:type="dxa"/>
            </w:tcMar>
            <w:shd w:val="clear" w:color="auto" w:fill="E5F5FF"/>
          </w:tcPr>
          <w:p>
            <w:pPr>
              <w:pStyle w:val="BDOITable"/>
            </w:pPr>
            <w:r>
              <w:rPr>
                <w:sz w:val="15"/>
              </w:rPr>
              <w:t>BDOI Operations with BDOI IT</w:t>
            </w:r>
          </w:p>
        </w:tc>
        <w:tc>
          <w:tcPr>
            <w:tcW w:type="dxa" w:w="4193"/>
            <w:tcMar>
              <w:top w:w="50" w:type="dxa"/>
              <w:bottom w:w="50" w:type="dxa"/>
              <w:left w:w="90" w:type="dxa"/>
              <w:right w:w="90" w:type="dxa"/>
            </w:tcMar>
            <w:shd w:val="clear" w:color="auto" w:fill="E5F5FF"/>
          </w:tcPr>
          <w:p>
            <w:pPr>
              <w:pStyle w:val="BDOITable"/>
            </w:pPr>
            <w:r>
              <w:rPr>
                <w:sz w:val="15"/>
              </w:rPr>
              <w:t>Cashiering; bibs-jobs</w:t>
            </w:r>
          </w:p>
        </w:tc>
      </w:tr>
      <w:tr>
        <w:trPr>
          <w:cantSplit w:val="true"/>
        </w:trPr>
        <w:tc>
          <w:tcPr>
            <w:tcW w:type="dxa" w:w="680"/>
            <w:tcMar>
              <w:top w:w="50" w:type="dxa"/>
              <w:bottom w:w="50" w:type="dxa"/>
              <w:left w:w="90" w:type="dxa"/>
              <w:right w:w="90" w:type="dxa"/>
            </w:tcMar>
          </w:tcPr>
          <w:p>
            <w:pPr>
              <w:pStyle w:val="BDOITable"/>
            </w:pPr>
            <w:r>
              <w:rPr>
                <w:b/>
                <w:sz w:val="15"/>
              </w:rPr>
              <w:t>INT-09</w:t>
            </w:r>
          </w:p>
        </w:tc>
        <w:tc>
          <w:tcPr>
            <w:tcW w:type="dxa" w:w="1926"/>
            <w:tcMar>
              <w:top w:w="50" w:type="dxa"/>
              <w:bottom w:w="50" w:type="dxa"/>
              <w:left w:w="90" w:type="dxa"/>
              <w:right w:w="90" w:type="dxa"/>
            </w:tcMar>
          </w:tcPr>
          <w:p>
            <w:pPr>
              <w:pStyle w:val="BDOITable"/>
            </w:pPr>
            <w:r>
              <w:rPr>
                <w:sz w:val="15"/>
              </w:rPr>
              <w:t>Old BOB SOA funds transfers</w:t>
            </w:r>
          </w:p>
        </w:tc>
        <w:tc>
          <w:tcPr>
            <w:tcW w:type="dxa" w:w="3173"/>
            <w:tcMar>
              <w:top w:w="50" w:type="dxa"/>
              <w:bottom w:w="50" w:type="dxa"/>
              <w:left w:w="90" w:type="dxa"/>
              <w:right w:w="90" w:type="dxa"/>
            </w:tcMar>
          </w:tcPr>
          <w:p>
            <w:pPr>
              <w:pStyle w:val="BDOITable"/>
            </w:pPr>
            <w:r>
              <w:rPr>
                <w:sz w:val="15"/>
              </w:rPr>
              <w:t>BDOI Operations with BDOI IT</w:t>
            </w:r>
          </w:p>
        </w:tc>
        <w:tc>
          <w:tcPr>
            <w:tcW w:type="dxa" w:w="4193"/>
            <w:tcMar>
              <w:top w:w="50" w:type="dxa"/>
              <w:bottom w:w="50" w:type="dxa"/>
              <w:left w:w="90" w:type="dxa"/>
              <w:right w:w="90" w:type="dxa"/>
            </w:tcMar>
          </w:tcPr>
          <w:p>
            <w:pPr>
              <w:pStyle w:val="BDOITable"/>
            </w:pPr>
            <w:r>
              <w:rPr>
                <w:sz w:val="15"/>
              </w:rPr>
              <w:t>Cashiering; bibs-jobs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INT-10</w:t>
            </w:r>
          </w:p>
        </w:tc>
        <w:tc>
          <w:tcPr>
            <w:tcW w:type="dxa" w:w="1926"/>
            <w:tcMar>
              <w:top w:w="50" w:type="dxa"/>
              <w:bottom w:w="50" w:type="dxa"/>
              <w:left w:w="90" w:type="dxa"/>
              <w:right w:w="90" w:type="dxa"/>
            </w:tcMar>
            <w:shd w:val="clear" w:color="auto" w:fill="E5F5FF"/>
          </w:tcPr>
          <w:p>
            <w:pPr>
              <w:pStyle w:val="BDOITable"/>
            </w:pPr>
            <w:r>
              <w:rPr>
                <w:sz w:val="15"/>
              </w:rPr>
              <w:t>AFTS automatic fund transfer</w:t>
            </w:r>
          </w:p>
        </w:tc>
        <w:tc>
          <w:tcPr>
            <w:tcW w:type="dxa" w:w="3173"/>
            <w:tcMar>
              <w:top w:w="50" w:type="dxa"/>
              <w:bottom w:w="50" w:type="dxa"/>
              <w:left w:w="90" w:type="dxa"/>
              <w:right w:w="90" w:type="dxa"/>
            </w:tcMar>
            <w:shd w:val="clear" w:color="auto" w:fill="E5F5FF"/>
          </w:tcPr>
          <w:p>
            <w:pPr>
              <w:pStyle w:val="BDOITable"/>
            </w:pPr>
            <w:r>
              <w:rPr>
                <w:sz w:val="15"/>
              </w:rPr>
              <w:t>BDOI IT</w:t>
            </w:r>
          </w:p>
        </w:tc>
        <w:tc>
          <w:tcPr>
            <w:tcW w:type="dxa" w:w="4193"/>
            <w:tcMar>
              <w:top w:w="50" w:type="dxa"/>
              <w:bottom w:w="50" w:type="dxa"/>
              <w:left w:w="90" w:type="dxa"/>
              <w:right w:w="90" w:type="dxa"/>
            </w:tcMar>
            <w:shd w:val="clear" w:color="auto" w:fill="E5F5FF"/>
          </w:tcPr>
          <w:p>
            <w:pPr>
              <w:pStyle w:val="BDOITable"/>
            </w:pPr>
            <w:r>
              <w:rPr>
                <w:sz w:val="15"/>
              </w:rPr>
              <w:t>Cashiering or Disbursement</w:t>
            </w:r>
          </w:p>
        </w:tc>
      </w:tr>
      <w:tr>
        <w:trPr>
          <w:cantSplit w:val="true"/>
        </w:trPr>
        <w:tc>
          <w:tcPr>
            <w:tcW w:type="dxa" w:w="680"/>
            <w:tcMar>
              <w:top w:w="50" w:type="dxa"/>
              <w:bottom w:w="50" w:type="dxa"/>
              <w:left w:w="90" w:type="dxa"/>
              <w:right w:w="90" w:type="dxa"/>
            </w:tcMar>
          </w:tcPr>
          <w:p>
            <w:pPr>
              <w:pStyle w:val="BDOITable"/>
            </w:pPr>
            <w:r>
              <w:rPr>
                <w:b/>
                <w:sz w:val="15"/>
              </w:rPr>
              <w:t>INT-12</w:t>
            </w:r>
          </w:p>
        </w:tc>
        <w:tc>
          <w:tcPr>
            <w:tcW w:type="dxa" w:w="1926"/>
            <w:tcMar>
              <w:top w:w="50" w:type="dxa"/>
              <w:bottom w:w="50" w:type="dxa"/>
              <w:left w:w="90" w:type="dxa"/>
              <w:right w:w="90" w:type="dxa"/>
            </w:tcMar>
          </w:tcPr>
          <w:p>
            <w:pPr>
              <w:pStyle w:val="BDOITable"/>
            </w:pPr>
            <w:r>
              <w:rPr>
                <w:sz w:val="15"/>
              </w:rPr>
              <w:t>ECM records archive</w:t>
            </w:r>
          </w:p>
        </w:tc>
        <w:tc>
          <w:tcPr>
            <w:tcW w:type="dxa" w:w="3173"/>
            <w:tcMar>
              <w:top w:w="50" w:type="dxa"/>
              <w:bottom w:w="50" w:type="dxa"/>
              <w:left w:w="90" w:type="dxa"/>
              <w:right w:w="90" w:type="dxa"/>
            </w:tcMar>
          </w:tcPr>
          <w:p>
            <w:pPr>
              <w:pStyle w:val="BDOITable"/>
            </w:pPr>
            <w:r>
              <w:rPr>
                <w:sz w:val="15"/>
              </w:rPr>
              <w:t>BDOI IT (ECM owner)</w:t>
            </w:r>
          </w:p>
        </w:tc>
        <w:tc>
          <w:tcPr>
            <w:tcW w:type="dxa" w:w="4193"/>
            <w:tcMar>
              <w:top w:w="50" w:type="dxa"/>
              <w:bottom w:w="50" w:type="dxa"/>
              <w:left w:w="90" w:type="dxa"/>
              <w:right w:w="90" w:type="dxa"/>
            </w:tcMar>
          </w:tcPr>
          <w:p>
            <w:pPr>
              <w:pStyle w:val="BDOITable"/>
            </w:pPr>
            <w:r>
              <w:rPr>
                <w:sz w:val="15"/>
              </w:rPr>
              <w:t>File storage; bibs-integration</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INT-13</w:t>
            </w:r>
          </w:p>
        </w:tc>
        <w:tc>
          <w:tcPr>
            <w:tcW w:type="dxa" w:w="1926"/>
            <w:tcMar>
              <w:top w:w="50" w:type="dxa"/>
              <w:bottom w:w="50" w:type="dxa"/>
              <w:left w:w="90" w:type="dxa"/>
              <w:right w:w="90" w:type="dxa"/>
            </w:tcMar>
            <w:shd w:val="clear" w:color="auto" w:fill="E5F5FF"/>
          </w:tcPr>
          <w:p>
            <w:pPr>
              <w:pStyle w:val="BDOITable"/>
            </w:pPr>
            <w:r>
              <w:rPr>
                <w:sz w:val="15"/>
              </w:rPr>
              <w:t>CCM outbound e-mail</w:t>
            </w:r>
          </w:p>
        </w:tc>
        <w:tc>
          <w:tcPr>
            <w:tcW w:type="dxa" w:w="3173"/>
            <w:tcMar>
              <w:top w:w="50" w:type="dxa"/>
              <w:bottom w:w="50" w:type="dxa"/>
              <w:left w:w="90" w:type="dxa"/>
              <w:right w:w="90" w:type="dxa"/>
            </w:tcMar>
            <w:shd w:val="clear" w:color="auto" w:fill="E5F5FF"/>
          </w:tcPr>
          <w:p>
            <w:pPr>
              <w:pStyle w:val="BDOITable"/>
            </w:pPr>
            <w:r>
              <w:rPr>
                <w:sz w:val="15"/>
              </w:rPr>
              <w:t>BDOI IT (CCM owner)</w:t>
            </w:r>
          </w:p>
        </w:tc>
        <w:tc>
          <w:tcPr>
            <w:tcW w:type="dxa" w:w="4193"/>
            <w:tcMar>
              <w:top w:w="50" w:type="dxa"/>
              <w:bottom w:w="50" w:type="dxa"/>
              <w:left w:w="90" w:type="dxa"/>
              <w:right w:w="90" w:type="dxa"/>
            </w:tcMar>
            <w:shd w:val="clear" w:color="auto" w:fill="E5F5FF"/>
          </w:tcPr>
          <w:p>
            <w:pPr>
              <w:pStyle w:val="BDOITable"/>
            </w:pPr>
            <w:r>
              <w:rPr>
                <w:sz w:val="15"/>
              </w:rPr>
              <w:t>Messaging; bibs-integration (consumer) and bibs-jobs (dispatch)</w:t>
            </w:r>
          </w:p>
        </w:tc>
      </w:tr>
      <w:tr>
        <w:trPr>
          <w:cantSplit w:val="true"/>
        </w:trPr>
        <w:tc>
          <w:tcPr>
            <w:tcW w:type="dxa" w:w="680"/>
            <w:tcMar>
              <w:top w:w="50" w:type="dxa"/>
              <w:bottom w:w="50" w:type="dxa"/>
              <w:left w:w="90" w:type="dxa"/>
              <w:right w:w="90" w:type="dxa"/>
            </w:tcMar>
          </w:tcPr>
          <w:p>
            <w:pPr>
              <w:pStyle w:val="BDOITable"/>
            </w:pPr>
            <w:r>
              <w:rPr>
                <w:b/>
                <w:sz w:val="15"/>
              </w:rPr>
              <w:t>INT-14</w:t>
            </w:r>
          </w:p>
        </w:tc>
        <w:tc>
          <w:tcPr>
            <w:tcW w:type="dxa" w:w="1926"/>
            <w:tcMar>
              <w:top w:w="50" w:type="dxa"/>
              <w:bottom w:w="50" w:type="dxa"/>
              <w:left w:w="90" w:type="dxa"/>
              <w:right w:w="90" w:type="dxa"/>
            </w:tcMar>
          </w:tcPr>
          <w:p>
            <w:pPr>
              <w:pStyle w:val="BDOITable"/>
            </w:pPr>
            <w:r>
              <w:rPr>
                <w:sz w:val="15"/>
              </w:rPr>
              <w:t>M365 Exchange mailboxes</w:t>
            </w:r>
          </w:p>
        </w:tc>
        <w:tc>
          <w:tcPr>
            <w:tcW w:type="dxa" w:w="3173"/>
            <w:tcMar>
              <w:top w:w="50" w:type="dxa"/>
              <w:bottom w:w="50" w:type="dxa"/>
              <w:left w:w="90" w:type="dxa"/>
              <w:right w:w="90" w:type="dxa"/>
            </w:tcMar>
          </w:tcPr>
          <w:p>
            <w:pPr>
              <w:pStyle w:val="BDOITable"/>
            </w:pPr>
            <w:r>
              <w:rPr>
                <w:sz w:val="15"/>
              </w:rPr>
              <w:t>BDOI IT (M365)</w:t>
            </w:r>
          </w:p>
        </w:tc>
        <w:tc>
          <w:tcPr>
            <w:tcW w:type="dxa" w:w="4193"/>
            <w:tcMar>
              <w:top w:w="50" w:type="dxa"/>
              <w:bottom w:w="50" w:type="dxa"/>
              <w:left w:w="90" w:type="dxa"/>
              <w:right w:w="90" w:type="dxa"/>
            </w:tcMar>
          </w:tcPr>
          <w:p>
            <w:pPr>
              <w:pStyle w:val="BDOITable"/>
            </w:pPr>
            <w:r>
              <w:rPr>
                <w:sz w:val="15"/>
              </w:rPr>
              <w:t>Package quotations; bibs-integration</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INT-15</w:t>
            </w:r>
          </w:p>
        </w:tc>
        <w:tc>
          <w:tcPr>
            <w:tcW w:type="dxa" w:w="1926"/>
            <w:tcMar>
              <w:top w:w="50" w:type="dxa"/>
              <w:bottom w:w="50" w:type="dxa"/>
              <w:left w:w="90" w:type="dxa"/>
              <w:right w:w="90" w:type="dxa"/>
            </w:tcMar>
            <w:shd w:val="clear" w:color="auto" w:fill="E5F5FF"/>
          </w:tcPr>
          <w:p>
            <w:pPr>
              <w:pStyle w:val="BDOITable"/>
            </w:pPr>
            <w:r>
              <w:rPr>
                <w:sz w:val="15"/>
              </w:rPr>
              <w:t>TFS trade clients (manual)</w:t>
            </w:r>
          </w:p>
        </w:tc>
        <w:tc>
          <w:tcPr>
            <w:tcW w:type="dxa" w:w="3173"/>
            <w:tcMar>
              <w:top w:w="50" w:type="dxa"/>
              <w:bottom w:w="50" w:type="dxa"/>
              <w:left w:w="90" w:type="dxa"/>
              <w:right w:w="90" w:type="dxa"/>
            </w:tcMar>
            <w:shd w:val="clear" w:color="auto" w:fill="E5F5FF"/>
          </w:tcPr>
          <w:p>
            <w:pPr>
              <w:pStyle w:val="BDOITable"/>
            </w:pPr>
            <w:r>
              <w:rPr>
                <w:sz w:val="15"/>
              </w:rPr>
              <w:t>BDOI Operations</w:t>
            </w:r>
          </w:p>
        </w:tc>
        <w:tc>
          <w:tcPr>
            <w:tcW w:type="dxa" w:w="4193"/>
            <w:tcMar>
              <w:top w:w="50" w:type="dxa"/>
              <w:bottom w:w="50" w:type="dxa"/>
              <w:left w:w="90" w:type="dxa"/>
              <w:right w:w="90" w:type="dxa"/>
            </w:tcMar>
            <w:shd w:val="clear" w:color="auto" w:fill="E5F5FF"/>
          </w:tcPr>
          <w:p>
            <w:pPr>
              <w:pStyle w:val="BDOITable"/>
            </w:pPr>
            <w:r>
              <w:rPr>
                <w:sz w:val="15"/>
              </w:rPr>
              <w:t>Clients, Cashiering; bibs-web</w:t>
            </w:r>
          </w:p>
        </w:tc>
      </w:tr>
      <w:tr>
        <w:trPr>
          <w:cantSplit w:val="true"/>
        </w:trPr>
        <w:tc>
          <w:tcPr>
            <w:tcW w:type="dxa" w:w="680"/>
            <w:tcMar>
              <w:top w:w="50" w:type="dxa"/>
              <w:bottom w:w="50" w:type="dxa"/>
              <w:left w:w="90" w:type="dxa"/>
              <w:right w:w="90" w:type="dxa"/>
            </w:tcMar>
          </w:tcPr>
          <w:p>
            <w:pPr>
              <w:pStyle w:val="BDOITable"/>
            </w:pPr>
            <w:r>
              <w:rPr>
                <w:b/>
                <w:sz w:val="15"/>
              </w:rPr>
              <w:t>INT-16</w:t>
            </w:r>
          </w:p>
        </w:tc>
        <w:tc>
          <w:tcPr>
            <w:tcW w:type="dxa" w:w="1926"/>
            <w:tcMar>
              <w:top w:w="50" w:type="dxa"/>
              <w:bottom w:w="50" w:type="dxa"/>
              <w:left w:w="90" w:type="dxa"/>
              <w:right w:w="90" w:type="dxa"/>
            </w:tcMar>
          </w:tcPr>
          <w:p>
            <w:pPr>
              <w:pStyle w:val="BDOITable"/>
            </w:pPr>
            <w:r>
              <w:rPr>
                <w:sz w:val="15"/>
              </w:rPr>
              <w:t>EDP data ingestion (SD 11)</w:t>
            </w:r>
          </w:p>
        </w:tc>
        <w:tc>
          <w:tcPr>
            <w:tcW w:type="dxa" w:w="3173"/>
            <w:tcMar>
              <w:top w:w="50" w:type="dxa"/>
              <w:bottom w:w="50" w:type="dxa"/>
              <w:left w:w="90" w:type="dxa"/>
              <w:right w:w="90" w:type="dxa"/>
            </w:tcMar>
          </w:tcPr>
          <w:p>
            <w:pPr>
              <w:pStyle w:val="BDOITable"/>
            </w:pPr>
            <w:r>
              <w:rPr>
                <w:sz w:val="15"/>
              </w:rPr>
              <w:t>BDO Data Office with BDOI IT</w:t>
            </w:r>
          </w:p>
        </w:tc>
        <w:tc>
          <w:tcPr>
            <w:tcW w:type="dxa" w:w="4193"/>
            <w:tcMar>
              <w:top w:w="50" w:type="dxa"/>
              <w:bottom w:w="50" w:type="dxa"/>
              <w:left w:w="90" w:type="dxa"/>
              <w:right w:w="90" w:type="dxa"/>
            </w:tcMar>
          </w:tcPr>
          <w:p>
            <w:pPr>
              <w:pStyle w:val="BDOITable"/>
            </w:pPr>
            <w:r>
              <w:rPr>
                <w:sz w:val="15"/>
              </w:rPr>
              <w:t>Report centre and extracts; bibs-jobs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INT-17</w:t>
            </w:r>
          </w:p>
        </w:tc>
        <w:tc>
          <w:tcPr>
            <w:tcW w:type="dxa" w:w="1926"/>
            <w:tcMar>
              <w:top w:w="50" w:type="dxa"/>
              <w:bottom w:w="50" w:type="dxa"/>
              <w:left w:w="90" w:type="dxa"/>
              <w:right w:w="90" w:type="dxa"/>
            </w:tcMar>
            <w:shd w:val="clear" w:color="auto" w:fill="E5F5FF"/>
          </w:tcPr>
          <w:p>
            <w:pPr>
              <w:pStyle w:val="BDOITable"/>
            </w:pPr>
            <w:r>
              <w:rPr>
                <w:sz w:val="15"/>
              </w:rPr>
              <w:t>EGL general ledger feed</w:t>
            </w:r>
          </w:p>
        </w:tc>
        <w:tc>
          <w:tcPr>
            <w:tcW w:type="dxa" w:w="3173"/>
            <w:tcMar>
              <w:top w:w="50" w:type="dxa"/>
              <w:bottom w:w="50" w:type="dxa"/>
              <w:left w:w="90" w:type="dxa"/>
              <w:right w:w="90" w:type="dxa"/>
            </w:tcMar>
            <w:shd w:val="clear" w:color="auto" w:fill="E5F5FF"/>
          </w:tcPr>
          <w:p>
            <w:pPr>
              <w:pStyle w:val="BDOITable"/>
            </w:pPr>
            <w:r>
              <w:rPr>
                <w:sz w:val="15"/>
              </w:rPr>
              <w:t>BDOI Comptrollership with BDO EGL team</w:t>
            </w:r>
          </w:p>
        </w:tc>
        <w:tc>
          <w:tcPr>
            <w:tcW w:type="dxa" w:w="4193"/>
            <w:tcMar>
              <w:top w:w="50" w:type="dxa"/>
              <w:bottom w:w="50" w:type="dxa"/>
              <w:left w:w="90" w:type="dxa"/>
              <w:right w:w="90" w:type="dxa"/>
            </w:tcMar>
            <w:shd w:val="clear" w:color="auto" w:fill="E5F5FF"/>
          </w:tcPr>
          <w:p>
            <w:pPr>
              <w:pStyle w:val="BDOITable"/>
            </w:pPr>
            <w:r>
              <w:rPr>
                <w:sz w:val="15"/>
              </w:rPr>
              <w:t>Finance core; bibs-jobs</w:t>
            </w:r>
          </w:p>
        </w:tc>
      </w:tr>
      <w:tr>
        <w:trPr>
          <w:cantSplit w:val="true"/>
        </w:trPr>
        <w:tc>
          <w:tcPr>
            <w:tcW w:type="dxa" w:w="680"/>
            <w:tcMar>
              <w:top w:w="50" w:type="dxa"/>
              <w:bottom w:w="50" w:type="dxa"/>
              <w:left w:w="90" w:type="dxa"/>
              <w:right w:w="90" w:type="dxa"/>
            </w:tcMar>
          </w:tcPr>
          <w:p>
            <w:pPr>
              <w:pStyle w:val="BDOITable"/>
            </w:pPr>
            <w:r>
              <w:rPr>
                <w:b/>
                <w:sz w:val="15"/>
              </w:rPr>
              <w:t>INT-18</w:t>
            </w:r>
          </w:p>
        </w:tc>
        <w:tc>
          <w:tcPr>
            <w:tcW w:type="dxa" w:w="1926"/>
            <w:tcMar>
              <w:top w:w="50" w:type="dxa"/>
              <w:bottom w:w="50" w:type="dxa"/>
              <w:left w:w="90" w:type="dxa"/>
              <w:right w:w="90" w:type="dxa"/>
            </w:tcMar>
          </w:tcPr>
          <w:p>
            <w:pPr>
              <w:pStyle w:val="BDOITable"/>
            </w:pPr>
            <w:r>
              <w:rPr>
                <w:sz w:val="15"/>
              </w:rPr>
              <w:t>CARMS</w:t>
            </w:r>
          </w:p>
        </w:tc>
        <w:tc>
          <w:tcPr>
            <w:tcW w:type="dxa" w:w="3173"/>
            <w:tcMar>
              <w:top w:w="50" w:type="dxa"/>
              <w:bottom w:w="50" w:type="dxa"/>
              <w:left w:w="90" w:type="dxa"/>
              <w:right w:w="90" w:type="dxa"/>
            </w:tcMar>
          </w:tcPr>
          <w:p>
            <w:pPr>
              <w:pStyle w:val="BDOITable"/>
            </w:pPr>
            <w:r>
              <w:rPr>
                <w:sz w:val="15"/>
              </w:rPr>
              <w:t>BDOI IT</w:t>
            </w:r>
          </w:p>
        </w:tc>
        <w:tc>
          <w:tcPr>
            <w:tcW w:type="dxa" w:w="4193"/>
            <w:tcMar>
              <w:top w:w="50" w:type="dxa"/>
              <w:bottom w:w="50" w:type="dxa"/>
              <w:left w:w="90" w:type="dxa"/>
              <w:right w:w="90" w:type="dxa"/>
            </w:tcMar>
          </w:tcPr>
          <w:p>
            <w:pPr>
              <w:pStyle w:val="BDOITable"/>
            </w:pPr>
            <w:r>
              <w:rPr>
                <w:sz w:val="15"/>
              </w:rPr>
              <w:t>To be placed</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INT-19</w:t>
            </w:r>
          </w:p>
        </w:tc>
        <w:tc>
          <w:tcPr>
            <w:tcW w:type="dxa" w:w="1926"/>
            <w:tcMar>
              <w:top w:w="50" w:type="dxa"/>
              <w:bottom w:w="50" w:type="dxa"/>
              <w:left w:w="90" w:type="dxa"/>
              <w:right w:w="90" w:type="dxa"/>
            </w:tcMar>
            <w:shd w:val="clear" w:color="auto" w:fill="E5F5FF"/>
          </w:tcPr>
          <w:p>
            <w:pPr>
              <w:pStyle w:val="BDOITable"/>
            </w:pPr>
            <w:r>
              <w:rPr>
                <w:sz w:val="15"/>
              </w:rPr>
              <w:t>Insurer interfaces</w:t>
            </w:r>
          </w:p>
        </w:tc>
        <w:tc>
          <w:tcPr>
            <w:tcW w:type="dxa" w:w="3173"/>
            <w:tcMar>
              <w:top w:w="50" w:type="dxa"/>
              <w:bottom w:w="50" w:type="dxa"/>
              <w:left w:w="90" w:type="dxa"/>
              <w:right w:w="90" w:type="dxa"/>
            </w:tcMar>
            <w:shd w:val="clear" w:color="auto" w:fill="E5F5FF"/>
          </w:tcPr>
          <w:p>
            <w:pPr>
              <w:pStyle w:val="BDOITable"/>
            </w:pPr>
            <w:r>
              <w:rPr>
                <w:sz w:val="15"/>
              </w:rPr>
              <w:t>BDOI Operations with each insurer</w:t>
            </w:r>
          </w:p>
        </w:tc>
        <w:tc>
          <w:tcPr>
            <w:tcW w:type="dxa" w:w="4193"/>
            <w:tcMar>
              <w:top w:w="50" w:type="dxa"/>
              <w:bottom w:w="50" w:type="dxa"/>
              <w:left w:w="90" w:type="dxa"/>
              <w:right w:w="90" w:type="dxa"/>
            </w:tcMar>
            <w:shd w:val="clear" w:color="auto" w:fill="E5F5FF"/>
          </w:tcPr>
          <w:p>
            <w:pPr>
              <w:pStyle w:val="BDOITable"/>
            </w:pPr>
            <w:r>
              <w:rPr>
                <w:sz w:val="15"/>
              </w:rPr>
              <w:t>Placement, Issuance, Remittance, Production reconciliation, ACSL, Claims handling; bibs-integration and bibs-jobs</w:t>
            </w:r>
          </w:p>
        </w:tc>
      </w:tr>
      <w:tr>
        <w:trPr>
          <w:cantSplit w:val="true"/>
        </w:trPr>
        <w:tc>
          <w:tcPr>
            <w:tcW w:type="dxa" w:w="680"/>
            <w:tcMar>
              <w:top w:w="50" w:type="dxa"/>
              <w:bottom w:w="50" w:type="dxa"/>
              <w:left w:w="90" w:type="dxa"/>
              <w:right w:w="90" w:type="dxa"/>
            </w:tcMar>
          </w:tcPr>
          <w:p>
            <w:pPr>
              <w:pStyle w:val="BDOITable"/>
            </w:pPr>
            <w:r>
              <w:rPr>
                <w:b/>
                <w:sz w:val="15"/>
              </w:rPr>
              <w:t>INT-20</w:t>
            </w:r>
          </w:p>
        </w:tc>
        <w:tc>
          <w:tcPr>
            <w:tcW w:type="dxa" w:w="1926"/>
            <w:tcMar>
              <w:top w:w="50" w:type="dxa"/>
              <w:bottom w:w="50" w:type="dxa"/>
              <w:left w:w="90" w:type="dxa"/>
              <w:right w:w="90" w:type="dxa"/>
            </w:tcMar>
          </w:tcPr>
          <w:p>
            <w:pPr>
              <w:pStyle w:val="BDOITable"/>
            </w:pPr>
            <w:r>
              <w:rPr>
                <w:sz w:val="15"/>
              </w:rPr>
              <w:t>Bridger Insight XG screening (manual)</w:t>
            </w:r>
          </w:p>
        </w:tc>
        <w:tc>
          <w:tcPr>
            <w:tcW w:type="dxa" w:w="3173"/>
            <w:tcMar>
              <w:top w:w="50" w:type="dxa"/>
              <w:bottom w:w="50" w:type="dxa"/>
              <w:left w:w="90" w:type="dxa"/>
              <w:right w:w="90" w:type="dxa"/>
            </w:tcMar>
          </w:tcPr>
          <w:p>
            <w:pPr>
              <w:pStyle w:val="BDOITable"/>
            </w:pPr>
            <w:r>
              <w:rPr>
                <w:sz w:val="15"/>
              </w:rPr>
              <w:t>BDOI Compliance</w:t>
            </w:r>
          </w:p>
        </w:tc>
        <w:tc>
          <w:tcPr>
            <w:tcW w:type="dxa" w:w="4193"/>
            <w:tcMar>
              <w:top w:w="50" w:type="dxa"/>
              <w:bottom w:w="50" w:type="dxa"/>
              <w:left w:w="90" w:type="dxa"/>
              <w:right w:w="90" w:type="dxa"/>
            </w:tcMar>
          </w:tcPr>
          <w:p>
            <w:pPr>
              <w:pStyle w:val="BDOITable"/>
            </w:pPr>
            <w:r>
              <w:rPr>
                <w:sz w:val="15"/>
              </w:rPr>
              <w:t>Sanction screening; bibs-web</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INT-21</w:t>
            </w:r>
          </w:p>
        </w:tc>
        <w:tc>
          <w:tcPr>
            <w:tcW w:type="dxa" w:w="1926"/>
            <w:tcMar>
              <w:top w:w="50" w:type="dxa"/>
              <w:bottom w:w="50" w:type="dxa"/>
              <w:left w:w="90" w:type="dxa"/>
              <w:right w:w="90" w:type="dxa"/>
            </w:tcMar>
            <w:shd w:val="clear" w:color="auto" w:fill="E5F5FF"/>
          </w:tcPr>
          <w:p>
            <w:pPr>
              <w:pStyle w:val="BDOITable"/>
            </w:pPr>
            <w:r>
              <w:rPr>
                <w:sz w:val="15"/>
              </w:rPr>
              <w:t>Watchlist feeds (AML advisory, NLDS PEP)</w:t>
            </w:r>
          </w:p>
        </w:tc>
        <w:tc>
          <w:tcPr>
            <w:tcW w:type="dxa" w:w="3173"/>
            <w:tcMar>
              <w:top w:w="50" w:type="dxa"/>
              <w:bottom w:w="50" w:type="dxa"/>
              <w:left w:w="90" w:type="dxa"/>
              <w:right w:w="90" w:type="dxa"/>
            </w:tcMar>
            <w:shd w:val="clear" w:color="auto" w:fill="E5F5FF"/>
          </w:tcPr>
          <w:p>
            <w:pPr>
              <w:pStyle w:val="BDOITable"/>
            </w:pPr>
            <w:r>
              <w:rPr>
                <w:sz w:val="15"/>
              </w:rPr>
              <w:t>BDOI Compliance with BDO AML unit</w:t>
            </w:r>
          </w:p>
        </w:tc>
        <w:tc>
          <w:tcPr>
            <w:tcW w:type="dxa" w:w="4193"/>
            <w:tcMar>
              <w:top w:w="50" w:type="dxa"/>
              <w:bottom w:w="50" w:type="dxa"/>
              <w:left w:w="90" w:type="dxa"/>
              <w:right w:w="90" w:type="dxa"/>
            </w:tcMar>
            <w:shd w:val="clear" w:color="auto" w:fill="E5F5FF"/>
          </w:tcPr>
          <w:p>
            <w:pPr>
              <w:pStyle w:val="BDOITable"/>
            </w:pPr>
            <w:r>
              <w:rPr>
                <w:sz w:val="15"/>
              </w:rPr>
              <w:t>Sanction screening; bibs-integration</w:t>
            </w:r>
          </w:p>
        </w:tc>
      </w:tr>
      <w:tr>
        <w:trPr>
          <w:cantSplit w:val="true"/>
        </w:trPr>
        <w:tc>
          <w:tcPr>
            <w:tcW w:type="dxa" w:w="680"/>
            <w:tcMar>
              <w:top w:w="50" w:type="dxa"/>
              <w:bottom w:w="50" w:type="dxa"/>
              <w:left w:w="90" w:type="dxa"/>
              <w:right w:w="90" w:type="dxa"/>
            </w:tcMar>
          </w:tcPr>
          <w:p>
            <w:pPr>
              <w:pStyle w:val="BDOITable"/>
            </w:pPr>
            <w:r>
              <w:rPr>
                <w:b/>
                <w:sz w:val="15"/>
              </w:rPr>
              <w:t>INT-22</w:t>
            </w:r>
          </w:p>
        </w:tc>
        <w:tc>
          <w:tcPr>
            <w:tcW w:type="dxa" w:w="1926"/>
            <w:tcMar>
              <w:top w:w="50" w:type="dxa"/>
              <w:bottom w:w="50" w:type="dxa"/>
              <w:left w:w="90" w:type="dxa"/>
              <w:right w:w="90" w:type="dxa"/>
            </w:tcMar>
          </w:tcPr>
          <w:p>
            <w:pPr>
              <w:pStyle w:val="BDOITable"/>
            </w:pPr>
            <w:r>
              <w:rPr>
                <w:sz w:val="15"/>
              </w:rPr>
              <w:t>AMLC STR filing</w:t>
            </w:r>
          </w:p>
        </w:tc>
        <w:tc>
          <w:tcPr>
            <w:tcW w:type="dxa" w:w="3173"/>
            <w:tcMar>
              <w:top w:w="50" w:type="dxa"/>
              <w:bottom w:w="50" w:type="dxa"/>
              <w:left w:w="90" w:type="dxa"/>
              <w:right w:w="90" w:type="dxa"/>
            </w:tcMar>
          </w:tcPr>
          <w:p>
            <w:pPr>
              <w:pStyle w:val="BDOITable"/>
            </w:pPr>
            <w:r>
              <w:rPr>
                <w:sz w:val="15"/>
              </w:rPr>
              <w:t>BDOI Compliance</w:t>
            </w:r>
          </w:p>
        </w:tc>
        <w:tc>
          <w:tcPr>
            <w:tcW w:type="dxa" w:w="4193"/>
            <w:tcMar>
              <w:top w:w="50" w:type="dxa"/>
              <w:bottom w:w="50" w:type="dxa"/>
              <w:left w:w="90" w:type="dxa"/>
              <w:right w:w="90" w:type="dxa"/>
            </w:tcMar>
          </w:tcPr>
          <w:p>
            <w:pPr>
              <w:pStyle w:val="BDOITable"/>
            </w:pPr>
            <w:r>
              <w:rPr>
                <w:sz w:val="15"/>
              </w:rPr>
              <w:t>Sanction screening; bibs-web</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INT-23</w:t>
            </w:r>
          </w:p>
        </w:tc>
        <w:tc>
          <w:tcPr>
            <w:tcW w:type="dxa" w:w="1926"/>
            <w:tcMar>
              <w:top w:w="50" w:type="dxa"/>
              <w:bottom w:w="50" w:type="dxa"/>
              <w:left w:w="90" w:type="dxa"/>
              <w:right w:w="90" w:type="dxa"/>
            </w:tcMar>
            <w:shd w:val="clear" w:color="auto" w:fill="E5F5FF"/>
          </w:tcPr>
          <w:p>
            <w:pPr>
              <w:pStyle w:val="BDOITable"/>
            </w:pPr>
            <w:r>
              <w:rPr>
                <w:sz w:val="15"/>
              </w:rPr>
              <w:t>BIR e-filing</w:t>
            </w:r>
          </w:p>
        </w:tc>
        <w:tc>
          <w:tcPr>
            <w:tcW w:type="dxa" w:w="3173"/>
            <w:tcMar>
              <w:top w:w="50" w:type="dxa"/>
              <w:bottom w:w="50" w:type="dxa"/>
              <w:left w:w="90" w:type="dxa"/>
              <w:right w:w="90" w:type="dxa"/>
            </w:tcMar>
            <w:shd w:val="clear" w:color="auto" w:fill="E5F5FF"/>
          </w:tcPr>
          <w:p>
            <w:pPr>
              <w:pStyle w:val="BDOITable"/>
            </w:pPr>
            <w:r>
              <w:rPr>
                <w:sz w:val="15"/>
              </w:rPr>
              <w:t>BDOI Comptrollership</w:t>
            </w:r>
          </w:p>
        </w:tc>
        <w:tc>
          <w:tcPr>
            <w:tcW w:type="dxa" w:w="4193"/>
            <w:tcMar>
              <w:top w:w="50" w:type="dxa"/>
              <w:bottom w:w="50" w:type="dxa"/>
              <w:left w:w="90" w:type="dxa"/>
              <w:right w:w="90" w:type="dxa"/>
            </w:tcMar>
            <w:shd w:val="clear" w:color="auto" w:fill="E5F5FF"/>
          </w:tcPr>
          <w:p>
            <w:pPr>
              <w:pStyle w:val="BDOITable"/>
            </w:pPr>
            <w:r>
              <w:rPr>
                <w:sz w:val="15"/>
              </w:rPr>
              <w:t>Finance core (tax); bibs-web</w:t>
            </w:r>
          </w:p>
        </w:tc>
      </w:tr>
      <w:tr>
        <w:trPr>
          <w:cantSplit w:val="true"/>
        </w:trPr>
        <w:tc>
          <w:tcPr>
            <w:tcW w:type="dxa" w:w="680"/>
            <w:tcMar>
              <w:top w:w="50" w:type="dxa"/>
              <w:bottom w:w="50" w:type="dxa"/>
              <w:left w:w="90" w:type="dxa"/>
              <w:right w:w="90" w:type="dxa"/>
            </w:tcMar>
          </w:tcPr>
          <w:p>
            <w:pPr>
              <w:pStyle w:val="BDOITable"/>
            </w:pPr>
            <w:r>
              <w:rPr>
                <w:b/>
                <w:sz w:val="15"/>
              </w:rPr>
              <w:t>INT-24</w:t>
            </w:r>
          </w:p>
        </w:tc>
        <w:tc>
          <w:tcPr>
            <w:tcW w:type="dxa" w:w="1926"/>
            <w:tcMar>
              <w:top w:w="50" w:type="dxa"/>
              <w:bottom w:w="50" w:type="dxa"/>
              <w:left w:w="90" w:type="dxa"/>
              <w:right w:w="90" w:type="dxa"/>
            </w:tcMar>
          </w:tcPr>
          <w:p>
            <w:pPr>
              <w:pStyle w:val="BDOITable"/>
            </w:pPr>
            <w:r>
              <w:rPr>
                <w:sz w:val="15"/>
              </w:rPr>
              <w:t>Shared folders and file server (extract repository)</w:t>
            </w:r>
          </w:p>
        </w:tc>
        <w:tc>
          <w:tcPr>
            <w:tcW w:type="dxa" w:w="3173"/>
            <w:tcMar>
              <w:top w:w="50" w:type="dxa"/>
              <w:bottom w:w="50" w:type="dxa"/>
              <w:left w:w="90" w:type="dxa"/>
              <w:right w:w="90" w:type="dxa"/>
            </w:tcMar>
          </w:tcPr>
          <w:p>
            <w:pPr>
              <w:pStyle w:val="BDOITable"/>
            </w:pPr>
            <w:r>
              <w:rPr>
                <w:sz w:val="15"/>
              </w:rPr>
              <w:t>BDOI IT (file server)</w:t>
            </w:r>
          </w:p>
        </w:tc>
        <w:tc>
          <w:tcPr>
            <w:tcW w:type="dxa" w:w="4193"/>
            <w:tcMar>
              <w:top w:w="50" w:type="dxa"/>
              <w:bottom w:w="50" w:type="dxa"/>
              <w:left w:w="90" w:type="dxa"/>
              <w:right w:w="90" w:type="dxa"/>
            </w:tcMar>
          </w:tcPr>
          <w:p>
            <w:pPr>
              <w:pStyle w:val="BDOITable"/>
            </w:pPr>
            <w:r>
              <w:rPr>
                <w:sz w:val="15"/>
              </w:rPr>
              <w:t>Collections, Remittance, Production reconciliation; bibs-jobs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INT-25</w:t>
            </w:r>
          </w:p>
        </w:tc>
        <w:tc>
          <w:tcPr>
            <w:tcW w:type="dxa" w:w="1926"/>
            <w:tcMar>
              <w:top w:w="50" w:type="dxa"/>
              <w:bottom w:w="50" w:type="dxa"/>
              <w:left w:w="90" w:type="dxa"/>
              <w:right w:w="90" w:type="dxa"/>
            </w:tcMar>
            <w:shd w:val="clear" w:color="auto" w:fill="E5F5FF"/>
          </w:tcPr>
          <w:p>
            <w:pPr>
              <w:pStyle w:val="BDOITable"/>
            </w:pPr>
            <w:r>
              <w:rPr>
                <w:sz w:val="15"/>
              </w:rPr>
              <w:t>Mail house print batches</w:t>
            </w:r>
          </w:p>
        </w:tc>
        <w:tc>
          <w:tcPr>
            <w:tcW w:type="dxa" w:w="3173"/>
            <w:tcMar>
              <w:top w:w="50" w:type="dxa"/>
              <w:bottom w:w="50" w:type="dxa"/>
              <w:left w:w="90" w:type="dxa"/>
              <w:right w:w="90" w:type="dxa"/>
            </w:tcMar>
            <w:shd w:val="clear" w:color="auto" w:fill="E5F5FF"/>
          </w:tcPr>
          <w:p>
            <w:pPr>
              <w:pStyle w:val="BDOITable"/>
            </w:pPr>
            <w:r>
              <w:rPr>
                <w:sz w:val="15"/>
              </w:rPr>
              <w:t>BDOI Operations</w:t>
            </w:r>
          </w:p>
        </w:tc>
        <w:tc>
          <w:tcPr>
            <w:tcW w:type="dxa" w:w="4193"/>
            <w:tcMar>
              <w:top w:w="50" w:type="dxa"/>
              <w:bottom w:w="50" w:type="dxa"/>
              <w:left w:w="90" w:type="dxa"/>
              <w:right w:w="90" w:type="dxa"/>
            </w:tcMar>
            <w:shd w:val="clear" w:color="auto" w:fill="E5F5FF"/>
          </w:tcPr>
          <w:p>
            <w:pPr>
              <w:pStyle w:val="BDOITable"/>
            </w:pPr>
            <w:r>
              <w:rPr>
                <w:sz w:val="15"/>
              </w:rPr>
              <w:t>Submitted policies, Renewal; bibs-jobs</w:t>
            </w:r>
          </w:p>
        </w:tc>
      </w:tr>
      <w:tr>
        <w:trPr>
          <w:cantSplit w:val="true"/>
        </w:trPr>
        <w:tc>
          <w:tcPr>
            <w:tcW w:type="dxa" w:w="680"/>
            <w:tcMar>
              <w:top w:w="50" w:type="dxa"/>
              <w:bottom w:w="50" w:type="dxa"/>
              <w:left w:w="90" w:type="dxa"/>
              <w:right w:w="90" w:type="dxa"/>
            </w:tcMar>
          </w:tcPr>
          <w:p>
            <w:pPr>
              <w:pStyle w:val="BDOITable"/>
            </w:pPr>
            <w:r>
              <w:rPr>
                <w:b/>
                <w:sz w:val="15"/>
              </w:rPr>
              <w:t>INT-26</w:t>
            </w:r>
          </w:p>
        </w:tc>
        <w:tc>
          <w:tcPr>
            <w:tcW w:type="dxa" w:w="1926"/>
            <w:tcMar>
              <w:top w:w="50" w:type="dxa"/>
              <w:bottom w:w="50" w:type="dxa"/>
              <w:left w:w="90" w:type="dxa"/>
              <w:right w:w="90" w:type="dxa"/>
            </w:tcMar>
          </w:tcPr>
          <w:p>
            <w:pPr>
              <w:pStyle w:val="BDOITable"/>
            </w:pPr>
            <w:r>
              <w:rPr>
                <w:sz w:val="15"/>
              </w:rPr>
              <w:t>Document store</w:t>
            </w:r>
          </w:p>
        </w:tc>
        <w:tc>
          <w:tcPr>
            <w:tcW w:type="dxa" w:w="3173"/>
            <w:tcMar>
              <w:top w:w="50" w:type="dxa"/>
              <w:bottom w:w="50" w:type="dxa"/>
              <w:left w:w="90" w:type="dxa"/>
              <w:right w:w="90" w:type="dxa"/>
            </w:tcMar>
          </w:tcPr>
          <w:p>
            <w:pPr>
              <w:pStyle w:val="BDOITable"/>
            </w:pPr>
            <w:r>
              <w:rPr>
                <w:sz w:val="15"/>
              </w:rPr>
              <w:t>BDOI IT cloud platform</w:t>
            </w:r>
          </w:p>
        </w:tc>
        <w:tc>
          <w:tcPr>
            <w:tcW w:type="dxa" w:w="4193"/>
            <w:tcMar>
              <w:top w:w="50" w:type="dxa"/>
              <w:bottom w:w="50" w:type="dxa"/>
              <w:left w:w="90" w:type="dxa"/>
              <w:right w:w="90" w:type="dxa"/>
            </w:tcMar>
          </w:tcPr>
          <w:p>
            <w:pPr>
              <w:pStyle w:val="BDOITable"/>
            </w:pPr>
            <w:r>
              <w:rPr>
                <w:sz w:val="15"/>
              </w:rPr>
              <w:t>File storage; all backend workloads</w:t>
            </w:r>
          </w:p>
        </w:tc>
      </w:tr>
      <w:tr>
        <w:trPr>
          <w:cantSplit w:val="true"/>
        </w:trPr>
        <w:tc>
          <w:tcPr>
            <w:tcW w:type="dxa" w:w="680"/>
            <w:tcMar>
              <w:top w:w="50" w:type="dxa"/>
              <w:bottom w:w="50" w:type="dxa"/>
              <w:left w:w="90" w:type="dxa"/>
              <w:right w:w="90" w:type="dxa"/>
            </w:tcMar>
            <w:shd w:val="clear" w:color="auto" w:fill="E5F5FF"/>
          </w:tcPr>
          <w:p>
            <w:pPr>
              <w:pStyle w:val="BDOITable"/>
            </w:pPr>
            <w:r>
              <w:rPr>
                <w:b/>
                <w:sz w:val="15"/>
              </w:rPr>
              <w:t>INT-27</w:t>
            </w:r>
          </w:p>
        </w:tc>
        <w:tc>
          <w:tcPr>
            <w:tcW w:type="dxa" w:w="1926"/>
            <w:tcMar>
              <w:top w:w="50" w:type="dxa"/>
              <w:bottom w:w="50" w:type="dxa"/>
              <w:left w:w="90" w:type="dxa"/>
              <w:right w:w="90" w:type="dxa"/>
            </w:tcMar>
            <w:shd w:val="clear" w:color="auto" w:fill="E5F5FF"/>
          </w:tcPr>
          <w:p>
            <w:pPr>
              <w:pStyle w:val="BDOITable"/>
            </w:pPr>
            <w:r>
              <w:rPr>
                <w:sz w:val="15"/>
              </w:rPr>
              <w:t>Legacy systems for data migration</w:t>
            </w:r>
          </w:p>
        </w:tc>
        <w:tc>
          <w:tcPr>
            <w:tcW w:type="dxa" w:w="3173"/>
            <w:tcMar>
              <w:top w:w="50" w:type="dxa"/>
              <w:bottom w:w="50" w:type="dxa"/>
              <w:left w:w="90" w:type="dxa"/>
              <w:right w:w="90" w:type="dxa"/>
            </w:tcMar>
            <w:shd w:val="clear" w:color="auto" w:fill="E5F5FF"/>
          </w:tcPr>
          <w:p>
            <w:pPr>
              <w:pStyle w:val="BDOITable"/>
            </w:pPr>
            <w:r>
              <w:rPr>
                <w:sz w:val="15"/>
              </w:rPr>
              <w:t>BDOI data stewards with BDOI IT</w:t>
            </w:r>
          </w:p>
        </w:tc>
        <w:tc>
          <w:tcPr>
            <w:tcW w:type="dxa" w:w="4193"/>
            <w:tcMar>
              <w:top w:w="50" w:type="dxa"/>
              <w:bottom w:w="50" w:type="dxa"/>
              <w:left w:w="90" w:type="dxa"/>
              <w:right w:w="90" w:type="dxa"/>
            </w:tcMar>
            <w:shd w:val="clear" w:color="auto" w:fill="E5F5FF"/>
          </w:tcPr>
          <w:p>
            <w:pPr>
              <w:pStyle w:val="BDOITable"/>
            </w:pPr>
            <w:r>
              <w:rPr>
                <w:sz w:val="15"/>
              </w:rPr>
              <w:t>Data migration; bibs-jobs</w:t>
            </w:r>
          </w:p>
        </w:tc>
      </w:tr>
      <w:tr>
        <w:trPr>
          <w:cantSplit w:val="true"/>
        </w:trPr>
        <w:tc>
          <w:tcPr>
            <w:tcW w:type="dxa" w:w="680"/>
            <w:tcMar>
              <w:top w:w="50" w:type="dxa"/>
              <w:bottom w:w="50" w:type="dxa"/>
              <w:left w:w="90" w:type="dxa"/>
              <w:right w:w="90" w:type="dxa"/>
            </w:tcMar>
          </w:tcPr>
          <w:p>
            <w:pPr>
              <w:pStyle w:val="BDOITable"/>
            </w:pPr>
            <w:r>
              <w:rPr>
                <w:b/>
                <w:sz w:val="15"/>
              </w:rPr>
              <w:t>INT-28</w:t>
            </w:r>
          </w:p>
        </w:tc>
        <w:tc>
          <w:tcPr>
            <w:tcW w:type="dxa" w:w="1926"/>
            <w:tcMar>
              <w:top w:w="50" w:type="dxa"/>
              <w:bottom w:w="50" w:type="dxa"/>
              <w:left w:w="90" w:type="dxa"/>
              <w:right w:w="90" w:type="dxa"/>
            </w:tcMar>
          </w:tcPr>
          <w:p>
            <w:pPr>
              <w:pStyle w:val="BDOITable"/>
            </w:pPr>
            <w:r>
              <w:rPr>
                <w:sz w:val="15"/>
              </w:rPr>
              <w:t>SMS notifications</w:t>
            </w:r>
          </w:p>
        </w:tc>
        <w:tc>
          <w:tcPr>
            <w:tcW w:type="dxa" w:w="3173"/>
            <w:tcMar>
              <w:top w:w="50" w:type="dxa"/>
              <w:bottom w:w="50" w:type="dxa"/>
              <w:left w:w="90" w:type="dxa"/>
              <w:right w:w="90" w:type="dxa"/>
            </w:tcMar>
          </w:tcPr>
          <w:p>
            <w:pPr>
              <w:pStyle w:val="BDOITable"/>
            </w:pPr>
            <w:r>
              <w:rPr>
                <w:sz w:val="15"/>
              </w:rPr>
              <w:t>BDOI IT</w:t>
            </w:r>
          </w:p>
        </w:tc>
        <w:tc>
          <w:tcPr>
            <w:tcW w:type="dxa" w:w="4193"/>
            <w:tcMar>
              <w:top w:w="50" w:type="dxa"/>
              <w:bottom w:w="50" w:type="dxa"/>
              <w:left w:w="90" w:type="dxa"/>
              <w:right w:w="90" w:type="dxa"/>
            </w:tcMar>
          </w:tcPr>
          <w:p>
            <w:pPr>
              <w:pStyle w:val="BDOITable"/>
            </w:pPr>
            <w:r>
              <w:rPr>
                <w:sz w:val="15"/>
              </w:rPr>
              <w:t>Messaging</w:t>
            </w:r>
          </w:p>
        </w:tc>
      </w:tr>
    </w:tbl>
    <w:p>
      <w:pPr>
        <w:pStyle w:val="BDOISpacer"/>
      </w:pPr>
    </w:p>
    <w:p>
      <w:pPr>
        <w:pStyle w:val="Caption"/>
        <w:keepNext/>
        <w:spacing w:after="60"/>
      </w:pPr>
      <w:r>
        <w:rPr>
          <w:b/>
          <w:i w:val="0"/>
        </w:rPr>
        <w:t xml:space="preserve">Table 13: </w:t>
      </w:r>
      <w:r>
        <w:rPr/>
        <w:t>Interface responsibilities (R responsible, A accountable, C consulted, I informed)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73"/>
        <w:gridCol w:w="1359"/>
        <w:gridCol w:w="1359"/>
        <w:gridCol w:w="1359"/>
        <w:gridCol w:w="1359"/>
        <w:gridCol w:w="1359"/>
      </w:tblGrid>
      <w:tr>
        <w:trPr>
          <w:tblHeader w:val="true"/>
          <w:cantSplit w:val="true"/>
        </w:trPr>
        <w:tc>
          <w:tcPr>
            <w:tcW w:type="dxa" w:w="3173"/>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BDOI IT integration owner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Counterpart system owner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 API team</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BDOI business owner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6"/>
              </w:rPr>
              <w:t>iorta TechNXT</w:t>
            </w:r>
          </w:p>
        </w:tc>
      </w:tr>
      <w:tr>
        <w:trPr>
          <w:cantSplit w:val="true"/>
        </w:trPr>
        <w:tc>
          <w:tcPr>
            <w:tcW w:type="dxa" w:w="3173"/>
            <w:tcMar>
              <w:top w:w="50" w:type="dxa"/>
              <w:bottom w:w="50" w:type="dxa"/>
              <w:left w:w="90" w:type="dxa"/>
              <w:right w:w="90" w:type="dxa"/>
            </w:tcMar>
          </w:tcPr>
          <w:p>
            <w:pPr>
              <w:pStyle w:val="BDOITable"/>
            </w:pPr>
            <w:r>
              <w:rPr>
                <w:b/>
                <w:sz w:val="16"/>
              </w:rPr>
              <w:t>Interface specification</w:t>
            </w:r>
          </w:p>
        </w:tc>
        <w:tc>
          <w:tcPr>
            <w:tcW w:type="dxa" w:w="1360"/>
            <w:tcMar>
              <w:top w:w="50" w:type="dxa"/>
              <w:bottom w:w="50" w:type="dxa"/>
              <w:left w:w="90" w:type="dxa"/>
              <w:right w:w="90" w:type="dxa"/>
            </w:tcMar>
          </w:tcPr>
          <w:p>
            <w:pPr>
              <w:pStyle w:val="BDOITable"/>
            </w:pPr>
            <w:r>
              <w:rPr>
                <w:sz w:val="16"/>
              </w:rPr>
              <w:t>A</w:t>
            </w:r>
          </w:p>
        </w:tc>
        <w:tc>
          <w:tcPr>
            <w:tcW w:type="dxa" w:w="1360"/>
            <w:tcMar>
              <w:top w:w="50" w:type="dxa"/>
              <w:bottom w:w="50" w:type="dxa"/>
              <w:left w:w="90" w:type="dxa"/>
              <w:right w:w="90" w:type="dxa"/>
            </w:tcMar>
          </w:tcPr>
          <w:p>
            <w:pPr>
              <w:pStyle w:val="BDOITable"/>
            </w:pPr>
            <w:r>
              <w:rPr>
                <w:sz w:val="16"/>
              </w:rPr>
              <w:t>R</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C</w:t>
            </w:r>
          </w:p>
        </w:tc>
        <w:tc>
          <w:tcPr>
            <w:tcW w:type="dxa" w:w="1360"/>
            <w:tcMar>
              <w:top w:w="50" w:type="dxa"/>
              <w:bottom w:w="50" w:type="dxa"/>
              <w:left w:w="90" w:type="dxa"/>
              <w:right w:w="90" w:type="dxa"/>
            </w:tcMar>
          </w:tcPr>
          <w:p>
            <w:pPr>
              <w:pStyle w:val="BDOITable"/>
            </w:pPr>
            <w:r>
              <w:rPr>
                <w:sz w:val="16"/>
              </w:rPr>
              <w:t>R</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Apigee proxy, product and scopes</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A, R</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C</w:t>
            </w:r>
          </w:p>
        </w:tc>
      </w:tr>
      <w:tr>
        <w:trPr>
          <w:cantSplit w:val="true"/>
        </w:trPr>
        <w:tc>
          <w:tcPr>
            <w:tcW w:type="dxa" w:w="3173"/>
            <w:tcMar>
              <w:top w:w="50" w:type="dxa"/>
              <w:bottom w:w="50" w:type="dxa"/>
              <w:left w:w="90" w:type="dxa"/>
              <w:right w:w="90" w:type="dxa"/>
            </w:tcMar>
          </w:tcPr>
          <w:p>
            <w:pPr>
              <w:pStyle w:val="BDOITable"/>
            </w:pPr>
            <w:r>
              <w:rPr>
                <w:b/>
                <w:sz w:val="16"/>
              </w:rPr>
              <w:t>Connector in BIBS</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A, R</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Connection test in SIT</w:t>
            </w:r>
          </w:p>
        </w:tc>
        <w:tc>
          <w:tcPr>
            <w:tcW w:type="dxa" w:w="1360"/>
            <w:tcMar>
              <w:top w:w="50" w:type="dxa"/>
              <w:bottom w:w="50" w:type="dxa"/>
              <w:left w:w="90" w:type="dxa"/>
              <w:right w:w="90" w:type="dxa"/>
            </w:tcMar>
            <w:shd w:val="clear" w:color="auto" w:fill="E5F5FF"/>
          </w:tcPr>
          <w:p>
            <w:pPr>
              <w:pStyle w:val="BDOITable"/>
            </w:pPr>
            <w:r>
              <w:rPr>
                <w:sz w:val="16"/>
              </w:rPr>
              <w:t>A</w:t>
            </w:r>
          </w:p>
        </w:tc>
        <w:tc>
          <w:tcPr>
            <w:tcW w:type="dxa" w:w="1360"/>
            <w:tcMar>
              <w:top w:w="50" w:type="dxa"/>
              <w:bottom w:w="50" w:type="dxa"/>
              <w:left w:w="90" w:type="dxa"/>
              <w:right w:w="90" w:type="dxa"/>
            </w:tcMar>
            <w:shd w:val="clear" w:color="auto" w:fill="E5F5FF"/>
          </w:tcPr>
          <w:p>
            <w:pPr>
              <w:pStyle w:val="BDOITable"/>
            </w:pPr>
            <w:r>
              <w:rPr>
                <w:sz w:val="16"/>
              </w:rPr>
              <w:t>R</w:t>
            </w:r>
          </w:p>
        </w:tc>
        <w:tc>
          <w:tcPr>
            <w:tcW w:type="dxa" w:w="1360"/>
            <w:tcMar>
              <w:top w:w="50" w:type="dxa"/>
              <w:bottom w:w="50" w:type="dxa"/>
              <w:left w:w="90" w:type="dxa"/>
              <w:right w:w="90" w:type="dxa"/>
            </w:tcMar>
            <w:shd w:val="clear" w:color="auto" w:fill="E5F5FF"/>
          </w:tcPr>
          <w:p>
            <w:pPr>
              <w:pStyle w:val="BDOITable"/>
            </w:pPr>
            <w:r>
              <w:rPr>
                <w:sz w:val="16"/>
              </w:rPr>
              <w:t>R</w:t>
            </w:r>
          </w:p>
        </w:tc>
        <w:tc>
          <w:tcPr>
            <w:tcW w:type="dxa" w:w="1360"/>
            <w:tcMar>
              <w:top w:w="50" w:type="dxa"/>
              <w:bottom w:w="50" w:type="dxa"/>
              <w:left w:w="90" w:type="dxa"/>
              <w:right w:w="90" w:type="dxa"/>
            </w:tcMar>
            <w:shd w:val="clear" w:color="auto" w:fill="E5F5FF"/>
          </w:tcPr>
          <w:p>
            <w:pPr>
              <w:pStyle w:val="BDOITable"/>
            </w:pPr>
            <w:r>
              <w:rPr>
                <w:sz w:val="16"/>
              </w:rPr>
              <w:t>I</w:t>
            </w:r>
          </w:p>
        </w:tc>
        <w:tc>
          <w:tcPr>
            <w:tcW w:type="dxa" w:w="1360"/>
            <w:tcMar>
              <w:top w:w="50" w:type="dxa"/>
              <w:bottom w:w="50" w:type="dxa"/>
              <w:left w:w="90" w:type="dxa"/>
              <w:right w:w="90" w:type="dxa"/>
            </w:tcMar>
            <w:shd w:val="clear" w:color="auto" w:fill="E5F5FF"/>
          </w:tcPr>
          <w:p>
            <w:pPr>
              <w:pStyle w:val="BDOITable"/>
            </w:pPr>
            <w:r>
              <w:rPr>
                <w:sz w:val="16"/>
              </w:rPr>
              <w:t>R</w:t>
            </w:r>
          </w:p>
        </w:tc>
      </w:tr>
      <w:tr>
        <w:trPr>
          <w:cantSplit w:val="true"/>
        </w:trPr>
        <w:tc>
          <w:tcPr>
            <w:tcW w:type="dxa" w:w="3173"/>
            <w:tcMar>
              <w:top w:w="50" w:type="dxa"/>
              <w:bottom w:w="50" w:type="dxa"/>
              <w:left w:w="90" w:type="dxa"/>
              <w:right w:w="90" w:type="dxa"/>
            </w:tcMar>
          </w:tcPr>
          <w:p>
            <w:pPr>
              <w:pStyle w:val="BDOITable"/>
            </w:pPr>
            <w:r>
              <w:rPr>
                <w:b/>
                <w:sz w:val="16"/>
              </w:rPr>
              <w:t>Reconciliation sign-off</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I</w:t>
            </w:r>
          </w:p>
        </w:tc>
        <w:tc>
          <w:tcPr>
            <w:tcW w:type="dxa" w:w="1360"/>
            <w:tcMar>
              <w:top w:w="50" w:type="dxa"/>
              <w:bottom w:w="50" w:type="dxa"/>
              <w:left w:w="90" w:type="dxa"/>
              <w:right w:w="90" w:type="dxa"/>
            </w:tcMar>
          </w:tcPr>
          <w:p>
            <w:pPr>
              <w:pStyle w:val="BDOITable"/>
            </w:pPr>
            <w:r>
              <w:rPr>
                <w:sz w:val="16"/>
              </w:rPr>
              <w:t>A, R</w:t>
            </w:r>
          </w:p>
        </w:tc>
        <w:tc>
          <w:tcPr>
            <w:tcW w:type="dxa" w:w="1360"/>
            <w:tcMar>
              <w:top w:w="50" w:type="dxa"/>
              <w:bottom w:w="50" w:type="dxa"/>
              <w:left w:w="90" w:type="dxa"/>
              <w:right w:w="90" w:type="dxa"/>
            </w:tcMar>
          </w:tcPr>
          <w:p>
            <w:pPr>
              <w:pStyle w:val="BDOITable"/>
            </w:pPr>
            <w:r>
              <w:rPr>
                <w:sz w:val="16"/>
              </w:rPr>
              <w:t>C</w:t>
            </w:r>
          </w:p>
        </w:tc>
      </w:tr>
      <w:tr>
        <w:trPr>
          <w:cantSplit w:val="true"/>
        </w:trPr>
        <w:tc>
          <w:tcPr>
            <w:tcW w:type="dxa" w:w="3173"/>
            <w:tcMar>
              <w:top w:w="50" w:type="dxa"/>
              <w:bottom w:w="50" w:type="dxa"/>
              <w:left w:w="90" w:type="dxa"/>
              <w:right w:w="90" w:type="dxa"/>
            </w:tcMar>
            <w:shd w:val="clear" w:color="auto" w:fill="E5F5FF"/>
          </w:tcPr>
          <w:p>
            <w:pPr>
              <w:pStyle w:val="BDOITable"/>
            </w:pPr>
            <w:r>
              <w:rPr>
                <w:b/>
                <w:sz w:val="16"/>
              </w:rPr>
              <w:t>Change of layout or version</w:t>
            </w:r>
          </w:p>
        </w:tc>
        <w:tc>
          <w:tcPr>
            <w:tcW w:type="dxa" w:w="1360"/>
            <w:tcMar>
              <w:top w:w="50" w:type="dxa"/>
              <w:bottom w:w="50" w:type="dxa"/>
              <w:left w:w="90" w:type="dxa"/>
              <w:right w:w="90" w:type="dxa"/>
            </w:tcMar>
            <w:shd w:val="clear" w:color="auto" w:fill="E5F5FF"/>
          </w:tcPr>
          <w:p>
            <w:pPr>
              <w:pStyle w:val="BDOITable"/>
            </w:pPr>
            <w:r>
              <w:rPr>
                <w:sz w:val="16"/>
              </w:rPr>
              <w:t>A</w:t>
            </w:r>
          </w:p>
        </w:tc>
        <w:tc>
          <w:tcPr>
            <w:tcW w:type="dxa" w:w="1360"/>
            <w:tcMar>
              <w:top w:w="50" w:type="dxa"/>
              <w:bottom w:w="50" w:type="dxa"/>
              <w:left w:w="90" w:type="dxa"/>
              <w:right w:w="90" w:type="dxa"/>
            </w:tcMar>
            <w:shd w:val="clear" w:color="auto" w:fill="E5F5FF"/>
          </w:tcPr>
          <w:p>
            <w:pPr>
              <w:pStyle w:val="BDOITable"/>
            </w:pPr>
            <w:r>
              <w:rPr>
                <w:sz w:val="16"/>
              </w:rPr>
              <w:t>R</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C</w:t>
            </w:r>
          </w:p>
        </w:tc>
        <w:tc>
          <w:tcPr>
            <w:tcW w:type="dxa" w:w="1360"/>
            <w:tcMar>
              <w:top w:w="50" w:type="dxa"/>
              <w:bottom w:w="50" w:type="dxa"/>
              <w:left w:w="90" w:type="dxa"/>
              <w:right w:w="90" w:type="dxa"/>
            </w:tcMar>
            <w:shd w:val="clear" w:color="auto" w:fill="E5F5FF"/>
          </w:tcPr>
          <w:p>
            <w:pPr>
              <w:pStyle w:val="BDOITable"/>
            </w:pPr>
            <w:r>
              <w:rPr>
                <w:sz w:val="16"/>
              </w:rPr>
              <w:t>R</w:t>
            </w:r>
          </w:p>
        </w:tc>
      </w:tr>
    </w:tbl>
    <w:p>
      <w:pPr>
        <w:pStyle w:val="BDOISpacer"/>
      </w:pPr>
    </w:p>
    <w:p>
      <w:pPr>
        <w:pStyle w:val="Heading2"/>
      </w:pPr>
      <w:bookmarkStart w:id="121" w:name="_Toc000121"/>
      <w:r>
        <w:rPr/>
        <w:t>8.2 Interface specification</w:t>
      </w:r>
      <w:bookmarkEnd w:id="121"/>
    </w:p>
    <w:p>
      <w:r>
        <w:rPr/>
        <w:t>Every interface has a specification agreed before delivery, with these sections: purpose and BRD references; counterpart and owners; pattern, direction, transport and schedule; layout or message contract with field rules and code lists; security (identity, scopes, keys, network route); volumes and time windows; error handling and reprocessing; reconciliation report and owner; environments and test data; versioning and change procedure.</w:t>
      </w:r>
    </w:p>
    <w:p>
      <w:pPr>
        <w:pStyle w:val="Heading2"/>
      </w:pPr>
      <w:bookmarkStart w:id="122" w:name="_Toc000122"/>
      <w:r>
        <w:rPr/>
        <w:t>8.3 Lifecycle</w:t>
      </w:r>
      <w:bookmarkEnd w:id="122"/>
    </w:p>
    <w:p>
      <w:pPr>
        <w:tabs>
          <w:tab w:pos="312" w:val="left"/>
        </w:tabs>
        <w:spacing w:after="40"/>
        <w:ind w:left="312" w:hanging="283"/>
      </w:pPr>
      <w:r>
        <w:rPr>
          <w:color w:val="004EA8"/>
        </w:rPr>
        <w:t>1.</w:t>
        <w:tab/>
      </w:r>
      <w:r>
        <w:rPr>
          <w:b/>
        </w:rPr>
        <w:t>Specify</w:t>
      </w:r>
      <w:r>
        <w:rPr/>
        <w:t xml:space="preserve"> - BDOI IT and the counterpart owner give the layout and transport; iorta TechNXT writes the specification; BDOI IT approves it.</w:t>
      </w:r>
    </w:p>
    <w:p>
      <w:pPr>
        <w:tabs>
          <w:tab w:pos="312" w:val="left"/>
        </w:tabs>
        <w:spacing w:after="40"/>
        <w:ind w:left="312" w:hanging="283"/>
      </w:pPr>
      <w:r>
        <w:rPr>
          <w:color w:val="004EA8"/>
        </w:rPr>
        <w:t>2.</w:t>
        <w:tab/>
      </w:r>
      <w:r>
        <w:rPr>
          <w:b/>
        </w:rPr>
        <w:t>Connect</w:t>
      </w:r>
      <w:r>
        <w:rPr/>
        <w:t xml:space="preserve"> - the BDO API team publishes the Apigee proxy, the network team opens the route, the connector is configured in SIT.</w:t>
      </w:r>
    </w:p>
    <w:p>
      <w:pPr>
        <w:tabs>
          <w:tab w:pos="312" w:val="left"/>
        </w:tabs>
        <w:spacing w:after="40"/>
        <w:ind w:left="312" w:hanging="283"/>
      </w:pPr>
      <w:r>
        <w:rPr>
          <w:color w:val="004EA8"/>
        </w:rPr>
        <w:t>3.</w:t>
        <w:tab/>
      </w:r>
      <w:r>
        <w:rPr>
          <w:b/>
        </w:rPr>
        <w:t>Test</w:t>
      </w:r>
      <w:r>
        <w:rPr/>
        <w:t xml:space="preserve"> - connection test, then integration test cycles in SIT with the counterpart's test system and reconciliation reports.</w:t>
      </w:r>
    </w:p>
    <w:p>
      <w:pPr>
        <w:tabs>
          <w:tab w:pos="312" w:val="left"/>
        </w:tabs>
        <w:spacing w:after="40"/>
        <w:ind w:left="312" w:hanging="283"/>
      </w:pPr>
      <w:r>
        <w:rPr>
          <w:color w:val="004EA8"/>
        </w:rPr>
        <w:t>4.</w:t>
        <w:tab/>
      </w:r>
      <w:r>
        <w:rPr>
          <w:b/>
        </w:rPr>
        <w:t>Accept</w:t>
      </w:r>
      <w:r>
        <w:rPr/>
        <w:t xml:space="preserve"> - UAT with the business owner, including a reconciliation cycle.</w:t>
      </w:r>
    </w:p>
    <w:p>
      <w:pPr>
        <w:tabs>
          <w:tab w:pos="312" w:val="left"/>
        </w:tabs>
        <w:spacing w:after="120"/>
        <w:ind w:left="312" w:hanging="283"/>
      </w:pPr>
      <w:r>
        <w:rPr>
          <w:color w:val="004EA8"/>
        </w:rPr>
        <w:t>5.</w:t>
        <w:tab/>
      </w:r>
      <w:r>
        <w:rPr>
          <w:b/>
        </w:rPr>
        <w:t>Operate</w:t>
      </w:r>
      <w:r>
        <w:rPr/>
        <w:t xml:space="preserve"> - monitoring and alerts per interface; changes through the versioning rule (a breaking change is a new version run side by side).</w:t>
      </w:r>
    </w:p>
    <w:p>
      <w:pPr>
        <w:pStyle w:val="Heading1"/>
        <w:pBdr>
          <w:bottom w:val="single" w:sz="4" w:space="4" w:color="99C1E7"/>
        </w:pBdr>
      </w:pPr>
      <w:bookmarkStart w:id="123" w:name="_Toc000123"/>
      <w:r>
        <w:rPr/>
        <w:t>9 Schedule</w:t>
      </w:r>
      <w:bookmarkEnd w:id="123"/>
    </w:p>
    <w:p>
      <w:pPr>
        <w:pStyle w:val="Caption"/>
        <w:keepNext/>
        <w:spacing w:after="60"/>
      </w:pPr>
      <w:r>
        <w:rPr>
          <w:b/>
          <w:i w:val="0"/>
        </w:rPr>
        <w:t xml:space="preserve">Table 14: </w:t>
      </w:r>
      <w:r>
        <w:rPr/>
        <w:t>Integration schedule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4533"/>
        <w:gridCol w:w="3399"/>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7"/>
              </w:rPr>
              <w:t>By</w:t>
            </w:r>
          </w:p>
        </w:tc>
        <w:tc>
          <w:tcPr>
            <w:tcW w:type="dxa" w:w="4533"/>
            <w:shd w:val="clear" w:color="auto" w:fill="004EA8"/>
            <w:tcMar>
              <w:top w:w="50" w:type="dxa"/>
              <w:bottom w:w="50" w:type="dxa"/>
              <w:left w:w="90" w:type="dxa"/>
              <w:right w:w="90" w:type="dxa"/>
            </w:tcMar>
            <w:vAlign w:val="center"/>
          </w:tcPr>
          <w:p>
            <w:pPr>
              <w:pStyle w:val="BDOITableHeader"/>
            </w:pPr>
            <w:r>
              <w:rPr>
                <w:b/>
                <w:color w:val="FFFFFF"/>
                <w:sz w:val="17"/>
              </w:rPr>
              <w:t>What</w:t>
            </w:r>
          </w:p>
        </w:tc>
        <w:tc>
          <w:tcPr>
            <w:tcW w:type="dxa" w:w="3400"/>
            <w:shd w:val="clear" w:color="auto" w:fill="004EA8"/>
            <w:tcMar>
              <w:top w:w="50" w:type="dxa"/>
              <w:bottom w:w="50" w:type="dxa"/>
              <w:left w:w="90" w:type="dxa"/>
              <w:right w:w="90" w:type="dxa"/>
            </w:tcMar>
            <w:vAlign w:val="center"/>
          </w:tcPr>
          <w:p>
            <w:pPr>
              <w:pStyle w:val="BDOITableHeader"/>
            </w:pPr>
            <w:r>
              <w:rPr>
                <w:b/>
                <w:color w:val="FFFFFF"/>
                <w:sz w:val="17"/>
              </w:rPr>
              <w:t>From whom</w:t>
            </w:r>
          </w:p>
        </w:tc>
      </w:tr>
      <w:tr>
        <w:trPr>
          <w:cantSplit w:val="true"/>
        </w:trPr>
        <w:tc>
          <w:tcPr>
            <w:tcW w:type="dxa" w:w="2040"/>
            <w:tcMar>
              <w:top w:w="50" w:type="dxa"/>
              <w:bottom w:w="50" w:type="dxa"/>
              <w:left w:w="90" w:type="dxa"/>
              <w:right w:w="90" w:type="dxa"/>
            </w:tcMar>
          </w:tcPr>
          <w:p>
            <w:pPr>
              <w:pStyle w:val="BDOITable"/>
            </w:pPr>
            <w:r>
              <w:rPr>
                <w:b/>
                <w:sz w:val="17"/>
              </w:rPr>
              <w:t>16-Oct-2026</w:t>
            </w:r>
          </w:p>
        </w:tc>
        <w:tc>
          <w:tcPr>
            <w:tcW w:type="dxa" w:w="4533"/>
            <w:tcMar>
              <w:top w:w="50" w:type="dxa"/>
              <w:bottom w:w="50" w:type="dxa"/>
              <w:left w:w="90" w:type="dxa"/>
              <w:right w:w="90" w:type="dxa"/>
            </w:tcMar>
          </w:tcPr>
          <w:p>
            <w:pPr>
              <w:pStyle w:val="BDOITable"/>
            </w:pPr>
            <w:r>
              <w:rPr>
                <w:sz w:val="17"/>
              </w:rPr>
              <w:t>Answers to the priority-1 integration questions (IQ04, IQ05, IQ10, IQ15, IQ16)</w:t>
            </w:r>
          </w:p>
        </w:tc>
        <w:tc>
          <w:tcPr>
            <w:tcW w:type="dxa" w:w="3400"/>
            <w:tcMar>
              <w:top w:w="50" w:type="dxa"/>
              <w:bottom w:w="50" w:type="dxa"/>
              <w:left w:w="90" w:type="dxa"/>
              <w:right w:w="90" w:type="dxa"/>
            </w:tcMar>
          </w:tcPr>
          <w:p>
            <w:pPr>
              <w:pStyle w:val="BDOITable"/>
            </w:pPr>
            <w:r>
              <w:rPr>
                <w:sz w:val="17"/>
              </w:rPr>
              <w:t>BDOI 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30-Nov-2026</w:t>
            </w:r>
          </w:p>
        </w:tc>
        <w:tc>
          <w:tcPr>
            <w:tcW w:type="dxa" w:w="4533"/>
            <w:tcMar>
              <w:top w:w="50" w:type="dxa"/>
              <w:bottom w:w="50" w:type="dxa"/>
              <w:left w:w="90" w:type="dxa"/>
              <w:right w:w="90" w:type="dxa"/>
            </w:tcMar>
            <w:shd w:val="clear" w:color="auto" w:fill="E5F5FF"/>
          </w:tcPr>
          <w:p>
            <w:pPr>
              <w:pStyle w:val="BDOITable"/>
            </w:pPr>
            <w:r>
              <w:rPr>
                <w:sz w:val="17"/>
              </w:rPr>
              <w:t>Apigee X onboarding of BIBS (private route, source ranges, token issuer and key set); EIAM app registration</w:t>
            </w:r>
          </w:p>
        </w:tc>
        <w:tc>
          <w:tcPr>
            <w:tcW w:type="dxa" w:w="3400"/>
            <w:tcMar>
              <w:top w:w="50" w:type="dxa"/>
              <w:bottom w:w="50" w:type="dxa"/>
              <w:left w:w="90" w:type="dxa"/>
              <w:right w:w="90" w:type="dxa"/>
            </w:tcMar>
            <w:shd w:val="clear" w:color="auto" w:fill="E5F5FF"/>
          </w:tcPr>
          <w:p>
            <w:pPr>
              <w:pStyle w:val="BDOITable"/>
            </w:pPr>
            <w:r>
              <w:rPr>
                <w:sz w:val="17"/>
              </w:rPr>
              <w:t>BDO API and network teams, BDOI IT Identity</w:t>
            </w:r>
          </w:p>
        </w:tc>
      </w:tr>
      <w:tr>
        <w:trPr>
          <w:cantSplit w:val="true"/>
        </w:trPr>
        <w:tc>
          <w:tcPr>
            <w:tcW w:type="dxa" w:w="2040"/>
            <w:tcMar>
              <w:top w:w="50" w:type="dxa"/>
              <w:bottom w:w="50" w:type="dxa"/>
              <w:left w:w="90" w:type="dxa"/>
              <w:right w:w="90" w:type="dxa"/>
            </w:tcMar>
          </w:tcPr>
          <w:p>
            <w:pPr>
              <w:pStyle w:val="BDOITable"/>
            </w:pPr>
            <w:r>
              <w:rPr>
                <w:b/>
                <w:sz w:val="17"/>
              </w:rPr>
              <w:t>15-Jan-2027</w:t>
            </w:r>
          </w:p>
        </w:tc>
        <w:tc>
          <w:tcPr>
            <w:tcW w:type="dxa" w:w="4533"/>
            <w:tcMar>
              <w:top w:w="50" w:type="dxa"/>
              <w:bottom w:w="50" w:type="dxa"/>
              <w:left w:w="90" w:type="dxa"/>
              <w:right w:w="90" w:type="dxa"/>
            </w:tcMar>
          </w:tcPr>
          <w:p>
            <w:pPr>
              <w:pStyle w:val="BDOITable"/>
            </w:pPr>
            <w:r>
              <w:rPr>
                <w:sz w:val="17"/>
              </w:rPr>
              <w:t>Interface specifications of Drop 0 and Drop 1 (layouts of the bank, loan and PDC files, CCM)</w:t>
            </w:r>
          </w:p>
        </w:tc>
        <w:tc>
          <w:tcPr>
            <w:tcW w:type="dxa" w:w="3400"/>
            <w:tcMar>
              <w:top w:w="50" w:type="dxa"/>
              <w:bottom w:w="50" w:type="dxa"/>
              <w:left w:w="90" w:type="dxa"/>
              <w:right w:w="90" w:type="dxa"/>
            </w:tcMar>
          </w:tcPr>
          <w:p>
            <w:pPr>
              <w:pStyle w:val="BDOITable"/>
            </w:pPr>
            <w:r>
              <w:rPr>
                <w:sz w:val="17"/>
              </w:rPr>
              <w:t>BDOI IT and counterpart owners with iorta TechNXT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31-Jan-2027</w:t>
            </w:r>
          </w:p>
        </w:tc>
        <w:tc>
          <w:tcPr>
            <w:tcW w:type="dxa" w:w="4533"/>
            <w:tcMar>
              <w:top w:w="50" w:type="dxa"/>
              <w:bottom w:w="50" w:type="dxa"/>
              <w:left w:w="90" w:type="dxa"/>
              <w:right w:w="90" w:type="dxa"/>
            </w:tcMar>
            <w:shd w:val="clear" w:color="auto" w:fill="E5F5FF"/>
          </w:tcPr>
          <w:p>
            <w:pPr>
              <w:pStyle w:val="BDOITable"/>
            </w:pPr>
            <w:r>
              <w:rPr>
                <w:sz w:val="17"/>
              </w:rPr>
              <w:t>Specifications of EGL, EDP, CARMS and the insurer channels (Drop 2)</w:t>
            </w:r>
          </w:p>
        </w:tc>
        <w:tc>
          <w:tcPr>
            <w:tcW w:type="dxa" w:w="3400"/>
            <w:tcMar>
              <w:top w:w="50" w:type="dxa"/>
              <w:bottom w:w="50" w:type="dxa"/>
              <w:left w:w="90" w:type="dxa"/>
              <w:right w:w="90" w:type="dxa"/>
            </w:tcMar>
            <w:shd w:val="clear" w:color="auto" w:fill="E5F5FF"/>
          </w:tcPr>
          <w:p>
            <w:pPr>
              <w:pStyle w:val="BDOITable"/>
            </w:pPr>
            <w:r>
              <w:rPr>
                <w:sz w:val="17"/>
              </w:rPr>
              <w:t>BDOI IT, Comptrollership, Operations</w:t>
            </w:r>
          </w:p>
        </w:tc>
      </w:tr>
      <w:tr>
        <w:trPr>
          <w:cantSplit w:val="true"/>
        </w:trPr>
        <w:tc>
          <w:tcPr>
            <w:tcW w:type="dxa" w:w="2040"/>
            <w:tcMar>
              <w:top w:w="50" w:type="dxa"/>
              <w:bottom w:w="50" w:type="dxa"/>
              <w:left w:w="90" w:type="dxa"/>
              <w:right w:w="90" w:type="dxa"/>
            </w:tcMar>
          </w:tcPr>
          <w:p>
            <w:pPr>
              <w:pStyle w:val="BDOITable"/>
            </w:pPr>
            <w:r>
              <w:rPr>
                <w:b/>
                <w:sz w:val="17"/>
              </w:rPr>
              <w:t>30-Apr-2027</w:t>
            </w:r>
          </w:p>
        </w:tc>
        <w:tc>
          <w:tcPr>
            <w:tcW w:type="dxa" w:w="4533"/>
            <w:tcMar>
              <w:top w:w="50" w:type="dxa"/>
              <w:bottom w:w="50" w:type="dxa"/>
              <w:left w:w="90" w:type="dxa"/>
              <w:right w:w="90" w:type="dxa"/>
            </w:tcMar>
          </w:tcPr>
          <w:p>
            <w:pPr>
              <w:pStyle w:val="BDOITable"/>
            </w:pPr>
            <w:r>
              <w:rPr>
                <w:sz w:val="17"/>
              </w:rPr>
              <w:t>Integration test connections for EGL, EDP and the insurer channels in SIT</w:t>
            </w:r>
          </w:p>
        </w:tc>
        <w:tc>
          <w:tcPr>
            <w:tcW w:type="dxa" w:w="3400"/>
            <w:tcMar>
              <w:top w:w="50" w:type="dxa"/>
              <w:bottom w:w="50" w:type="dxa"/>
              <w:left w:w="90" w:type="dxa"/>
              <w:right w:w="90" w:type="dxa"/>
            </w:tcMar>
          </w:tcPr>
          <w:p>
            <w:pPr>
              <w:pStyle w:val="BDOITable"/>
            </w:pPr>
            <w:r>
              <w:rPr>
                <w:sz w:val="17"/>
              </w:rPr>
              <w:t>BDOI 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7"/>
              </w:rPr>
              <w:t>Jan - Sep 2027</w:t>
            </w:r>
          </w:p>
        </w:tc>
        <w:tc>
          <w:tcPr>
            <w:tcW w:type="dxa" w:w="4533"/>
            <w:tcMar>
              <w:top w:w="50" w:type="dxa"/>
              <w:bottom w:w="50" w:type="dxa"/>
              <w:left w:w="90" w:type="dxa"/>
              <w:right w:w="90" w:type="dxa"/>
            </w:tcMar>
            <w:shd w:val="clear" w:color="auto" w:fill="E5F5FF"/>
          </w:tcPr>
          <w:p>
            <w:pPr>
              <w:pStyle w:val="BDOITable"/>
            </w:pPr>
            <w:r>
              <w:rPr>
                <w:sz w:val="17"/>
              </w:rPr>
              <w:t>SIT of the interfaces with each drop; reconciliation reports reviewed</w:t>
            </w:r>
          </w:p>
        </w:tc>
        <w:tc>
          <w:tcPr>
            <w:tcW w:type="dxa" w:w="3400"/>
            <w:tcMar>
              <w:top w:w="50" w:type="dxa"/>
              <w:bottom w:w="50" w:type="dxa"/>
              <w:left w:w="90" w:type="dxa"/>
              <w:right w:w="90" w:type="dxa"/>
            </w:tcMar>
            <w:shd w:val="clear" w:color="auto" w:fill="E5F5FF"/>
          </w:tcPr>
          <w:p>
            <w:pPr>
              <w:pStyle w:val="BDOITable"/>
            </w:pPr>
            <w:r>
              <w:rPr>
                <w:sz w:val="17"/>
              </w:rPr>
              <w:t>iorta TechNXT, BDOI IT</w:t>
            </w:r>
          </w:p>
        </w:tc>
      </w:tr>
      <w:tr>
        <w:trPr>
          <w:cantSplit w:val="true"/>
        </w:trPr>
        <w:tc>
          <w:tcPr>
            <w:tcW w:type="dxa" w:w="2040"/>
            <w:tcMar>
              <w:top w:w="50" w:type="dxa"/>
              <w:bottom w:w="50" w:type="dxa"/>
              <w:left w:w="90" w:type="dxa"/>
              <w:right w:w="90" w:type="dxa"/>
            </w:tcMar>
          </w:tcPr>
          <w:p>
            <w:pPr>
              <w:pStyle w:val="BDOITable"/>
            </w:pPr>
            <w:r>
              <w:rPr>
                <w:b/>
                <w:sz w:val="17"/>
              </w:rPr>
              <w:t>Aug - Nov 2027</w:t>
            </w:r>
          </w:p>
        </w:tc>
        <w:tc>
          <w:tcPr>
            <w:tcW w:type="dxa" w:w="4533"/>
            <w:tcMar>
              <w:top w:w="50" w:type="dxa"/>
              <w:bottom w:w="50" w:type="dxa"/>
              <w:left w:w="90" w:type="dxa"/>
              <w:right w:w="90" w:type="dxa"/>
            </w:tcMar>
          </w:tcPr>
          <w:p>
            <w:pPr>
              <w:pStyle w:val="BDOITable"/>
            </w:pPr>
            <w:r>
              <w:rPr>
                <w:sz w:val="17"/>
              </w:rPr>
              <w:t>UAT with reconciliation cycles per interface</w:t>
            </w:r>
          </w:p>
        </w:tc>
        <w:tc>
          <w:tcPr>
            <w:tcW w:type="dxa" w:w="3400"/>
            <w:tcMar>
              <w:top w:w="50" w:type="dxa"/>
              <w:bottom w:w="50" w:type="dxa"/>
              <w:left w:w="90" w:type="dxa"/>
              <w:right w:w="90" w:type="dxa"/>
            </w:tcMar>
          </w:tcPr>
          <w:p>
            <w:pPr>
              <w:pStyle w:val="BDOITable"/>
            </w:pPr>
            <w:r>
              <w:rPr>
                <w:sz w:val="17"/>
              </w:rPr>
              <w:t>BDOI business owners</w:t>
            </w:r>
          </w:p>
        </w:tc>
      </w:tr>
    </w:tbl>
    <w:p>
      <w:pPr>
        <w:pStyle w:val="BDOISpacer"/>
      </w:pPr>
    </w:p>
    <w:p>
      <w:pPr>
        <w:pStyle w:val="Heading1"/>
        <w:pBdr>
          <w:bottom w:val="single" w:sz="4" w:space="4" w:color="99C1E7"/>
        </w:pBdr>
      </w:pPr>
      <w:bookmarkStart w:id="124" w:name="_Toc000124"/>
      <w:r>
        <w:rPr/>
        <w:t>10 Decisions and open points for BDOI</w:t>
      </w:r>
      <w:bookmarkEnd w:id="124"/>
    </w:p>
    <w:p>
      <w:pPr>
        <w:pStyle w:val="Caption"/>
        <w:keepNext/>
        <w:spacing w:after="60"/>
      </w:pPr>
      <w:r>
        <w:rPr>
          <w:b/>
          <w:i w:val="0"/>
        </w:rPr>
        <w:t xml:space="preserve">Table 15: </w:t>
      </w:r>
      <w:r>
        <w:rPr/>
        <w:t>Decisions and open points for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1699"/>
        <w:gridCol w:w="4759"/>
        <w:gridCol w:w="1586"/>
        <w:gridCol w:w="12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4759"/>
            <w:shd w:val="clear" w:color="auto" w:fill="004EA8"/>
            <w:tcMar>
              <w:top w:w="50" w:type="dxa"/>
              <w:bottom w:w="50" w:type="dxa"/>
              <w:left w:w="90" w:type="dxa"/>
              <w:right w:w="90" w:type="dxa"/>
            </w:tcMar>
            <w:vAlign w:val="center"/>
          </w:tcPr>
          <w:p>
            <w:pPr>
              <w:pStyle w:val="BDOITableHeader"/>
            </w:pPr>
            <w:r>
              <w:rPr>
                <w:b/>
                <w:color w:val="FFFFFF"/>
                <w:sz w:val="16"/>
              </w:rPr>
              <w:t>Our proposal</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Needed by</w:t>
            </w:r>
          </w:p>
        </w:tc>
      </w:tr>
      <w:tr>
        <w:trPr>
          <w:cantSplit w:val="true"/>
        </w:trPr>
        <w:tc>
          <w:tcPr>
            <w:tcW w:type="dxa" w:w="680"/>
            <w:tcMar>
              <w:top w:w="50" w:type="dxa"/>
              <w:bottom w:w="50" w:type="dxa"/>
              <w:left w:w="90" w:type="dxa"/>
              <w:right w:w="90" w:type="dxa"/>
            </w:tcMar>
          </w:tcPr>
          <w:p>
            <w:pPr>
              <w:pStyle w:val="BDOITable"/>
            </w:pPr>
            <w:r>
              <w:rPr>
                <w:b/>
                <w:sz w:val="16"/>
              </w:rPr>
              <w:t>IN-01</w:t>
            </w:r>
          </w:p>
        </w:tc>
        <w:tc>
          <w:tcPr>
            <w:tcW w:type="dxa" w:w="1700"/>
            <w:tcMar>
              <w:top w:w="50" w:type="dxa"/>
              <w:bottom w:w="50" w:type="dxa"/>
              <w:left w:w="90" w:type="dxa"/>
              <w:right w:w="90" w:type="dxa"/>
            </w:tcMar>
          </w:tcPr>
          <w:p>
            <w:pPr>
              <w:pStyle w:val="BDOITable"/>
            </w:pPr>
            <w:r>
              <w:rPr>
                <w:sz w:val="16"/>
              </w:rPr>
              <w:t>Bank, loan and PDC file layouts</w:t>
            </w:r>
          </w:p>
        </w:tc>
        <w:tc>
          <w:tcPr>
            <w:tcW w:type="dxa" w:w="4759"/>
            <w:tcMar>
              <w:top w:w="50" w:type="dxa"/>
              <w:bottom w:w="50" w:type="dxa"/>
              <w:left w:w="90" w:type="dxa"/>
              <w:right w:w="90" w:type="dxa"/>
            </w:tcMar>
          </w:tcPr>
          <w:p>
            <w:pPr>
              <w:pStyle w:val="BDOITable"/>
            </w:pPr>
            <w:r>
              <w:rPr>
                <w:sz w:val="16"/>
              </w:rPr>
              <w:t>BDOI IT provides the layouts, schedules and transport of INT-03 to INT-10, and says what AFTS is used for (IQ06 to IQ10)</w:t>
            </w:r>
          </w:p>
        </w:tc>
        <w:tc>
          <w:tcPr>
            <w:tcW w:type="dxa" w:w="1586"/>
            <w:tcMar>
              <w:top w:w="50" w:type="dxa"/>
              <w:bottom w:w="50" w:type="dxa"/>
              <w:left w:w="90" w:type="dxa"/>
              <w:right w:w="90" w:type="dxa"/>
            </w:tcMar>
          </w:tcPr>
          <w:p>
            <w:pPr>
              <w:pStyle w:val="BDOITable"/>
            </w:pPr>
            <w:r>
              <w:rPr>
                <w:sz w:val="16"/>
              </w:rPr>
              <w:t>BDOI IT, Treasury</w:t>
            </w:r>
          </w:p>
        </w:tc>
        <w:tc>
          <w:tcPr>
            <w:tcW w:type="dxa" w:w="1246"/>
            <w:tcMar>
              <w:top w:w="50" w:type="dxa"/>
              <w:bottom w:w="50" w:type="dxa"/>
              <w:left w:w="90" w:type="dxa"/>
              <w:right w:w="90" w:type="dxa"/>
            </w:tcMar>
          </w:tcPr>
          <w:p>
            <w:pPr>
              <w:pStyle w:val="BDOITable"/>
            </w:pPr>
            <w:r>
              <w:rPr>
                <w:sz w:val="16"/>
              </w:rPr>
              <w:t>15-Jan-2027</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IN-02</w:t>
            </w:r>
          </w:p>
        </w:tc>
        <w:tc>
          <w:tcPr>
            <w:tcW w:type="dxa" w:w="1700"/>
            <w:tcMar>
              <w:top w:w="50" w:type="dxa"/>
              <w:bottom w:w="50" w:type="dxa"/>
              <w:left w:w="90" w:type="dxa"/>
              <w:right w:w="90" w:type="dxa"/>
            </w:tcMar>
            <w:shd w:val="clear" w:color="auto" w:fill="E5F5FF"/>
          </w:tcPr>
          <w:p>
            <w:pPr>
              <w:pStyle w:val="BDOITable"/>
            </w:pPr>
            <w:r>
              <w:rPr>
                <w:sz w:val="16"/>
              </w:rPr>
              <w:t>File transport</w:t>
            </w:r>
          </w:p>
        </w:tc>
        <w:tc>
          <w:tcPr>
            <w:tcW w:type="dxa" w:w="4759"/>
            <w:tcMar>
              <w:top w:w="50" w:type="dxa"/>
              <w:bottom w:w="50" w:type="dxa"/>
              <w:left w:w="90" w:type="dxa"/>
              <w:right w:w="90" w:type="dxa"/>
            </w:tcMar>
            <w:shd w:val="clear" w:color="auto" w:fill="E5F5FF"/>
          </w:tcPr>
          <w:p>
            <w:pPr>
              <w:pStyle w:val="BDOITable"/>
            </w:pPr>
            <w:r>
              <w:rPr>
                <w:sz w:val="16"/>
              </w:rPr>
              <w:t>AWS Transfer Family (SFTP) into the inbound bucket for host-to-host senders; presigned upload or the BIBS upload screen otherwise</w:t>
            </w:r>
          </w:p>
        </w:tc>
        <w:tc>
          <w:tcPr>
            <w:tcW w:type="dxa" w:w="1586"/>
            <w:tcMar>
              <w:top w:w="50" w:type="dxa"/>
              <w:bottom w:w="50" w:type="dxa"/>
              <w:left w:w="90" w:type="dxa"/>
              <w:right w:w="90" w:type="dxa"/>
            </w:tcMar>
            <w:shd w:val="clear" w:color="auto" w:fill="E5F5FF"/>
          </w:tcPr>
          <w:p>
            <w:pPr>
              <w:pStyle w:val="BDOITable"/>
            </w:pPr>
            <w:r>
              <w:rPr>
                <w:sz w:val="16"/>
              </w:rPr>
              <w:t>BDO IT Cloud, network team</w:t>
            </w:r>
          </w:p>
        </w:tc>
        <w:tc>
          <w:tcPr>
            <w:tcW w:type="dxa" w:w="1246"/>
            <w:tcMar>
              <w:top w:w="50" w:type="dxa"/>
              <w:bottom w:w="50" w:type="dxa"/>
              <w:left w:w="90" w:type="dxa"/>
              <w:right w:w="90" w:type="dxa"/>
            </w:tcMar>
            <w:shd w:val="clear" w:color="auto" w:fill="E5F5FF"/>
          </w:tcPr>
          <w:p>
            <w:pPr>
              <w:pStyle w:val="BDOITable"/>
            </w:pPr>
            <w:r>
              <w:rPr>
                <w:sz w:val="16"/>
              </w:rPr>
              <w:t>30-Nov-2026</w:t>
            </w:r>
          </w:p>
        </w:tc>
      </w:tr>
      <w:tr>
        <w:trPr>
          <w:cantSplit w:val="true"/>
        </w:trPr>
        <w:tc>
          <w:tcPr>
            <w:tcW w:type="dxa" w:w="680"/>
            <w:tcMar>
              <w:top w:w="50" w:type="dxa"/>
              <w:bottom w:w="50" w:type="dxa"/>
              <w:left w:w="90" w:type="dxa"/>
              <w:right w:w="90" w:type="dxa"/>
            </w:tcMar>
          </w:tcPr>
          <w:p>
            <w:pPr>
              <w:pStyle w:val="BDOITable"/>
            </w:pPr>
            <w:r>
              <w:rPr>
                <w:b/>
                <w:sz w:val="16"/>
              </w:rPr>
              <w:t>IN-03</w:t>
            </w:r>
          </w:p>
        </w:tc>
        <w:tc>
          <w:tcPr>
            <w:tcW w:type="dxa" w:w="1700"/>
            <w:tcMar>
              <w:top w:w="50" w:type="dxa"/>
              <w:bottom w:w="50" w:type="dxa"/>
              <w:left w:w="90" w:type="dxa"/>
              <w:right w:w="90" w:type="dxa"/>
            </w:tcMar>
          </w:tcPr>
          <w:p>
            <w:pPr>
              <w:pStyle w:val="BDOITable"/>
            </w:pPr>
            <w:r>
              <w:rPr>
                <w:sz w:val="16"/>
              </w:rPr>
              <w:t>Apigee X onboarding</w:t>
            </w:r>
          </w:p>
        </w:tc>
        <w:tc>
          <w:tcPr>
            <w:tcW w:type="dxa" w:w="4759"/>
            <w:tcMar>
              <w:top w:w="50" w:type="dxa"/>
              <w:bottom w:w="50" w:type="dxa"/>
              <w:left w:w="90" w:type="dxa"/>
              <w:right w:w="90" w:type="dxa"/>
            </w:tcMar>
          </w:tcPr>
          <w:p>
            <w:pPr>
              <w:pStyle w:val="BDOITable"/>
            </w:pPr>
            <w:r>
              <w:rPr>
                <w:sz w:val="16"/>
              </w:rPr>
              <w:t>One Apigee product per counterpart with scopes per API; private route from Apigee X to the BIBS load balancer; BIBS registered as an Apigee client for outbound calls</w:t>
            </w:r>
          </w:p>
        </w:tc>
        <w:tc>
          <w:tcPr>
            <w:tcW w:type="dxa" w:w="1586"/>
            <w:tcMar>
              <w:top w:w="50" w:type="dxa"/>
              <w:bottom w:w="50" w:type="dxa"/>
              <w:left w:w="90" w:type="dxa"/>
              <w:right w:w="90" w:type="dxa"/>
            </w:tcMar>
          </w:tcPr>
          <w:p>
            <w:pPr>
              <w:pStyle w:val="BDOITable"/>
            </w:pPr>
            <w:r>
              <w:rPr>
                <w:sz w:val="16"/>
              </w:rPr>
              <w:t>BDO API team</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IN-04</w:t>
            </w:r>
          </w:p>
        </w:tc>
        <w:tc>
          <w:tcPr>
            <w:tcW w:type="dxa" w:w="1700"/>
            <w:tcMar>
              <w:top w:w="50" w:type="dxa"/>
              <w:bottom w:w="50" w:type="dxa"/>
              <w:left w:w="90" w:type="dxa"/>
              <w:right w:w="90" w:type="dxa"/>
            </w:tcMar>
            <w:shd w:val="clear" w:color="auto" w:fill="E5F5FF"/>
          </w:tcPr>
          <w:p>
            <w:pPr>
              <w:pStyle w:val="BDOITable"/>
            </w:pPr>
            <w:r>
              <w:rPr>
                <w:sz w:val="16"/>
              </w:rPr>
              <w:t>EGL feed</w:t>
            </w:r>
          </w:p>
        </w:tc>
        <w:tc>
          <w:tcPr>
            <w:tcW w:type="dxa" w:w="4759"/>
            <w:tcMar>
              <w:top w:w="50" w:type="dxa"/>
              <w:bottom w:w="50" w:type="dxa"/>
              <w:left w:w="90" w:type="dxa"/>
              <w:right w:w="90" w:type="dxa"/>
            </w:tcMar>
            <w:shd w:val="clear" w:color="auto" w:fill="E5F5FF"/>
          </w:tcPr>
          <w:p>
            <w:pPr>
              <w:pStyle w:val="BDOITable"/>
            </w:pPr>
            <w:r>
              <w:rPr>
                <w:sz w:val="16"/>
              </w:rPr>
              <w:t>Daily journal detail file mapped to EGL accounts and segments, reconciled per period by Comptrollership (IQ16)</w:t>
            </w:r>
          </w:p>
        </w:tc>
        <w:tc>
          <w:tcPr>
            <w:tcW w:type="dxa" w:w="1586"/>
            <w:tcMar>
              <w:top w:w="50" w:type="dxa"/>
              <w:bottom w:w="50" w:type="dxa"/>
              <w:left w:w="90" w:type="dxa"/>
              <w:right w:w="90" w:type="dxa"/>
            </w:tcMar>
            <w:shd w:val="clear" w:color="auto" w:fill="E5F5FF"/>
          </w:tcPr>
          <w:p>
            <w:pPr>
              <w:pStyle w:val="BDOITable"/>
            </w:pPr>
            <w:r>
              <w:rPr>
                <w:sz w:val="16"/>
              </w:rPr>
              <w:t>BDOI Comptrollership, BDO EGL team</w:t>
            </w:r>
          </w:p>
        </w:tc>
        <w:tc>
          <w:tcPr>
            <w:tcW w:type="dxa" w:w="1246"/>
            <w:tcMar>
              <w:top w:w="50" w:type="dxa"/>
              <w:bottom w:w="50" w:type="dxa"/>
              <w:left w:w="90" w:type="dxa"/>
              <w:right w:w="90" w:type="dxa"/>
            </w:tcMar>
            <w:shd w:val="clear" w:color="auto" w:fill="E5F5FF"/>
          </w:tcPr>
          <w:p>
            <w:pPr>
              <w:pStyle w:val="BDOITable"/>
            </w:pPr>
            <w:r>
              <w:rPr>
                <w:sz w:val="16"/>
              </w:rPr>
              <w:t>16-Oct-2026</w:t>
            </w:r>
          </w:p>
        </w:tc>
      </w:tr>
      <w:tr>
        <w:trPr>
          <w:cantSplit w:val="true"/>
        </w:trPr>
        <w:tc>
          <w:tcPr>
            <w:tcW w:type="dxa" w:w="680"/>
            <w:tcMar>
              <w:top w:w="50" w:type="dxa"/>
              <w:bottom w:w="50" w:type="dxa"/>
              <w:left w:w="90" w:type="dxa"/>
              <w:right w:w="90" w:type="dxa"/>
            </w:tcMar>
          </w:tcPr>
          <w:p>
            <w:pPr>
              <w:pStyle w:val="BDOITable"/>
            </w:pPr>
            <w:r>
              <w:rPr>
                <w:b/>
                <w:sz w:val="16"/>
              </w:rPr>
              <w:t>IN-05</w:t>
            </w:r>
          </w:p>
        </w:tc>
        <w:tc>
          <w:tcPr>
            <w:tcW w:type="dxa" w:w="1700"/>
            <w:tcMar>
              <w:top w:w="50" w:type="dxa"/>
              <w:bottom w:w="50" w:type="dxa"/>
              <w:left w:w="90" w:type="dxa"/>
              <w:right w:w="90" w:type="dxa"/>
            </w:tcMar>
          </w:tcPr>
          <w:p>
            <w:pPr>
              <w:pStyle w:val="BDOITable"/>
            </w:pPr>
            <w:r>
              <w:rPr>
                <w:sz w:val="16"/>
              </w:rPr>
              <w:t>SMS</w:t>
            </w:r>
          </w:p>
        </w:tc>
        <w:tc>
          <w:tcPr>
            <w:tcW w:type="dxa" w:w="4759"/>
            <w:tcMar>
              <w:top w:w="50" w:type="dxa"/>
              <w:bottom w:w="50" w:type="dxa"/>
              <w:left w:w="90" w:type="dxa"/>
              <w:right w:w="90" w:type="dxa"/>
            </w:tcMar>
          </w:tcPr>
          <w:p>
            <w:pPr>
              <w:pStyle w:val="BDOITable"/>
            </w:pPr>
            <w:r>
              <w:rPr>
                <w:sz w:val="16"/>
              </w:rPr>
              <w:t>No SMS channel at go-live: no BRD requires it; notifications by e-mail and in-app</w:t>
            </w:r>
          </w:p>
        </w:tc>
        <w:tc>
          <w:tcPr>
            <w:tcW w:type="dxa" w:w="1586"/>
            <w:tcMar>
              <w:top w:w="50" w:type="dxa"/>
              <w:bottom w:w="50" w:type="dxa"/>
              <w:left w:w="90" w:type="dxa"/>
              <w:right w:w="90" w:type="dxa"/>
            </w:tcMar>
          </w:tcPr>
          <w:p>
            <w:pPr>
              <w:pStyle w:val="BDOITable"/>
            </w:pPr>
            <w:r>
              <w:rPr>
                <w:sz w:val="16"/>
              </w:rPr>
              <w:t>BIBS Product Owner</w:t>
            </w:r>
          </w:p>
        </w:tc>
        <w:tc>
          <w:tcPr>
            <w:tcW w:type="dxa" w:w="1246"/>
            <w:tcMar>
              <w:top w:w="50" w:type="dxa"/>
              <w:bottom w:w="50" w:type="dxa"/>
              <w:left w:w="90" w:type="dxa"/>
              <w:right w:w="90" w:type="dxa"/>
            </w:tcMar>
          </w:tcPr>
          <w:p>
            <w:pPr>
              <w:pStyle w:val="BDOITable"/>
            </w:pPr>
            <w:r>
              <w:rPr>
                <w:sz w:val="16"/>
              </w:rPr>
              <w:t>30-Nov-2026</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IN-06</w:t>
            </w:r>
          </w:p>
        </w:tc>
        <w:tc>
          <w:tcPr>
            <w:tcW w:type="dxa" w:w="1700"/>
            <w:tcMar>
              <w:top w:w="50" w:type="dxa"/>
              <w:bottom w:w="50" w:type="dxa"/>
              <w:left w:w="90" w:type="dxa"/>
              <w:right w:w="90" w:type="dxa"/>
            </w:tcMar>
            <w:shd w:val="clear" w:color="auto" w:fill="E5F5FF"/>
          </w:tcPr>
          <w:p>
            <w:pPr>
              <w:pStyle w:val="BDOITable"/>
            </w:pPr>
            <w:r>
              <w:rPr>
                <w:sz w:val="16"/>
              </w:rPr>
              <w:t>EDP ingestion (SD 11)</w:t>
            </w:r>
          </w:p>
        </w:tc>
        <w:tc>
          <w:tcPr>
            <w:tcW w:type="dxa" w:w="4759"/>
            <w:tcMar>
              <w:top w:w="50" w:type="dxa"/>
              <w:bottom w:w="50" w:type="dxa"/>
              <w:left w:w="90" w:type="dxa"/>
              <w:right w:w="90" w:type="dxa"/>
            </w:tcMar>
            <w:shd w:val="clear" w:color="auto" w:fill="E5F5FF"/>
          </w:tcPr>
          <w:p>
            <w:pPr>
              <w:pStyle w:val="BDOITable"/>
            </w:pPr>
            <w:r>
              <w:rPr>
                <w:sz w:val="16"/>
              </w:rPr>
              <w:t>Daily extracts with control file to an EDP landing bucket; personal data masked unless EDP is authorised (IQ15)</w:t>
            </w:r>
          </w:p>
        </w:tc>
        <w:tc>
          <w:tcPr>
            <w:tcW w:type="dxa" w:w="1586"/>
            <w:tcMar>
              <w:top w:w="50" w:type="dxa"/>
              <w:bottom w:w="50" w:type="dxa"/>
              <w:left w:w="90" w:type="dxa"/>
              <w:right w:w="90" w:type="dxa"/>
            </w:tcMar>
            <w:shd w:val="clear" w:color="auto" w:fill="E5F5FF"/>
          </w:tcPr>
          <w:p>
            <w:pPr>
              <w:pStyle w:val="BDOITable"/>
            </w:pPr>
            <w:r>
              <w:rPr>
                <w:sz w:val="16"/>
              </w:rPr>
              <w:t>BDO Data Office</w:t>
            </w:r>
          </w:p>
        </w:tc>
        <w:tc>
          <w:tcPr>
            <w:tcW w:type="dxa" w:w="1246"/>
            <w:tcMar>
              <w:top w:w="50" w:type="dxa"/>
              <w:bottom w:w="50" w:type="dxa"/>
              <w:left w:w="90" w:type="dxa"/>
              <w:right w:w="90" w:type="dxa"/>
            </w:tcMar>
            <w:shd w:val="clear" w:color="auto" w:fill="E5F5FF"/>
          </w:tcPr>
          <w:p>
            <w:pPr>
              <w:pStyle w:val="BDOITable"/>
            </w:pPr>
            <w:r>
              <w:rPr>
                <w:sz w:val="16"/>
              </w:rPr>
              <w:t>16-Oct-2026</w:t>
            </w:r>
          </w:p>
        </w:tc>
      </w:tr>
      <w:tr>
        <w:trPr>
          <w:cantSplit w:val="true"/>
        </w:trPr>
        <w:tc>
          <w:tcPr>
            <w:tcW w:type="dxa" w:w="680"/>
            <w:tcMar>
              <w:top w:w="50" w:type="dxa"/>
              <w:bottom w:w="50" w:type="dxa"/>
              <w:left w:w="90" w:type="dxa"/>
              <w:right w:w="90" w:type="dxa"/>
            </w:tcMar>
          </w:tcPr>
          <w:p>
            <w:pPr>
              <w:pStyle w:val="BDOITable"/>
            </w:pPr>
            <w:r>
              <w:rPr>
                <w:b/>
                <w:sz w:val="16"/>
              </w:rPr>
              <w:t>IN-07</w:t>
            </w:r>
          </w:p>
        </w:tc>
        <w:tc>
          <w:tcPr>
            <w:tcW w:type="dxa" w:w="1700"/>
            <w:tcMar>
              <w:top w:w="50" w:type="dxa"/>
              <w:bottom w:w="50" w:type="dxa"/>
              <w:left w:w="90" w:type="dxa"/>
              <w:right w:w="90" w:type="dxa"/>
            </w:tcMar>
          </w:tcPr>
          <w:p>
            <w:pPr>
              <w:pStyle w:val="BDOITable"/>
            </w:pPr>
            <w:r>
              <w:rPr>
                <w:sz w:val="16"/>
              </w:rPr>
              <w:t>Insurer channels</w:t>
            </w:r>
          </w:p>
        </w:tc>
        <w:tc>
          <w:tcPr>
            <w:tcW w:type="dxa" w:w="4759"/>
            <w:tcMar>
              <w:top w:w="50" w:type="dxa"/>
              <w:bottom w:w="50" w:type="dxa"/>
              <w:left w:w="90" w:type="dxa"/>
              <w:right w:w="90" w:type="dxa"/>
            </w:tcMar>
          </w:tcPr>
          <w:p>
            <w:pPr>
              <w:pStyle w:val="BDOITable"/>
            </w:pPr>
            <w:r>
              <w:rPr>
                <w:sz w:val="16"/>
              </w:rPr>
              <w:t>Keep e-mail with protected attachments for insurers without an interface; SFTP or API through Apigee for insurers that offer one, per insurer (IQ18)</w:t>
            </w:r>
          </w:p>
        </w:tc>
        <w:tc>
          <w:tcPr>
            <w:tcW w:type="dxa" w:w="1586"/>
            <w:tcMar>
              <w:top w:w="50" w:type="dxa"/>
              <w:bottom w:w="50" w:type="dxa"/>
              <w:left w:w="90" w:type="dxa"/>
              <w:right w:w="90" w:type="dxa"/>
            </w:tcMar>
          </w:tcPr>
          <w:p>
            <w:pPr>
              <w:pStyle w:val="BDOITable"/>
            </w:pPr>
            <w:r>
              <w:rPr>
                <w:sz w:val="16"/>
              </w:rPr>
              <w:t>BDOI Operations</w:t>
            </w:r>
          </w:p>
        </w:tc>
        <w:tc>
          <w:tcPr>
            <w:tcW w:type="dxa" w:w="1246"/>
            <w:tcMar>
              <w:top w:w="50" w:type="dxa"/>
              <w:bottom w:w="50" w:type="dxa"/>
              <w:left w:w="90" w:type="dxa"/>
              <w:right w:w="90" w:type="dxa"/>
            </w:tcMar>
          </w:tcPr>
          <w:p>
            <w:pPr>
              <w:pStyle w:val="BDOITable"/>
            </w:pPr>
            <w:r>
              <w:rPr>
                <w:sz w:val="16"/>
              </w:rPr>
              <w:t>31-Jan-2027</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IN-08</w:t>
            </w:r>
          </w:p>
        </w:tc>
        <w:tc>
          <w:tcPr>
            <w:tcW w:type="dxa" w:w="1700"/>
            <w:tcMar>
              <w:top w:w="50" w:type="dxa"/>
              <w:bottom w:w="50" w:type="dxa"/>
              <w:left w:w="90" w:type="dxa"/>
              <w:right w:w="90" w:type="dxa"/>
            </w:tcMar>
            <w:shd w:val="clear" w:color="auto" w:fill="E5F5FF"/>
          </w:tcPr>
          <w:p>
            <w:pPr>
              <w:pStyle w:val="BDOITable"/>
            </w:pPr>
            <w:r>
              <w:rPr>
                <w:sz w:val="16"/>
              </w:rPr>
              <w:t>CCM transport</w:t>
            </w:r>
          </w:p>
        </w:tc>
        <w:tc>
          <w:tcPr>
            <w:tcW w:type="dxa" w:w="4759"/>
            <w:tcMar>
              <w:top w:w="50" w:type="dxa"/>
              <w:bottom w:w="50" w:type="dxa"/>
              <w:left w:w="90" w:type="dxa"/>
              <w:right w:w="90" w:type="dxa"/>
            </w:tcMar>
            <w:shd w:val="clear" w:color="auto" w:fill="E5F5FF"/>
          </w:tcPr>
          <w:p>
            <w:pPr>
              <w:pStyle w:val="BDOITable"/>
            </w:pPr>
            <w:r>
              <w:rPr>
                <w:sz w:val="16"/>
              </w:rPr>
              <w:t>SMTP relay with STARTTLS on port 587 from the BIBS pods through the private route (IQ11)</w:t>
            </w:r>
          </w:p>
        </w:tc>
        <w:tc>
          <w:tcPr>
            <w:tcW w:type="dxa" w:w="1586"/>
            <w:tcMar>
              <w:top w:w="50" w:type="dxa"/>
              <w:bottom w:w="50" w:type="dxa"/>
              <w:left w:w="90" w:type="dxa"/>
              <w:right w:w="90" w:type="dxa"/>
            </w:tcMar>
            <w:shd w:val="clear" w:color="auto" w:fill="E5F5FF"/>
          </w:tcPr>
          <w:p>
            <w:pPr>
              <w:pStyle w:val="BDOITable"/>
            </w:pPr>
            <w:r>
              <w:rPr>
                <w:sz w:val="16"/>
              </w:rPr>
              <w:t>BDOI IT (CCM)</w:t>
            </w:r>
          </w:p>
        </w:tc>
        <w:tc>
          <w:tcPr>
            <w:tcW w:type="dxa" w:w="1246"/>
            <w:tcMar>
              <w:top w:w="50" w:type="dxa"/>
              <w:bottom w:w="50" w:type="dxa"/>
              <w:left w:w="90" w:type="dxa"/>
              <w:right w:w="90" w:type="dxa"/>
            </w:tcMar>
            <w:shd w:val="clear" w:color="auto" w:fill="E5F5FF"/>
          </w:tcPr>
          <w:p>
            <w:pPr>
              <w:pStyle w:val="BDOITable"/>
            </w:pPr>
            <w:r>
              <w:rPr>
                <w:sz w:val="16"/>
              </w:rPr>
              <w:t>30-Nov-2026</w:t>
            </w:r>
          </w:p>
        </w:tc>
      </w:tr>
      <w:tr>
        <w:trPr>
          <w:cantSplit w:val="true"/>
        </w:trPr>
        <w:tc>
          <w:tcPr>
            <w:tcW w:type="dxa" w:w="680"/>
            <w:tcMar>
              <w:top w:w="50" w:type="dxa"/>
              <w:bottom w:w="50" w:type="dxa"/>
              <w:left w:w="90" w:type="dxa"/>
              <w:right w:w="90" w:type="dxa"/>
            </w:tcMar>
          </w:tcPr>
          <w:p>
            <w:pPr>
              <w:pStyle w:val="BDOITable"/>
            </w:pPr>
            <w:r>
              <w:rPr>
                <w:b/>
                <w:sz w:val="16"/>
              </w:rPr>
              <w:t>IN-09</w:t>
            </w:r>
          </w:p>
        </w:tc>
        <w:tc>
          <w:tcPr>
            <w:tcW w:type="dxa" w:w="1700"/>
            <w:tcMar>
              <w:top w:w="50" w:type="dxa"/>
              <w:bottom w:w="50" w:type="dxa"/>
              <w:left w:w="90" w:type="dxa"/>
              <w:right w:w="90" w:type="dxa"/>
            </w:tcMar>
          </w:tcPr>
          <w:p>
            <w:pPr>
              <w:pStyle w:val="BDOITable"/>
            </w:pPr>
            <w:r>
              <w:rPr>
                <w:sz w:val="16"/>
              </w:rPr>
              <w:t>ECM interface</w:t>
            </w:r>
          </w:p>
        </w:tc>
        <w:tc>
          <w:tcPr>
            <w:tcW w:type="dxa" w:w="4759"/>
            <w:tcMar>
              <w:top w:w="50" w:type="dxa"/>
              <w:bottom w:w="50" w:type="dxa"/>
              <w:left w:w="90" w:type="dxa"/>
              <w:right w:w="90" w:type="dxa"/>
            </w:tcMar>
          </w:tcPr>
          <w:p>
            <w:pPr>
              <w:pStyle w:val="BDOITable"/>
            </w:pPr>
            <w:r>
              <w:rPr>
                <w:sz w:val="16"/>
              </w:rPr>
              <w:t>ECM receives final records of the "archive to ECM" classes through a connector consuming the ECM topic; ECM API, metadata and acknowledgement from BDOI IT (DSQ02, IQ13)</w:t>
            </w:r>
          </w:p>
        </w:tc>
        <w:tc>
          <w:tcPr>
            <w:tcW w:type="dxa" w:w="1586"/>
            <w:tcMar>
              <w:top w:w="50" w:type="dxa"/>
              <w:bottom w:w="50" w:type="dxa"/>
              <w:left w:w="90" w:type="dxa"/>
              <w:right w:w="90" w:type="dxa"/>
            </w:tcMar>
          </w:tcPr>
          <w:p>
            <w:pPr>
              <w:pStyle w:val="BDOITable"/>
            </w:pPr>
            <w:r>
              <w:rPr>
                <w:sz w:val="16"/>
              </w:rPr>
              <w:t>BDOI IT (ECM)</w:t>
            </w:r>
          </w:p>
        </w:tc>
        <w:tc>
          <w:tcPr>
            <w:tcW w:type="dxa" w:w="1246"/>
            <w:tcMar>
              <w:top w:w="50" w:type="dxa"/>
              <w:bottom w:w="50" w:type="dxa"/>
              <w:left w:w="90" w:type="dxa"/>
              <w:right w:w="90" w:type="dxa"/>
            </w:tcMar>
          </w:tcPr>
          <w:p>
            <w:pPr>
              <w:pStyle w:val="BDOITable"/>
            </w:pPr>
            <w:r>
              <w:rPr>
                <w:sz w:val="16"/>
              </w:rPr>
              <w:t>31-Jan-2027</w:t>
            </w:r>
          </w:p>
        </w:tc>
      </w:tr>
      <w:tr>
        <w:trPr>
          <w:cantSplit w:val="true"/>
        </w:trPr>
        <w:tc>
          <w:tcPr>
            <w:tcW w:type="dxa" w:w="680"/>
            <w:tcMar>
              <w:top w:w="50" w:type="dxa"/>
              <w:bottom w:w="50" w:type="dxa"/>
              <w:left w:w="90" w:type="dxa"/>
              <w:right w:w="90" w:type="dxa"/>
            </w:tcMar>
            <w:shd w:val="clear" w:color="auto" w:fill="E5F5FF"/>
          </w:tcPr>
          <w:p>
            <w:pPr>
              <w:pStyle w:val="BDOITable"/>
            </w:pPr>
            <w:r>
              <w:rPr>
                <w:b/>
                <w:sz w:val="16"/>
              </w:rPr>
              <w:t>IN-10</w:t>
            </w:r>
          </w:p>
        </w:tc>
        <w:tc>
          <w:tcPr>
            <w:tcW w:type="dxa" w:w="1700"/>
            <w:tcMar>
              <w:top w:w="50" w:type="dxa"/>
              <w:bottom w:w="50" w:type="dxa"/>
              <w:left w:w="90" w:type="dxa"/>
              <w:right w:w="90" w:type="dxa"/>
            </w:tcMar>
            <w:shd w:val="clear" w:color="auto" w:fill="E5F5FF"/>
          </w:tcPr>
          <w:p>
            <w:pPr>
              <w:pStyle w:val="BDOITable"/>
            </w:pPr>
            <w:r>
              <w:rPr>
                <w:sz w:val="16"/>
              </w:rPr>
              <w:t>Reconciliation owners</w:t>
            </w:r>
          </w:p>
        </w:tc>
        <w:tc>
          <w:tcPr>
            <w:tcW w:type="dxa" w:w="4759"/>
            <w:tcMar>
              <w:top w:w="50" w:type="dxa"/>
              <w:bottom w:w="50" w:type="dxa"/>
              <w:left w:w="90" w:type="dxa"/>
              <w:right w:w="90" w:type="dxa"/>
            </w:tcMar>
            <w:shd w:val="clear" w:color="auto" w:fill="E5F5FF"/>
          </w:tcPr>
          <w:p>
            <w:pPr>
              <w:pStyle w:val="BDOITable"/>
            </w:pPr>
            <w:r>
              <w:rPr>
                <w:sz w:val="16"/>
              </w:rPr>
              <w:t>The business owner of each interface in chapter 8 signs off its reconciliation report</w:t>
            </w:r>
          </w:p>
        </w:tc>
        <w:tc>
          <w:tcPr>
            <w:tcW w:type="dxa" w:w="1586"/>
            <w:tcMar>
              <w:top w:w="50" w:type="dxa"/>
              <w:bottom w:w="50" w:type="dxa"/>
              <w:left w:w="90" w:type="dxa"/>
              <w:right w:w="90" w:type="dxa"/>
            </w:tcMar>
            <w:shd w:val="clear" w:color="auto" w:fill="E5F5FF"/>
          </w:tcPr>
          <w:p>
            <w:pPr>
              <w:pStyle w:val="BDOITable"/>
            </w:pPr>
            <w:r>
              <w:rPr>
                <w:sz w:val="16"/>
              </w:rPr>
              <w:t>BRD owners</w:t>
            </w:r>
          </w:p>
        </w:tc>
        <w:tc>
          <w:tcPr>
            <w:tcW w:type="dxa" w:w="1246"/>
            <w:tcMar>
              <w:top w:w="50" w:type="dxa"/>
              <w:bottom w:w="50" w:type="dxa"/>
              <w:left w:w="90" w:type="dxa"/>
              <w:right w:w="90" w:type="dxa"/>
            </w:tcMar>
            <w:shd w:val="clear" w:color="auto" w:fill="E5F5FF"/>
          </w:tcPr>
          <w:p>
            <w:pPr>
              <w:pStyle w:val="BDOITable"/>
            </w:pPr>
            <w:r>
              <w:rPr>
                <w:sz w:val="16"/>
              </w:rPr>
              <w:t>30-Nov-2026</w:t>
            </w:r>
          </w:p>
        </w:tc>
      </w:tr>
    </w:tbl>
    <w:p>
      <w:pPr>
        <w:pStyle w:val="BDOISpacer"/>
      </w:pPr>
    </w:p>
    <w:p>
      <w:pPr>
        <w:pStyle w:val="Heading1"/>
        <w:pBdr>
          <w:bottom w:val="single" w:sz="4" w:space="4" w:color="99C1E7"/>
        </w:pBdr>
      </w:pPr>
      <w:bookmarkStart w:id="125" w:name="_Toc000125"/>
      <w:r>
        <w:rPr/>
        <w:t>Glossary</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AFTS</w:t>
            </w:r>
          </w:p>
        </w:tc>
        <w:tc>
          <w:tcPr>
            <w:tcW w:type="dxa" w:w="7932"/>
            <w:tcMar>
              <w:top w:w="50" w:type="dxa"/>
              <w:bottom w:w="50" w:type="dxa"/>
              <w:left w:w="90" w:type="dxa"/>
              <w:right w:w="90" w:type="dxa"/>
            </w:tcMar>
          </w:tcPr>
          <w:p>
            <w:pPr>
              <w:pStyle w:val="BDOITable"/>
            </w:pPr>
            <w:r>
              <w:rPr>
                <w:sz w:val="18"/>
              </w:rPr>
              <w:t>Automatic Fund Transfer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AMLC</w:t>
            </w:r>
          </w:p>
        </w:tc>
        <w:tc>
          <w:tcPr>
            <w:tcW w:type="dxa" w:w="7932"/>
            <w:tcMar>
              <w:top w:w="50" w:type="dxa"/>
              <w:bottom w:w="50" w:type="dxa"/>
              <w:left w:w="90" w:type="dxa"/>
              <w:right w:w="90" w:type="dxa"/>
            </w:tcMar>
            <w:shd w:val="clear" w:color="auto" w:fill="E5F5FF"/>
          </w:tcPr>
          <w:p>
            <w:pPr>
              <w:pStyle w:val="BDOITable"/>
            </w:pPr>
            <w:r>
              <w:rPr>
                <w:sz w:val="18"/>
              </w:rPr>
              <w:t>Anti-Money Laundering Council</w:t>
            </w:r>
          </w:p>
        </w:tc>
      </w:tr>
      <w:tr>
        <w:trPr>
          <w:cantSplit w:val="true"/>
        </w:trPr>
        <w:tc>
          <w:tcPr>
            <w:tcW w:type="dxa" w:w="2040"/>
            <w:tcMar>
              <w:top w:w="50" w:type="dxa"/>
              <w:bottom w:w="50" w:type="dxa"/>
              <w:left w:w="90" w:type="dxa"/>
              <w:right w:w="90" w:type="dxa"/>
            </w:tcMar>
          </w:tcPr>
          <w:p>
            <w:pPr>
              <w:pStyle w:val="BDOITable"/>
            </w:pPr>
            <w:r>
              <w:rPr>
                <w:b/>
                <w:sz w:val="18"/>
              </w:rPr>
              <w:t>CARMS</w:t>
            </w:r>
          </w:p>
        </w:tc>
        <w:tc>
          <w:tcPr>
            <w:tcW w:type="dxa" w:w="7932"/>
            <w:tcMar>
              <w:top w:w="50" w:type="dxa"/>
              <w:bottom w:w="50" w:type="dxa"/>
              <w:left w:w="90" w:type="dxa"/>
              <w:right w:w="90" w:type="dxa"/>
            </w:tcMar>
          </w:tcPr>
          <w:p>
            <w:pPr>
              <w:pStyle w:val="BDOITable"/>
            </w:pPr>
            <w:r>
              <w:rPr>
                <w:sz w:val="18"/>
              </w:rPr>
              <w:t>System named on the drop plan, to be explained by BDOI (IQ17)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CCM</w:t>
            </w:r>
          </w:p>
        </w:tc>
        <w:tc>
          <w:tcPr>
            <w:tcW w:type="dxa" w:w="7932"/>
            <w:tcMar>
              <w:top w:w="50" w:type="dxa"/>
              <w:bottom w:w="50" w:type="dxa"/>
              <w:left w:w="90" w:type="dxa"/>
              <w:right w:w="90" w:type="dxa"/>
            </w:tcMar>
            <w:shd w:val="clear" w:color="auto" w:fill="E5F5FF"/>
          </w:tcPr>
          <w:p>
            <w:pPr>
              <w:pStyle w:val="BDOITable"/>
            </w:pPr>
            <w:r>
              <w:rPr>
                <w:sz w:val="18"/>
              </w:rPr>
              <w:t>Centralized Communications Management (e-mail sending)</w:t>
            </w:r>
          </w:p>
        </w:tc>
      </w:tr>
      <w:tr>
        <w:trPr>
          <w:cantSplit w:val="true"/>
        </w:trPr>
        <w:tc>
          <w:tcPr>
            <w:tcW w:type="dxa" w:w="2040"/>
            <w:tcMar>
              <w:top w:w="50" w:type="dxa"/>
              <w:bottom w:w="50" w:type="dxa"/>
              <w:left w:w="90" w:type="dxa"/>
              <w:right w:w="90" w:type="dxa"/>
            </w:tcMar>
          </w:tcPr>
          <w:p>
            <w:pPr>
              <w:pStyle w:val="BDOITable"/>
            </w:pPr>
            <w:r>
              <w:rPr>
                <w:b/>
                <w:sz w:val="18"/>
              </w:rPr>
              <w:t>CMS / New BOB</w:t>
            </w:r>
          </w:p>
        </w:tc>
        <w:tc>
          <w:tcPr>
            <w:tcW w:type="dxa" w:w="7932"/>
            <w:tcMar>
              <w:top w:w="50" w:type="dxa"/>
              <w:bottom w:w="50" w:type="dxa"/>
              <w:left w:w="90" w:type="dxa"/>
              <w:right w:w="90" w:type="dxa"/>
            </w:tcMar>
          </w:tcPr>
          <w:p>
            <w:pPr>
              <w:pStyle w:val="BDOITable"/>
            </w:pPr>
            <w:r>
              <w:rPr>
                <w:sz w:val="18"/>
              </w:rPr>
              <w:t>Cash Management System, outward payments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ECM</w:t>
            </w:r>
          </w:p>
        </w:tc>
        <w:tc>
          <w:tcPr>
            <w:tcW w:type="dxa" w:w="7932"/>
            <w:tcMar>
              <w:top w:w="50" w:type="dxa"/>
              <w:bottom w:w="50" w:type="dxa"/>
              <w:left w:w="90" w:type="dxa"/>
              <w:right w:w="90" w:type="dxa"/>
            </w:tcMar>
            <w:shd w:val="clear" w:color="auto" w:fill="E5F5FF"/>
          </w:tcPr>
          <w:p>
            <w:pPr>
              <w:pStyle w:val="BDOITable"/>
            </w:pPr>
            <w:r>
              <w:rPr>
                <w:sz w:val="18"/>
              </w:rPr>
              <w:t>Enterprise Content Management</w:t>
            </w:r>
          </w:p>
        </w:tc>
      </w:tr>
      <w:tr>
        <w:trPr>
          <w:cantSplit w:val="true"/>
        </w:trPr>
        <w:tc>
          <w:tcPr>
            <w:tcW w:type="dxa" w:w="2040"/>
            <w:tcMar>
              <w:top w:w="50" w:type="dxa"/>
              <w:bottom w:w="50" w:type="dxa"/>
              <w:left w:w="90" w:type="dxa"/>
              <w:right w:w="90" w:type="dxa"/>
            </w:tcMar>
          </w:tcPr>
          <w:p>
            <w:pPr>
              <w:pStyle w:val="BDOITable"/>
            </w:pPr>
            <w:r>
              <w:rPr>
                <w:b/>
                <w:sz w:val="18"/>
              </w:rPr>
              <w:t>EDP</w:t>
            </w:r>
          </w:p>
        </w:tc>
        <w:tc>
          <w:tcPr>
            <w:tcW w:type="dxa" w:w="7932"/>
            <w:tcMar>
              <w:top w:w="50" w:type="dxa"/>
              <w:bottom w:w="50" w:type="dxa"/>
              <w:left w:w="90" w:type="dxa"/>
              <w:right w:w="90" w:type="dxa"/>
            </w:tcMar>
          </w:tcPr>
          <w:p>
            <w:pPr>
              <w:pStyle w:val="BDOITable"/>
            </w:pPr>
            <w:r>
              <w:rPr>
                <w:sz w:val="18"/>
              </w:rPr>
              <w:t>Enterprise Data Platform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EGL</w:t>
            </w:r>
          </w:p>
        </w:tc>
        <w:tc>
          <w:tcPr>
            <w:tcW w:type="dxa" w:w="7932"/>
            <w:tcMar>
              <w:top w:w="50" w:type="dxa"/>
              <w:bottom w:w="50" w:type="dxa"/>
              <w:left w:w="90" w:type="dxa"/>
              <w:right w:w="90" w:type="dxa"/>
            </w:tcMar>
            <w:shd w:val="clear" w:color="auto" w:fill="E5F5FF"/>
          </w:tcPr>
          <w:p>
            <w:pPr>
              <w:pStyle w:val="BDOITable"/>
            </w:pPr>
            <w:r>
              <w:rPr>
                <w:sz w:val="18"/>
              </w:rPr>
              <w:t>Enterprise General Ledger</w:t>
            </w:r>
          </w:p>
        </w:tc>
      </w:tr>
      <w:tr>
        <w:trPr>
          <w:cantSplit w:val="true"/>
        </w:trPr>
        <w:tc>
          <w:tcPr>
            <w:tcW w:type="dxa" w:w="2040"/>
            <w:tcMar>
              <w:top w:w="50" w:type="dxa"/>
              <w:bottom w:w="50" w:type="dxa"/>
              <w:left w:w="90" w:type="dxa"/>
              <w:right w:w="90" w:type="dxa"/>
            </w:tcMar>
          </w:tcPr>
          <w:p>
            <w:pPr>
              <w:pStyle w:val="BDOITable"/>
            </w:pPr>
            <w:r>
              <w:rPr>
                <w:b/>
                <w:sz w:val="18"/>
              </w:rPr>
              <w:t>HL-LOAS</w:t>
            </w:r>
          </w:p>
        </w:tc>
        <w:tc>
          <w:tcPr>
            <w:tcW w:type="dxa" w:w="7932"/>
            <w:tcMar>
              <w:top w:w="50" w:type="dxa"/>
              <w:bottom w:w="50" w:type="dxa"/>
              <w:left w:w="90" w:type="dxa"/>
              <w:right w:w="90" w:type="dxa"/>
            </w:tcMar>
          </w:tcPr>
          <w:p>
            <w:pPr>
              <w:pStyle w:val="BDOITable"/>
            </w:pPr>
            <w:r>
              <w:rPr>
                <w:sz w:val="18"/>
              </w:rPr>
              <w:t>Home Loan System (Loan Origination and Admin)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LFS</w:t>
            </w:r>
          </w:p>
        </w:tc>
        <w:tc>
          <w:tcPr>
            <w:tcW w:type="dxa" w:w="7932"/>
            <w:tcMar>
              <w:top w:w="50" w:type="dxa"/>
              <w:bottom w:w="50" w:type="dxa"/>
              <w:left w:w="90" w:type="dxa"/>
              <w:right w:w="90" w:type="dxa"/>
            </w:tcMar>
            <w:shd w:val="clear" w:color="auto" w:fill="E5F5FF"/>
          </w:tcPr>
          <w:p>
            <w:pPr>
              <w:pStyle w:val="BDOITable"/>
            </w:pPr>
            <w:r>
              <w:rPr>
                <w:sz w:val="18"/>
              </w:rPr>
              <w:t>Loan Front-End System</w:t>
            </w:r>
          </w:p>
        </w:tc>
      </w:tr>
      <w:tr>
        <w:trPr>
          <w:cantSplit w:val="true"/>
        </w:trPr>
        <w:tc>
          <w:tcPr>
            <w:tcW w:type="dxa" w:w="2040"/>
            <w:tcMar>
              <w:top w:w="50" w:type="dxa"/>
              <w:bottom w:w="50" w:type="dxa"/>
              <w:left w:w="90" w:type="dxa"/>
              <w:right w:w="90" w:type="dxa"/>
            </w:tcMar>
          </w:tcPr>
          <w:p>
            <w:pPr>
              <w:pStyle w:val="BDOITable"/>
            </w:pPr>
            <w:r>
              <w:rPr>
                <w:b/>
                <w:sz w:val="18"/>
              </w:rPr>
              <w:t>LMS</w:t>
            </w:r>
          </w:p>
        </w:tc>
        <w:tc>
          <w:tcPr>
            <w:tcW w:type="dxa" w:w="7932"/>
            <w:tcMar>
              <w:top w:w="50" w:type="dxa"/>
              <w:bottom w:w="50" w:type="dxa"/>
              <w:left w:w="90" w:type="dxa"/>
              <w:right w:w="90" w:type="dxa"/>
            </w:tcMar>
          </w:tcPr>
          <w:p>
            <w:pPr>
              <w:pStyle w:val="BDOITable"/>
            </w:pPr>
            <w:r>
              <w:rPr>
                <w:sz w:val="18"/>
              </w:rPr>
              <w:t>Loans Management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OBPCS</w:t>
            </w:r>
          </w:p>
        </w:tc>
        <w:tc>
          <w:tcPr>
            <w:tcW w:type="dxa" w:w="7932"/>
            <w:tcMar>
              <w:top w:w="50" w:type="dxa"/>
              <w:bottom w:w="50" w:type="dxa"/>
              <w:left w:w="90" w:type="dxa"/>
              <w:right w:w="90" w:type="dxa"/>
            </w:tcMar>
            <w:shd w:val="clear" w:color="auto" w:fill="E5F5FF"/>
          </w:tcPr>
          <w:p>
            <w:pPr>
              <w:pStyle w:val="BDOITable"/>
            </w:pPr>
            <w:r>
              <w:rPr>
                <w:sz w:val="18"/>
              </w:rPr>
              <w:t>Online Bills Payment Consolidation System</w:t>
            </w:r>
          </w:p>
        </w:tc>
      </w:tr>
      <w:tr>
        <w:trPr>
          <w:cantSplit w:val="true"/>
        </w:trPr>
        <w:tc>
          <w:tcPr>
            <w:tcW w:type="dxa" w:w="2040"/>
            <w:tcMar>
              <w:top w:w="50" w:type="dxa"/>
              <w:bottom w:w="50" w:type="dxa"/>
              <w:left w:w="90" w:type="dxa"/>
              <w:right w:w="90" w:type="dxa"/>
            </w:tcMar>
          </w:tcPr>
          <w:p>
            <w:pPr>
              <w:pStyle w:val="BDOITable"/>
            </w:pPr>
            <w:r>
              <w:rPr>
                <w:b/>
                <w:sz w:val="18"/>
              </w:rPr>
              <w:t>PMS</w:t>
            </w:r>
          </w:p>
        </w:tc>
        <w:tc>
          <w:tcPr>
            <w:tcW w:type="dxa" w:w="7932"/>
            <w:tcMar>
              <w:top w:w="50" w:type="dxa"/>
              <w:bottom w:w="50" w:type="dxa"/>
              <w:left w:w="90" w:type="dxa"/>
              <w:right w:w="90" w:type="dxa"/>
            </w:tcMar>
          </w:tcPr>
          <w:p>
            <w:pPr>
              <w:pStyle w:val="BDOITable"/>
            </w:pPr>
            <w:r>
              <w:rPr>
                <w:sz w:val="18"/>
              </w:rPr>
              <w:t>PDC Management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SCIM</w:t>
            </w:r>
          </w:p>
        </w:tc>
        <w:tc>
          <w:tcPr>
            <w:tcW w:type="dxa" w:w="7932"/>
            <w:tcMar>
              <w:top w:w="50" w:type="dxa"/>
              <w:bottom w:w="50" w:type="dxa"/>
              <w:left w:w="90" w:type="dxa"/>
              <w:right w:w="90" w:type="dxa"/>
            </w:tcMar>
            <w:shd w:val="clear" w:color="auto" w:fill="E5F5FF"/>
          </w:tcPr>
          <w:p>
            <w:pPr>
              <w:pStyle w:val="BDOITable"/>
            </w:pPr>
            <w:r>
              <w:rPr>
                <w:sz w:val="18"/>
              </w:rPr>
              <w:t>System for Cross-domain Identity Management</w:t>
            </w:r>
          </w:p>
        </w:tc>
      </w:tr>
      <w:tr>
        <w:trPr>
          <w:cantSplit w:val="true"/>
        </w:trPr>
        <w:tc>
          <w:tcPr>
            <w:tcW w:type="dxa" w:w="2040"/>
            <w:tcMar>
              <w:top w:w="50" w:type="dxa"/>
              <w:bottom w:w="50" w:type="dxa"/>
              <w:left w:w="90" w:type="dxa"/>
              <w:right w:w="90" w:type="dxa"/>
            </w:tcMar>
          </w:tcPr>
          <w:p>
            <w:pPr>
              <w:pStyle w:val="BDOITable"/>
            </w:pPr>
            <w:r>
              <w:rPr>
                <w:b/>
                <w:sz w:val="18"/>
              </w:rPr>
              <w:t>TFS</w:t>
            </w:r>
          </w:p>
        </w:tc>
        <w:tc>
          <w:tcPr>
            <w:tcW w:type="dxa" w:w="7932"/>
            <w:tcMar>
              <w:top w:w="50" w:type="dxa"/>
              <w:bottom w:w="50" w:type="dxa"/>
              <w:left w:w="90" w:type="dxa"/>
              <w:right w:w="90" w:type="dxa"/>
            </w:tcMar>
          </w:tcPr>
          <w:p>
            <w:pPr>
              <w:pStyle w:val="BDOITable"/>
            </w:pPr>
            <w:r>
              <w:rPr>
                <w:sz w:val="18"/>
              </w:rPr>
              <w:t>Trade Finance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UIDM-ISC</w:t>
            </w:r>
          </w:p>
        </w:tc>
        <w:tc>
          <w:tcPr>
            <w:tcW w:type="dxa" w:w="7932"/>
            <w:tcMar>
              <w:top w:w="50" w:type="dxa"/>
              <w:bottom w:w="50" w:type="dxa"/>
              <w:left w:w="90" w:type="dxa"/>
              <w:right w:w="90" w:type="dxa"/>
            </w:tcMar>
            <w:shd w:val="clear" w:color="auto" w:fill="E5F5FF"/>
          </w:tcPr>
          <w:p>
            <w:pPr>
              <w:pStyle w:val="BDOITable"/>
            </w:pPr>
            <w:r>
              <w:rPr>
                <w:sz w:val="18"/>
              </w:rPr>
              <w:t>User ID Maintenance - Identity Security Cloud</w:t>
            </w: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Architecture set, document 4 of 6</w:t>
    </w:r>
    <w:r>
      <w:rPr>
        <w:color w:val="656565"/>
        <w:sz w:val="16"/>
      </w:rPr>
      <w:t xml:space="preserve">   Integration Architecture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Architecture BRD-00 Integration Architecture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