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Renewal: How to Read this Pack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PRJ0012475-RN-README</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10/16/2026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1.0</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10/16/2026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How to Read this Pack</w:t>
      </w:r>
      <w:r>
        <w:tab/>
      </w:r>
      <w:r>
        <w:t xml:space="preserve">5</w:t>
      </w:r>
      <w:r>
        <w:fldChar w:fldCharType="end"/>
      </w:r>
    </w:p>
    <w:p>
      <w:r>
        <w:br w:type="page"/>
      </w:r>
    </w:p>
    <w:p>
      <w:pPr>
        <w:pStyle w:val="Heading1"/>
        <w:pageBreakBefore/>
      </w:pPr>
      <w:r>
        <w:t>How to Read this Pack</w:t>
      </w:r>
    </w:p>
    <w:p>
      <w:pPr>
        <w:spacing w:after="120"/>
        <w:ind w:left="363"/>
      </w:pPr>
      <w:r>
        <w:rPr>
          <w:rFonts w:ascii="Arial" w:hAnsi="Arial" w:cs="Arial" w:eastAsia="Arial"/>
          <w:b w:val="0"/>
          <w:i w:val="0"/>
          <w:sz w:val="20"/>
        </w:rPr>
        <w:t>This pack holds every document of Renewal (BRD-06). Each document has one job. A requirement or rule is stated once, in the FRS, with its ID; the other documents refer to that ID.</w:t>
      </w:r>
    </w:p>
    <w:p>
      <w:pPr>
        <w:keepNext/>
        <w:spacing w:before="120" w:after="60"/>
        <w:ind w:left="363"/>
      </w:pPr>
      <w:r>
        <w:rPr>
          <w:rFonts w:ascii="Arial" w:hAnsi="Arial" w:cs="Arial" w:eastAsia="Arial"/>
          <w:b/>
          <w:i w:val="0"/>
          <w:sz w:val="18"/>
        </w:rPr>
        <w:t>Table 1: Documents of the pack, in reading order</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59"/>
        <w:gridCol w:w="2573"/>
        <w:gridCol w:w="643"/>
        <w:gridCol w:w="3125"/>
        <w:gridCol w:w="1838"/>
      </w:tblGrid>
      <w:tr>
        <w:trPr>
          <w:tblHeader/>
          <w:cantSplit/>
        </w:trPr>
        <w:tc>
          <w:tcPr>
            <w:tcW w:type="dxa" w:w="459"/>
            <w:shd w:val="clear" w:color="auto" w:fill="D9E2F3"/>
          </w:tcPr>
          <w:p>
            <w:pPr>
              <w:spacing w:before="20" w:after="20"/>
            </w:pPr>
            <w:r>
              <w:rPr>
                <w:rFonts w:ascii="Arial" w:hAnsi="Arial" w:cs="Arial" w:eastAsia="Arial"/>
                <w:b/>
                <w:i w:val="0"/>
                <w:sz w:val="18"/>
              </w:rPr>
              <w:t>No.</w:t>
            </w:r>
          </w:p>
        </w:tc>
        <w:tc>
          <w:tcPr>
            <w:tcW w:type="dxa" w:w="2573"/>
            <w:shd w:val="clear" w:color="auto" w:fill="D9E2F3"/>
          </w:tcPr>
          <w:p>
            <w:pPr>
              <w:spacing w:before="20" w:after="20"/>
            </w:pPr>
            <w:r>
              <w:rPr>
                <w:rFonts w:ascii="Arial" w:hAnsi="Arial" w:cs="Arial" w:eastAsia="Arial"/>
                <w:b/>
                <w:i w:val="0"/>
                <w:sz w:val="18"/>
              </w:rPr>
              <w:t>Document</w:t>
            </w:r>
          </w:p>
        </w:tc>
        <w:tc>
          <w:tcPr>
            <w:tcW w:type="dxa" w:w="643"/>
            <w:shd w:val="clear" w:color="auto" w:fill="D9E2F3"/>
          </w:tcPr>
          <w:p>
            <w:pPr>
              <w:spacing w:before="20" w:after="20"/>
            </w:pPr>
            <w:r>
              <w:rPr>
                <w:rFonts w:ascii="Arial" w:hAnsi="Arial" w:cs="Arial" w:eastAsia="Arial"/>
                <w:b/>
                <w:i w:val="0"/>
                <w:sz w:val="18"/>
              </w:rPr>
              <w:t>Version</w:t>
            </w:r>
          </w:p>
        </w:tc>
        <w:tc>
          <w:tcPr>
            <w:tcW w:type="dxa" w:w="3125"/>
            <w:shd w:val="clear" w:color="auto" w:fill="D9E2F3"/>
          </w:tcPr>
          <w:p>
            <w:pPr>
              <w:spacing w:before="20" w:after="20"/>
            </w:pPr>
            <w:r>
              <w:rPr>
                <w:rFonts w:ascii="Arial" w:hAnsi="Arial" w:cs="Arial" w:eastAsia="Arial"/>
                <w:b/>
                <w:i w:val="0"/>
                <w:sz w:val="18"/>
              </w:rPr>
              <w:t>Purpose</w:t>
            </w:r>
          </w:p>
        </w:tc>
        <w:tc>
          <w:tcPr>
            <w:tcW w:type="dxa" w:w="1838"/>
            <w:shd w:val="clear" w:color="auto" w:fill="D9E2F3"/>
          </w:tcPr>
          <w:p>
            <w:pPr>
              <w:spacing w:before="20" w:after="20"/>
            </w:pPr>
            <w:r>
              <w:rPr>
                <w:rFonts w:ascii="Arial" w:hAnsi="Arial" w:cs="Arial" w:eastAsia="Arial"/>
                <w:b/>
                <w:i w:val="0"/>
                <w:sz w:val="18"/>
              </w:rPr>
              <w:t>Reviewer</w:t>
            </w:r>
          </w:p>
        </w:tc>
      </w:tr>
      <w:tr>
        <w:trPr>
          <w:cantSplit/>
        </w:trPr>
        <w:tc>
          <w:tcPr>
            <w:tcW w:type="dxa" w:w="459"/>
          </w:tcPr>
          <w:p>
            <w:pPr>
              <w:spacing w:before="20" w:after="20"/>
            </w:pPr>
            <w:r>
              <w:rPr>
                <w:rFonts w:ascii="Arial" w:hAnsi="Arial" w:cs="Arial" w:eastAsia="Arial"/>
                <w:b w:val="0"/>
                <w:i w:val="0"/>
                <w:sz w:val="18"/>
              </w:rPr>
              <w:t>1</w:t>
            </w:r>
          </w:p>
        </w:tc>
        <w:tc>
          <w:tcPr>
            <w:tcW w:type="dxa" w:w="2573"/>
          </w:tcPr>
          <w:p>
            <w:pPr>
              <w:spacing w:before="20" w:after="20"/>
            </w:pPr>
            <w:r>
              <w:rPr>
                <w:rFonts w:ascii="Arial" w:hAnsi="Arial" w:cs="Arial" w:eastAsia="Arial"/>
                <w:b w:val="0"/>
                <w:i w:val="0"/>
                <w:sz w:val="18"/>
              </w:rPr>
              <w:t>FRS-BDOI BRD-06 Renewal</w:t>
            </w:r>
          </w:p>
        </w:tc>
        <w:tc>
          <w:tcPr>
            <w:tcW w:type="dxa" w:w="643"/>
          </w:tcPr>
          <w:p>
            <w:pPr>
              <w:spacing w:before="20" w:after="20"/>
            </w:pPr>
            <w:r>
              <w:rPr>
                <w:rFonts w:ascii="Arial" w:hAnsi="Arial" w:cs="Arial" w:eastAsia="Arial"/>
                <w:b w:val="0"/>
                <w:i w:val="0"/>
                <w:sz w:val="18"/>
              </w:rPr>
              <w:t>1.3</w:t>
            </w:r>
          </w:p>
        </w:tc>
        <w:tc>
          <w:tcPr>
            <w:tcW w:type="dxa" w:w="3125"/>
          </w:tcPr>
          <w:p>
            <w:pPr>
              <w:spacing w:before="20" w:after="20"/>
            </w:pPr>
            <w:r>
              <w:rPr>
                <w:rFonts w:ascii="Arial" w:hAnsi="Arial" w:cs="Arial" w:eastAsia="Arial"/>
                <w:b w:val="0"/>
                <w:i w:val="0"/>
                <w:sz w:val="18"/>
              </w:rPr>
              <w:t>Requirements, business rules, validations, personas and permissions, parameters and lists of values, statuses.</w:t>
            </w:r>
          </w:p>
        </w:tc>
        <w:tc>
          <w:tcPr>
            <w:tcW w:type="dxa" w:w="1838"/>
          </w:tcPr>
          <w:p>
            <w:pPr>
              <w:spacing w:before="20" w:after="20"/>
            </w:pPr>
            <w:r>
              <w:rPr>
                <w:rFonts w:ascii="Arial" w:hAnsi="Arial" w:cs="Arial" w:eastAsia="Arial"/>
                <w:b w:val="0"/>
                <w:i w:val="0"/>
                <w:sz w:val="18"/>
              </w:rPr>
              <w:t>BDOI Business Unit owners (Marketing, Processing, LAMD, MBS)</w:t>
            </w:r>
          </w:p>
        </w:tc>
      </w:tr>
      <w:tr>
        <w:trPr>
          <w:cantSplit/>
        </w:trPr>
        <w:tc>
          <w:tcPr>
            <w:tcW w:type="dxa" w:w="459"/>
          </w:tcPr>
          <w:p>
            <w:pPr>
              <w:spacing w:before="20" w:after="20"/>
            </w:pPr>
            <w:r>
              <w:rPr>
                <w:rFonts w:ascii="Arial" w:hAnsi="Arial" w:cs="Arial" w:eastAsia="Arial"/>
                <w:b w:val="0"/>
                <w:i w:val="0"/>
                <w:sz w:val="18"/>
              </w:rPr>
              <w:t>2</w:t>
            </w:r>
          </w:p>
        </w:tc>
        <w:tc>
          <w:tcPr>
            <w:tcW w:type="dxa" w:w="2573"/>
          </w:tcPr>
          <w:p>
            <w:pPr>
              <w:spacing w:before="20" w:after="20"/>
            </w:pPr>
            <w:r>
              <w:rPr>
                <w:rFonts w:ascii="Arial" w:hAnsi="Arial" w:cs="Arial" w:eastAsia="Arial"/>
                <w:b w:val="0"/>
                <w:i w:val="0"/>
                <w:sz w:val="18"/>
              </w:rPr>
              <w:t>BPS-BDOI BRD-06 Renewal Process and Storyboards</w:t>
            </w:r>
          </w:p>
        </w:tc>
        <w:tc>
          <w:tcPr>
            <w:tcW w:type="dxa" w:w="643"/>
          </w:tcPr>
          <w:p>
            <w:pPr>
              <w:spacing w:before="20" w:after="20"/>
            </w:pPr>
            <w:r>
              <w:rPr>
                <w:rFonts w:ascii="Arial" w:hAnsi="Arial" w:cs="Arial" w:eastAsia="Arial"/>
                <w:b w:val="0"/>
                <w:i w:val="0"/>
                <w:sz w:val="18"/>
              </w:rPr>
              <w:t>1.3</w:t>
            </w:r>
          </w:p>
        </w:tc>
        <w:tc>
          <w:tcPr>
            <w:tcW w:type="dxa" w:w="3125"/>
          </w:tcPr>
          <w:p>
            <w:pPr>
              <w:spacing w:before="20" w:after="20"/>
            </w:pPr>
            <w:r>
              <w:rPr>
                <w:rFonts w:ascii="Arial" w:hAnsi="Arial" w:cs="Arial" w:eastAsia="Arial"/>
                <w:b w:val="0"/>
                <w:i w:val="0"/>
                <w:sz w:val="18"/>
              </w:rPr>
              <w:t>Journey, to-be processes and storyboards.</w:t>
            </w:r>
          </w:p>
        </w:tc>
        <w:tc>
          <w:tcPr>
            <w:tcW w:type="dxa" w:w="1838"/>
          </w:tcPr>
          <w:p>
            <w:pPr>
              <w:spacing w:before="20" w:after="20"/>
            </w:pPr>
            <w:r>
              <w:rPr>
                <w:rFonts w:ascii="Arial" w:hAnsi="Arial" w:cs="Arial" w:eastAsia="Arial"/>
                <w:b w:val="0"/>
                <w:i w:val="0"/>
                <w:sz w:val="18"/>
              </w:rPr>
              <w:t>BDOI Business Unit owners</w:t>
            </w:r>
          </w:p>
        </w:tc>
      </w:tr>
      <w:tr>
        <w:trPr>
          <w:cantSplit/>
        </w:trPr>
        <w:tc>
          <w:tcPr>
            <w:tcW w:type="dxa" w:w="459"/>
          </w:tcPr>
          <w:p>
            <w:pPr>
              <w:spacing w:before="20" w:after="20"/>
            </w:pPr>
            <w:r>
              <w:rPr>
                <w:rFonts w:ascii="Arial" w:hAnsi="Arial" w:cs="Arial" w:eastAsia="Arial"/>
                <w:b w:val="0"/>
                <w:i w:val="0"/>
                <w:sz w:val="18"/>
              </w:rPr>
              <w:t>3</w:t>
            </w:r>
          </w:p>
        </w:tc>
        <w:tc>
          <w:tcPr>
            <w:tcW w:type="dxa" w:w="2573"/>
          </w:tcPr>
          <w:p>
            <w:pPr>
              <w:spacing w:before="20" w:after="20"/>
            </w:pPr>
            <w:r>
              <w:rPr>
                <w:rFonts w:ascii="Arial" w:hAnsi="Arial" w:cs="Arial" w:eastAsia="Arial"/>
                <w:b w:val="0"/>
                <w:i w:val="0"/>
                <w:sz w:val="18"/>
              </w:rPr>
              <w:t>UXD-BDOI BRD-06 Renewal UX Design</w:t>
            </w:r>
          </w:p>
        </w:tc>
        <w:tc>
          <w:tcPr>
            <w:tcW w:type="dxa" w:w="643"/>
          </w:tcPr>
          <w:p>
            <w:pPr>
              <w:spacing w:before="20" w:after="20"/>
            </w:pPr>
            <w:r>
              <w:rPr>
                <w:rFonts w:ascii="Arial" w:hAnsi="Arial" w:cs="Arial" w:eastAsia="Arial"/>
                <w:b w:val="0"/>
                <w:i w:val="0"/>
                <w:sz w:val="18"/>
              </w:rPr>
              <w:t>1.3</w:t>
            </w:r>
          </w:p>
        </w:tc>
        <w:tc>
          <w:tcPr>
            <w:tcW w:type="dxa" w:w="3125"/>
          </w:tcPr>
          <w:p>
            <w:pPr>
              <w:spacing w:before="20" w:after="20"/>
            </w:pPr>
            <w:r>
              <w:rPr>
                <w:rFonts w:ascii="Arial" w:hAnsi="Arial" w:cs="Arial" w:eastAsia="Arial"/>
                <w:b w:val="0"/>
                <w:i w:val="0"/>
                <w:sz w:val="18"/>
              </w:rPr>
              <w:t>Every screen: purpose, users, fields, actions, states, messages, one screenshot per page.</w:t>
            </w:r>
          </w:p>
        </w:tc>
        <w:tc>
          <w:tcPr>
            <w:tcW w:type="dxa" w:w="1838"/>
          </w:tcPr>
          <w:p>
            <w:pPr>
              <w:spacing w:before="20" w:after="20"/>
            </w:pPr>
            <w:r>
              <w:rPr>
                <w:rFonts w:ascii="Arial" w:hAnsi="Arial" w:cs="Arial" w:eastAsia="Arial"/>
                <w:b w:val="0"/>
                <w:i w:val="0"/>
                <w:sz w:val="18"/>
              </w:rPr>
              <w:t>BDOI Business Unit owners; UAT lead</w:t>
            </w:r>
          </w:p>
        </w:tc>
      </w:tr>
      <w:tr>
        <w:trPr>
          <w:cantSplit/>
        </w:trPr>
        <w:tc>
          <w:tcPr>
            <w:tcW w:type="dxa" w:w="459"/>
          </w:tcPr>
          <w:p>
            <w:pPr>
              <w:spacing w:before="20" w:after="20"/>
            </w:pPr>
            <w:r>
              <w:rPr>
                <w:rFonts w:ascii="Arial" w:hAnsi="Arial" w:cs="Arial" w:eastAsia="Arial"/>
                <w:b w:val="0"/>
                <w:i w:val="0"/>
                <w:sz w:val="18"/>
              </w:rPr>
              <w:t>4</w:t>
            </w:r>
          </w:p>
        </w:tc>
        <w:tc>
          <w:tcPr>
            <w:tcW w:type="dxa" w:w="2573"/>
          </w:tcPr>
          <w:p>
            <w:pPr>
              <w:spacing w:before="20" w:after="20"/>
            </w:pPr>
            <w:r>
              <w:rPr>
                <w:rFonts w:ascii="Arial" w:hAnsi="Arial" w:cs="Arial" w:eastAsia="Arial"/>
                <w:b w:val="0"/>
                <w:i w:val="0"/>
                <w:sz w:val="18"/>
              </w:rPr>
              <w:t>RNO-BDOI BRD-06 Renewal Reports Notifications Outputs</w:t>
            </w:r>
          </w:p>
        </w:tc>
        <w:tc>
          <w:tcPr>
            <w:tcW w:type="dxa" w:w="643"/>
          </w:tcPr>
          <w:p>
            <w:pPr>
              <w:spacing w:before="20" w:after="20"/>
            </w:pPr>
            <w:r>
              <w:rPr>
                <w:rFonts w:ascii="Arial" w:hAnsi="Arial" w:cs="Arial" w:eastAsia="Arial"/>
                <w:b w:val="0"/>
                <w:i w:val="0"/>
                <w:sz w:val="18"/>
              </w:rPr>
              <w:t>1.3</w:t>
            </w:r>
          </w:p>
        </w:tc>
        <w:tc>
          <w:tcPr>
            <w:tcW w:type="dxa" w:w="3125"/>
          </w:tcPr>
          <w:p>
            <w:pPr>
              <w:spacing w:before="20" w:after="20"/>
            </w:pPr>
            <w:r>
              <w:rPr>
                <w:rFonts w:ascii="Arial" w:hAnsi="Arial" w:cs="Arial" w:eastAsia="Arial"/>
                <w:b w:val="0"/>
                <w:i w:val="0"/>
                <w:sz w:val="18"/>
              </w:rPr>
              <w:t>Reports, letters and documents, exports, notices, e-mails and jobs.</w:t>
            </w:r>
          </w:p>
        </w:tc>
        <w:tc>
          <w:tcPr>
            <w:tcW w:type="dxa" w:w="1838"/>
          </w:tcPr>
          <w:p>
            <w:pPr>
              <w:spacing w:before="20" w:after="20"/>
            </w:pPr>
            <w:r>
              <w:rPr>
                <w:rFonts w:ascii="Arial" w:hAnsi="Arial" w:cs="Arial" w:eastAsia="Arial"/>
                <w:b w:val="0"/>
                <w:i w:val="0"/>
                <w:sz w:val="18"/>
              </w:rPr>
              <w:t>BDOI Business Unit owners; Internal Audit</w:t>
            </w:r>
          </w:p>
        </w:tc>
      </w:tr>
      <w:tr>
        <w:trPr>
          <w:cantSplit/>
        </w:trPr>
        <w:tc>
          <w:tcPr>
            <w:tcW w:type="dxa" w:w="459"/>
          </w:tcPr>
          <w:p>
            <w:pPr>
              <w:spacing w:before="20" w:after="20"/>
            </w:pPr>
            <w:r>
              <w:rPr>
                <w:rFonts w:ascii="Arial" w:hAnsi="Arial" w:cs="Arial" w:eastAsia="Arial"/>
                <w:b w:val="0"/>
                <w:i w:val="0"/>
                <w:sz w:val="18"/>
              </w:rPr>
              <w:t>5</w:t>
            </w:r>
          </w:p>
        </w:tc>
        <w:tc>
          <w:tcPr>
            <w:tcW w:type="dxa" w:w="2573"/>
          </w:tcPr>
          <w:p>
            <w:pPr>
              <w:spacing w:before="20" w:after="20"/>
            </w:pPr>
            <w:r>
              <w:rPr>
                <w:rFonts w:ascii="Arial" w:hAnsi="Arial" w:cs="Arial" w:eastAsia="Arial"/>
                <w:b w:val="0"/>
                <w:i w:val="0"/>
                <w:sz w:val="18"/>
              </w:rPr>
              <w:t>ICD-BDOI BRD-06 Renewal Interface Specification</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CCM, MFT, insurer files, LAMD and BDOFC/SOLD reports, CLPC billing files.</w:t>
            </w:r>
          </w:p>
        </w:tc>
        <w:tc>
          <w:tcPr>
            <w:tcW w:type="dxa" w:w="1838"/>
          </w:tcPr>
          <w:p>
            <w:pPr>
              <w:spacing w:before="20" w:after="20"/>
            </w:pPr>
            <w:r>
              <w:rPr>
                <w:rFonts w:ascii="Arial" w:hAnsi="Arial" w:cs="Arial" w:eastAsia="Arial"/>
                <w:b w:val="0"/>
                <w:i w:val="0"/>
                <w:sz w:val="18"/>
              </w:rPr>
              <w:t>BDOI IT (integration)</w:t>
            </w:r>
          </w:p>
        </w:tc>
      </w:tr>
      <w:tr>
        <w:trPr>
          <w:cantSplit/>
        </w:trPr>
        <w:tc>
          <w:tcPr>
            <w:tcW w:type="dxa" w:w="459"/>
          </w:tcPr>
          <w:p>
            <w:pPr>
              <w:spacing w:before="20" w:after="20"/>
            </w:pPr>
            <w:r>
              <w:rPr>
                <w:rFonts w:ascii="Arial" w:hAnsi="Arial" w:cs="Arial" w:eastAsia="Arial"/>
                <w:b w:val="0"/>
                <w:i w:val="0"/>
                <w:sz w:val="18"/>
              </w:rPr>
              <w:t>6</w:t>
            </w:r>
          </w:p>
        </w:tc>
        <w:tc>
          <w:tcPr>
            <w:tcW w:type="dxa" w:w="2573"/>
          </w:tcPr>
          <w:p>
            <w:pPr>
              <w:spacing w:before="20" w:after="20"/>
            </w:pPr>
            <w:r>
              <w:rPr>
                <w:rFonts w:ascii="Arial" w:hAnsi="Arial" w:cs="Arial" w:eastAsia="Arial"/>
                <w:b w:val="0"/>
                <w:i w:val="0"/>
                <w:sz w:val="18"/>
              </w:rPr>
              <w:t>DSP-BDOI BRD-06 Renewal Developer Specification</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Screens, service operations, field validations, rules, states, jobs, audit events and permissions, as the system works.</w:t>
            </w:r>
          </w:p>
        </w:tc>
        <w:tc>
          <w:tcPr>
            <w:tcW w:type="dxa" w:w="1838"/>
          </w:tcPr>
          <w:p>
            <w:pPr>
              <w:spacing w:before="20" w:after="20"/>
            </w:pPr>
            <w:r>
              <w:rPr>
                <w:rFonts w:ascii="Arial" w:hAnsi="Arial" w:cs="Arial" w:eastAsia="Arial"/>
                <w:b w:val="0"/>
                <w:i w:val="0"/>
                <w:sz w:val="18"/>
              </w:rPr>
              <w:t>BDOI IT; iorta TechNXT developers and testers</w:t>
            </w:r>
          </w:p>
        </w:tc>
      </w:tr>
      <w:tr>
        <w:trPr>
          <w:cantSplit/>
        </w:trPr>
        <w:tc>
          <w:tcPr>
            <w:tcW w:type="dxa" w:w="459"/>
          </w:tcPr>
          <w:p>
            <w:pPr>
              <w:spacing w:before="20" w:after="20"/>
            </w:pPr>
            <w:r>
              <w:rPr>
                <w:rFonts w:ascii="Arial" w:hAnsi="Arial" w:cs="Arial" w:eastAsia="Arial"/>
                <w:b w:val="0"/>
                <w:i w:val="0"/>
                <w:sz w:val="18"/>
              </w:rPr>
              <w:t>7</w:t>
            </w:r>
          </w:p>
        </w:tc>
        <w:tc>
          <w:tcPr>
            <w:tcW w:type="dxa" w:w="2573"/>
          </w:tcPr>
          <w:p>
            <w:pPr>
              <w:spacing w:before="20" w:after="20"/>
            </w:pPr>
            <w:r>
              <w:rPr>
                <w:rFonts w:ascii="Arial" w:hAnsi="Arial" w:cs="Arial" w:eastAsia="Arial"/>
                <w:b w:val="0"/>
                <w:i w:val="0"/>
                <w:sz w:val="18"/>
              </w:rPr>
              <w:t>DDI-BDOI BRD-06 Renewal Data Dictionary</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Tables, columns, lists of values, parameters, status models and indexes.</w:t>
            </w:r>
          </w:p>
        </w:tc>
        <w:tc>
          <w:tcPr>
            <w:tcW w:type="dxa" w:w="1838"/>
          </w:tcPr>
          <w:p>
            <w:pPr>
              <w:spacing w:before="20" w:after="20"/>
            </w:pPr>
            <w:r>
              <w:rPr>
                <w:rFonts w:ascii="Arial" w:hAnsi="Arial" w:cs="Arial" w:eastAsia="Arial"/>
                <w:b w:val="0"/>
                <w:i w:val="0"/>
                <w:sz w:val="18"/>
              </w:rPr>
              <w:t>BDOI IT (database administration); Data Migration</w:t>
            </w:r>
          </w:p>
        </w:tc>
      </w:tr>
      <w:tr>
        <w:trPr>
          <w:cantSplit/>
        </w:trPr>
        <w:tc>
          <w:tcPr>
            <w:tcW w:type="dxa" w:w="459"/>
          </w:tcPr>
          <w:p>
            <w:pPr>
              <w:spacing w:before="20" w:after="20"/>
            </w:pPr>
            <w:r>
              <w:rPr>
                <w:rFonts w:ascii="Arial" w:hAnsi="Arial" w:cs="Arial" w:eastAsia="Arial"/>
                <w:b w:val="0"/>
                <w:i w:val="0"/>
                <w:sz w:val="18"/>
              </w:rPr>
              <w:t>8</w:t>
            </w:r>
          </w:p>
        </w:tc>
        <w:tc>
          <w:tcPr>
            <w:tcW w:type="dxa" w:w="2573"/>
          </w:tcPr>
          <w:p>
            <w:pPr>
              <w:spacing w:before="20" w:after="20"/>
            </w:pPr>
            <w:r>
              <w:rPr>
                <w:rFonts w:ascii="Arial" w:hAnsi="Arial" w:cs="Arial" w:eastAsia="Arial"/>
                <w:b w:val="0"/>
                <w:i w:val="0"/>
                <w:sz w:val="18"/>
              </w:rPr>
              <w:t>USR-BDOI BRD-06 Renewal User Stories</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User stories with acceptance criteria, ready to import into the backlog tool.</w:t>
            </w:r>
          </w:p>
        </w:tc>
        <w:tc>
          <w:tcPr>
            <w:tcW w:type="dxa" w:w="1838"/>
          </w:tcPr>
          <w:p>
            <w:pPr>
              <w:spacing w:before="20" w:after="20"/>
            </w:pPr>
            <w:r>
              <w:rPr>
                <w:rFonts w:ascii="Arial" w:hAnsi="Arial" w:cs="Arial" w:eastAsia="Arial"/>
                <w:b w:val="0"/>
                <w:i w:val="0"/>
                <w:sz w:val="18"/>
              </w:rPr>
              <w:t>BDOI Product Owner; UAT lead</w:t>
            </w:r>
          </w:p>
        </w:tc>
      </w:tr>
      <w:tr>
        <w:trPr>
          <w:cantSplit/>
        </w:trPr>
        <w:tc>
          <w:tcPr>
            <w:tcW w:type="dxa" w:w="459"/>
          </w:tcPr>
          <w:p>
            <w:pPr>
              <w:spacing w:before="20" w:after="20"/>
            </w:pPr>
            <w:r>
              <w:rPr>
                <w:rFonts w:ascii="Arial" w:hAnsi="Arial" w:cs="Arial" w:eastAsia="Arial"/>
                <w:b w:val="0"/>
                <w:i w:val="0"/>
                <w:sz w:val="18"/>
              </w:rPr>
              <w:t>9</w:t>
            </w:r>
          </w:p>
        </w:tc>
        <w:tc>
          <w:tcPr>
            <w:tcW w:type="dxa" w:w="2573"/>
          </w:tcPr>
          <w:p>
            <w:pPr>
              <w:spacing w:before="20" w:after="20"/>
            </w:pPr>
            <w:r>
              <w:rPr>
                <w:rFonts w:ascii="Arial" w:hAnsi="Arial" w:cs="Arial" w:eastAsia="Arial"/>
                <w:b w:val="0"/>
                <w:i w:val="0"/>
                <w:sz w:val="18"/>
              </w:rPr>
              <w:t>RTM BRD-06 Test Cases and Traceability</w:t>
            </w:r>
          </w:p>
        </w:tc>
        <w:tc>
          <w:tcPr>
            <w:tcW w:type="dxa" w:w="643"/>
          </w:tcPr>
          <w:p>
            <w:pPr>
              <w:spacing w:before="20" w:after="20"/>
            </w:pPr>
            <w:r>
              <w:rPr>
                <w:rFonts w:ascii="Arial" w:hAnsi="Arial" w:cs="Arial" w:eastAsia="Arial"/>
                <w:b w:val="0"/>
                <w:i w:val="0"/>
                <w:sz w:val="18"/>
              </w:rPr>
              <w:t>1.1</w:t>
            </w:r>
          </w:p>
        </w:tc>
        <w:tc>
          <w:tcPr>
            <w:tcW w:type="dxa" w:w="3125"/>
          </w:tcPr>
          <w:p>
            <w:pPr>
              <w:spacing w:before="20" w:after="20"/>
            </w:pPr>
            <w:r>
              <w:rPr>
                <w:rFonts w:ascii="Arial" w:hAnsi="Arial" w:cs="Arial" w:eastAsia="Arial"/>
                <w:b w:val="0"/>
                <w:i w:val="0"/>
                <w:sz w:val="18"/>
              </w:rPr>
              <w:t>Test cases (every acceptance criterion) and the trace BRD, FRRN, user story, screen, test case.</w:t>
            </w:r>
          </w:p>
        </w:tc>
        <w:tc>
          <w:tcPr>
            <w:tcW w:type="dxa" w:w="1838"/>
          </w:tcPr>
          <w:p>
            <w:pPr>
              <w:spacing w:before="20" w:after="20"/>
            </w:pPr>
            <w:r>
              <w:rPr>
                <w:rFonts w:ascii="Arial" w:hAnsi="Arial" w:cs="Arial" w:eastAsia="Arial"/>
                <w:b w:val="0"/>
                <w:i w:val="0"/>
                <w:sz w:val="18"/>
              </w:rPr>
              <w:t>UAT lead; Internal Audit</w:t>
            </w:r>
          </w:p>
        </w:tc>
      </w:tr>
      <w:tr>
        <w:trPr>
          <w:cantSplit/>
        </w:trPr>
        <w:tc>
          <w:tcPr>
            <w:tcW w:type="dxa" w:w="459"/>
          </w:tcPr>
          <w:p>
            <w:pPr>
              <w:spacing w:before="20" w:after="20"/>
            </w:pPr>
            <w:r>
              <w:rPr>
                <w:rFonts w:ascii="Arial" w:hAnsi="Arial" w:cs="Arial" w:eastAsia="Arial"/>
                <w:b w:val="0"/>
                <w:i w:val="0"/>
                <w:sz w:val="18"/>
              </w:rPr>
              <w:t>10</w:t>
            </w:r>
          </w:p>
        </w:tc>
        <w:tc>
          <w:tcPr>
            <w:tcW w:type="dxa" w:w="2573"/>
          </w:tcPr>
          <w:p>
            <w:pPr>
              <w:spacing w:before="20" w:after="20"/>
            </w:pPr>
            <w:r>
              <w:rPr>
                <w:rFonts w:ascii="Arial" w:hAnsi="Arial" w:cs="Arial" w:eastAsia="Arial"/>
                <w:b w:val="0"/>
                <w:i w:val="0"/>
                <w:sz w:val="18"/>
              </w:rPr>
              <w:t>FitGap BRD-06 BRD vs OOTB vs Best Practice</w:t>
            </w:r>
          </w:p>
        </w:tc>
        <w:tc>
          <w:tcPr>
            <w:tcW w:type="dxa" w:w="643"/>
          </w:tcPr>
          <w:p>
            <w:pPr>
              <w:spacing w:before="20" w:after="20"/>
            </w:pPr>
            <w:r>
              <w:rPr>
                <w:rFonts w:ascii="Arial" w:hAnsi="Arial" w:cs="Arial" w:eastAsia="Arial"/>
                <w:b w:val="0"/>
                <w:i w:val="0"/>
                <w:sz w:val="18"/>
              </w:rPr>
              <w:t>1.1</w:t>
            </w:r>
          </w:p>
        </w:tc>
        <w:tc>
          <w:tcPr>
            <w:tcW w:type="dxa" w:w="3125"/>
          </w:tcPr>
          <w:p>
            <w:pPr>
              <w:spacing w:before="20" w:after="20"/>
            </w:pPr>
            <w:r>
              <w:rPr>
                <w:rFonts w:ascii="Arial" w:hAnsi="Arial" w:cs="Arial" w:eastAsia="Arial"/>
                <w:b w:val="0"/>
                <w:i w:val="0"/>
                <w:sz w:val="18"/>
              </w:rPr>
              <w:t>Each requirement against the BRD and the OOTB platform.</w:t>
            </w:r>
          </w:p>
        </w:tc>
        <w:tc>
          <w:tcPr>
            <w:tcW w:type="dxa" w:w="1838"/>
          </w:tcPr>
          <w:p>
            <w:pPr>
              <w:spacing w:before="20" w:after="20"/>
            </w:pPr>
            <w:r>
              <w:rPr>
                <w:rFonts w:ascii="Arial" w:hAnsi="Arial" w:cs="Arial" w:eastAsia="Arial"/>
                <w:b w:val="0"/>
                <w:i w:val="0"/>
                <w:sz w:val="18"/>
              </w:rPr>
              <w:t>BDOI Product Owner</w:t>
            </w:r>
          </w:p>
        </w:tc>
      </w:tr>
      <w:tr>
        <w:trPr>
          <w:cantSplit/>
        </w:trPr>
        <w:tc>
          <w:tcPr>
            <w:tcW w:type="dxa" w:w="459"/>
          </w:tcPr>
          <w:p>
            <w:pPr>
              <w:spacing w:before="20" w:after="20"/>
            </w:pPr>
            <w:r>
              <w:rPr>
                <w:rFonts w:ascii="Arial" w:hAnsi="Arial" w:cs="Arial" w:eastAsia="Arial"/>
                <w:b w:val="0"/>
                <w:i w:val="0"/>
                <w:sz w:val="18"/>
              </w:rPr>
              <w:t>11</w:t>
            </w:r>
          </w:p>
        </w:tc>
        <w:tc>
          <w:tcPr>
            <w:tcW w:type="dxa" w:w="2573"/>
          </w:tcPr>
          <w:p>
            <w:pPr>
              <w:spacing w:before="20" w:after="20"/>
            </w:pPr>
            <w:r>
              <w:rPr>
                <w:rFonts w:ascii="Arial" w:hAnsi="Arial" w:cs="Arial" w:eastAsia="Arial"/>
                <w:b w:val="0"/>
                <w:i w:val="0"/>
                <w:sz w:val="18"/>
              </w:rPr>
              <w:t>CR BRD-06 Change Request Register</w:t>
            </w:r>
          </w:p>
        </w:tc>
        <w:tc>
          <w:tcPr>
            <w:tcW w:type="dxa" w:w="643"/>
          </w:tcPr>
          <w:p>
            <w:pPr>
              <w:spacing w:before="20" w:after="20"/>
            </w:pPr>
            <w:r>
              <w:rPr>
                <w:rFonts w:ascii="Arial" w:hAnsi="Arial" w:cs="Arial" w:eastAsia="Arial"/>
                <w:b w:val="0"/>
                <w:i w:val="0"/>
                <w:sz w:val="18"/>
              </w:rPr>
              <w:t>1.1</w:t>
            </w:r>
          </w:p>
        </w:tc>
        <w:tc>
          <w:tcPr>
            <w:tcW w:type="dxa" w:w="3125"/>
          </w:tcPr>
          <w:p>
            <w:pPr>
              <w:spacing w:before="20" w:after="20"/>
            </w:pPr>
            <w:r>
              <w:rPr>
                <w:rFonts w:ascii="Arial" w:hAnsi="Arial" w:cs="Arial" w:eastAsia="Arial"/>
                <w:b w:val="0"/>
                <w:i w:val="0"/>
                <w:sz w:val="18"/>
              </w:rPr>
              <w:t>Change requests and their status.</w:t>
            </w:r>
          </w:p>
        </w:tc>
        <w:tc>
          <w:tcPr>
            <w:tcW w:type="dxa" w:w="1838"/>
          </w:tcPr>
          <w:p>
            <w:pPr>
              <w:spacing w:before="20" w:after="20"/>
            </w:pPr>
            <w:r>
              <w:rPr>
                <w:rFonts w:ascii="Arial" w:hAnsi="Arial" w:cs="Arial" w:eastAsia="Arial"/>
                <w:b w:val="0"/>
                <w:i w:val="0"/>
                <w:sz w:val="18"/>
              </w:rPr>
              <w:t>BDOI Product Owner</w:t>
            </w:r>
          </w:p>
        </w:tc>
      </w:tr>
      <w:tr>
        <w:trPr>
          <w:cantSplit/>
        </w:trPr>
        <w:tc>
          <w:tcPr>
            <w:tcW w:type="dxa" w:w="459"/>
          </w:tcPr>
          <w:p>
            <w:pPr>
              <w:spacing w:before="20" w:after="20"/>
            </w:pPr>
            <w:r>
              <w:rPr>
                <w:rFonts w:ascii="Arial" w:hAnsi="Arial" w:cs="Arial" w:eastAsia="Arial"/>
                <w:b w:val="0"/>
                <w:i w:val="0"/>
                <w:sz w:val="18"/>
              </w:rPr>
              <w:t>12</w:t>
            </w:r>
          </w:p>
        </w:tc>
        <w:tc>
          <w:tcPr>
            <w:tcW w:type="dxa" w:w="2573"/>
          </w:tcPr>
          <w:p>
            <w:pPr>
              <w:spacing w:before="20" w:after="20"/>
            </w:pPr>
            <w:r>
              <w:rPr>
                <w:rFonts w:ascii="Arial" w:hAnsi="Arial" w:cs="Arial" w:eastAsia="Arial"/>
                <w:b w:val="0"/>
                <w:i w:val="0"/>
                <w:sz w:val="18"/>
              </w:rPr>
              <w:t>CR BRD-06 Effort Estimate</w:t>
            </w:r>
          </w:p>
        </w:tc>
        <w:tc>
          <w:tcPr>
            <w:tcW w:type="dxa" w:w="643"/>
          </w:tcPr>
          <w:p>
            <w:pPr>
              <w:spacing w:before="20" w:after="20"/>
            </w:pPr>
            <w:r>
              <w:rPr>
                <w:rFonts w:ascii="Arial" w:hAnsi="Arial" w:cs="Arial" w:eastAsia="Arial"/>
                <w:b w:val="0"/>
                <w:i w:val="0"/>
                <w:sz w:val="18"/>
              </w:rPr>
              <w:t>1.1</w:t>
            </w:r>
          </w:p>
        </w:tc>
        <w:tc>
          <w:tcPr>
            <w:tcW w:type="dxa" w:w="3125"/>
          </w:tcPr>
          <w:p>
            <w:pPr>
              <w:spacing w:before="20" w:after="20"/>
            </w:pPr>
            <w:r>
              <w:rPr>
                <w:rFonts w:ascii="Arial" w:hAnsi="Arial" w:cs="Arial" w:eastAsia="Arial"/>
                <w:b w:val="0"/>
                <w:i w:val="0"/>
                <w:sz w:val="18"/>
              </w:rPr>
              <w:t>Effort of the open change requests.</w:t>
            </w:r>
          </w:p>
        </w:tc>
        <w:tc>
          <w:tcPr>
            <w:tcW w:type="dxa" w:w="1838"/>
          </w:tcPr>
          <w:p>
            <w:pPr>
              <w:spacing w:before="20" w:after="20"/>
            </w:pPr>
            <w:r>
              <w:rPr>
                <w:rFonts w:ascii="Arial" w:hAnsi="Arial" w:cs="Arial" w:eastAsia="Arial"/>
                <w:b w:val="0"/>
                <w:i w:val="0"/>
                <w:sz w:val="18"/>
              </w:rPr>
              <w:t>BDOI Product Owner</w:t>
            </w:r>
          </w:p>
        </w:tc>
      </w:tr>
      <w:tr>
        <w:trPr>
          <w:cantSplit/>
        </w:trPr>
        <w:tc>
          <w:tcPr>
            <w:tcW w:type="dxa" w:w="459"/>
          </w:tcPr>
          <w:p>
            <w:pPr>
              <w:spacing w:before="20" w:after="20"/>
            </w:pPr>
            <w:r>
              <w:rPr>
                <w:rFonts w:ascii="Arial" w:hAnsi="Arial" w:cs="Arial" w:eastAsia="Arial"/>
                <w:b w:val="0"/>
                <w:i w:val="0"/>
                <w:sz w:val="18"/>
              </w:rPr>
              <w:t>13</w:t>
            </w:r>
          </w:p>
        </w:tc>
        <w:tc>
          <w:tcPr>
            <w:tcW w:type="dxa" w:w="2573"/>
          </w:tcPr>
          <w:p>
            <w:pPr>
              <w:spacing w:before="20" w:after="20"/>
            </w:pPr>
            <w:r>
              <w:rPr>
                <w:rFonts w:ascii="Arial" w:hAnsi="Arial" w:cs="Arial" w:eastAsia="Arial"/>
                <w:b w:val="0"/>
                <w:i w:val="0"/>
                <w:sz w:val="18"/>
              </w:rPr>
              <w:t>Inputs BRD-06 Business Unit Requirements Collection</w:t>
            </w:r>
          </w:p>
        </w:tc>
        <w:tc>
          <w:tcPr>
            <w:tcW w:type="dxa" w:w="643"/>
          </w:tcPr>
          <w:p>
            <w:pPr>
              <w:spacing w:before="20" w:after="20"/>
            </w:pPr>
            <w:r>
              <w:rPr>
                <w:rFonts w:ascii="Arial" w:hAnsi="Arial" w:cs="Arial" w:eastAsia="Arial"/>
                <w:b w:val="0"/>
                <w:i w:val="0"/>
                <w:sz w:val="18"/>
              </w:rPr>
              <w:t>1.1</w:t>
            </w:r>
          </w:p>
        </w:tc>
        <w:tc>
          <w:tcPr>
            <w:tcW w:type="dxa" w:w="3125"/>
          </w:tcPr>
          <w:p>
            <w:pPr>
              <w:spacing w:before="20" w:after="20"/>
            </w:pPr>
            <w:r>
              <w:rPr>
                <w:rFonts w:ascii="Arial" w:hAnsi="Arial" w:cs="Arial" w:eastAsia="Arial"/>
                <w:b w:val="0"/>
                <w:i w:val="0"/>
                <w:sz w:val="18"/>
              </w:rPr>
              <w:t>Values the Business Unit is asked to give.</w:t>
            </w:r>
          </w:p>
        </w:tc>
        <w:tc>
          <w:tcPr>
            <w:tcW w:type="dxa" w:w="1838"/>
          </w:tcPr>
          <w:p>
            <w:pPr>
              <w:spacing w:before="20" w:after="20"/>
            </w:pPr>
            <w:r>
              <w:rPr>
                <w:rFonts w:ascii="Arial" w:hAnsi="Arial" w:cs="Arial" w:eastAsia="Arial"/>
                <w:b w:val="0"/>
                <w:i w:val="0"/>
                <w:sz w:val="18"/>
              </w:rPr>
              <w:t>BDOI Business Unit owners</w:t>
            </w:r>
          </w:p>
        </w:tc>
      </w:tr>
      <w:tr>
        <w:trPr>
          <w:cantSplit/>
        </w:trPr>
        <w:tc>
          <w:tcPr>
            <w:tcW w:type="dxa" w:w="459"/>
          </w:tcPr>
          <w:p>
            <w:pPr>
              <w:spacing w:before="20" w:after="20"/>
            </w:pPr>
            <w:r>
              <w:rPr>
                <w:rFonts w:ascii="Arial" w:hAnsi="Arial" w:cs="Arial" w:eastAsia="Arial"/>
                <w:b w:val="0"/>
                <w:i w:val="0"/>
                <w:sz w:val="18"/>
              </w:rPr>
              <w:t>14</w:t>
            </w:r>
          </w:p>
        </w:tc>
        <w:tc>
          <w:tcPr>
            <w:tcW w:type="dxa" w:w="2573"/>
          </w:tcPr>
          <w:p>
            <w:pPr>
              <w:spacing w:before="20" w:after="20"/>
            </w:pPr>
            <w:r>
              <w:rPr>
                <w:rFonts w:ascii="Arial" w:hAnsi="Arial" w:cs="Arial" w:eastAsia="Arial"/>
                <w:b w:val="0"/>
                <w:i w:val="0"/>
                <w:sz w:val="18"/>
              </w:rPr>
              <w:t>UAT BRD-06 Business Unit Walkthrough Users</w:t>
            </w:r>
          </w:p>
        </w:tc>
        <w:tc>
          <w:tcPr>
            <w:tcW w:type="dxa" w:w="643"/>
          </w:tcPr>
          <w:p>
            <w:pPr>
              <w:spacing w:before="20" w:after="20"/>
            </w:pPr>
            <w:r>
              <w:rPr>
                <w:rFonts w:ascii="Arial" w:hAnsi="Arial" w:cs="Arial" w:eastAsia="Arial"/>
                <w:b w:val="0"/>
                <w:i w:val="0"/>
                <w:sz w:val="18"/>
              </w:rPr>
              <w:t>1.1</w:t>
            </w:r>
          </w:p>
        </w:tc>
        <w:tc>
          <w:tcPr>
            <w:tcW w:type="dxa" w:w="3125"/>
          </w:tcPr>
          <w:p>
            <w:pPr>
              <w:spacing w:before="20" w:after="20"/>
            </w:pPr>
            <w:r>
              <w:rPr>
                <w:rFonts w:ascii="Arial" w:hAnsi="Arial" w:cs="Arial" w:eastAsia="Arial"/>
                <w:b w:val="0"/>
                <w:i w:val="0"/>
                <w:sz w:val="18"/>
              </w:rPr>
              <w:t>Accounts and script of the walkthroughs.</w:t>
            </w:r>
          </w:p>
        </w:tc>
        <w:tc>
          <w:tcPr>
            <w:tcW w:type="dxa" w:w="1838"/>
          </w:tcPr>
          <w:p>
            <w:pPr>
              <w:spacing w:before="20" w:after="20"/>
            </w:pPr>
            <w:r>
              <w:rPr>
                <w:rFonts w:ascii="Arial" w:hAnsi="Arial" w:cs="Arial" w:eastAsia="Arial"/>
                <w:b w:val="0"/>
                <w:i w:val="0"/>
                <w:sz w:val="18"/>
              </w:rPr>
              <w:t>UAT lead</w:t>
            </w:r>
          </w:p>
        </w:tc>
      </w:tr>
      <w:tr>
        <w:trPr>
          <w:cantSplit/>
        </w:trPr>
        <w:tc>
          <w:tcPr>
            <w:tcW w:type="dxa" w:w="459"/>
          </w:tcPr>
          <w:p>
            <w:pPr>
              <w:spacing w:before="20" w:after="20"/>
            </w:pPr>
            <w:r>
              <w:rPr>
                <w:rFonts w:ascii="Arial" w:hAnsi="Arial" w:cs="Arial" w:eastAsia="Arial"/>
                <w:b w:val="0"/>
                <w:i w:val="0"/>
                <w:sz w:val="18"/>
              </w:rPr>
              <w:t>15</w:t>
            </w:r>
          </w:p>
        </w:tc>
        <w:tc>
          <w:tcPr>
            <w:tcW w:type="dxa" w:w="2573"/>
          </w:tcPr>
          <w:p>
            <w:pPr>
              <w:spacing w:before="20" w:after="20"/>
            </w:pPr>
            <w:r>
              <w:rPr>
                <w:rFonts w:ascii="Arial" w:hAnsi="Arial" w:cs="Arial" w:eastAsia="Arial"/>
                <w:b w:val="0"/>
                <w:i w:val="0"/>
                <w:sz w:val="18"/>
              </w:rPr>
              <w:t>Access BRD-06 Access Matrix</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Group profile x screen x action, from the permissions, group profiles, menus and server checks of the release.</w:t>
            </w:r>
          </w:p>
        </w:tc>
        <w:tc>
          <w:tcPr>
            <w:tcW w:type="dxa" w:w="1838"/>
          </w:tcPr>
          <w:p>
            <w:pPr>
              <w:spacing w:before="20" w:after="20"/>
            </w:pPr>
            <w:r>
              <w:rPr>
                <w:rFonts w:ascii="Arial" w:hAnsi="Arial" w:cs="Arial" w:eastAsia="Arial"/>
                <w:b w:val="0"/>
                <w:i w:val="0"/>
                <w:sz w:val="18"/>
              </w:rPr>
              <w:t>BDOI Information Security; UAT lead</w:t>
            </w:r>
          </w:p>
        </w:tc>
      </w:tr>
      <w:tr>
        <w:trPr>
          <w:cantSplit/>
        </w:trPr>
        <w:tc>
          <w:tcPr>
            <w:tcW w:type="dxa" w:w="459"/>
          </w:tcPr>
          <w:p>
            <w:pPr>
              <w:spacing w:before="20" w:after="20"/>
            </w:pPr>
            <w:r>
              <w:rPr>
                <w:rFonts w:ascii="Arial" w:hAnsi="Arial" w:cs="Arial" w:eastAsia="Arial"/>
                <w:b w:val="0"/>
                <w:i w:val="0"/>
                <w:sz w:val="18"/>
              </w:rPr>
              <w:t>16</w:t>
            </w:r>
          </w:p>
        </w:tc>
        <w:tc>
          <w:tcPr>
            <w:tcW w:type="dxa" w:w="2573"/>
          </w:tcPr>
          <w:p>
            <w:pPr>
              <w:spacing w:before="20" w:after="20"/>
            </w:pPr>
            <w:r>
              <w:rPr>
                <w:rFonts w:ascii="Arial" w:hAnsi="Arial" w:cs="Arial" w:eastAsia="Arial"/>
                <w:b w:val="0"/>
                <w:i w:val="0"/>
                <w:sz w:val="18"/>
              </w:rPr>
              <w:t>SRS BRD-06 Renewal System Requirements Extract</w:t>
            </w:r>
          </w:p>
        </w:tc>
        <w:tc>
          <w:tcPr>
            <w:tcW w:type="dxa" w:w="643"/>
          </w:tcPr>
          <w:p>
            <w:pPr>
              <w:spacing w:before="20" w:after="20"/>
            </w:pPr>
            <w:r>
              <w:rPr>
                <w:rFonts w:ascii="Arial" w:hAnsi="Arial" w:cs="Arial" w:eastAsia="Arial"/>
                <w:b w:val="0"/>
                <w:i w:val="0"/>
                <w:sz w:val="18"/>
              </w:rPr>
              <w:t>1.2</w:t>
            </w:r>
          </w:p>
        </w:tc>
        <w:tc>
          <w:tcPr>
            <w:tcW w:type="dxa" w:w="3125"/>
          </w:tcPr>
          <w:p>
            <w:pPr>
              <w:spacing w:before="20" w:after="20"/>
            </w:pPr>
            <w:r>
              <w:rPr>
                <w:rFonts w:ascii="Arial" w:hAnsi="Arial" w:cs="Arial" w:eastAsia="Arial"/>
                <w:b w:val="0"/>
                <w:i w:val="0"/>
                <w:sz w:val="18"/>
              </w:rPr>
              <w:t>The chapter of the BIBS System Requirements Specification v1.2 for this module: system requirements traced to the FRS, common requirements, access and acceptance.</w:t>
            </w:r>
          </w:p>
        </w:tc>
        <w:tc>
          <w:tcPr>
            <w:tcW w:type="dxa" w:w="1838"/>
          </w:tcPr>
          <w:p>
            <w:pPr>
              <w:spacing w:before="20" w:after="20"/>
            </w:pPr>
            <w:r>
              <w:rPr>
                <w:rFonts w:ascii="Arial" w:hAnsi="Arial" w:cs="Arial" w:eastAsia="Arial"/>
                <w:b w:val="0"/>
                <w:i w:val="0"/>
                <w:sz w:val="18"/>
              </w:rPr>
              <w:t>BDOI Product Owner; BDOI IT</w:t>
            </w:r>
          </w:p>
        </w:tc>
      </w:tr>
    </w:tbl>
    <w:p>
      <w:pPr>
        <w:spacing w:after="40"/>
      </w:pPr>
    </w:p>
    <w:p>
      <w:pPr>
        <w:spacing w:after="120"/>
        <w:ind w:left="363"/>
      </w:pPr>
      <w:r>
        <w:rPr>
          <w:rFonts w:ascii="Arial" w:hAnsi="Arial" w:cs="Arial" w:eastAsia="Arial"/>
          <w:b w:val="0"/>
          <w:i w:val="0"/>
          <w:sz w:val="20"/>
        </w:rPr>
        <w:t>The Access Matrix (BIBS_Access_BRD-06_Access_Matrix_v1.0.xlsx) shows, for each group profile assigned in UIDM-ISC, the screens of the pack it opens and the actions it may do on each screen, with the permission the server checks. It is written from the permissions, group profiles, menus and server checks of the release, so it shows the access as delivered; Information Security and the UAT lead review it against the persona tables of the FRS.</w:t>
      </w:r>
    </w:p>
    <w:p>
      <w:pPr>
        <w:keepNext/>
        <w:spacing w:before="120" w:after="60"/>
        <w:ind w:left="363"/>
      </w:pPr>
      <w:r>
        <w:rPr>
          <w:rFonts w:ascii="Arial" w:hAnsi="Arial" w:cs="Arial" w:eastAsia="Arial"/>
          <w:b/>
          <w:i w:val="0"/>
          <w:sz w:val="18"/>
        </w:rPr>
        <w:t>Table 2: Programme documents referred to by every pack</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4507"/>
        <w:gridCol w:w="1690"/>
      </w:tblGrid>
      <w:tr>
        <w:trPr>
          <w:tblHeader/>
          <w:cantSplit/>
        </w:trPr>
        <w:tc>
          <w:tcPr>
            <w:tcW w:type="dxa" w:w="2441"/>
            <w:shd w:val="clear" w:color="auto" w:fill="D9E2F3"/>
          </w:tcPr>
          <w:p>
            <w:pPr>
              <w:spacing w:before="20" w:after="20"/>
            </w:pPr>
            <w:r>
              <w:rPr>
                <w:rFonts w:ascii="Arial" w:hAnsi="Arial" w:cs="Arial" w:eastAsia="Arial"/>
                <w:b/>
                <w:i w:val="0"/>
                <w:sz w:val="18"/>
              </w:rPr>
              <w:t>Programme document</w:t>
            </w:r>
          </w:p>
        </w:tc>
        <w:tc>
          <w:tcPr>
            <w:tcW w:type="dxa" w:w="4507"/>
            <w:shd w:val="clear" w:color="auto" w:fill="D9E2F3"/>
          </w:tcPr>
          <w:p>
            <w:pPr>
              <w:spacing w:before="20" w:after="20"/>
            </w:pPr>
            <w:r>
              <w:rPr>
                <w:rFonts w:ascii="Arial" w:hAnsi="Arial" w:cs="Arial" w:eastAsia="Arial"/>
                <w:b/>
                <w:i w:val="0"/>
                <w:sz w:val="18"/>
              </w:rPr>
              <w:t>Purpose</w:t>
            </w:r>
          </w:p>
        </w:tc>
        <w:tc>
          <w:tcPr>
            <w:tcW w:type="dxa" w:w="1690"/>
            <w:shd w:val="clear" w:color="auto" w:fill="D9E2F3"/>
          </w:tcPr>
          <w:p>
            <w:pPr>
              <w:spacing w:before="20" w:after="20"/>
            </w:pPr>
            <w:r>
              <w:rPr>
                <w:rFonts w:ascii="Arial" w:hAnsi="Arial" w:cs="Arial" w:eastAsia="Arial"/>
                <w:b/>
                <w:i w:val="0"/>
                <w:sz w:val="18"/>
              </w:rPr>
              <w:t>Where</w:t>
            </w:r>
          </w:p>
        </w:tc>
      </w:tr>
      <w:tr>
        <w:trPr>
          <w:cantSplit/>
        </w:trPr>
        <w:tc>
          <w:tcPr>
            <w:tcW w:type="dxa" w:w="2441"/>
          </w:tcPr>
          <w:p>
            <w:pPr>
              <w:spacing w:before="20" w:after="20"/>
            </w:pPr>
            <w:r>
              <w:rPr>
                <w:rFonts w:ascii="Arial" w:hAnsi="Arial" w:cs="Arial" w:eastAsia="Arial"/>
                <w:b w:val="0"/>
                <w:i w:val="0"/>
                <w:sz w:val="18"/>
              </w:rPr>
              <w:t>Non-Functional and Security Requirements</w:t>
            </w:r>
          </w:p>
        </w:tc>
        <w:tc>
          <w:tcPr>
            <w:tcW w:type="dxa" w:w="4507"/>
          </w:tcPr>
          <w:p>
            <w:pPr>
              <w:spacing w:before="20" w:after="20"/>
            </w:pPr>
            <w:r>
              <w:rPr>
                <w:rFonts w:ascii="Arial" w:hAnsi="Arial" w:cs="Arial" w:eastAsia="Arial"/>
                <w:b w:val="0"/>
                <w:i w:val="0"/>
                <w:sz w:val="18"/>
              </w:rPr>
              <w:t>Performance, availability, security, audit, retention, backup, accessibility and browsers for every BRD.</w:t>
            </w:r>
          </w:p>
        </w:tc>
        <w:tc>
          <w:tcPr>
            <w:tcW w:type="dxa" w:w="1690"/>
          </w:tcPr>
          <w:p>
            <w:pPr>
              <w:spacing w:before="20" w:after="20"/>
            </w:pPr>
            <w:r>
              <w:rPr>
                <w:rFonts w:ascii="Arial" w:hAnsi="Arial" w:cs="Arial" w:eastAsia="Arial"/>
                <w:b w:val="0"/>
                <w:i w:val="0"/>
                <w:sz w:val="18"/>
              </w:rPr>
              <w:t>Programme/Common</w:t>
            </w:r>
          </w:p>
        </w:tc>
      </w:tr>
      <w:tr>
        <w:trPr>
          <w:cantSplit/>
        </w:trPr>
        <w:tc>
          <w:tcPr>
            <w:tcW w:type="dxa" w:w="2441"/>
          </w:tcPr>
          <w:p>
            <w:pPr>
              <w:spacing w:before="20" w:after="20"/>
            </w:pPr>
            <w:r>
              <w:rPr>
                <w:rFonts w:ascii="Arial" w:hAnsi="Arial" w:cs="Arial" w:eastAsia="Arial"/>
                <w:b w:val="0"/>
                <w:i w:val="0"/>
                <w:sz w:val="18"/>
              </w:rPr>
              <w:t>Glossary</w:t>
            </w:r>
          </w:p>
        </w:tc>
        <w:tc>
          <w:tcPr>
            <w:tcW w:type="dxa" w:w="4507"/>
          </w:tcPr>
          <w:p>
            <w:pPr>
              <w:spacing w:before="20" w:after="20"/>
            </w:pPr>
            <w:r>
              <w:rPr>
                <w:rFonts w:ascii="Arial" w:hAnsi="Arial" w:cs="Arial" w:eastAsia="Arial"/>
                <w:b w:val="0"/>
                <w:i w:val="0"/>
                <w:sz w:val="18"/>
              </w:rPr>
              <w:t>Terms and abbreviations used in every pack.</w:t>
            </w:r>
          </w:p>
        </w:tc>
        <w:tc>
          <w:tcPr>
            <w:tcW w:type="dxa" w:w="1690"/>
          </w:tcPr>
          <w:p>
            <w:pPr>
              <w:spacing w:before="20" w:after="20"/>
            </w:pPr>
            <w:r>
              <w:rPr>
                <w:rFonts w:ascii="Arial" w:hAnsi="Arial" w:cs="Arial" w:eastAsia="Arial"/>
                <w:b w:val="0"/>
                <w:i w:val="0"/>
                <w:sz w:val="18"/>
              </w:rPr>
              <w:t>Programme/Common</w:t>
            </w:r>
          </w:p>
        </w:tc>
      </w:tr>
      <w:tr>
        <w:trPr>
          <w:cantSplit/>
        </w:trPr>
        <w:tc>
          <w:tcPr>
            <w:tcW w:type="dxa" w:w="2441"/>
          </w:tcPr>
          <w:p>
            <w:pPr>
              <w:spacing w:before="20" w:after="20"/>
            </w:pPr>
            <w:r>
              <w:rPr>
                <w:rFonts w:ascii="Arial" w:hAnsi="Arial" w:cs="Arial" w:eastAsia="Arial"/>
                <w:b w:val="0"/>
                <w:i w:val="0"/>
                <w:sz w:val="18"/>
              </w:rPr>
              <w:t>Decision and Observation Log</w:t>
            </w:r>
          </w:p>
        </w:tc>
        <w:tc>
          <w:tcPr>
            <w:tcW w:type="dxa" w:w="4507"/>
          </w:tcPr>
          <w:p>
            <w:pPr>
              <w:spacing w:before="20" w:after="20"/>
            </w:pPr>
            <w:r>
              <w:rPr>
                <w:rFonts w:ascii="Arial" w:hAnsi="Arial" w:cs="Arial" w:eastAsia="Arial"/>
                <w:b w:val="0"/>
                <w:i w:val="0"/>
                <w:sz w:val="18"/>
              </w:rPr>
              <w:t>Decisions taken and observations raised across the BRDs.</w:t>
            </w:r>
          </w:p>
        </w:tc>
        <w:tc>
          <w:tcPr>
            <w:tcW w:type="dxa" w:w="1690"/>
          </w:tcPr>
          <w:p>
            <w:pPr>
              <w:spacing w:before="20" w:after="20"/>
            </w:pPr>
            <w:r>
              <w:rPr>
                <w:rFonts w:ascii="Arial" w:hAnsi="Arial" w:cs="Arial" w:eastAsia="Arial"/>
                <w:b w:val="0"/>
                <w:i w:val="0"/>
                <w:sz w:val="18"/>
              </w:rPr>
              <w:t>Programme/Common</w:t>
            </w:r>
          </w:p>
        </w:tc>
      </w:tr>
      <w:tr>
        <w:trPr>
          <w:cantSplit/>
        </w:trPr>
        <w:tc>
          <w:tcPr>
            <w:tcW w:type="dxa" w:w="2441"/>
          </w:tcPr>
          <w:p>
            <w:pPr>
              <w:spacing w:before="20" w:after="20"/>
            </w:pPr>
            <w:r>
              <w:rPr>
                <w:rFonts w:ascii="Arial" w:hAnsi="Arial" w:cs="Arial" w:eastAsia="Arial"/>
                <w:b w:val="0"/>
                <w:i w:val="0"/>
                <w:sz w:val="18"/>
              </w:rPr>
              <w:t>Document Register</w:t>
            </w:r>
          </w:p>
        </w:tc>
        <w:tc>
          <w:tcPr>
            <w:tcW w:type="dxa" w:w="4507"/>
          </w:tcPr>
          <w:p>
            <w:pPr>
              <w:spacing w:before="20" w:after="20"/>
            </w:pPr>
            <w:r>
              <w:rPr>
                <w:rFonts w:ascii="Arial" w:hAnsi="Arial" w:cs="Arial" w:eastAsia="Arial"/>
                <w:b w:val="0"/>
                <w:i w:val="0"/>
                <w:sz w:val="18"/>
              </w:rPr>
              <w:t>Every current document of the BRD packs with version, date, owner and status.</w:t>
            </w:r>
          </w:p>
        </w:tc>
        <w:tc>
          <w:tcPr>
            <w:tcW w:type="dxa" w:w="1690"/>
          </w:tcPr>
          <w:p>
            <w:pPr>
              <w:spacing w:before="20" w:after="20"/>
            </w:pPr>
            <w:r>
              <w:rPr>
                <w:rFonts w:ascii="Arial" w:hAnsi="Arial" w:cs="Arial" w:eastAsia="Arial"/>
                <w:b w:val="0"/>
                <w:i w:val="0"/>
                <w:sz w:val="18"/>
              </w:rPr>
              <w:t>Programme/Common</w:t>
            </w:r>
          </w:p>
        </w:tc>
      </w:tr>
    </w:tbl>
    <w:p>
      <w:pPr>
        <w:spacing w:after="40"/>
      </w:pPr>
    </w:p>
    <w:p>
      <w:pPr>
        <w:keepNext/>
        <w:spacing w:before="120" w:after="60"/>
        <w:ind w:left="363"/>
      </w:pPr>
      <w:r>
        <w:rPr>
          <w:rFonts w:ascii="Arial" w:hAnsi="Arial" w:cs="Arial" w:eastAsia="Arial"/>
          <w:b/>
          <w:i w:val="0"/>
          <w:sz w:val="18"/>
        </w:rPr>
        <w:t>Table 3: IDs used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6386"/>
      </w:tblGrid>
      <w:tr>
        <w:trPr>
          <w:tblHeader/>
          <w:cantSplit/>
        </w:trPr>
        <w:tc>
          <w:tcPr>
            <w:tcW w:type="dxa" w:w="2253"/>
            <w:shd w:val="clear" w:color="auto" w:fill="D9E2F3"/>
          </w:tcPr>
          <w:p>
            <w:pPr>
              <w:spacing w:before="20" w:after="20"/>
            </w:pPr>
            <w:r>
              <w:rPr>
                <w:rFonts w:ascii="Arial" w:hAnsi="Arial" w:cs="Arial" w:eastAsia="Arial"/>
                <w:b/>
                <w:i w:val="0"/>
                <w:sz w:val="18"/>
              </w:rPr>
              <w:t>ID</w:t>
            </w:r>
          </w:p>
        </w:tc>
        <w:tc>
          <w:tcPr>
            <w:tcW w:type="dxa" w:w="6386"/>
            <w:shd w:val="clear" w:color="auto" w:fill="D9E2F3"/>
          </w:tcPr>
          <w:p>
            <w:pPr>
              <w:spacing w:before="20" w:after="20"/>
            </w:pPr>
            <w:r>
              <w:rPr>
                <w:rFonts w:ascii="Arial" w:hAnsi="Arial" w:cs="Arial" w:eastAsia="Arial"/>
                <w:b/>
                <w:i w:val="0"/>
                <w:sz w:val="18"/>
              </w:rPr>
              <w:t>Meaning and home document</w:t>
            </w:r>
          </w:p>
        </w:tc>
      </w:tr>
      <w:tr>
        <w:trPr>
          <w:cantSplit/>
        </w:trPr>
        <w:tc>
          <w:tcPr>
            <w:tcW w:type="dxa" w:w="2253"/>
          </w:tcPr>
          <w:p>
            <w:pPr>
              <w:spacing w:before="20" w:after="20"/>
            </w:pPr>
            <w:r>
              <w:rPr>
                <w:rFonts w:ascii="Arial" w:hAnsi="Arial" w:cs="Arial" w:eastAsia="Arial"/>
                <w:b w:val="0"/>
                <w:i w:val="0"/>
                <w:sz w:val="18"/>
              </w:rPr>
              <w:t>FRRN.nnn.nn</w:t>
            </w:r>
          </w:p>
        </w:tc>
        <w:tc>
          <w:tcPr>
            <w:tcW w:type="dxa" w:w="6386"/>
          </w:tcPr>
          <w:p>
            <w:pPr>
              <w:spacing w:before="20" w:after="20"/>
            </w:pPr>
            <w:r>
              <w:rPr>
                <w:rFonts w:ascii="Arial" w:hAnsi="Arial" w:cs="Arial" w:eastAsia="Arial"/>
                <w:b w:val="0"/>
                <w:i w:val="0"/>
                <w:sz w:val="18"/>
              </w:rPr>
              <w:t>Functional requirement (FRS)</w:t>
            </w:r>
          </w:p>
        </w:tc>
      </w:tr>
      <w:tr>
        <w:trPr>
          <w:cantSplit/>
        </w:trPr>
        <w:tc>
          <w:tcPr>
            <w:tcW w:type="dxa" w:w="2253"/>
          </w:tcPr>
          <w:p>
            <w:pPr>
              <w:spacing w:before="20" w:after="20"/>
            </w:pPr>
            <w:r>
              <w:rPr>
                <w:rFonts w:ascii="Arial" w:hAnsi="Arial" w:cs="Arial" w:eastAsia="Arial"/>
                <w:b w:val="0"/>
                <w:i w:val="0"/>
                <w:sz w:val="18"/>
              </w:rPr>
              <w:t>BR-RN-nn</w:t>
            </w:r>
          </w:p>
        </w:tc>
        <w:tc>
          <w:tcPr>
            <w:tcW w:type="dxa" w:w="6386"/>
          </w:tcPr>
          <w:p>
            <w:pPr>
              <w:spacing w:before="20" w:after="20"/>
            </w:pPr>
            <w:r>
              <w:rPr>
                <w:rFonts w:ascii="Arial" w:hAnsi="Arial" w:cs="Arial" w:eastAsia="Arial"/>
                <w:b w:val="0"/>
                <w:i w:val="0"/>
                <w:sz w:val="18"/>
              </w:rPr>
              <w:t>Business rule (FRS)</w:t>
            </w:r>
          </w:p>
        </w:tc>
      </w:tr>
      <w:tr>
        <w:trPr>
          <w:cantSplit/>
        </w:trPr>
        <w:tc>
          <w:tcPr>
            <w:tcW w:type="dxa" w:w="2253"/>
          </w:tcPr>
          <w:p>
            <w:pPr>
              <w:spacing w:before="20" w:after="20"/>
            </w:pPr>
            <w:r>
              <w:rPr>
                <w:rFonts w:ascii="Arial" w:hAnsi="Arial" w:cs="Arial" w:eastAsia="Arial"/>
                <w:b w:val="0"/>
                <w:i w:val="0"/>
                <w:sz w:val="18"/>
              </w:rPr>
              <w:t>SCR-RN-nn</w:t>
            </w:r>
          </w:p>
        </w:tc>
        <w:tc>
          <w:tcPr>
            <w:tcW w:type="dxa" w:w="6386"/>
          </w:tcPr>
          <w:p>
            <w:pPr>
              <w:spacing w:before="20" w:after="20"/>
            </w:pPr>
            <w:r>
              <w:rPr>
                <w:rFonts w:ascii="Arial" w:hAnsi="Arial" w:cs="Arial" w:eastAsia="Arial"/>
                <w:b w:val="0"/>
                <w:i w:val="0"/>
                <w:sz w:val="18"/>
              </w:rPr>
              <w:t>Screen (UX Design)</w:t>
            </w:r>
          </w:p>
        </w:tc>
      </w:tr>
      <w:tr>
        <w:trPr>
          <w:cantSplit/>
        </w:trPr>
        <w:tc>
          <w:tcPr>
            <w:tcW w:type="dxa" w:w="2253"/>
          </w:tcPr>
          <w:p>
            <w:pPr>
              <w:spacing w:before="20" w:after="20"/>
            </w:pPr>
            <w:r>
              <w:rPr>
                <w:rFonts w:ascii="Arial" w:hAnsi="Arial" w:cs="Arial" w:eastAsia="Arial"/>
                <w:b w:val="0"/>
                <w:i w:val="0"/>
                <w:sz w:val="18"/>
              </w:rPr>
              <w:t>SB-nn, P-RN-nn</w:t>
            </w:r>
          </w:p>
        </w:tc>
        <w:tc>
          <w:tcPr>
            <w:tcW w:type="dxa" w:w="6386"/>
          </w:tcPr>
          <w:p>
            <w:pPr>
              <w:spacing w:before="20" w:after="20"/>
            </w:pPr>
            <w:r>
              <w:rPr>
                <w:rFonts w:ascii="Arial" w:hAnsi="Arial" w:cs="Arial" w:eastAsia="Arial"/>
                <w:b w:val="0"/>
                <w:i w:val="0"/>
                <w:sz w:val="18"/>
              </w:rPr>
              <w:t>Storyboard, process (Process and Storyboards)</w:t>
            </w:r>
          </w:p>
        </w:tc>
      </w:tr>
      <w:tr>
        <w:trPr>
          <w:cantSplit/>
        </w:trPr>
        <w:tc>
          <w:tcPr>
            <w:tcW w:type="dxa" w:w="2253"/>
          </w:tcPr>
          <w:p>
            <w:pPr>
              <w:spacing w:before="20" w:after="20"/>
            </w:pPr>
            <w:r>
              <w:rPr>
                <w:rFonts w:ascii="Arial" w:hAnsi="Arial" w:cs="Arial" w:eastAsia="Arial"/>
                <w:b w:val="0"/>
                <w:i w:val="0"/>
                <w:sz w:val="18"/>
              </w:rPr>
              <w:t>RPT-RN-nn, DO-nn, NT-nn</w:t>
            </w:r>
          </w:p>
        </w:tc>
        <w:tc>
          <w:tcPr>
            <w:tcW w:type="dxa" w:w="6386"/>
          </w:tcPr>
          <w:p>
            <w:pPr>
              <w:spacing w:before="20" w:after="20"/>
            </w:pPr>
            <w:r>
              <w:rPr>
                <w:rFonts w:ascii="Arial" w:hAnsi="Arial" w:cs="Arial" w:eastAsia="Arial"/>
                <w:b w:val="0"/>
                <w:i w:val="0"/>
                <w:sz w:val="18"/>
              </w:rPr>
              <w:t>Report, document, notice (Reports, Notifications and Outputs)</w:t>
            </w:r>
          </w:p>
        </w:tc>
      </w:tr>
      <w:tr>
        <w:trPr>
          <w:cantSplit/>
        </w:trPr>
        <w:tc>
          <w:tcPr>
            <w:tcW w:type="dxa" w:w="2253"/>
          </w:tcPr>
          <w:p>
            <w:pPr>
              <w:spacing w:before="20" w:after="20"/>
            </w:pPr>
            <w:r>
              <w:rPr>
                <w:rFonts w:ascii="Arial" w:hAnsi="Arial" w:cs="Arial" w:eastAsia="Arial"/>
                <w:b w:val="0"/>
                <w:i w:val="0"/>
                <w:sz w:val="18"/>
              </w:rPr>
              <w:t>IF-RN-nn</w:t>
            </w:r>
          </w:p>
        </w:tc>
        <w:tc>
          <w:tcPr>
            <w:tcW w:type="dxa" w:w="6386"/>
          </w:tcPr>
          <w:p>
            <w:pPr>
              <w:spacing w:before="20" w:after="20"/>
            </w:pPr>
            <w:r>
              <w:rPr>
                <w:rFonts w:ascii="Arial" w:hAnsi="Arial" w:cs="Arial" w:eastAsia="Arial"/>
                <w:b w:val="0"/>
                <w:i w:val="0"/>
                <w:sz w:val="18"/>
              </w:rPr>
              <w:t>Interface (Interface Specification)</w:t>
            </w:r>
          </w:p>
        </w:tc>
      </w:tr>
      <w:tr>
        <w:trPr>
          <w:cantSplit/>
        </w:trPr>
        <w:tc>
          <w:tcPr>
            <w:tcW w:type="dxa" w:w="2253"/>
          </w:tcPr>
          <w:p>
            <w:pPr>
              <w:spacing w:before="20" w:after="20"/>
            </w:pPr>
            <w:r>
              <w:rPr>
                <w:rFonts w:ascii="Arial" w:hAnsi="Arial" w:cs="Arial" w:eastAsia="Arial"/>
                <w:b w:val="0"/>
                <w:i w:val="0"/>
                <w:sz w:val="18"/>
              </w:rPr>
              <w:t>US-RN-nnn</w:t>
            </w:r>
          </w:p>
        </w:tc>
        <w:tc>
          <w:tcPr>
            <w:tcW w:type="dxa" w:w="6386"/>
          </w:tcPr>
          <w:p>
            <w:pPr>
              <w:spacing w:before="20" w:after="20"/>
            </w:pPr>
            <w:r>
              <w:rPr>
                <w:rFonts w:ascii="Arial" w:hAnsi="Arial" w:cs="Arial" w:eastAsia="Arial"/>
                <w:b w:val="0"/>
                <w:i w:val="0"/>
                <w:sz w:val="18"/>
              </w:rPr>
              <w:t>User story (User Stories)</w:t>
            </w:r>
          </w:p>
        </w:tc>
      </w:tr>
      <w:tr>
        <w:trPr>
          <w:cantSplit/>
        </w:trPr>
        <w:tc>
          <w:tcPr>
            <w:tcW w:type="dxa" w:w="2253"/>
          </w:tcPr>
          <w:p>
            <w:pPr>
              <w:spacing w:before="20" w:after="20"/>
            </w:pPr>
            <w:r>
              <w:rPr>
                <w:rFonts w:ascii="Arial" w:hAnsi="Arial" w:cs="Arial" w:eastAsia="Arial"/>
                <w:b w:val="0"/>
                <w:i w:val="0"/>
                <w:sz w:val="18"/>
              </w:rPr>
              <w:t>TC-RN-…</w:t>
            </w:r>
          </w:p>
        </w:tc>
        <w:tc>
          <w:tcPr>
            <w:tcW w:type="dxa" w:w="6386"/>
          </w:tcPr>
          <w:p>
            <w:pPr>
              <w:spacing w:before="20" w:after="20"/>
            </w:pPr>
            <w:r>
              <w:rPr>
                <w:rFonts w:ascii="Arial" w:hAnsi="Arial" w:cs="Arial" w:eastAsia="Arial"/>
                <w:b w:val="0"/>
                <w:i w:val="0"/>
                <w:sz w:val="18"/>
              </w:rPr>
              <w:t>Test case (Test Cases and Traceability)</w:t>
            </w:r>
          </w:p>
        </w:tc>
      </w:tr>
      <w:tr>
        <w:trPr>
          <w:cantSplit/>
        </w:trPr>
        <w:tc>
          <w:tcPr>
            <w:tcW w:type="dxa" w:w="2253"/>
          </w:tcPr>
          <w:p>
            <w:pPr>
              <w:spacing w:before="20" w:after="20"/>
            </w:pPr>
            <w:r>
              <w:rPr>
                <w:rFonts w:ascii="Arial" w:hAnsi="Arial" w:cs="Arial" w:eastAsia="Arial"/>
                <w:b w:val="0"/>
                <w:i w:val="0"/>
                <w:sz w:val="18"/>
              </w:rPr>
              <w:t>CR-RN-nnn</w:t>
            </w:r>
          </w:p>
        </w:tc>
        <w:tc>
          <w:tcPr>
            <w:tcW w:type="dxa" w:w="6386"/>
          </w:tcPr>
          <w:p>
            <w:pPr>
              <w:spacing w:before="20" w:after="20"/>
            </w:pPr>
            <w:r>
              <w:rPr>
                <w:rFonts w:ascii="Arial" w:hAnsi="Arial" w:cs="Arial" w:eastAsia="Arial"/>
                <w:b w:val="0"/>
                <w:i w:val="0"/>
                <w:sz w:val="18"/>
              </w:rPr>
              <w:t>Change request (CR Register)</w:t>
            </w:r>
          </w:p>
        </w:tc>
      </w:tr>
      <w:tr>
        <w:trPr>
          <w:cantSplit/>
        </w:trPr>
        <w:tc>
          <w:tcPr>
            <w:tcW w:type="dxa" w:w="2253"/>
          </w:tcPr>
          <w:p>
            <w:pPr>
              <w:spacing w:before="20" w:after="20"/>
            </w:pPr>
            <w:r>
              <w:rPr>
                <w:rFonts w:ascii="Arial" w:hAnsi="Arial" w:cs="Arial" w:eastAsia="Arial"/>
                <w:b w:val="0"/>
                <w:i w:val="0"/>
                <w:sz w:val="18"/>
              </w:rPr>
              <w:t>NFR-…</w:t>
            </w:r>
          </w:p>
        </w:tc>
        <w:tc>
          <w:tcPr>
            <w:tcW w:type="dxa" w:w="6386"/>
          </w:tcPr>
          <w:p>
            <w:pPr>
              <w:spacing w:before="20" w:after="20"/>
            </w:pPr>
            <w:r>
              <w:rPr>
                <w:rFonts w:ascii="Arial" w:hAnsi="Arial" w:cs="Arial" w:eastAsia="Arial"/>
                <w:b w:val="0"/>
                <w:i w:val="0"/>
                <w:sz w:val="18"/>
              </w:rPr>
              <w:t>Non-functional requirement (programme NFR)</w:t>
            </w:r>
          </w:p>
        </w:tc>
      </w:tr>
      <w:tr>
        <w:trPr>
          <w:cantSplit/>
        </w:trPr>
        <w:tc>
          <w:tcPr>
            <w:tcW w:type="dxa" w:w="2253"/>
          </w:tcPr>
          <w:p>
            <w:pPr>
              <w:spacing w:before="20" w:after="20"/>
            </w:pPr>
            <w:r>
              <w:rPr>
                <w:rFonts w:ascii="Arial" w:hAnsi="Arial" w:cs="Arial" w:eastAsia="Arial"/>
                <w:b w:val="0"/>
                <w:i w:val="0"/>
                <w:sz w:val="18"/>
              </w:rPr>
              <w:t>D-nnn / O-nnn</w:t>
            </w:r>
          </w:p>
        </w:tc>
        <w:tc>
          <w:tcPr>
            <w:tcW w:type="dxa" w:w="6386"/>
          </w:tcPr>
          <w:p>
            <w:pPr>
              <w:spacing w:before="20" w:after="20"/>
            </w:pPr>
            <w:r>
              <w:rPr>
                <w:rFonts w:ascii="Arial" w:hAnsi="Arial" w:cs="Arial" w:eastAsia="Arial"/>
                <w:b w:val="0"/>
                <w:i w:val="0"/>
                <w:sz w:val="18"/>
              </w:rPr>
              <w:t>Decision or observation (programme log)</w:t>
            </w:r>
          </w:p>
        </w:tc>
      </w:tr>
    </w:tbl>
    <w:p>
      <w:pPr>
        <w:spacing w:after="40"/>
      </w:pPr>
    </w:p>
    <w:p>
      <w:pPr>
        <w:spacing w:after="120"/>
        <w:ind w:left="363"/>
      </w:pPr>
      <w:r>
        <w:rPr>
          <w:rFonts w:ascii="Arial" w:hAnsi="Arial" w:cs="Arial" w:eastAsia="Arial"/>
          <w:b w:val="0"/>
          <w:i w:val="0"/>
          <w:sz w:val="20"/>
        </w:rPr>
        <w:t>The colour code of the FRS applies to every document: black in the BRD, green OOTB, orange change request, blue best practice, grey label for Integration or Data Migration scope.</w:t>
      </w: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How to Read this Pack</w:t>
    </w:r>
    <w:r w:rsidR="005C6EAD">
      <w:tab/>
    </w:r>
    <w:r w:rsidR="005C6EAD">
      <w:tab/>
    </w:r>
    <w:r w:rsidRPr="4C1F03F5">
      <w:rPr>
        <w:rFonts w:ascii="Arial" w:hAnsi="Arial" w:eastAsia="Arial" w:cs="Arial"/>
        <w:color w:val="000000" w:themeColor="text1"/>
        <w:sz w:val="19"/>
        <w:szCs w:val="19"/>
      </w:rPr>
      <w:t>BDO Insure Brokering System (BIBS) - Renewal</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Inputs BRD-06 How to Read this Pack v1.0</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