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Extract</w:t>
      </w:r>
    </w:p>
    <w:p>
      <w:pPr>
        <w:spacing w:after="40"/>
      </w:pPr>
      <w:r>
        <w:rPr>
          <w:color w:val="2E2E2E"/>
          <w:sz w:val="28"/>
        </w:rPr>
        <w:t>Renewal (BRD-06) - the chapter of the BIBS System Requirements Specification v1.2 for this pack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extract of the System Requirements Specification v1.2 for the pack of BRD-06</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of BRD-06</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System requirements of the module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BDOI Information Security</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Common requirements, access and interfaces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2 Scope and baseline</w:t>
        </w:r>
        <w:r>
          <w:t xml:space="preserve">	</w:t>
        </w:r>
        <w:r>
          <w:t xml:space="preserve">4</w:t>
        </w:r>
      </w:hyperlink>
    </w:p>
    <w:p>
      <w:pPr>
        <w:pStyle w:val="toc1"/>
      </w:pPr>
      <w:hyperlink w:anchor="_Toc000103" w:history="1">
        <w:r>
          <w:t xml:space="preserve">3 System requirements of the module</w:t>
        </w:r>
        <w:r>
          <w:t xml:space="preserve">	</w:t>
        </w:r>
        <w:r>
          <w:t xml:space="preserve">4</w:t>
        </w:r>
      </w:hyperlink>
    </w:p>
    <w:p>
      <w:pPr>
        <w:pStyle w:val="toc1"/>
      </w:pPr>
      <w:hyperlink w:anchor="_Toc000104" w:history="1">
        <w:r>
          <w:t xml:space="preserve">4 Common requirements</w:t>
        </w:r>
        <w:r>
          <w:t xml:space="preserve">	</w:t>
        </w:r>
        <w:r>
          <w:t xml:space="preserve">6</w:t>
        </w:r>
      </w:hyperlink>
    </w:p>
    <w:p>
      <w:pPr>
        <w:pStyle w:val="toc1"/>
      </w:pPr>
      <w:hyperlink w:anchor="_Toc000105" w:history="1">
        <w:r>
          <w:t xml:space="preserve">5 Access</w:t>
        </w:r>
        <w:r>
          <w:t xml:space="preserve">	</w:t>
        </w:r>
        <w:r>
          <w:t xml:space="preserve">7</w:t>
        </w:r>
      </w:hyperlink>
    </w:p>
    <w:p>
      <w:pPr>
        <w:pStyle w:val="toc1"/>
      </w:pPr>
      <w:hyperlink w:anchor="_Toc000106" w:history="1">
        <w:r>
          <w:t xml:space="preserve">6 Interfaces, reports and non-functional requirements</w:t>
        </w:r>
        <w:r>
          <w:t xml:space="preserve">	</w:t>
        </w:r>
        <w:r>
          <w:t xml:space="preserve">7</w:t>
        </w:r>
      </w:hyperlink>
    </w:p>
    <w:p>
      <w:pPr>
        <w:pStyle w:val="toc1"/>
      </w:pPr>
      <w:hyperlink w:anchor="_Toc000107" w:history="1">
        <w:r>
          <w:t xml:space="preserve">7 Acceptance</w:t>
        </w:r>
        <w:r>
          <w:t xml:space="preserve">	</w:t>
        </w:r>
        <w:r>
          <w:t xml:space="preserve">8</w:t>
        </w:r>
      </w:hyperlink>
      <w:r>
        <w:fldChar w:fldCharType="end"/>
      </w:r>
    </w:p>
    <w:p>
      <w:pPr>
        <w:pStyle w:val="Heading1"/>
        <w:pageBreakBefore/>
        <w:pBdr>
          <w:bottom w:val="single" w:sz="4" w:space="4" w:color="99C1E7"/>
        </w:pBdr>
      </w:pPr>
      <w:bookmarkStart w:id="101" w:name="_Toc000101"/>
      <w:r>
        <w:rPr/>
        <w:t>1 Purpose</w:t>
      </w:r>
      <w:bookmarkEnd w:id="101"/>
    </w:p>
    <w:p>
      <w:r>
        <w:rPr/>
        <w:t>This extract gives the system requirements of Renewal from the BIBS System Requirements Specification (SRS) v1.2: the requirements of the module, each tagged with its BRD and traced to the IDs of its FRS, and the common requirements of the platform that apply to it. The SRS holds the programme context, the data, compliance and acceptance chapters; the FRS of the pack holds the rules, fields, messages and acceptance criteria and governs where the two differ.</w:t>
      </w:r>
    </w:p>
    <w:p>
      <w:pPr>
        <w:pStyle w:val="Heading1"/>
        <w:pBdr>
          <w:bottom w:val="single" w:sz="4" w:space="4" w:color="99C1E7"/>
        </w:pBdr>
      </w:pPr>
      <w:bookmarkStart w:id="102" w:name="_Toc000102"/>
      <w:r>
        <w:rPr/>
        <w:t>2 Scope and baseline</w:t>
      </w:r>
      <w:bookmarkEnd w:id="102"/>
    </w:p>
    <w:p>
      <w:r>
        <w:rPr/>
        <w:t>Extraction of expiring accounts, governance rules and buckets, Marketing disposition and review, Processing and insurer round-trip, Renewal Advice and other letters, acceptance and progression to placement and booking, renewal of submitted policies.</w:t>
      </w:r>
    </w:p>
    <w:p>
      <w:r>
        <w:rPr>
          <w:b/>
        </w:rPr>
        <w:t>Requirement baseline.</w:t>
      </w:r>
      <w:r>
        <w:rPr/>
        <w:t xml:space="preserve"> Renewal FRS v1.3 (BDOI's format). 49 system requirements.</w:t>
      </w:r>
    </w:p>
    <w:p>
      <w:r>
        <w:rPr>
          <w:b/>
        </w:rPr>
        <w:t>Phase 2.</w:t>
      </w:r>
      <w:r>
        <w:rPr/>
        <w:t xml:space="preserve"> By the client decisions of 17 October 2026, reinsurance and the Employee Benefits partner portal are deferred to Phase 2; co-insurance stays in the current phase.</w:t>
      </w:r>
    </w:p>
    <w:p>
      <w:pPr>
        <w:pStyle w:val="Heading1"/>
        <w:pBdr>
          <w:bottom w:val="single" w:sz="4" w:space="4" w:color="99C1E7"/>
        </w:pBdr>
      </w:pPr>
      <w:bookmarkStart w:id="103" w:name="_Toc000103"/>
      <w:r>
        <w:rPr/>
        <w:t>3 System requirements of the module</w:t>
      </w:r>
      <w:bookmarkEnd w:id="103"/>
    </w:p>
    <w:p>
      <w:pPr>
        <w:pStyle w:val="Caption"/>
        <w:keepNext/>
        <w:spacing w:after="60"/>
      </w:pPr>
      <w:r>
        <w:rPr>
          <w:b/>
          <w:i w:val="0"/>
        </w:rPr>
        <w:t xml:space="preserve">Table 1: </w:t>
      </w:r>
      <w:r>
        <w:rPr/>
        <w:t>System requirements of Renewal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SR-BRD06-001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Login, inactivity warning and timeout</w:t>
            </w:r>
          </w:p>
        </w:tc>
        <w:tc>
          <w:tcPr>
            <w:tcW w:type="dxa" w:w="1433"/>
            <w:tcMar>
              <w:top w:w="50" w:type="dxa"/>
              <w:bottom w:w="50" w:type="dxa"/>
              <w:left w:w="90" w:type="dxa"/>
              <w:right w:w="90" w:type="dxa"/>
            </w:tcMar>
          </w:tcPr>
          <w:p>
            <w:pPr>
              <w:pStyle w:val="BDOITable"/>
            </w:pPr>
            <w:r>
              <w:rPr>
                <w:sz w:val="15"/>
              </w:rPr>
              <w:t>FRRN.001</w:t>
            </w:r>
          </w:p>
        </w:tc>
        <w:tc>
          <w:tcPr>
            <w:tcW w:type="dxa" w:w="1791"/>
            <w:tcMar>
              <w:top w:w="50" w:type="dxa"/>
              <w:bottom w:w="50" w:type="dxa"/>
              <w:left w:w="90" w:type="dxa"/>
              <w:right w:w="90" w:type="dxa"/>
            </w:tcMar>
          </w:tcPr>
          <w:p>
            <w:pPr>
              <w:pStyle w:val="BDOITable"/>
            </w:pPr>
            <w:r>
              <w:rPr>
                <w:sz w:val="15"/>
              </w:rPr>
              <w:t>FRRN.001.01 to FRRN.001.05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Marketing dashboard and renewal account listing</w:t>
            </w:r>
          </w:p>
        </w:tc>
        <w:tc>
          <w:tcPr>
            <w:tcW w:type="dxa" w:w="1433"/>
            <w:tcMar>
              <w:top w:w="50" w:type="dxa"/>
              <w:bottom w:w="50" w:type="dxa"/>
              <w:left w:w="90" w:type="dxa"/>
              <w:right w:w="90" w:type="dxa"/>
            </w:tcMar>
            <w:shd w:val="clear" w:color="auto" w:fill="E5F5FF"/>
          </w:tcPr>
          <w:p>
            <w:pPr>
              <w:pStyle w:val="BDOITable"/>
            </w:pPr>
            <w:r>
              <w:rPr>
                <w:sz w:val="15"/>
              </w:rPr>
              <w:t>FRRN.002</w:t>
            </w:r>
          </w:p>
        </w:tc>
        <w:tc>
          <w:tcPr>
            <w:tcW w:type="dxa" w:w="1791"/>
            <w:tcMar>
              <w:top w:w="50" w:type="dxa"/>
              <w:bottom w:w="50" w:type="dxa"/>
              <w:left w:w="90" w:type="dxa"/>
              <w:right w:w="90" w:type="dxa"/>
            </w:tcMar>
            <w:shd w:val="clear" w:color="auto" w:fill="E5F5FF"/>
          </w:tcPr>
          <w:p>
            <w:pPr>
              <w:pStyle w:val="BDOITable"/>
            </w:pPr>
            <w:r>
              <w:rPr>
                <w:sz w:val="15"/>
              </w:rPr>
              <w:t>FRRN.002.01 to FRRN.002.08 (15)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Processing dashboard and account listing</w:t>
            </w:r>
          </w:p>
        </w:tc>
        <w:tc>
          <w:tcPr>
            <w:tcW w:type="dxa" w:w="1433"/>
            <w:tcMar>
              <w:top w:w="50" w:type="dxa"/>
              <w:bottom w:w="50" w:type="dxa"/>
              <w:left w:w="90" w:type="dxa"/>
              <w:right w:w="90" w:type="dxa"/>
            </w:tcMar>
          </w:tcPr>
          <w:p>
            <w:pPr>
              <w:pStyle w:val="BDOITable"/>
            </w:pPr>
            <w:r>
              <w:rPr>
                <w:sz w:val="15"/>
              </w:rPr>
              <w:t>FRRN.003</w:t>
            </w:r>
          </w:p>
        </w:tc>
        <w:tc>
          <w:tcPr>
            <w:tcW w:type="dxa" w:w="1791"/>
            <w:tcMar>
              <w:top w:w="50" w:type="dxa"/>
              <w:bottom w:w="50" w:type="dxa"/>
              <w:left w:w="90" w:type="dxa"/>
              <w:right w:w="90" w:type="dxa"/>
            </w:tcMar>
          </w:tcPr>
          <w:p>
            <w:pPr>
              <w:pStyle w:val="BDOITable"/>
            </w:pPr>
            <w:r>
              <w:rPr>
                <w:sz w:val="15"/>
              </w:rPr>
              <w:t>FRRN.003.01 to FRRN.003.05 (11)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Generate the list of expiring accounts</w:t>
            </w:r>
          </w:p>
        </w:tc>
        <w:tc>
          <w:tcPr>
            <w:tcW w:type="dxa" w:w="1433"/>
            <w:tcMar>
              <w:top w:w="50" w:type="dxa"/>
              <w:bottom w:w="50" w:type="dxa"/>
              <w:left w:w="90" w:type="dxa"/>
              <w:right w:w="90" w:type="dxa"/>
            </w:tcMar>
            <w:shd w:val="clear" w:color="auto" w:fill="E5F5FF"/>
          </w:tcPr>
          <w:p>
            <w:pPr>
              <w:pStyle w:val="BDOITable"/>
            </w:pPr>
            <w:r>
              <w:rPr>
                <w:sz w:val="15"/>
              </w:rPr>
              <w:t>FRRN.004</w:t>
            </w:r>
          </w:p>
        </w:tc>
        <w:tc>
          <w:tcPr>
            <w:tcW w:type="dxa" w:w="1791"/>
            <w:tcMar>
              <w:top w:w="50" w:type="dxa"/>
              <w:bottom w:w="50" w:type="dxa"/>
              <w:left w:w="90" w:type="dxa"/>
              <w:right w:w="90" w:type="dxa"/>
            </w:tcMar>
            <w:shd w:val="clear" w:color="auto" w:fill="E5F5FF"/>
          </w:tcPr>
          <w:p>
            <w:pPr>
              <w:pStyle w:val="BDOITable"/>
            </w:pPr>
            <w:r>
              <w:rPr>
                <w:sz w:val="15"/>
              </w:rPr>
              <w:t>FRRN.004.01 to FRRN.004.07 (7)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Manual account creation</w:t>
            </w:r>
          </w:p>
        </w:tc>
        <w:tc>
          <w:tcPr>
            <w:tcW w:type="dxa" w:w="1433"/>
            <w:tcMar>
              <w:top w:w="50" w:type="dxa"/>
              <w:bottom w:w="50" w:type="dxa"/>
              <w:left w:w="90" w:type="dxa"/>
              <w:right w:w="90" w:type="dxa"/>
            </w:tcMar>
          </w:tcPr>
          <w:p>
            <w:pPr>
              <w:pStyle w:val="BDOITable"/>
            </w:pPr>
            <w:r>
              <w:rPr>
                <w:sz w:val="15"/>
              </w:rPr>
              <w:t>FRRN.005</w:t>
            </w:r>
          </w:p>
        </w:tc>
        <w:tc>
          <w:tcPr>
            <w:tcW w:type="dxa" w:w="1791"/>
            <w:tcMar>
              <w:top w:w="50" w:type="dxa"/>
              <w:bottom w:w="50" w:type="dxa"/>
              <w:left w:w="90" w:type="dxa"/>
              <w:right w:w="90" w:type="dxa"/>
            </w:tcMar>
          </w:tcPr>
          <w:p>
            <w:pPr>
              <w:pStyle w:val="BDOITable"/>
            </w:pPr>
            <w:r>
              <w:rPr>
                <w:sz w:val="15"/>
              </w:rPr>
              <w:t>FRRN.005.01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Duplicate checking</w:t>
            </w:r>
          </w:p>
        </w:tc>
        <w:tc>
          <w:tcPr>
            <w:tcW w:type="dxa" w:w="1433"/>
            <w:tcMar>
              <w:top w:w="50" w:type="dxa"/>
              <w:bottom w:w="50" w:type="dxa"/>
              <w:left w:w="90" w:type="dxa"/>
              <w:right w:w="90" w:type="dxa"/>
            </w:tcMar>
            <w:shd w:val="clear" w:color="auto" w:fill="E5F5FF"/>
          </w:tcPr>
          <w:p>
            <w:pPr>
              <w:pStyle w:val="BDOITable"/>
            </w:pPr>
            <w:r>
              <w:rPr>
                <w:sz w:val="15"/>
              </w:rPr>
              <w:t>FRRN.006</w:t>
            </w:r>
          </w:p>
        </w:tc>
        <w:tc>
          <w:tcPr>
            <w:tcW w:type="dxa" w:w="1791"/>
            <w:tcMar>
              <w:top w:w="50" w:type="dxa"/>
              <w:bottom w:w="50" w:type="dxa"/>
              <w:left w:w="90" w:type="dxa"/>
              <w:right w:w="90" w:type="dxa"/>
            </w:tcMar>
            <w:shd w:val="clear" w:color="auto" w:fill="E5F5FF"/>
          </w:tcPr>
          <w:p>
            <w:pPr>
              <w:pStyle w:val="BDOITable"/>
            </w:pPr>
            <w:r>
              <w:rPr>
                <w:sz w:val="15"/>
              </w:rPr>
              <w:t>FRRN.006.01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Account sanitation and validation</w:t>
            </w:r>
          </w:p>
        </w:tc>
        <w:tc>
          <w:tcPr>
            <w:tcW w:type="dxa" w:w="1433"/>
            <w:tcMar>
              <w:top w:w="50" w:type="dxa"/>
              <w:bottom w:w="50" w:type="dxa"/>
              <w:left w:w="90" w:type="dxa"/>
              <w:right w:w="90" w:type="dxa"/>
            </w:tcMar>
          </w:tcPr>
          <w:p>
            <w:pPr>
              <w:pStyle w:val="BDOITable"/>
            </w:pPr>
            <w:r>
              <w:rPr>
                <w:sz w:val="15"/>
              </w:rPr>
              <w:t>FRRN.007</w:t>
            </w:r>
          </w:p>
        </w:tc>
        <w:tc>
          <w:tcPr>
            <w:tcW w:type="dxa" w:w="1791"/>
            <w:tcMar>
              <w:top w:w="50" w:type="dxa"/>
              <w:bottom w:w="50" w:type="dxa"/>
              <w:left w:w="90" w:type="dxa"/>
              <w:right w:w="90" w:type="dxa"/>
            </w:tcMar>
          </w:tcPr>
          <w:p>
            <w:pPr>
              <w:pStyle w:val="BDOITable"/>
            </w:pPr>
            <w:r>
              <w:rPr>
                <w:sz w:val="15"/>
              </w:rPr>
              <w:t>FRRN.007.01 to FRRN.007.02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SR-BRD06-008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Bucket classification</w:t>
            </w:r>
          </w:p>
        </w:tc>
        <w:tc>
          <w:tcPr>
            <w:tcW w:type="dxa" w:w="1433"/>
            <w:tcMar>
              <w:top w:w="50" w:type="dxa"/>
              <w:bottom w:w="50" w:type="dxa"/>
              <w:left w:w="90" w:type="dxa"/>
              <w:right w:w="90" w:type="dxa"/>
            </w:tcMar>
            <w:shd w:val="clear" w:color="auto" w:fill="E5F5FF"/>
          </w:tcPr>
          <w:p>
            <w:pPr>
              <w:pStyle w:val="BDOITable"/>
            </w:pPr>
            <w:r>
              <w:rPr>
                <w:sz w:val="15"/>
              </w:rPr>
              <w:t>FRRN.008</w:t>
            </w:r>
          </w:p>
        </w:tc>
        <w:tc>
          <w:tcPr>
            <w:tcW w:type="dxa" w:w="1791"/>
            <w:tcMar>
              <w:top w:w="50" w:type="dxa"/>
              <w:bottom w:w="50" w:type="dxa"/>
              <w:left w:w="90" w:type="dxa"/>
              <w:right w:w="90" w:type="dxa"/>
            </w:tcMar>
            <w:shd w:val="clear" w:color="auto" w:fill="E5F5FF"/>
          </w:tcPr>
          <w:p>
            <w:pPr>
              <w:pStyle w:val="BDOITable"/>
            </w:pPr>
            <w:r>
              <w:rPr>
                <w:sz w:val="15"/>
              </w:rPr>
              <w:t>FRRN.008.01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SR-BRD06-009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Automatic renewal information update</w:t>
            </w:r>
          </w:p>
        </w:tc>
        <w:tc>
          <w:tcPr>
            <w:tcW w:type="dxa" w:w="1433"/>
            <w:tcMar>
              <w:top w:w="50" w:type="dxa"/>
              <w:bottom w:w="50" w:type="dxa"/>
              <w:left w:w="90" w:type="dxa"/>
              <w:right w:w="90" w:type="dxa"/>
            </w:tcMar>
          </w:tcPr>
          <w:p>
            <w:pPr>
              <w:pStyle w:val="BDOITable"/>
            </w:pPr>
            <w:r>
              <w:rPr>
                <w:sz w:val="15"/>
              </w:rPr>
              <w:t>FRRN.009</w:t>
            </w:r>
          </w:p>
        </w:tc>
        <w:tc>
          <w:tcPr>
            <w:tcW w:type="dxa" w:w="1791"/>
            <w:tcMar>
              <w:top w:w="50" w:type="dxa"/>
              <w:bottom w:w="50" w:type="dxa"/>
              <w:left w:w="90" w:type="dxa"/>
              <w:right w:w="90" w:type="dxa"/>
            </w:tcMar>
          </w:tcPr>
          <w:p>
            <w:pPr>
              <w:pStyle w:val="BDOITable"/>
            </w:pPr>
            <w:r>
              <w:rPr>
                <w:sz w:val="15"/>
              </w:rPr>
              <w:t>FRRN.009.01 to FRRN.009.02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Automatic assignment and reassignment of accounts</w:t>
            </w:r>
          </w:p>
        </w:tc>
        <w:tc>
          <w:tcPr>
            <w:tcW w:type="dxa" w:w="1433"/>
            <w:tcMar>
              <w:top w:w="50" w:type="dxa"/>
              <w:bottom w:w="50" w:type="dxa"/>
              <w:left w:w="90" w:type="dxa"/>
              <w:right w:w="90" w:type="dxa"/>
            </w:tcMar>
            <w:shd w:val="clear" w:color="auto" w:fill="E5F5FF"/>
          </w:tcPr>
          <w:p>
            <w:pPr>
              <w:pStyle w:val="BDOITable"/>
            </w:pPr>
            <w:r>
              <w:rPr>
                <w:sz w:val="15"/>
              </w:rPr>
              <w:t>FRRN.010</w:t>
            </w:r>
          </w:p>
        </w:tc>
        <w:tc>
          <w:tcPr>
            <w:tcW w:type="dxa" w:w="1791"/>
            <w:tcMar>
              <w:top w:w="50" w:type="dxa"/>
              <w:bottom w:w="50" w:type="dxa"/>
              <w:left w:w="90" w:type="dxa"/>
              <w:right w:w="90" w:type="dxa"/>
            </w:tcMar>
            <w:shd w:val="clear" w:color="auto" w:fill="E5F5FF"/>
          </w:tcPr>
          <w:p>
            <w:pPr>
              <w:pStyle w:val="BDOITable"/>
            </w:pPr>
            <w:r>
              <w:rPr>
                <w:sz w:val="15"/>
              </w:rPr>
              <w:t>FRRN.010.01 to FRRN.010.02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Transfer and referral to another Marketing unit</w:t>
            </w:r>
          </w:p>
        </w:tc>
        <w:tc>
          <w:tcPr>
            <w:tcW w:type="dxa" w:w="1433"/>
            <w:tcMar>
              <w:top w:w="50" w:type="dxa"/>
              <w:bottom w:w="50" w:type="dxa"/>
              <w:left w:w="90" w:type="dxa"/>
              <w:right w:w="90" w:type="dxa"/>
            </w:tcMar>
          </w:tcPr>
          <w:p>
            <w:pPr>
              <w:pStyle w:val="BDOITable"/>
            </w:pPr>
            <w:r>
              <w:rPr>
                <w:sz w:val="15"/>
              </w:rPr>
              <w:t>FRRN.011</w:t>
            </w:r>
          </w:p>
        </w:tc>
        <w:tc>
          <w:tcPr>
            <w:tcW w:type="dxa" w:w="1791"/>
            <w:tcMar>
              <w:top w:w="50" w:type="dxa"/>
              <w:bottom w:w="50" w:type="dxa"/>
              <w:left w:w="90" w:type="dxa"/>
              <w:right w:w="90" w:type="dxa"/>
            </w:tcMar>
          </w:tcPr>
          <w:p>
            <w:pPr>
              <w:pStyle w:val="BDOITable"/>
            </w:pPr>
            <w:r>
              <w:rPr>
                <w:sz w:val="15"/>
              </w:rPr>
              <w:t>FRRN.011.01 to FRRN.011.06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LAMD, BDOFC and BDOSOLD report upload</w:t>
            </w:r>
          </w:p>
        </w:tc>
        <w:tc>
          <w:tcPr>
            <w:tcW w:type="dxa" w:w="1433"/>
            <w:tcMar>
              <w:top w:w="50" w:type="dxa"/>
              <w:bottom w:w="50" w:type="dxa"/>
              <w:left w:w="90" w:type="dxa"/>
              <w:right w:w="90" w:type="dxa"/>
            </w:tcMar>
            <w:shd w:val="clear" w:color="auto" w:fill="E5F5FF"/>
          </w:tcPr>
          <w:p>
            <w:pPr>
              <w:pStyle w:val="BDOITable"/>
            </w:pPr>
            <w:r>
              <w:rPr>
                <w:sz w:val="15"/>
              </w:rPr>
              <w:t>FRRN.012</w:t>
            </w:r>
          </w:p>
        </w:tc>
        <w:tc>
          <w:tcPr>
            <w:tcW w:type="dxa" w:w="1791"/>
            <w:tcMar>
              <w:top w:w="50" w:type="dxa"/>
              <w:bottom w:w="50" w:type="dxa"/>
              <w:left w:w="90" w:type="dxa"/>
              <w:right w:w="90" w:type="dxa"/>
            </w:tcMar>
            <w:shd w:val="clear" w:color="auto" w:fill="E5F5FF"/>
          </w:tcPr>
          <w:p>
            <w:pPr>
              <w:pStyle w:val="BDOITable"/>
            </w:pPr>
            <w:r>
              <w:rPr>
                <w:sz w:val="15"/>
              </w:rPr>
              <w:t>FRRN.012.01 to FRRN.012.09 (9)</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Insurer disposition upload</w:t>
            </w:r>
          </w:p>
        </w:tc>
        <w:tc>
          <w:tcPr>
            <w:tcW w:type="dxa" w:w="1433"/>
            <w:tcMar>
              <w:top w:w="50" w:type="dxa"/>
              <w:bottom w:w="50" w:type="dxa"/>
              <w:left w:w="90" w:type="dxa"/>
              <w:right w:w="90" w:type="dxa"/>
            </w:tcMar>
          </w:tcPr>
          <w:p>
            <w:pPr>
              <w:pStyle w:val="BDOITable"/>
            </w:pPr>
            <w:r>
              <w:rPr>
                <w:sz w:val="15"/>
              </w:rPr>
              <w:t>FRRN.013</w:t>
            </w:r>
          </w:p>
        </w:tc>
        <w:tc>
          <w:tcPr>
            <w:tcW w:type="dxa" w:w="1791"/>
            <w:tcMar>
              <w:top w:w="50" w:type="dxa"/>
              <w:bottom w:w="50" w:type="dxa"/>
              <w:left w:w="90" w:type="dxa"/>
              <w:right w:w="90" w:type="dxa"/>
            </w:tcMar>
          </w:tcPr>
          <w:p>
            <w:pPr>
              <w:pStyle w:val="BDOITable"/>
            </w:pPr>
            <w:r>
              <w:rPr>
                <w:sz w:val="15"/>
              </w:rPr>
              <w:t>FRRN.013.01 to FRRN.013.05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View and update account details (individual)</w:t>
            </w:r>
          </w:p>
        </w:tc>
        <w:tc>
          <w:tcPr>
            <w:tcW w:type="dxa" w:w="1433"/>
            <w:tcMar>
              <w:top w:w="50" w:type="dxa"/>
              <w:bottom w:w="50" w:type="dxa"/>
              <w:left w:w="90" w:type="dxa"/>
              <w:right w:w="90" w:type="dxa"/>
            </w:tcMar>
            <w:shd w:val="clear" w:color="auto" w:fill="E5F5FF"/>
          </w:tcPr>
          <w:p>
            <w:pPr>
              <w:pStyle w:val="BDOITable"/>
            </w:pPr>
            <w:r>
              <w:rPr>
                <w:sz w:val="15"/>
              </w:rPr>
              <w:t>FRRN.014</w:t>
            </w:r>
          </w:p>
        </w:tc>
        <w:tc>
          <w:tcPr>
            <w:tcW w:type="dxa" w:w="1791"/>
            <w:tcMar>
              <w:top w:w="50" w:type="dxa"/>
              <w:bottom w:w="50" w:type="dxa"/>
              <w:left w:w="90" w:type="dxa"/>
              <w:right w:w="90" w:type="dxa"/>
            </w:tcMar>
            <w:shd w:val="clear" w:color="auto" w:fill="E5F5FF"/>
          </w:tcPr>
          <w:p>
            <w:pPr>
              <w:pStyle w:val="BDOITable"/>
            </w:pPr>
            <w:r>
              <w:rPr>
                <w:sz w:val="15"/>
              </w:rPr>
              <w:t>FRRN.014.01 to FRRN.014.07 (7)</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Update account details (bulk)</w:t>
            </w:r>
          </w:p>
        </w:tc>
        <w:tc>
          <w:tcPr>
            <w:tcW w:type="dxa" w:w="1433"/>
            <w:tcMar>
              <w:top w:w="50" w:type="dxa"/>
              <w:bottom w:w="50" w:type="dxa"/>
              <w:left w:w="90" w:type="dxa"/>
              <w:right w:w="90" w:type="dxa"/>
            </w:tcMar>
          </w:tcPr>
          <w:p>
            <w:pPr>
              <w:pStyle w:val="BDOITable"/>
            </w:pPr>
            <w:r>
              <w:rPr>
                <w:sz w:val="15"/>
              </w:rPr>
              <w:t>FRRN.015</w:t>
            </w:r>
          </w:p>
        </w:tc>
        <w:tc>
          <w:tcPr>
            <w:tcW w:type="dxa" w:w="1791"/>
            <w:tcMar>
              <w:top w:w="50" w:type="dxa"/>
              <w:bottom w:w="50" w:type="dxa"/>
              <w:left w:w="90" w:type="dxa"/>
              <w:right w:w="90" w:type="dxa"/>
            </w:tcMar>
          </w:tcPr>
          <w:p>
            <w:pPr>
              <w:pStyle w:val="BDOITable"/>
            </w:pPr>
            <w:r>
              <w:rPr>
                <w:sz w:val="15"/>
              </w:rPr>
              <w:t>FRRN.015.03 to FRRN.015.07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Submit for posting</w:t>
            </w:r>
          </w:p>
        </w:tc>
        <w:tc>
          <w:tcPr>
            <w:tcW w:type="dxa" w:w="1433"/>
            <w:tcMar>
              <w:top w:w="50" w:type="dxa"/>
              <w:bottom w:w="50" w:type="dxa"/>
              <w:left w:w="90" w:type="dxa"/>
              <w:right w:w="90" w:type="dxa"/>
            </w:tcMar>
            <w:shd w:val="clear" w:color="auto" w:fill="E5F5FF"/>
          </w:tcPr>
          <w:p>
            <w:pPr>
              <w:pStyle w:val="BDOITable"/>
            </w:pPr>
            <w:r>
              <w:rPr>
                <w:sz w:val="15"/>
              </w:rPr>
              <w:t>FRRN.016</w:t>
            </w:r>
          </w:p>
        </w:tc>
        <w:tc>
          <w:tcPr>
            <w:tcW w:type="dxa" w:w="1791"/>
            <w:tcMar>
              <w:top w:w="50" w:type="dxa"/>
              <w:bottom w:w="50" w:type="dxa"/>
              <w:left w:w="90" w:type="dxa"/>
              <w:right w:w="90" w:type="dxa"/>
            </w:tcMar>
            <w:shd w:val="clear" w:color="auto" w:fill="E5F5FF"/>
          </w:tcPr>
          <w:p>
            <w:pPr>
              <w:pStyle w:val="BDOITable"/>
            </w:pPr>
            <w:r>
              <w:rPr>
                <w:sz w:val="15"/>
              </w:rPr>
              <w:t>FRRN.016.01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Quick and full proposal</w:t>
            </w:r>
          </w:p>
        </w:tc>
        <w:tc>
          <w:tcPr>
            <w:tcW w:type="dxa" w:w="1433"/>
            <w:tcMar>
              <w:top w:w="50" w:type="dxa"/>
              <w:bottom w:w="50" w:type="dxa"/>
              <w:left w:w="90" w:type="dxa"/>
              <w:right w:w="90" w:type="dxa"/>
            </w:tcMar>
          </w:tcPr>
          <w:p>
            <w:pPr>
              <w:pStyle w:val="BDOITable"/>
            </w:pPr>
            <w:r>
              <w:rPr>
                <w:sz w:val="15"/>
              </w:rPr>
              <w:t>FRRN.017</w:t>
            </w:r>
          </w:p>
        </w:tc>
        <w:tc>
          <w:tcPr>
            <w:tcW w:type="dxa" w:w="1791"/>
            <w:tcMar>
              <w:top w:w="50" w:type="dxa"/>
              <w:bottom w:w="50" w:type="dxa"/>
              <w:left w:w="90" w:type="dxa"/>
              <w:right w:w="90" w:type="dxa"/>
            </w:tcMar>
          </w:tcPr>
          <w:p>
            <w:pPr>
              <w:pStyle w:val="BDOITable"/>
            </w:pPr>
            <w:r>
              <w:rPr>
                <w:sz w:val="15"/>
              </w:rPr>
              <w:t>FRRN.017.01 to FRRN.017.02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SR-BRD06-018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Quotation request to TSU</w:t>
            </w:r>
          </w:p>
        </w:tc>
        <w:tc>
          <w:tcPr>
            <w:tcW w:type="dxa" w:w="1433"/>
            <w:tcMar>
              <w:top w:w="50" w:type="dxa"/>
              <w:bottom w:w="50" w:type="dxa"/>
              <w:left w:w="90" w:type="dxa"/>
              <w:right w:w="90" w:type="dxa"/>
            </w:tcMar>
            <w:shd w:val="clear" w:color="auto" w:fill="E5F5FF"/>
          </w:tcPr>
          <w:p>
            <w:pPr>
              <w:pStyle w:val="BDOITable"/>
            </w:pPr>
            <w:r>
              <w:rPr>
                <w:sz w:val="15"/>
              </w:rPr>
              <w:t>FRRN.018</w:t>
            </w:r>
          </w:p>
        </w:tc>
        <w:tc>
          <w:tcPr>
            <w:tcW w:type="dxa" w:w="1791"/>
            <w:tcMar>
              <w:top w:w="50" w:type="dxa"/>
              <w:bottom w:w="50" w:type="dxa"/>
              <w:left w:w="90" w:type="dxa"/>
              <w:right w:w="90" w:type="dxa"/>
            </w:tcMar>
            <w:shd w:val="clear" w:color="auto" w:fill="E5F5FF"/>
          </w:tcPr>
          <w:p>
            <w:pPr>
              <w:pStyle w:val="BDOITable"/>
            </w:pPr>
            <w:r>
              <w:rPr>
                <w:sz w:val="15"/>
              </w:rPr>
              <w:t>FRRN.018.01 to FRRN.018.02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SR-BRD06-019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Update proposal status</w:t>
            </w:r>
          </w:p>
        </w:tc>
        <w:tc>
          <w:tcPr>
            <w:tcW w:type="dxa" w:w="1433"/>
            <w:tcMar>
              <w:top w:w="50" w:type="dxa"/>
              <w:bottom w:w="50" w:type="dxa"/>
              <w:left w:w="90" w:type="dxa"/>
              <w:right w:w="90" w:type="dxa"/>
            </w:tcMar>
          </w:tcPr>
          <w:p>
            <w:pPr>
              <w:pStyle w:val="BDOITable"/>
            </w:pPr>
            <w:r>
              <w:rPr>
                <w:sz w:val="15"/>
              </w:rPr>
              <w:t>FRRN.019</w:t>
            </w:r>
          </w:p>
        </w:tc>
        <w:tc>
          <w:tcPr>
            <w:tcW w:type="dxa" w:w="1791"/>
            <w:tcMar>
              <w:top w:w="50" w:type="dxa"/>
              <w:bottom w:w="50" w:type="dxa"/>
              <w:left w:w="90" w:type="dxa"/>
              <w:right w:w="90" w:type="dxa"/>
            </w:tcMar>
          </w:tcPr>
          <w:p>
            <w:pPr>
              <w:pStyle w:val="BDOITable"/>
            </w:pPr>
            <w:r>
              <w:rPr>
                <w:sz w:val="15"/>
              </w:rPr>
              <w:t>FRRN.019.01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Review and posting of submitted accounts</w:t>
            </w:r>
          </w:p>
        </w:tc>
        <w:tc>
          <w:tcPr>
            <w:tcW w:type="dxa" w:w="1433"/>
            <w:tcMar>
              <w:top w:w="50" w:type="dxa"/>
              <w:bottom w:w="50" w:type="dxa"/>
              <w:left w:w="90" w:type="dxa"/>
              <w:right w:w="90" w:type="dxa"/>
            </w:tcMar>
            <w:shd w:val="clear" w:color="auto" w:fill="E5F5FF"/>
          </w:tcPr>
          <w:p>
            <w:pPr>
              <w:pStyle w:val="BDOITable"/>
            </w:pPr>
            <w:r>
              <w:rPr>
                <w:sz w:val="15"/>
              </w:rPr>
              <w:t>FRRN.020</w:t>
            </w:r>
          </w:p>
        </w:tc>
        <w:tc>
          <w:tcPr>
            <w:tcW w:type="dxa" w:w="1791"/>
            <w:tcMar>
              <w:top w:w="50" w:type="dxa"/>
              <w:bottom w:w="50" w:type="dxa"/>
              <w:left w:w="90" w:type="dxa"/>
              <w:right w:w="90" w:type="dxa"/>
            </w:tcMar>
            <w:shd w:val="clear" w:color="auto" w:fill="E5F5FF"/>
          </w:tcPr>
          <w:p>
            <w:pPr>
              <w:pStyle w:val="BDOITable"/>
            </w:pPr>
            <w:r>
              <w:rPr>
                <w:sz w:val="15"/>
              </w:rPr>
              <w:t>FRRN.020.01 to FRRN.020.03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Insurer disposition request</w:t>
            </w:r>
          </w:p>
        </w:tc>
        <w:tc>
          <w:tcPr>
            <w:tcW w:type="dxa" w:w="1433"/>
            <w:tcMar>
              <w:top w:w="50" w:type="dxa"/>
              <w:bottom w:w="50" w:type="dxa"/>
              <w:left w:w="90" w:type="dxa"/>
              <w:right w:w="90" w:type="dxa"/>
            </w:tcMar>
          </w:tcPr>
          <w:p>
            <w:pPr>
              <w:pStyle w:val="BDOITable"/>
            </w:pPr>
            <w:r>
              <w:rPr>
                <w:sz w:val="15"/>
              </w:rPr>
              <w:t>FRRN.021</w:t>
            </w:r>
          </w:p>
        </w:tc>
        <w:tc>
          <w:tcPr>
            <w:tcW w:type="dxa" w:w="1791"/>
            <w:tcMar>
              <w:top w:w="50" w:type="dxa"/>
              <w:bottom w:w="50" w:type="dxa"/>
              <w:left w:w="90" w:type="dxa"/>
              <w:right w:w="90" w:type="dxa"/>
            </w:tcMar>
          </w:tcPr>
          <w:p>
            <w:pPr>
              <w:pStyle w:val="BDOITable"/>
            </w:pPr>
            <w:r>
              <w:rPr>
                <w:sz w:val="15"/>
              </w:rPr>
              <w:t>FRRN.021.01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Renewal Advice generation and sending</w:t>
            </w:r>
          </w:p>
        </w:tc>
        <w:tc>
          <w:tcPr>
            <w:tcW w:type="dxa" w:w="1433"/>
            <w:tcMar>
              <w:top w:w="50" w:type="dxa"/>
              <w:bottom w:w="50" w:type="dxa"/>
              <w:left w:w="90" w:type="dxa"/>
              <w:right w:w="90" w:type="dxa"/>
            </w:tcMar>
            <w:shd w:val="clear" w:color="auto" w:fill="E5F5FF"/>
          </w:tcPr>
          <w:p>
            <w:pPr>
              <w:pStyle w:val="BDOITable"/>
            </w:pPr>
            <w:r>
              <w:rPr>
                <w:sz w:val="15"/>
              </w:rPr>
              <w:t>FRRN.022</w:t>
            </w:r>
          </w:p>
        </w:tc>
        <w:tc>
          <w:tcPr>
            <w:tcW w:type="dxa" w:w="1791"/>
            <w:tcMar>
              <w:top w:w="50" w:type="dxa"/>
              <w:bottom w:w="50" w:type="dxa"/>
              <w:left w:w="90" w:type="dxa"/>
              <w:right w:w="90" w:type="dxa"/>
            </w:tcMar>
            <w:shd w:val="clear" w:color="auto" w:fill="E5F5FF"/>
          </w:tcPr>
          <w:p>
            <w:pPr>
              <w:pStyle w:val="BDOITable"/>
            </w:pPr>
            <w:r>
              <w:rPr>
                <w:sz w:val="15"/>
              </w:rPr>
              <w:t>FRRN.022.01 to FRRN.022.02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Client letter determination, generation and sending</w:t>
            </w:r>
          </w:p>
        </w:tc>
        <w:tc>
          <w:tcPr>
            <w:tcW w:type="dxa" w:w="1433"/>
            <w:tcMar>
              <w:top w:w="50" w:type="dxa"/>
              <w:bottom w:w="50" w:type="dxa"/>
              <w:left w:w="90" w:type="dxa"/>
              <w:right w:w="90" w:type="dxa"/>
            </w:tcMar>
          </w:tcPr>
          <w:p>
            <w:pPr>
              <w:pStyle w:val="BDOITable"/>
            </w:pPr>
            <w:r>
              <w:rPr>
                <w:sz w:val="15"/>
              </w:rPr>
              <w:t>FRRN.023</w:t>
            </w:r>
          </w:p>
        </w:tc>
        <w:tc>
          <w:tcPr>
            <w:tcW w:type="dxa" w:w="1791"/>
            <w:tcMar>
              <w:top w:w="50" w:type="dxa"/>
              <w:bottom w:w="50" w:type="dxa"/>
              <w:left w:w="90" w:type="dxa"/>
              <w:right w:w="90" w:type="dxa"/>
            </w:tcMar>
          </w:tcPr>
          <w:p>
            <w:pPr>
              <w:pStyle w:val="BDOITable"/>
            </w:pPr>
            <w:r>
              <w:rPr>
                <w:sz w:val="15"/>
              </w:rPr>
              <w:t>FRRN.023.01 to FRRN.023.03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File protection</w:t>
            </w:r>
          </w:p>
        </w:tc>
        <w:tc>
          <w:tcPr>
            <w:tcW w:type="dxa" w:w="1433"/>
            <w:tcMar>
              <w:top w:w="50" w:type="dxa"/>
              <w:bottom w:w="50" w:type="dxa"/>
              <w:left w:w="90" w:type="dxa"/>
              <w:right w:w="90" w:type="dxa"/>
            </w:tcMar>
            <w:shd w:val="clear" w:color="auto" w:fill="E5F5FF"/>
          </w:tcPr>
          <w:p>
            <w:pPr>
              <w:pStyle w:val="BDOITable"/>
            </w:pPr>
            <w:r>
              <w:rPr>
                <w:sz w:val="15"/>
              </w:rPr>
              <w:t>FRRN.024</w:t>
            </w:r>
          </w:p>
        </w:tc>
        <w:tc>
          <w:tcPr>
            <w:tcW w:type="dxa" w:w="1791"/>
            <w:tcMar>
              <w:top w:w="50" w:type="dxa"/>
              <w:bottom w:w="50" w:type="dxa"/>
              <w:left w:w="90" w:type="dxa"/>
              <w:right w:w="90" w:type="dxa"/>
            </w:tcMar>
            <w:shd w:val="clear" w:color="auto" w:fill="E5F5FF"/>
          </w:tcPr>
          <w:p>
            <w:pPr>
              <w:pStyle w:val="BDOITable"/>
            </w:pPr>
            <w:r>
              <w:rPr>
                <w:sz w:val="15"/>
              </w:rPr>
              <w:t>FRRN.024.01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Client acceptance of the Renewal Advice</w:t>
            </w:r>
          </w:p>
        </w:tc>
        <w:tc>
          <w:tcPr>
            <w:tcW w:type="dxa" w:w="1433"/>
            <w:tcMar>
              <w:top w:w="50" w:type="dxa"/>
              <w:bottom w:w="50" w:type="dxa"/>
              <w:left w:w="90" w:type="dxa"/>
              <w:right w:w="90" w:type="dxa"/>
            </w:tcMar>
          </w:tcPr>
          <w:p>
            <w:pPr>
              <w:pStyle w:val="BDOITable"/>
            </w:pPr>
            <w:r>
              <w:rPr>
                <w:sz w:val="15"/>
              </w:rPr>
              <w:t>FRRN.025</w:t>
            </w:r>
          </w:p>
        </w:tc>
        <w:tc>
          <w:tcPr>
            <w:tcW w:type="dxa" w:w="1791"/>
            <w:tcMar>
              <w:top w:w="50" w:type="dxa"/>
              <w:bottom w:w="50" w:type="dxa"/>
              <w:left w:w="90" w:type="dxa"/>
              <w:right w:w="90" w:type="dxa"/>
            </w:tcMar>
          </w:tcPr>
          <w:p>
            <w:pPr>
              <w:pStyle w:val="BDOITable"/>
            </w:pPr>
            <w:r>
              <w:rPr>
                <w:sz w:val="15"/>
              </w:rPr>
              <w:t>FRRN.025.01 to FRRN.025.02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Review and submission for placement</w:t>
            </w:r>
          </w:p>
        </w:tc>
        <w:tc>
          <w:tcPr>
            <w:tcW w:type="dxa" w:w="1433"/>
            <w:tcMar>
              <w:top w:w="50" w:type="dxa"/>
              <w:bottom w:w="50" w:type="dxa"/>
              <w:left w:w="90" w:type="dxa"/>
              <w:right w:w="90" w:type="dxa"/>
            </w:tcMar>
            <w:shd w:val="clear" w:color="auto" w:fill="E5F5FF"/>
          </w:tcPr>
          <w:p>
            <w:pPr>
              <w:pStyle w:val="BDOITable"/>
            </w:pPr>
            <w:r>
              <w:rPr>
                <w:sz w:val="15"/>
              </w:rPr>
              <w:t>FRRN.026</w:t>
            </w:r>
          </w:p>
        </w:tc>
        <w:tc>
          <w:tcPr>
            <w:tcW w:type="dxa" w:w="1791"/>
            <w:tcMar>
              <w:top w:w="50" w:type="dxa"/>
              <w:bottom w:w="50" w:type="dxa"/>
              <w:left w:w="90" w:type="dxa"/>
              <w:right w:w="90" w:type="dxa"/>
            </w:tcMar>
            <w:shd w:val="clear" w:color="auto" w:fill="E5F5FF"/>
          </w:tcPr>
          <w:p>
            <w:pPr>
              <w:pStyle w:val="BDOITable"/>
            </w:pPr>
            <w:r>
              <w:rPr>
                <w:sz w:val="15"/>
              </w:rPr>
              <w:t>FRRN.026.01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CLPC billing file generation and sending</w:t>
            </w:r>
          </w:p>
        </w:tc>
        <w:tc>
          <w:tcPr>
            <w:tcW w:type="dxa" w:w="1433"/>
            <w:tcMar>
              <w:top w:w="50" w:type="dxa"/>
              <w:bottom w:w="50" w:type="dxa"/>
              <w:left w:w="90" w:type="dxa"/>
              <w:right w:w="90" w:type="dxa"/>
            </w:tcMar>
          </w:tcPr>
          <w:p>
            <w:pPr>
              <w:pStyle w:val="BDOITable"/>
            </w:pPr>
            <w:r>
              <w:rPr>
                <w:sz w:val="15"/>
              </w:rPr>
              <w:t>FRRN.027</w:t>
            </w:r>
          </w:p>
        </w:tc>
        <w:tc>
          <w:tcPr>
            <w:tcW w:type="dxa" w:w="1791"/>
            <w:tcMar>
              <w:top w:w="50" w:type="dxa"/>
              <w:bottom w:w="50" w:type="dxa"/>
              <w:left w:w="90" w:type="dxa"/>
              <w:right w:w="90" w:type="dxa"/>
            </w:tcMar>
          </w:tcPr>
          <w:p>
            <w:pPr>
              <w:pStyle w:val="BDOITable"/>
            </w:pPr>
            <w:r>
              <w:rPr>
                <w:sz w:val="15"/>
              </w:rPr>
              <w:t>FRRN.027.01 to FRRN.027.03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SR-BRD06-028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Payment status from Cashiering</w:t>
            </w:r>
          </w:p>
        </w:tc>
        <w:tc>
          <w:tcPr>
            <w:tcW w:type="dxa" w:w="1433"/>
            <w:tcMar>
              <w:top w:w="50" w:type="dxa"/>
              <w:bottom w:w="50" w:type="dxa"/>
              <w:left w:w="90" w:type="dxa"/>
              <w:right w:w="90" w:type="dxa"/>
            </w:tcMar>
            <w:shd w:val="clear" w:color="auto" w:fill="E5F5FF"/>
          </w:tcPr>
          <w:p>
            <w:pPr>
              <w:pStyle w:val="BDOITable"/>
            </w:pPr>
            <w:r>
              <w:rPr>
                <w:sz w:val="15"/>
              </w:rPr>
              <w:t>FRRN.028</w:t>
            </w:r>
          </w:p>
        </w:tc>
        <w:tc>
          <w:tcPr>
            <w:tcW w:type="dxa" w:w="1791"/>
            <w:tcMar>
              <w:top w:w="50" w:type="dxa"/>
              <w:bottom w:w="50" w:type="dxa"/>
              <w:left w:w="90" w:type="dxa"/>
              <w:right w:w="90" w:type="dxa"/>
            </w:tcMar>
            <w:shd w:val="clear" w:color="auto" w:fill="E5F5FF"/>
          </w:tcPr>
          <w:p>
            <w:pPr>
              <w:pStyle w:val="BDOITable"/>
            </w:pPr>
            <w:r>
              <w:rPr>
                <w:sz w:val="15"/>
              </w:rPr>
              <w:t>FRRN.028.01 to FRRN.028.02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SR-BRD06-029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Placement processing</w:t>
            </w:r>
          </w:p>
        </w:tc>
        <w:tc>
          <w:tcPr>
            <w:tcW w:type="dxa" w:w="1433"/>
            <w:tcMar>
              <w:top w:w="50" w:type="dxa"/>
              <w:bottom w:w="50" w:type="dxa"/>
              <w:left w:w="90" w:type="dxa"/>
              <w:right w:w="90" w:type="dxa"/>
            </w:tcMar>
          </w:tcPr>
          <w:p>
            <w:pPr>
              <w:pStyle w:val="BDOITable"/>
            </w:pPr>
            <w:r>
              <w:rPr>
                <w:sz w:val="15"/>
              </w:rPr>
              <w:t>FRRN.029</w:t>
            </w:r>
          </w:p>
        </w:tc>
        <w:tc>
          <w:tcPr>
            <w:tcW w:type="dxa" w:w="1791"/>
            <w:tcMar>
              <w:top w:w="50" w:type="dxa"/>
              <w:bottom w:w="50" w:type="dxa"/>
              <w:left w:w="90" w:type="dxa"/>
              <w:right w:w="90" w:type="dxa"/>
            </w:tcMar>
          </w:tcPr>
          <w:p>
            <w:pPr>
              <w:pStyle w:val="BDOITable"/>
            </w:pPr>
            <w:r>
              <w:rPr>
                <w:sz w:val="15"/>
              </w:rPr>
              <w:t>FRRN.029.01 to FRRN.029.05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Insurer placement response processing</w:t>
            </w:r>
          </w:p>
        </w:tc>
        <w:tc>
          <w:tcPr>
            <w:tcW w:type="dxa" w:w="1433"/>
            <w:tcMar>
              <w:top w:w="50" w:type="dxa"/>
              <w:bottom w:w="50" w:type="dxa"/>
              <w:left w:w="90" w:type="dxa"/>
              <w:right w:w="90" w:type="dxa"/>
            </w:tcMar>
            <w:shd w:val="clear" w:color="auto" w:fill="E5F5FF"/>
          </w:tcPr>
          <w:p>
            <w:pPr>
              <w:pStyle w:val="BDOITable"/>
            </w:pPr>
            <w:r>
              <w:rPr>
                <w:sz w:val="15"/>
              </w:rPr>
              <w:t>FRRN.030</w:t>
            </w:r>
          </w:p>
        </w:tc>
        <w:tc>
          <w:tcPr>
            <w:tcW w:type="dxa" w:w="1791"/>
            <w:tcMar>
              <w:top w:w="50" w:type="dxa"/>
              <w:bottom w:w="50" w:type="dxa"/>
              <w:left w:w="90" w:type="dxa"/>
              <w:right w:w="90" w:type="dxa"/>
            </w:tcMar>
            <w:shd w:val="clear" w:color="auto" w:fill="E5F5FF"/>
          </w:tcPr>
          <w:p>
            <w:pPr>
              <w:pStyle w:val="BDOITable"/>
            </w:pPr>
            <w:r>
              <w:rPr>
                <w:sz w:val="15"/>
              </w:rPr>
              <w:t>FRRN.030.01 to FRRN.030.04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Return of the renewal account to Marketing</w:t>
            </w:r>
          </w:p>
        </w:tc>
        <w:tc>
          <w:tcPr>
            <w:tcW w:type="dxa" w:w="1433"/>
            <w:tcMar>
              <w:top w:w="50" w:type="dxa"/>
              <w:bottom w:w="50" w:type="dxa"/>
              <w:left w:w="90" w:type="dxa"/>
              <w:right w:w="90" w:type="dxa"/>
            </w:tcMar>
          </w:tcPr>
          <w:p>
            <w:pPr>
              <w:pStyle w:val="BDOITable"/>
            </w:pPr>
            <w:r>
              <w:rPr>
                <w:sz w:val="15"/>
              </w:rPr>
              <w:t>FRRN.031</w:t>
            </w:r>
          </w:p>
        </w:tc>
        <w:tc>
          <w:tcPr>
            <w:tcW w:type="dxa" w:w="1791"/>
            <w:tcMar>
              <w:top w:w="50" w:type="dxa"/>
              <w:bottom w:w="50" w:type="dxa"/>
              <w:left w:w="90" w:type="dxa"/>
              <w:right w:w="90" w:type="dxa"/>
            </w:tcMar>
          </w:tcPr>
          <w:p>
            <w:pPr>
              <w:pStyle w:val="BDOITable"/>
            </w:pPr>
            <w:r>
              <w:rPr>
                <w:sz w:val="15"/>
              </w:rPr>
              <w:t>FRRN.031.01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Insurance Advice generation and sending</w:t>
            </w:r>
          </w:p>
        </w:tc>
        <w:tc>
          <w:tcPr>
            <w:tcW w:type="dxa" w:w="1433"/>
            <w:tcMar>
              <w:top w:w="50" w:type="dxa"/>
              <w:bottom w:w="50" w:type="dxa"/>
              <w:left w:w="90" w:type="dxa"/>
              <w:right w:w="90" w:type="dxa"/>
            </w:tcMar>
            <w:shd w:val="clear" w:color="auto" w:fill="E5F5FF"/>
          </w:tcPr>
          <w:p>
            <w:pPr>
              <w:pStyle w:val="BDOITable"/>
            </w:pPr>
            <w:r>
              <w:rPr>
                <w:sz w:val="15"/>
              </w:rPr>
              <w:t>FRRN.032</w:t>
            </w:r>
          </w:p>
        </w:tc>
        <w:tc>
          <w:tcPr>
            <w:tcW w:type="dxa" w:w="1791"/>
            <w:tcMar>
              <w:top w:w="50" w:type="dxa"/>
              <w:bottom w:w="50" w:type="dxa"/>
              <w:left w:w="90" w:type="dxa"/>
              <w:right w:w="90" w:type="dxa"/>
            </w:tcMar>
            <w:shd w:val="clear" w:color="auto" w:fill="E5F5FF"/>
          </w:tcPr>
          <w:p>
            <w:pPr>
              <w:pStyle w:val="BDOITable"/>
            </w:pPr>
            <w:r>
              <w:rPr>
                <w:sz w:val="15"/>
              </w:rPr>
              <w:t>FRRN.032.01 to FRRN.032.02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E-policy processing and sending</w:t>
            </w:r>
          </w:p>
        </w:tc>
        <w:tc>
          <w:tcPr>
            <w:tcW w:type="dxa" w:w="1433"/>
            <w:tcMar>
              <w:top w:w="50" w:type="dxa"/>
              <w:bottom w:w="50" w:type="dxa"/>
              <w:left w:w="90" w:type="dxa"/>
              <w:right w:w="90" w:type="dxa"/>
            </w:tcMar>
          </w:tcPr>
          <w:p>
            <w:pPr>
              <w:pStyle w:val="BDOITable"/>
            </w:pPr>
            <w:r>
              <w:rPr>
                <w:sz w:val="15"/>
              </w:rPr>
              <w:t>FRRN.033</w:t>
            </w:r>
          </w:p>
        </w:tc>
        <w:tc>
          <w:tcPr>
            <w:tcW w:type="dxa" w:w="1791"/>
            <w:tcMar>
              <w:top w:w="50" w:type="dxa"/>
              <w:bottom w:w="50" w:type="dxa"/>
              <w:left w:w="90" w:type="dxa"/>
              <w:right w:w="90" w:type="dxa"/>
            </w:tcMar>
          </w:tcPr>
          <w:p>
            <w:pPr>
              <w:pStyle w:val="BDOITable"/>
            </w:pPr>
            <w:r>
              <w:rPr>
                <w:sz w:val="15"/>
              </w:rPr>
              <w:t>FRRN.033.01 to FRRN.033.05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Incentive code determination</w:t>
            </w:r>
          </w:p>
        </w:tc>
        <w:tc>
          <w:tcPr>
            <w:tcW w:type="dxa" w:w="1433"/>
            <w:tcMar>
              <w:top w:w="50" w:type="dxa"/>
              <w:bottom w:w="50" w:type="dxa"/>
              <w:left w:w="90" w:type="dxa"/>
              <w:right w:w="90" w:type="dxa"/>
            </w:tcMar>
            <w:shd w:val="clear" w:color="auto" w:fill="E5F5FF"/>
          </w:tcPr>
          <w:p>
            <w:pPr>
              <w:pStyle w:val="BDOITable"/>
            </w:pPr>
            <w:r>
              <w:rPr>
                <w:sz w:val="15"/>
              </w:rPr>
              <w:t>FRRN.034</w:t>
            </w:r>
          </w:p>
        </w:tc>
        <w:tc>
          <w:tcPr>
            <w:tcW w:type="dxa" w:w="1791"/>
            <w:tcMar>
              <w:top w:w="50" w:type="dxa"/>
              <w:bottom w:w="50" w:type="dxa"/>
              <w:left w:w="90" w:type="dxa"/>
              <w:right w:w="90" w:type="dxa"/>
            </w:tcMar>
            <w:shd w:val="clear" w:color="auto" w:fill="E5F5FF"/>
          </w:tcPr>
          <w:p>
            <w:pPr>
              <w:pStyle w:val="BDOITable"/>
            </w:pPr>
            <w:r>
              <w:rPr>
                <w:sz w:val="15"/>
              </w:rPr>
              <w:t>FRRN.034.01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Invoice number, accounting entries and service invoice</w:t>
            </w:r>
          </w:p>
        </w:tc>
        <w:tc>
          <w:tcPr>
            <w:tcW w:type="dxa" w:w="1433"/>
            <w:tcMar>
              <w:top w:w="50" w:type="dxa"/>
              <w:bottom w:w="50" w:type="dxa"/>
              <w:left w:w="90" w:type="dxa"/>
              <w:right w:w="90" w:type="dxa"/>
            </w:tcMar>
          </w:tcPr>
          <w:p>
            <w:pPr>
              <w:pStyle w:val="BDOITable"/>
            </w:pPr>
            <w:r>
              <w:rPr>
                <w:sz w:val="15"/>
              </w:rPr>
              <w:t>FRRN.035</w:t>
            </w:r>
          </w:p>
        </w:tc>
        <w:tc>
          <w:tcPr>
            <w:tcW w:type="dxa" w:w="1791"/>
            <w:tcMar>
              <w:top w:w="50" w:type="dxa"/>
              <w:bottom w:w="50" w:type="dxa"/>
              <w:left w:w="90" w:type="dxa"/>
              <w:right w:w="90" w:type="dxa"/>
            </w:tcMar>
          </w:tcPr>
          <w:p>
            <w:pPr>
              <w:pStyle w:val="BDOITable"/>
            </w:pPr>
            <w:r>
              <w:rPr>
                <w:sz w:val="15"/>
              </w:rPr>
              <w:t>FRRN.035.01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Hold cover requests</w:t>
            </w:r>
          </w:p>
        </w:tc>
        <w:tc>
          <w:tcPr>
            <w:tcW w:type="dxa" w:w="1433"/>
            <w:tcMar>
              <w:top w:w="50" w:type="dxa"/>
              <w:bottom w:w="50" w:type="dxa"/>
              <w:left w:w="90" w:type="dxa"/>
              <w:right w:w="90" w:type="dxa"/>
            </w:tcMar>
            <w:shd w:val="clear" w:color="auto" w:fill="E5F5FF"/>
          </w:tcPr>
          <w:p>
            <w:pPr>
              <w:pStyle w:val="BDOITable"/>
            </w:pPr>
            <w:r>
              <w:rPr>
                <w:sz w:val="15"/>
              </w:rPr>
              <w:t>FRRN.036</w:t>
            </w:r>
          </w:p>
        </w:tc>
        <w:tc>
          <w:tcPr>
            <w:tcW w:type="dxa" w:w="1791"/>
            <w:tcMar>
              <w:top w:w="50" w:type="dxa"/>
              <w:bottom w:w="50" w:type="dxa"/>
              <w:left w:w="90" w:type="dxa"/>
              <w:right w:w="90" w:type="dxa"/>
            </w:tcMar>
            <w:shd w:val="clear" w:color="auto" w:fill="E5F5FF"/>
          </w:tcPr>
          <w:p>
            <w:pPr>
              <w:pStyle w:val="BDOITable"/>
            </w:pPr>
            <w:r>
              <w:rPr>
                <w:sz w:val="15"/>
              </w:rPr>
              <w:t>FRRN.036.01 to FRRN.036.06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Hold cover responses</w:t>
            </w:r>
          </w:p>
        </w:tc>
        <w:tc>
          <w:tcPr>
            <w:tcW w:type="dxa" w:w="1433"/>
            <w:tcMar>
              <w:top w:w="50" w:type="dxa"/>
              <w:bottom w:w="50" w:type="dxa"/>
              <w:left w:w="90" w:type="dxa"/>
              <w:right w:w="90" w:type="dxa"/>
            </w:tcMar>
          </w:tcPr>
          <w:p>
            <w:pPr>
              <w:pStyle w:val="BDOITable"/>
            </w:pPr>
            <w:r>
              <w:rPr>
                <w:sz w:val="15"/>
              </w:rPr>
              <w:t>FRRN.037</w:t>
            </w:r>
          </w:p>
        </w:tc>
        <w:tc>
          <w:tcPr>
            <w:tcW w:type="dxa" w:w="1791"/>
            <w:tcMar>
              <w:top w:w="50" w:type="dxa"/>
              <w:bottom w:w="50" w:type="dxa"/>
              <w:left w:w="90" w:type="dxa"/>
              <w:right w:w="90" w:type="dxa"/>
            </w:tcMar>
          </w:tcPr>
          <w:p>
            <w:pPr>
              <w:pStyle w:val="BDOITable"/>
            </w:pPr>
            <w:r>
              <w:rPr>
                <w:sz w:val="15"/>
              </w:rPr>
              <w:t>FRRN.037.01 to FRRN.037.05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SR-BRD06-038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Risk code maintenance</w:t>
            </w:r>
          </w:p>
        </w:tc>
        <w:tc>
          <w:tcPr>
            <w:tcW w:type="dxa" w:w="1433"/>
            <w:tcMar>
              <w:top w:w="50" w:type="dxa"/>
              <w:bottom w:w="50" w:type="dxa"/>
              <w:left w:w="90" w:type="dxa"/>
              <w:right w:w="90" w:type="dxa"/>
            </w:tcMar>
            <w:shd w:val="clear" w:color="auto" w:fill="E5F5FF"/>
          </w:tcPr>
          <w:p>
            <w:pPr>
              <w:pStyle w:val="BDOITable"/>
            </w:pPr>
            <w:r>
              <w:rPr>
                <w:sz w:val="15"/>
              </w:rPr>
              <w:t>FRRN.038</w:t>
            </w:r>
          </w:p>
        </w:tc>
        <w:tc>
          <w:tcPr>
            <w:tcW w:type="dxa" w:w="1791"/>
            <w:tcMar>
              <w:top w:w="50" w:type="dxa"/>
              <w:bottom w:w="50" w:type="dxa"/>
              <w:left w:w="90" w:type="dxa"/>
              <w:right w:w="90" w:type="dxa"/>
            </w:tcMar>
            <w:shd w:val="clear" w:color="auto" w:fill="E5F5FF"/>
          </w:tcPr>
          <w:p>
            <w:pPr>
              <w:pStyle w:val="BDOITable"/>
            </w:pPr>
            <w:r>
              <w:rPr>
                <w:sz w:val="15"/>
              </w:rPr>
              <w:t>FRRN.038.01 to FRRN.038.04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SR-BRD06-039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KYC monitoring</w:t>
            </w:r>
          </w:p>
        </w:tc>
        <w:tc>
          <w:tcPr>
            <w:tcW w:type="dxa" w:w="1433"/>
            <w:tcMar>
              <w:top w:w="50" w:type="dxa"/>
              <w:bottom w:w="50" w:type="dxa"/>
              <w:left w:w="90" w:type="dxa"/>
              <w:right w:w="90" w:type="dxa"/>
            </w:tcMar>
          </w:tcPr>
          <w:p>
            <w:pPr>
              <w:pStyle w:val="BDOITable"/>
            </w:pPr>
            <w:r>
              <w:rPr>
                <w:sz w:val="15"/>
              </w:rPr>
              <w:t>FRRN.039</w:t>
            </w:r>
          </w:p>
        </w:tc>
        <w:tc>
          <w:tcPr>
            <w:tcW w:type="dxa" w:w="1791"/>
            <w:tcMar>
              <w:top w:w="50" w:type="dxa"/>
              <w:bottom w:w="50" w:type="dxa"/>
              <w:left w:w="90" w:type="dxa"/>
              <w:right w:w="90" w:type="dxa"/>
            </w:tcMar>
          </w:tcPr>
          <w:p>
            <w:pPr>
              <w:pStyle w:val="BDOITable"/>
            </w:pPr>
            <w:r>
              <w:rPr>
                <w:sz w:val="15"/>
              </w:rPr>
              <w:t>FRRN.039.01 to FRRN.039.03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SR-BRD06-040</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Sanitation rules, decision matrix and parameters</w:t>
            </w:r>
          </w:p>
        </w:tc>
        <w:tc>
          <w:tcPr>
            <w:tcW w:type="dxa" w:w="1433"/>
            <w:tcMar>
              <w:top w:w="50" w:type="dxa"/>
              <w:bottom w:w="50" w:type="dxa"/>
              <w:left w:w="90" w:type="dxa"/>
              <w:right w:w="90" w:type="dxa"/>
            </w:tcMar>
            <w:shd w:val="clear" w:color="auto" w:fill="E5F5FF"/>
          </w:tcPr>
          <w:p>
            <w:pPr>
              <w:pStyle w:val="BDOITable"/>
            </w:pPr>
            <w:r>
              <w:rPr>
                <w:sz w:val="15"/>
              </w:rPr>
              <w:t>FRRN.040</w:t>
            </w:r>
          </w:p>
        </w:tc>
        <w:tc>
          <w:tcPr>
            <w:tcW w:type="dxa" w:w="1791"/>
            <w:tcMar>
              <w:top w:w="50" w:type="dxa"/>
              <w:bottom w:w="50" w:type="dxa"/>
              <w:left w:w="90" w:type="dxa"/>
              <w:right w:w="90" w:type="dxa"/>
            </w:tcMar>
            <w:shd w:val="clear" w:color="auto" w:fill="E5F5FF"/>
          </w:tcPr>
          <w:p>
            <w:pPr>
              <w:pStyle w:val="BDOITable"/>
            </w:pPr>
            <w:r>
              <w:rPr>
                <w:sz w:val="15"/>
              </w:rPr>
              <w:t>FRRN.040.01 to FRRN.040.03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SR-BRD06-041</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RMU account maintenance</w:t>
            </w:r>
          </w:p>
        </w:tc>
        <w:tc>
          <w:tcPr>
            <w:tcW w:type="dxa" w:w="1433"/>
            <w:tcMar>
              <w:top w:w="50" w:type="dxa"/>
              <w:bottom w:w="50" w:type="dxa"/>
              <w:left w:w="90" w:type="dxa"/>
              <w:right w:w="90" w:type="dxa"/>
            </w:tcMar>
          </w:tcPr>
          <w:p>
            <w:pPr>
              <w:pStyle w:val="BDOITable"/>
            </w:pPr>
            <w:r>
              <w:rPr>
                <w:sz w:val="15"/>
              </w:rPr>
              <w:t>FRRN.041</w:t>
            </w:r>
          </w:p>
        </w:tc>
        <w:tc>
          <w:tcPr>
            <w:tcW w:type="dxa" w:w="1791"/>
            <w:tcMar>
              <w:top w:w="50" w:type="dxa"/>
              <w:bottom w:w="50" w:type="dxa"/>
              <w:left w:w="90" w:type="dxa"/>
              <w:right w:w="90" w:type="dxa"/>
            </w:tcMar>
          </w:tcPr>
          <w:p>
            <w:pPr>
              <w:pStyle w:val="BDOITable"/>
            </w:pPr>
            <w:r>
              <w:rPr>
                <w:sz w:val="15"/>
              </w:rPr>
              <w:t>FRRN.041.01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SR-BRD06-042</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Annual renewal budget</w:t>
            </w:r>
          </w:p>
        </w:tc>
        <w:tc>
          <w:tcPr>
            <w:tcW w:type="dxa" w:w="1433"/>
            <w:tcMar>
              <w:top w:w="50" w:type="dxa"/>
              <w:bottom w:w="50" w:type="dxa"/>
              <w:left w:w="90" w:type="dxa"/>
              <w:right w:w="90" w:type="dxa"/>
            </w:tcMar>
            <w:shd w:val="clear" w:color="auto" w:fill="E5F5FF"/>
          </w:tcPr>
          <w:p>
            <w:pPr>
              <w:pStyle w:val="BDOITable"/>
            </w:pPr>
            <w:r>
              <w:rPr>
                <w:sz w:val="15"/>
              </w:rPr>
              <w:t>FRRN.042</w:t>
            </w:r>
          </w:p>
        </w:tc>
        <w:tc>
          <w:tcPr>
            <w:tcW w:type="dxa" w:w="1791"/>
            <w:tcMar>
              <w:top w:w="50" w:type="dxa"/>
              <w:bottom w:w="50" w:type="dxa"/>
              <w:left w:w="90" w:type="dxa"/>
              <w:right w:w="90" w:type="dxa"/>
            </w:tcMar>
            <w:shd w:val="clear" w:color="auto" w:fill="E5F5FF"/>
          </w:tcPr>
          <w:p>
            <w:pPr>
              <w:pStyle w:val="BDOITable"/>
            </w:pPr>
            <w:r>
              <w:rPr>
                <w:sz w:val="15"/>
              </w:rPr>
              <w:t>FRRN.042.01 to FRRN.042.06 (6)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SR-BRD06-043</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Audit logs</w:t>
            </w:r>
          </w:p>
        </w:tc>
        <w:tc>
          <w:tcPr>
            <w:tcW w:type="dxa" w:w="1433"/>
            <w:tcMar>
              <w:top w:w="50" w:type="dxa"/>
              <w:bottom w:w="50" w:type="dxa"/>
              <w:left w:w="90" w:type="dxa"/>
              <w:right w:w="90" w:type="dxa"/>
            </w:tcMar>
          </w:tcPr>
          <w:p>
            <w:pPr>
              <w:pStyle w:val="BDOITable"/>
            </w:pPr>
            <w:r>
              <w:rPr>
                <w:sz w:val="15"/>
              </w:rPr>
              <w:t>FRRN.043</w:t>
            </w:r>
          </w:p>
        </w:tc>
        <w:tc>
          <w:tcPr>
            <w:tcW w:type="dxa" w:w="1791"/>
            <w:tcMar>
              <w:top w:w="50" w:type="dxa"/>
              <w:bottom w:w="50" w:type="dxa"/>
              <w:left w:w="90" w:type="dxa"/>
              <w:right w:w="90" w:type="dxa"/>
            </w:tcMar>
          </w:tcPr>
          <w:p>
            <w:pPr>
              <w:pStyle w:val="BDOITable"/>
            </w:pPr>
            <w:r>
              <w:rPr>
                <w:sz w:val="15"/>
              </w:rPr>
              <w:t>FRRN.043.01 to FRRN.043.02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SR-BRD06-044</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Renewal reports</w:t>
            </w:r>
          </w:p>
        </w:tc>
        <w:tc>
          <w:tcPr>
            <w:tcW w:type="dxa" w:w="1433"/>
            <w:tcMar>
              <w:top w:w="50" w:type="dxa"/>
              <w:bottom w:w="50" w:type="dxa"/>
              <w:left w:w="90" w:type="dxa"/>
              <w:right w:w="90" w:type="dxa"/>
            </w:tcMar>
            <w:shd w:val="clear" w:color="auto" w:fill="E5F5FF"/>
          </w:tcPr>
          <w:p>
            <w:pPr>
              <w:pStyle w:val="BDOITable"/>
            </w:pPr>
            <w:r>
              <w:rPr>
                <w:sz w:val="15"/>
              </w:rPr>
              <w:t>FRRN.044</w:t>
            </w:r>
          </w:p>
        </w:tc>
        <w:tc>
          <w:tcPr>
            <w:tcW w:type="dxa" w:w="1791"/>
            <w:tcMar>
              <w:top w:w="50" w:type="dxa"/>
              <w:bottom w:w="50" w:type="dxa"/>
              <w:left w:w="90" w:type="dxa"/>
              <w:right w:w="90" w:type="dxa"/>
            </w:tcMar>
            <w:shd w:val="clear" w:color="auto" w:fill="E5F5FF"/>
          </w:tcPr>
          <w:p>
            <w:pPr>
              <w:pStyle w:val="BDOITable"/>
            </w:pPr>
            <w:r>
              <w:rPr>
                <w:sz w:val="15"/>
              </w:rPr>
              <w:t>FRRN.044.01 to FRRN.044.04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SR-BRD06-045</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Go-live take-over of expiring renewals</w:t>
            </w:r>
          </w:p>
        </w:tc>
        <w:tc>
          <w:tcPr>
            <w:tcW w:type="dxa" w:w="1433"/>
            <w:tcMar>
              <w:top w:w="50" w:type="dxa"/>
              <w:bottom w:w="50" w:type="dxa"/>
              <w:left w:w="90" w:type="dxa"/>
              <w:right w:w="90" w:type="dxa"/>
            </w:tcMar>
          </w:tcPr>
          <w:p>
            <w:pPr>
              <w:pStyle w:val="BDOITable"/>
            </w:pPr>
            <w:r>
              <w:rPr>
                <w:sz w:val="15"/>
              </w:rPr>
              <w:t>FRRN.045</w:t>
            </w:r>
          </w:p>
        </w:tc>
        <w:tc>
          <w:tcPr>
            <w:tcW w:type="dxa" w:w="1791"/>
            <w:tcMar>
              <w:top w:w="50" w:type="dxa"/>
              <w:bottom w:w="50" w:type="dxa"/>
              <w:left w:w="90" w:type="dxa"/>
              <w:right w:w="90" w:type="dxa"/>
            </w:tcMar>
          </w:tcPr>
          <w:p>
            <w:pPr>
              <w:pStyle w:val="BDOITable"/>
            </w:pPr>
            <w:r>
              <w:rPr>
                <w:sz w:val="15"/>
              </w:rPr>
              <w:t>FRRN.045.01 to FRRN.045.02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SR-BRD06-046</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Package of a migrated policy</w:t>
            </w:r>
          </w:p>
        </w:tc>
        <w:tc>
          <w:tcPr>
            <w:tcW w:type="dxa" w:w="1433"/>
            <w:tcMar>
              <w:top w:w="50" w:type="dxa"/>
              <w:bottom w:w="50" w:type="dxa"/>
              <w:left w:w="90" w:type="dxa"/>
              <w:right w:w="90" w:type="dxa"/>
            </w:tcMar>
            <w:shd w:val="clear" w:color="auto" w:fill="E5F5FF"/>
          </w:tcPr>
          <w:p>
            <w:pPr>
              <w:pStyle w:val="BDOITable"/>
            </w:pPr>
            <w:r>
              <w:rPr>
                <w:sz w:val="15"/>
              </w:rPr>
              <w:t>FRRN.046</w:t>
            </w:r>
          </w:p>
        </w:tc>
        <w:tc>
          <w:tcPr>
            <w:tcW w:type="dxa" w:w="1791"/>
            <w:tcMar>
              <w:top w:w="50" w:type="dxa"/>
              <w:bottom w:w="50" w:type="dxa"/>
              <w:left w:w="90" w:type="dxa"/>
              <w:right w:w="90" w:type="dxa"/>
            </w:tcMar>
            <w:shd w:val="clear" w:color="auto" w:fill="E5F5FF"/>
          </w:tcPr>
          <w:p>
            <w:pPr>
              <w:pStyle w:val="BDOITable"/>
            </w:pPr>
            <w:r>
              <w:rPr>
                <w:sz w:val="15"/>
              </w:rPr>
              <w:t>FRRN.046.01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SR-BRD06-047</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Contact Center follow-up</w:t>
            </w:r>
          </w:p>
        </w:tc>
        <w:tc>
          <w:tcPr>
            <w:tcW w:type="dxa" w:w="1433"/>
            <w:tcMar>
              <w:top w:w="50" w:type="dxa"/>
              <w:bottom w:w="50" w:type="dxa"/>
              <w:left w:w="90" w:type="dxa"/>
              <w:right w:w="90" w:type="dxa"/>
            </w:tcMar>
          </w:tcPr>
          <w:p>
            <w:pPr>
              <w:pStyle w:val="BDOITable"/>
            </w:pPr>
            <w:r>
              <w:rPr>
                <w:sz w:val="15"/>
              </w:rPr>
              <w:t>FRRN.047</w:t>
            </w:r>
          </w:p>
        </w:tc>
        <w:tc>
          <w:tcPr>
            <w:tcW w:type="dxa" w:w="1791"/>
            <w:tcMar>
              <w:top w:w="50" w:type="dxa"/>
              <w:bottom w:w="50" w:type="dxa"/>
              <w:left w:w="90" w:type="dxa"/>
              <w:right w:w="90" w:type="dxa"/>
            </w:tcMar>
          </w:tcPr>
          <w:p>
            <w:pPr>
              <w:pStyle w:val="BDOITable"/>
            </w:pPr>
            <w:r>
              <w:rPr>
                <w:sz w:val="15"/>
              </w:rPr>
              <w:t>FRRN.047.01 (1)</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SR-BRD06-048</w:t>
            </w:r>
          </w:p>
        </w:tc>
        <w:tc>
          <w:tcPr>
            <w:tcW w:type="dxa" w:w="776"/>
            <w:tcMar>
              <w:top w:w="50" w:type="dxa"/>
              <w:bottom w:w="50" w:type="dxa"/>
              <w:left w:w="90" w:type="dxa"/>
              <w:right w:w="90" w:type="dxa"/>
            </w:tcMar>
            <w:shd w:val="clear" w:color="auto" w:fill="E5F5FF"/>
          </w:tcPr>
          <w:p>
            <w:pPr>
              <w:pStyle w:val="BDOITable"/>
            </w:pPr>
            <w:r>
              <w:rPr>
                <w:sz w:val="15"/>
              </w:rPr>
              <w:t>BRD-06</w:t>
            </w:r>
          </w:p>
        </w:tc>
        <w:tc>
          <w:tcPr>
            <w:tcW w:type="dxa" w:w="3822"/>
            <w:tcMar>
              <w:top w:w="50" w:type="dxa"/>
              <w:bottom w:w="50" w:type="dxa"/>
              <w:left w:w="90" w:type="dxa"/>
              <w:right w:w="90" w:type="dxa"/>
            </w:tcMar>
            <w:shd w:val="clear" w:color="auto" w:fill="E5F5FF"/>
          </w:tcPr>
          <w:p>
            <w:pPr>
              <w:pStyle w:val="BDOITable"/>
            </w:pPr>
            <w:r>
              <w:rPr>
                <w:sz w:val="15"/>
              </w:rPr>
              <w:t>Renewal of submitted policies</w:t>
            </w:r>
          </w:p>
        </w:tc>
        <w:tc>
          <w:tcPr>
            <w:tcW w:type="dxa" w:w="1433"/>
            <w:tcMar>
              <w:top w:w="50" w:type="dxa"/>
              <w:bottom w:w="50" w:type="dxa"/>
              <w:left w:w="90" w:type="dxa"/>
              <w:right w:w="90" w:type="dxa"/>
            </w:tcMar>
            <w:shd w:val="clear" w:color="auto" w:fill="E5F5FF"/>
          </w:tcPr>
          <w:p>
            <w:pPr>
              <w:pStyle w:val="BDOITable"/>
            </w:pPr>
            <w:r>
              <w:rPr>
                <w:sz w:val="15"/>
              </w:rPr>
              <w:t>FRRN.048</w:t>
            </w:r>
          </w:p>
        </w:tc>
        <w:tc>
          <w:tcPr>
            <w:tcW w:type="dxa" w:w="1791"/>
            <w:tcMar>
              <w:top w:w="50" w:type="dxa"/>
              <w:bottom w:w="50" w:type="dxa"/>
              <w:left w:w="90" w:type="dxa"/>
              <w:right w:w="90" w:type="dxa"/>
            </w:tcMar>
            <w:shd w:val="clear" w:color="auto" w:fill="E5F5FF"/>
          </w:tcPr>
          <w:p>
            <w:pPr>
              <w:pStyle w:val="BDOITable"/>
            </w:pPr>
            <w:r>
              <w:rPr>
                <w:sz w:val="15"/>
              </w:rPr>
              <w:t>FRRN.048.01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SR-BRD06-049</w:t>
            </w:r>
          </w:p>
        </w:tc>
        <w:tc>
          <w:tcPr>
            <w:tcW w:type="dxa" w:w="776"/>
            <w:tcMar>
              <w:top w:w="50" w:type="dxa"/>
              <w:bottom w:w="50" w:type="dxa"/>
              <w:left w:w="90" w:type="dxa"/>
              <w:right w:w="90" w:type="dxa"/>
            </w:tcMar>
          </w:tcPr>
          <w:p>
            <w:pPr>
              <w:pStyle w:val="BDOITable"/>
            </w:pPr>
            <w:r>
              <w:rPr>
                <w:sz w:val="15"/>
              </w:rPr>
              <w:t>BRD-06</w:t>
            </w:r>
          </w:p>
        </w:tc>
        <w:tc>
          <w:tcPr>
            <w:tcW w:type="dxa" w:w="3822"/>
            <w:tcMar>
              <w:top w:w="50" w:type="dxa"/>
              <w:bottom w:w="50" w:type="dxa"/>
              <w:left w:w="90" w:type="dxa"/>
              <w:right w:w="90" w:type="dxa"/>
            </w:tcMar>
          </w:tcPr>
          <w:p>
            <w:pPr>
              <w:pStyle w:val="BDOITable"/>
            </w:pPr>
            <w:r>
              <w:rPr>
                <w:sz w:val="15"/>
              </w:rPr>
              <w:t>Lists of values and letter templates</w:t>
            </w:r>
          </w:p>
        </w:tc>
        <w:tc>
          <w:tcPr>
            <w:tcW w:type="dxa" w:w="1433"/>
            <w:tcMar>
              <w:top w:w="50" w:type="dxa"/>
              <w:bottom w:w="50" w:type="dxa"/>
              <w:left w:w="90" w:type="dxa"/>
              <w:right w:w="90" w:type="dxa"/>
            </w:tcMar>
          </w:tcPr>
          <w:p>
            <w:pPr>
              <w:pStyle w:val="BDOITable"/>
            </w:pPr>
            <w:r>
              <w:rPr>
                <w:sz w:val="15"/>
              </w:rPr>
              <w:t>FRRN.049</w:t>
            </w:r>
          </w:p>
        </w:tc>
        <w:tc>
          <w:tcPr>
            <w:tcW w:type="dxa" w:w="1791"/>
            <w:tcMar>
              <w:top w:w="50" w:type="dxa"/>
              <w:bottom w:w="50" w:type="dxa"/>
              <w:left w:w="90" w:type="dxa"/>
              <w:right w:w="90" w:type="dxa"/>
            </w:tcMar>
          </w:tcPr>
          <w:p>
            <w:pPr>
              <w:pStyle w:val="BDOITable"/>
            </w:pPr>
            <w:r>
              <w:rPr>
                <w:sz w:val="15"/>
              </w:rPr>
              <w:t>FRRN.049.01 to FRRN.049.02 (2)</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4" w:name="_Toc000104"/>
      <w:r>
        <w:rPr/>
        <w:t>4 Common requirements</w:t>
      </w:r>
      <w:bookmarkEnd w:id="104"/>
    </w:p>
    <w:p>
      <w:r>
        <w:rPr/>
        <w:t>Every module meets the common requirements of the platform (BRD-00): menus by persona, notifications, audit trail and change log, reports, documents, lists of values, sign-in and access, workflow, bulk processing, multi-currency and the BDO brand.</w:t>
      </w:r>
    </w:p>
    <w:p>
      <w:pPr>
        <w:pStyle w:val="Caption"/>
        <w:keepNext/>
        <w:spacing w:after="60"/>
      </w:pPr>
      <w:r>
        <w:rPr>
          <w:b/>
          <w:i w:val="0"/>
        </w:rPr>
        <w:t xml:space="preserve">Table 2: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5" w:name="_Toc000105"/>
      <w:r>
        <w:rPr/>
        <w:t>5 Access</w:t>
      </w:r>
      <w:bookmarkEnd w:id="105"/>
    </w:p>
    <w:p>
      <w:r>
        <w:rPr/>
        <w:t>Users and their group-profile membership come from UIDM-ISC and users sign in through Microsoft Entra ID. Every action is checked by permission on the server and every record by the data scope of the user; makers never approve their own work. The Access Matrix of this pack lists, for each group profile, the screens it opens and the actions it may do, with the permission the server checks.</w:t>
      </w:r>
    </w:p>
    <w:p>
      <w:pPr>
        <w:pStyle w:val="Heading1"/>
        <w:pBdr>
          <w:bottom w:val="single" w:sz="4" w:space="4" w:color="99C1E7"/>
        </w:pBdr>
      </w:pPr>
      <w:bookmarkStart w:id="106" w:name="_Toc000106"/>
      <w:r>
        <w:rPr/>
        <w:t>6 Interfaces, reports and non-functional requirements</w:t>
      </w:r>
      <w:bookmarkEnd w:id="106"/>
    </w:p>
    <w:p>
      <w:r>
        <w:rPr/>
        <w:t>The interfaces of the module are specified in the Interface Specification of the pack and the reports, notices and jobs in its Reports, Notifications and Outputs document. The non-functional requirements of the platform apply to every module; the headline targets are:</w:t>
      </w:r>
    </w:p>
    <w:p>
      <w:pPr>
        <w:pStyle w:val="Caption"/>
        <w:keepNext/>
        <w:spacing w:after="60"/>
      </w:pPr>
      <w:r>
        <w:rPr>
          <w:b/>
          <w:i w:val="0"/>
        </w:rPr>
        <w:t xml:space="preserve">Table 3: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Bdr>
          <w:bottom w:val="single" w:sz="4" w:space="4" w:color="99C1E7"/>
        </w:pBdr>
      </w:pPr>
      <w:bookmarkStart w:id="107" w:name="_Toc000107"/>
      <w:r>
        <w:rPr/>
        <w:t>7 Acceptance</w:t>
      </w:r>
      <w:bookmarkEnd w:id="107"/>
    </w:p>
    <w:p>
      <w:pPr>
        <w:tabs>
          <w:tab w:pos="312" w:val="left"/>
        </w:tabs>
        <w:spacing w:after="40"/>
        <w:ind w:left="312" w:hanging="283"/>
      </w:pPr>
      <w:r>
        <w:rPr>
          <w:color w:val="004EA8"/>
        </w:rPr>
        <w:t>•</w:t>
        <w:tab/>
      </w:r>
      <w:r>
        <w:rPr/>
        <w:t>Each system requirement is shown by the test cases of the test plan and the walkthroughs of the pack; the End-to-End Conformance Register v1.7 gives its result today.</w:t>
      </w:r>
    </w:p>
    <w:p>
      <w:pPr>
        <w:tabs>
          <w:tab w:pos="312" w:val="left"/>
        </w:tabs>
        <w:spacing w:after="40"/>
        <w:ind w:left="312" w:hanging="283"/>
      </w:pPr>
      <w:r>
        <w:rPr>
          <w:color w:val="004EA8"/>
        </w:rPr>
        <w:t>•</w:t>
        <w:tab/>
      </w:r>
      <w:r>
        <w:rPr/>
        <w:t>UAT sign-off of the module by its product owner, on the business scenarios of the pack.</w:t>
      </w:r>
    </w:p>
    <w:p>
      <w:pPr>
        <w:tabs>
          <w:tab w:pos="312" w:val="left"/>
        </w:tabs>
        <w:spacing w:after="120"/>
        <w:ind w:left="312" w:hanging="283"/>
      </w:pPr>
      <w:r>
        <w:rPr>
          <w:color w:val="004EA8"/>
        </w:rPr>
        <w:t>•</w:t>
        <w:tab/>
      </w:r>
      <w:r>
        <w:rPr/>
        <w:t>A change to a requirement passes the change-control process and updates the FRS, this extract and the traceability matrix.</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extract - Renewal</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BRD-06 Renewal System Requirements Extract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