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Interface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PRJ0012475-CLM-ICD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loss advice to the insurer, insurer claim updates and references by upload, claim documents, module hand-offs and the legacy claims load.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IF-CLM-01 Formal Loss Advice</w:t>
      </w:r>
      <w:r>
        <w:tab/>
      </w:r>
      <w:r>
        <w:t xml:space="preserve">6</w:t>
      </w:r>
    </w:p>
    <w:p>
      <w:pPr>
        <w:pStyle w:val="TOC1"/>
        <w:tabs>
          <w:tab w:val="right" w:leader="dot" w:pos="9630"/>
        </w:tabs>
      </w:pPr>
      <w:r>
        <w:t xml:space="preserve">IF-CLM-02 Insurer Updates and References by Upload</w:t>
      </w:r>
      <w:r>
        <w:tab/>
      </w:r>
      <w:r>
        <w:t xml:space="preserve">7</w:t>
      </w:r>
    </w:p>
    <w:p>
      <w:pPr>
        <w:pStyle w:val="TOC1"/>
        <w:tabs>
          <w:tab w:val="right" w:leader="dot" w:pos="9630"/>
        </w:tabs>
      </w:pPr>
      <w:r>
        <w:t xml:space="preserve">IF-CLM-03 Claim Documents</w:t>
      </w:r>
      <w:r>
        <w:tab/>
      </w:r>
      <w:r>
        <w:t xml:space="preserve">8</w:t>
      </w:r>
    </w:p>
    <w:p>
      <w:pPr>
        <w:pStyle w:val="TOC1"/>
        <w:tabs>
          <w:tab w:val="right" w:leader="dot" w:pos="9630"/>
        </w:tabs>
      </w:pPr>
      <w:r>
        <w:t xml:space="preserve">IF-CLM-04 Module Hand-offs</w:t>
      </w:r>
      <w:r>
        <w:tab/>
      </w:r>
      <w:r>
        <w:t xml:space="preserve">9</w:t>
      </w:r>
    </w:p>
    <w:p>
      <w:pPr>
        <w:pStyle w:val="TOC1"/>
        <w:tabs>
          <w:tab w:val="right" w:leader="dot" w:pos="9630"/>
        </w:tabs>
      </w:pPr>
      <w:r>
        <w:t xml:space="preserve">IF-CLM-05 Legacy Claims Load</w:t>
      </w:r>
      <w:r>
        <w:tab/>
      </w:r>
      <w:r>
        <w:t xml:space="preserve">10</w:t>
      </w:r>
    </w:p>
    <w:p>
      <w:pPr>
        <w:pStyle w:val="TOC1"/>
        <w:tabs>
          <w:tab w:val="right" w:leader="dot" w:pos="9630"/>
        </w:tabs>
      </w:pPr>
      <w:r>
        <w:t xml:space="preserve">Open Points</w:t>
      </w:r>
      <w:r>
        <w:tab/>
      </w:r>
      <w:r>
        <w:t xml:space="preserve">11</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specifies how Claims exchanges data with the insurers, the document store and the other BIBS modules. Exchanges with systems outside BIBS are Integration scope (grey label in the FRS); the hand-offs between BIBS modules are listed for completeness. BDOI's FRS names no file exchange with the insurers: the loss advice goes by e-mail and the insurers' replies are recorded on the claim or uploaded.</w:t>
      </w:r>
    </w:p>
    <w:p>
      <w:pPr>
        <w:keepNext/>
        <w:spacing w:before="120" w:after="60"/>
        <w:ind w:left="363"/>
      </w:pPr>
      <w:r>
        <w:rPr>
          <w:rFonts w:ascii="Arial" w:hAnsi="Arial" w:cs="Arial" w:eastAsia="Arial"/>
          <w:b/>
          <w:i w:val="0"/>
          <w:sz w:val="18"/>
        </w:rPr>
        <w:t>Table 1: Interfaces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33"/>
        <w:gridCol w:w="1878"/>
        <w:gridCol w:w="1690"/>
        <w:gridCol w:w="1408"/>
        <w:gridCol w:w="1314"/>
        <w:gridCol w:w="1314"/>
      </w:tblGrid>
      <w:tr>
        <w:trPr>
          <w:tblHeader/>
          <w:cantSplit/>
        </w:trPr>
        <w:tc>
          <w:tcPr>
            <w:tcW w:type="dxa" w:w="1033"/>
            <w:shd w:val="clear" w:color="auto" w:fill="D9E2F3"/>
          </w:tcPr>
          <w:p>
            <w:pPr>
              <w:spacing w:before="20" w:after="20"/>
            </w:pPr>
            <w:r>
              <w:rPr>
                <w:rFonts w:ascii="Arial" w:hAnsi="Arial" w:cs="Arial" w:eastAsia="Arial"/>
                <w:b/>
                <w:i w:val="0"/>
                <w:sz w:val="18"/>
              </w:rPr>
              <w:t>ID</w:t>
            </w:r>
          </w:p>
        </w:tc>
        <w:tc>
          <w:tcPr>
            <w:tcW w:type="dxa" w:w="1878"/>
            <w:shd w:val="clear" w:color="auto" w:fill="D9E2F3"/>
          </w:tcPr>
          <w:p>
            <w:pPr>
              <w:spacing w:before="20" w:after="20"/>
            </w:pPr>
            <w:r>
              <w:rPr>
                <w:rFonts w:ascii="Arial" w:hAnsi="Arial" w:cs="Arial" w:eastAsia="Arial"/>
                <w:b/>
                <w:i w:val="0"/>
                <w:sz w:val="18"/>
              </w:rPr>
              <w:t>Interface</w:t>
            </w:r>
          </w:p>
        </w:tc>
        <w:tc>
          <w:tcPr>
            <w:tcW w:type="dxa" w:w="1690"/>
            <w:shd w:val="clear" w:color="auto" w:fill="D9E2F3"/>
          </w:tcPr>
          <w:p>
            <w:pPr>
              <w:spacing w:before="20" w:after="20"/>
            </w:pPr>
            <w:r>
              <w:rPr>
                <w:rFonts w:ascii="Arial" w:hAnsi="Arial" w:cs="Arial" w:eastAsia="Arial"/>
                <w:b/>
                <w:i w:val="0"/>
                <w:sz w:val="18"/>
              </w:rPr>
              <w:t>Direction</w:t>
            </w:r>
          </w:p>
        </w:tc>
        <w:tc>
          <w:tcPr>
            <w:tcW w:type="dxa" w:w="1408"/>
            <w:shd w:val="clear" w:color="auto" w:fill="D9E2F3"/>
          </w:tcPr>
          <w:p>
            <w:pPr>
              <w:spacing w:before="20" w:after="20"/>
            </w:pPr>
            <w:r>
              <w:rPr>
                <w:rFonts w:ascii="Arial" w:hAnsi="Arial" w:cs="Arial" w:eastAsia="Arial"/>
                <w:b/>
                <w:i w:val="0"/>
                <w:sz w:val="18"/>
              </w:rPr>
              <w:t>Means</w:t>
            </w:r>
          </w:p>
        </w:tc>
        <w:tc>
          <w:tcPr>
            <w:tcW w:type="dxa" w:w="1314"/>
            <w:shd w:val="clear" w:color="auto" w:fill="D9E2F3"/>
          </w:tcPr>
          <w:p>
            <w:pPr>
              <w:spacing w:before="20" w:after="20"/>
            </w:pPr>
            <w:r>
              <w:rPr>
                <w:rFonts w:ascii="Arial" w:hAnsi="Arial" w:cs="Arial" w:eastAsia="Arial"/>
                <w:b/>
                <w:i w:val="0"/>
                <w:sz w:val="18"/>
              </w:rPr>
              <w:t>Frequency</w:t>
            </w:r>
          </w:p>
        </w:tc>
        <w:tc>
          <w:tcPr>
            <w:tcW w:type="dxa" w:w="1314"/>
            <w:shd w:val="clear" w:color="auto" w:fill="D9E2F3"/>
          </w:tcPr>
          <w:p>
            <w:pPr>
              <w:spacing w:before="20" w:after="20"/>
            </w:pPr>
            <w:r>
              <w:rPr>
                <w:rFonts w:ascii="Arial" w:hAnsi="Arial" w:cs="Arial" w:eastAsia="Arial"/>
                <w:b/>
                <w:i w:val="0"/>
                <w:sz w:val="18"/>
              </w:rPr>
              <w:t>Content</w:t>
            </w:r>
          </w:p>
        </w:tc>
      </w:tr>
      <w:tr>
        <w:trPr>
          <w:cantSplit/>
        </w:trPr>
        <w:tc>
          <w:tcPr>
            <w:tcW w:type="dxa" w:w="1033"/>
          </w:tcPr>
          <w:p>
            <w:pPr>
              <w:spacing w:before="20" w:after="20"/>
            </w:pPr>
            <w:r>
              <w:rPr>
                <w:rFonts w:ascii="Arial" w:hAnsi="Arial" w:cs="Arial" w:eastAsia="Arial"/>
                <w:b w:val="0"/>
                <w:i w:val="0"/>
                <w:sz w:val="18"/>
              </w:rPr>
              <w:t>IF-CLM-01</w:t>
            </w:r>
          </w:p>
        </w:tc>
        <w:tc>
          <w:tcPr>
            <w:tcW w:type="dxa" w:w="1878"/>
          </w:tcPr>
          <w:p>
            <w:pPr>
              <w:spacing w:before="20" w:after="20"/>
            </w:pPr>
            <w:r>
              <w:rPr>
                <w:rFonts w:ascii="Arial" w:hAnsi="Arial" w:cs="Arial" w:eastAsia="Arial"/>
                <w:b w:val="0"/>
                <w:i w:val="0"/>
                <w:sz w:val="18"/>
              </w:rPr>
              <w:t>Formal loss advice</w:t>
            </w:r>
          </w:p>
        </w:tc>
        <w:tc>
          <w:tcPr>
            <w:tcW w:type="dxa" w:w="1690"/>
          </w:tcPr>
          <w:p>
            <w:pPr>
              <w:spacing w:before="20" w:after="20"/>
            </w:pPr>
            <w:r>
              <w:rPr>
                <w:rFonts w:ascii="Arial" w:hAnsi="Arial" w:cs="Arial" w:eastAsia="Arial"/>
                <w:b w:val="0"/>
                <w:i w:val="0"/>
                <w:sz w:val="18"/>
              </w:rPr>
              <w:t>BIBS to insurer</w:t>
            </w:r>
          </w:p>
        </w:tc>
        <w:tc>
          <w:tcPr>
            <w:tcW w:type="dxa" w:w="1408"/>
          </w:tcPr>
          <w:p>
            <w:pPr>
              <w:spacing w:before="20" w:after="20"/>
            </w:pPr>
            <w:r>
              <w:rPr>
                <w:rFonts w:ascii="Arial" w:hAnsi="Arial" w:cs="Arial" w:eastAsia="Arial"/>
                <w:b w:val="0"/>
                <w:i w:val="0"/>
                <w:sz w:val="18"/>
              </w:rPr>
              <w:t>E-mail (CCM)</w:t>
            </w:r>
          </w:p>
        </w:tc>
        <w:tc>
          <w:tcPr>
            <w:tcW w:type="dxa" w:w="1314"/>
          </w:tcPr>
          <w:p>
            <w:pPr>
              <w:spacing w:before="20" w:after="20"/>
            </w:pPr>
            <w:r>
              <w:rPr>
                <w:rFonts w:ascii="Arial" w:hAnsi="Arial" w:cs="Arial" w:eastAsia="Arial"/>
                <w:b w:val="0"/>
                <w:i w:val="0"/>
                <w:sz w:val="18"/>
              </w:rPr>
              <w:t>Per claim and insurer</w:t>
            </w:r>
          </w:p>
        </w:tc>
        <w:tc>
          <w:tcPr>
            <w:tcW w:type="dxa" w:w="1314"/>
          </w:tcPr>
          <w:p>
            <w:pPr>
              <w:spacing w:before="20" w:after="20"/>
            </w:pPr>
            <w:r>
              <w:rPr>
                <w:rFonts w:ascii="Arial" w:hAnsi="Arial" w:cs="Arial" w:eastAsia="Arial"/>
                <w:b w:val="0"/>
                <w:i w:val="0"/>
                <w:sz w:val="18"/>
              </w:rPr>
              <w:t>Letter PDF with claim, policy and insurer data</w:t>
            </w:r>
          </w:p>
        </w:tc>
      </w:tr>
      <w:tr>
        <w:trPr>
          <w:cantSplit/>
        </w:trPr>
        <w:tc>
          <w:tcPr>
            <w:tcW w:type="dxa" w:w="1033"/>
          </w:tcPr>
          <w:p>
            <w:pPr>
              <w:spacing w:before="20" w:after="20"/>
            </w:pPr>
            <w:r>
              <w:rPr>
                <w:rFonts w:ascii="Arial" w:hAnsi="Arial" w:cs="Arial" w:eastAsia="Arial"/>
                <w:b w:val="0"/>
                <w:i w:val="0"/>
                <w:sz w:val="18"/>
              </w:rPr>
              <w:t>IF-CLM-02</w:t>
            </w:r>
          </w:p>
        </w:tc>
        <w:tc>
          <w:tcPr>
            <w:tcW w:type="dxa" w:w="1878"/>
          </w:tcPr>
          <w:p>
            <w:pPr>
              <w:spacing w:before="20" w:after="20"/>
            </w:pPr>
            <w:r>
              <w:rPr>
                <w:rFonts w:ascii="Arial" w:hAnsi="Arial" w:cs="Arial" w:eastAsia="Arial"/>
                <w:b w:val="0"/>
                <w:i w:val="0"/>
                <w:sz w:val="18"/>
              </w:rPr>
              <w:t>Insurer updates and references</w:t>
            </w:r>
          </w:p>
        </w:tc>
        <w:tc>
          <w:tcPr>
            <w:tcW w:type="dxa" w:w="1690"/>
          </w:tcPr>
          <w:p>
            <w:pPr>
              <w:spacing w:before="20" w:after="20"/>
            </w:pPr>
            <w:r>
              <w:rPr>
                <w:rFonts w:ascii="Arial" w:hAnsi="Arial" w:cs="Arial" w:eastAsia="Arial"/>
                <w:b w:val="0"/>
                <w:i w:val="0"/>
                <w:sz w:val="18"/>
              </w:rPr>
              <w:t>Insurer to BIBS</w:t>
            </w:r>
          </w:p>
        </w:tc>
        <w:tc>
          <w:tcPr>
            <w:tcW w:type="dxa" w:w="1408"/>
          </w:tcPr>
          <w:p>
            <w:pPr>
              <w:spacing w:before="20" w:after="20"/>
            </w:pPr>
            <w:r>
              <w:rPr>
                <w:rFonts w:ascii="Arial" w:hAnsi="Arial" w:cs="Arial" w:eastAsia="Arial"/>
                <w:b w:val="0"/>
                <w:i w:val="0"/>
                <w:sz w:val="18"/>
              </w:rPr>
              <w:t>Upload of a file</w:t>
            </w:r>
          </w:p>
        </w:tc>
        <w:tc>
          <w:tcPr>
            <w:tcW w:type="dxa" w:w="1314"/>
          </w:tcPr>
          <w:p>
            <w:pPr>
              <w:spacing w:before="20" w:after="20"/>
            </w:pPr>
            <w:r>
              <w:rPr>
                <w:rFonts w:ascii="Arial" w:hAnsi="Arial" w:cs="Arial" w:eastAsia="Arial"/>
                <w:b w:val="0"/>
                <w:i w:val="0"/>
                <w:sz w:val="18"/>
              </w:rPr>
              <w:t>As received</w:t>
            </w:r>
          </w:p>
        </w:tc>
        <w:tc>
          <w:tcPr>
            <w:tcW w:type="dxa" w:w="1314"/>
          </w:tcPr>
          <w:p>
            <w:pPr>
              <w:spacing w:before="20" w:after="20"/>
            </w:pPr>
            <w:r>
              <w:rPr>
                <w:rFonts w:ascii="Arial" w:hAnsi="Arial" w:cs="Arial" w:eastAsia="Arial"/>
                <w:b w:val="0"/>
                <w:i w:val="0"/>
                <w:sz w:val="18"/>
              </w:rPr>
              <w:t>Claim numbers, updates, location references</w:t>
            </w:r>
          </w:p>
        </w:tc>
      </w:tr>
      <w:tr>
        <w:trPr>
          <w:cantSplit/>
        </w:trPr>
        <w:tc>
          <w:tcPr>
            <w:tcW w:type="dxa" w:w="1033"/>
          </w:tcPr>
          <w:p>
            <w:pPr>
              <w:spacing w:before="20" w:after="20"/>
            </w:pPr>
            <w:r>
              <w:rPr>
                <w:rFonts w:ascii="Arial" w:hAnsi="Arial" w:cs="Arial" w:eastAsia="Arial"/>
                <w:b w:val="0"/>
                <w:i w:val="0"/>
                <w:sz w:val="18"/>
              </w:rPr>
              <w:t>IF-CLM-03</w:t>
            </w:r>
          </w:p>
        </w:tc>
        <w:tc>
          <w:tcPr>
            <w:tcW w:type="dxa" w:w="1878"/>
          </w:tcPr>
          <w:p>
            <w:pPr>
              <w:spacing w:before="20" w:after="20"/>
            </w:pPr>
            <w:r>
              <w:rPr>
                <w:rFonts w:ascii="Arial" w:hAnsi="Arial" w:cs="Arial" w:eastAsia="Arial"/>
                <w:b w:val="0"/>
                <w:i w:val="0"/>
                <w:sz w:val="18"/>
              </w:rPr>
              <w:t>Claim documents</w:t>
            </w:r>
          </w:p>
        </w:tc>
        <w:tc>
          <w:tcPr>
            <w:tcW w:type="dxa" w:w="1690"/>
          </w:tcPr>
          <w:p>
            <w:pPr>
              <w:spacing w:before="20" w:after="20"/>
            </w:pPr>
            <w:r>
              <w:rPr>
                <w:rFonts w:ascii="Arial" w:hAnsi="Arial" w:cs="Arial" w:eastAsia="Arial"/>
                <w:b w:val="0"/>
                <w:i w:val="0"/>
                <w:sz w:val="18"/>
              </w:rPr>
              <w:t>BIBS to document store</w:t>
            </w:r>
          </w:p>
        </w:tc>
        <w:tc>
          <w:tcPr>
            <w:tcW w:type="dxa" w:w="1408"/>
          </w:tcPr>
          <w:p>
            <w:pPr>
              <w:spacing w:before="20" w:after="20"/>
            </w:pPr>
            <w:r>
              <w:rPr>
                <w:rFonts w:ascii="Arial" w:hAnsi="Arial" w:cs="Arial" w:eastAsia="Arial"/>
                <w:b w:val="0"/>
                <w:i w:val="0"/>
                <w:sz w:val="18"/>
              </w:rPr>
              <w:t>In the system (S3)</w:t>
            </w:r>
          </w:p>
        </w:tc>
        <w:tc>
          <w:tcPr>
            <w:tcW w:type="dxa" w:w="1314"/>
          </w:tcPr>
          <w:p>
            <w:pPr>
              <w:spacing w:before="20" w:after="20"/>
            </w:pPr>
            <w:r>
              <w:rPr>
                <w:rFonts w:ascii="Arial" w:hAnsi="Arial" w:cs="Arial" w:eastAsia="Arial"/>
                <w:b w:val="0"/>
                <w:i w:val="0"/>
                <w:sz w:val="18"/>
              </w:rPr>
              <w:t>Per upload</w:t>
            </w:r>
          </w:p>
        </w:tc>
        <w:tc>
          <w:tcPr>
            <w:tcW w:type="dxa" w:w="1314"/>
          </w:tcPr>
          <w:p>
            <w:pPr>
              <w:spacing w:before="20" w:after="20"/>
            </w:pPr>
            <w:r>
              <w:rPr>
                <w:rFonts w:ascii="Arial" w:hAnsi="Arial" w:cs="Arial" w:eastAsia="Arial"/>
                <w:b w:val="0"/>
                <w:i w:val="0"/>
                <w:sz w:val="18"/>
              </w:rPr>
              <w:t>Images and PDF of the claim</w:t>
            </w:r>
          </w:p>
        </w:tc>
      </w:tr>
      <w:tr>
        <w:trPr>
          <w:cantSplit/>
        </w:trPr>
        <w:tc>
          <w:tcPr>
            <w:tcW w:type="dxa" w:w="1033"/>
          </w:tcPr>
          <w:p>
            <w:pPr>
              <w:spacing w:before="20" w:after="20"/>
            </w:pPr>
            <w:r>
              <w:rPr>
                <w:rFonts w:ascii="Arial" w:hAnsi="Arial" w:cs="Arial" w:eastAsia="Arial"/>
                <w:b w:val="0"/>
                <w:i w:val="0"/>
                <w:sz w:val="18"/>
              </w:rPr>
              <w:t>IF-CLM-04</w:t>
            </w:r>
          </w:p>
        </w:tc>
        <w:tc>
          <w:tcPr>
            <w:tcW w:type="dxa" w:w="1878"/>
          </w:tcPr>
          <w:p>
            <w:pPr>
              <w:spacing w:before="20" w:after="20"/>
            </w:pPr>
            <w:r>
              <w:rPr>
                <w:rFonts w:ascii="Arial" w:hAnsi="Arial" w:cs="Arial" w:eastAsia="Arial"/>
                <w:b w:val="0"/>
                <w:i w:val="0"/>
                <w:sz w:val="18"/>
              </w:rPr>
              <w:t>Module hand-offs</w:t>
            </w:r>
          </w:p>
        </w:tc>
        <w:tc>
          <w:tcPr>
            <w:tcW w:type="dxa" w:w="1690"/>
          </w:tcPr>
          <w:p>
            <w:pPr>
              <w:spacing w:before="20" w:after="20"/>
            </w:pPr>
            <w:r>
              <w:rPr>
                <w:rFonts w:ascii="Arial" w:hAnsi="Arial" w:cs="Arial" w:eastAsia="Arial"/>
                <w:b w:val="0"/>
                <w:i w:val="0"/>
                <w:sz w:val="18"/>
              </w:rPr>
              <w:t>BIBS modules</w:t>
            </w:r>
          </w:p>
        </w:tc>
        <w:tc>
          <w:tcPr>
            <w:tcW w:type="dxa" w:w="1408"/>
          </w:tcPr>
          <w:p>
            <w:pPr>
              <w:spacing w:before="20" w:after="20"/>
            </w:pPr>
            <w:r>
              <w:rPr>
                <w:rFonts w:ascii="Arial" w:hAnsi="Arial" w:cs="Arial" w:eastAsia="Arial"/>
                <w:b w:val="0"/>
                <w:i w:val="0"/>
                <w:sz w:val="18"/>
              </w:rPr>
              <w:t>In the system</w:t>
            </w:r>
          </w:p>
        </w:tc>
        <w:tc>
          <w:tcPr>
            <w:tcW w:type="dxa" w:w="1314"/>
          </w:tcPr>
          <w:p>
            <w:pPr>
              <w:spacing w:before="20" w:after="20"/>
            </w:pPr>
            <w:r>
              <w:rPr>
                <w:rFonts w:ascii="Arial" w:hAnsi="Arial" w:cs="Arial" w:eastAsia="Arial"/>
                <w:b w:val="0"/>
                <w:i w:val="0"/>
                <w:sz w:val="18"/>
              </w:rPr>
              <w:t>Continuous</w:t>
            </w:r>
          </w:p>
        </w:tc>
        <w:tc>
          <w:tcPr>
            <w:tcW w:type="dxa" w:w="1314"/>
          </w:tcPr>
          <w:p>
            <w:pPr>
              <w:spacing w:before="20" w:after="20"/>
            </w:pPr>
            <w:r>
              <w:rPr>
                <w:rFonts w:ascii="Arial" w:hAnsi="Arial" w:cs="Arial" w:eastAsia="Arial"/>
                <w:b w:val="0"/>
                <w:i w:val="0"/>
                <w:sz w:val="18"/>
              </w:rPr>
              <w:t>Premium status, special remittance, claim experience</w:t>
            </w:r>
          </w:p>
        </w:tc>
      </w:tr>
      <w:tr>
        <w:trPr>
          <w:cantSplit/>
        </w:trPr>
        <w:tc>
          <w:tcPr>
            <w:tcW w:type="dxa" w:w="1033"/>
          </w:tcPr>
          <w:p>
            <w:pPr>
              <w:spacing w:before="20" w:after="20"/>
            </w:pPr>
            <w:r>
              <w:rPr>
                <w:rFonts w:ascii="Arial" w:hAnsi="Arial" w:cs="Arial" w:eastAsia="Arial"/>
                <w:b w:val="0"/>
                <w:i w:val="0"/>
                <w:sz w:val="18"/>
              </w:rPr>
              <w:t>IF-CLM-05</w:t>
            </w:r>
          </w:p>
        </w:tc>
        <w:tc>
          <w:tcPr>
            <w:tcW w:type="dxa" w:w="1878"/>
          </w:tcPr>
          <w:p>
            <w:pPr>
              <w:spacing w:before="20" w:after="20"/>
            </w:pPr>
            <w:r>
              <w:rPr>
                <w:rFonts w:ascii="Arial" w:hAnsi="Arial" w:cs="Arial" w:eastAsia="Arial"/>
                <w:b w:val="0"/>
                <w:i w:val="0"/>
                <w:sz w:val="18"/>
              </w:rPr>
              <w:t>Legacy claims load</w:t>
            </w:r>
          </w:p>
        </w:tc>
        <w:tc>
          <w:tcPr>
            <w:tcW w:type="dxa" w:w="1690"/>
          </w:tcPr>
          <w:p>
            <w:pPr>
              <w:spacing w:before="20" w:after="20"/>
            </w:pPr>
            <w:r>
              <w:rPr>
                <w:rFonts w:ascii="Arial" w:hAnsi="Arial" w:cs="Arial" w:eastAsia="Arial"/>
                <w:b w:val="0"/>
                <w:i w:val="0"/>
                <w:sz w:val="18"/>
              </w:rPr>
              <w:t>Core system to BIBS</w:t>
            </w:r>
          </w:p>
        </w:tc>
        <w:tc>
          <w:tcPr>
            <w:tcW w:type="dxa" w:w="1408"/>
          </w:tcPr>
          <w:p>
            <w:pPr>
              <w:spacing w:before="20" w:after="20"/>
            </w:pPr>
            <w:r>
              <w:rPr>
                <w:rFonts w:ascii="Arial" w:hAnsi="Arial" w:cs="Arial" w:eastAsia="Arial"/>
                <w:b w:val="0"/>
                <w:i w:val="0"/>
                <w:sz w:val="18"/>
              </w:rPr>
              <w:t>Migration files</w:t>
            </w:r>
          </w:p>
        </w:tc>
        <w:tc>
          <w:tcPr>
            <w:tcW w:type="dxa" w:w="1314"/>
          </w:tcPr>
          <w:p>
            <w:pPr>
              <w:spacing w:before="20" w:after="20"/>
            </w:pPr>
            <w:r>
              <w:rPr>
                <w:rFonts w:ascii="Arial" w:hAnsi="Arial" w:cs="Arial" w:eastAsia="Arial"/>
                <w:b w:val="0"/>
                <w:i w:val="0"/>
                <w:sz w:val="18"/>
              </w:rPr>
              <w:t>Once at go-live</w:t>
            </w:r>
          </w:p>
        </w:tc>
        <w:tc>
          <w:tcPr>
            <w:tcW w:type="dxa" w:w="1314"/>
          </w:tcPr>
          <w:p>
            <w:pPr>
              <w:spacing w:before="20" w:after="20"/>
            </w:pPr>
            <w:r>
              <w:rPr>
                <w:rFonts w:ascii="Arial" w:hAnsi="Arial" w:cs="Arial" w:eastAsia="Arial"/>
                <w:b w:val="0"/>
                <w:i w:val="0"/>
                <w:sz w:val="18"/>
              </w:rPr>
              <w:t>Open and historical claims</w:t>
            </w:r>
          </w:p>
        </w:tc>
      </w:tr>
    </w:tbl>
    <w:p>
      <w:pPr>
        <w:spacing w:after="40"/>
      </w:pPr>
    </w:p>
    <w:p>
      <w:pPr>
        <w:pStyle w:val="Heading1"/>
        <w:pageBreakBefore/>
      </w:pPr>
      <w:r>
        <w:t>IF-CLM-01 Formal Loss Advice</w:t>
      </w:r>
    </w:p>
    <w:p>
      <w:pPr>
        <w:keepNext/>
        <w:spacing w:before="120" w:after="60"/>
        <w:ind w:left="363"/>
      </w:pPr>
      <w:r>
        <w:rPr>
          <w:rFonts w:ascii="Arial" w:hAnsi="Arial" w:cs="Arial" w:eastAsia="Arial"/>
          <w:b/>
          <w:i w:val="0"/>
          <w:sz w:val="18"/>
        </w:rPr>
        <w:t>Table 2: Formal loss advice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Detail</w:t>
            </w:r>
          </w:p>
        </w:tc>
      </w:tr>
      <w:tr>
        <w:trPr>
          <w:cantSplit/>
        </w:trPr>
        <w:tc>
          <w:tcPr>
            <w:tcW w:type="dxa" w:w="2066"/>
          </w:tcPr>
          <w:p>
            <w:pPr>
              <w:spacing w:before="20" w:after="20"/>
            </w:pPr>
            <w:r>
              <w:rPr>
                <w:rFonts w:ascii="Arial" w:hAnsi="Arial" w:cs="Arial" w:eastAsia="Arial"/>
                <w:b w:val="0"/>
                <w:i w:val="0"/>
                <w:sz w:val="18"/>
              </w:rPr>
              <w:t>Trigger</w:t>
            </w:r>
          </w:p>
        </w:tc>
        <w:tc>
          <w:tcPr>
            <w:tcW w:type="dxa" w:w="6573"/>
          </w:tcPr>
          <w:p>
            <w:pPr>
              <w:spacing w:before="20" w:after="20"/>
            </w:pPr>
            <w:r>
              <w:rPr>
                <w:rFonts w:ascii="Arial" w:hAnsi="Arial" w:cs="Arial" w:eastAsia="Arial"/>
                <w:b w:val="0"/>
                <w:i w:val="0"/>
                <w:sz w:val="18"/>
              </w:rPr>
              <w:t>Send Loss Advice on the claim, per insurer line (consolidated letter with CR-CLM-107).</w:t>
            </w:r>
          </w:p>
        </w:tc>
      </w:tr>
      <w:tr>
        <w:trPr>
          <w:cantSplit/>
        </w:trPr>
        <w:tc>
          <w:tcPr>
            <w:tcW w:type="dxa" w:w="2066"/>
          </w:tcPr>
          <w:p>
            <w:pPr>
              <w:spacing w:before="20" w:after="20"/>
            </w:pPr>
            <w:r>
              <w:rPr>
                <w:rFonts w:ascii="Arial" w:hAnsi="Arial" w:cs="Arial" w:eastAsia="Arial"/>
                <w:b w:val="0"/>
                <w:i w:val="0"/>
                <w:sz w:val="18"/>
              </w:rPr>
              <w:t>Recipient</w:t>
            </w:r>
          </w:p>
        </w:tc>
        <w:tc>
          <w:tcPr>
            <w:tcW w:type="dxa" w:w="6573"/>
          </w:tcPr>
          <w:p>
            <w:pPr>
              <w:spacing w:before="20" w:after="20"/>
            </w:pPr>
            <w:r>
              <w:rPr>
                <w:rFonts w:ascii="Arial" w:hAnsi="Arial" w:cs="Arial" w:eastAsia="Arial"/>
                <w:b w:val="0"/>
                <w:i w:val="0"/>
                <w:sz w:val="18"/>
              </w:rPr>
              <w:t>The insurer's claims point of contact (Annex AA, Insurers Directory) kept on the insurer record.</w:t>
            </w:r>
          </w:p>
        </w:tc>
      </w:tr>
      <w:tr>
        <w:trPr>
          <w:cantSplit/>
        </w:trPr>
        <w:tc>
          <w:tcPr>
            <w:tcW w:type="dxa" w:w="2066"/>
          </w:tcPr>
          <w:p>
            <w:pPr>
              <w:spacing w:before="20" w:after="20"/>
            </w:pPr>
            <w:r>
              <w:rPr>
                <w:rFonts w:ascii="Arial" w:hAnsi="Arial" w:cs="Arial" w:eastAsia="Arial"/>
                <w:b w:val="0"/>
                <w:i w:val="0"/>
                <w:sz w:val="18"/>
              </w:rPr>
              <w:t>Content</w:t>
            </w:r>
          </w:p>
        </w:tc>
        <w:tc>
          <w:tcPr>
            <w:tcW w:type="dxa" w:w="6573"/>
          </w:tcPr>
          <w:p>
            <w:pPr>
              <w:spacing w:before="20" w:after="20"/>
            </w:pPr>
            <w:r>
              <w:rPr>
                <w:rFonts w:ascii="Arial" w:hAnsi="Arial" w:cs="Arial" w:eastAsia="Arial"/>
                <w:b w:val="0"/>
                <w:i w:val="0"/>
                <w:sz w:val="18"/>
              </w:rPr>
              <w:t>Letter on the letterhead with the claim number, insurer claim number when known, policy number, assured, date and place of loss, nature of loss, estimated amount and the documents attached.</w:t>
            </w:r>
          </w:p>
        </w:tc>
      </w:tr>
      <w:tr>
        <w:trPr>
          <w:cantSplit/>
        </w:trPr>
        <w:tc>
          <w:tcPr>
            <w:tcW w:type="dxa" w:w="2066"/>
          </w:tcPr>
          <w:p>
            <w:pPr>
              <w:spacing w:before="20" w:after="20"/>
            </w:pPr>
            <w:r>
              <w:rPr>
                <w:rFonts w:ascii="Arial" w:hAnsi="Arial" w:cs="Arial" w:eastAsia="Arial"/>
                <w:b w:val="0"/>
                <w:i w:val="0"/>
                <w:sz w:val="18"/>
              </w:rPr>
              <w:t>Channel</w:t>
            </w:r>
          </w:p>
        </w:tc>
        <w:tc>
          <w:tcPr>
            <w:tcW w:type="dxa" w:w="6573"/>
          </w:tcPr>
          <w:p>
            <w:pPr>
              <w:spacing w:before="20" w:after="20"/>
            </w:pPr>
            <w:r>
              <w:rPr>
                <w:rFonts w:ascii="Arial" w:hAnsi="Arial" w:cs="Arial" w:eastAsia="Arial"/>
                <w:b w:val="0"/>
                <w:i w:val="0"/>
                <w:sz w:val="18"/>
              </w:rPr>
              <w:t>BDO e-mail service (CCM) [Integration scope]; the send log and the PDF are kept on the claim.</w:t>
            </w:r>
          </w:p>
        </w:tc>
      </w:tr>
      <w:tr>
        <w:trPr>
          <w:cantSplit/>
        </w:trPr>
        <w:tc>
          <w:tcPr>
            <w:tcW w:type="dxa" w:w="2066"/>
          </w:tcPr>
          <w:p>
            <w:pPr>
              <w:spacing w:before="20" w:after="20"/>
            </w:pPr>
            <w:r>
              <w:rPr>
                <w:rFonts w:ascii="Arial" w:hAnsi="Arial" w:cs="Arial" w:eastAsia="Arial"/>
                <w:b w:val="0"/>
                <w:i w:val="0"/>
                <w:sz w:val="18"/>
              </w:rPr>
              <w:t>Failure</w:t>
            </w:r>
          </w:p>
        </w:tc>
        <w:tc>
          <w:tcPr>
            <w:tcW w:type="dxa" w:w="6573"/>
          </w:tcPr>
          <w:p>
            <w:pPr>
              <w:spacing w:before="20" w:after="20"/>
            </w:pPr>
            <w:r>
              <w:rPr>
                <w:rFonts w:ascii="Arial" w:hAnsi="Arial" w:cs="Arial" w:eastAsia="Arial"/>
                <w:b w:val="0"/>
                <w:i w:val="0"/>
                <w:sz w:val="18"/>
              </w:rPr>
              <w:t>A failed sending is shown on the claim and can be sent again.</w:t>
            </w:r>
          </w:p>
        </w:tc>
      </w:tr>
    </w:tbl>
    <w:p>
      <w:pPr>
        <w:spacing w:after="40"/>
      </w:pPr>
    </w:p>
    <w:p>
      <w:pPr>
        <w:pStyle w:val="Heading1"/>
        <w:pageBreakBefore/>
      </w:pPr>
      <w:r>
        <w:t>IF-CLM-02 Insurer Updates and References by Upload</w:t>
      </w:r>
    </w:p>
    <w:p>
      <w:pPr>
        <w:spacing w:after="120"/>
        <w:ind w:left="363"/>
      </w:pPr>
      <w:r>
        <w:rPr>
          <w:rFonts w:ascii="Arial" w:hAnsi="Arial" w:cs="Arial" w:eastAsia="Arial"/>
          <w:b w:val="0"/>
          <w:i w:val="0"/>
          <w:sz w:val="20"/>
        </w:rPr>
        <w:t>Files of insurer updates are uploaded on the Bulk Upload screen; each row is processed on its own and the refused rows are listed with their reason. The values below are invented.</w:t>
      </w:r>
    </w:p>
    <w:p>
      <w:pPr>
        <w:keepNext/>
        <w:spacing w:before="120" w:after="60"/>
        <w:ind w:left="363"/>
      </w:pPr>
      <w:r>
        <w:rPr>
          <w:rFonts w:ascii="Arial" w:hAnsi="Arial" w:cs="Arial" w:eastAsia="Arial"/>
          <w:b/>
          <w:i w:val="0"/>
          <w:sz w:val="18"/>
        </w:rPr>
        <w:t>Table 3: Insurer claim numbers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57"/>
        <w:gridCol w:w="3756"/>
        <w:gridCol w:w="197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657"/>
            <w:shd w:val="clear" w:color="auto" w:fill="D9E2F3"/>
          </w:tcPr>
          <w:p>
            <w:pPr>
              <w:spacing w:before="20" w:after="20"/>
            </w:pPr>
            <w:r>
              <w:rPr>
                <w:rFonts w:ascii="Arial" w:hAnsi="Arial" w:cs="Arial" w:eastAsia="Arial"/>
                <w:b/>
                <w:i w:val="0"/>
                <w:sz w:val="18"/>
              </w:rPr>
              <w:t>Req.</w:t>
            </w:r>
          </w:p>
        </w:tc>
        <w:tc>
          <w:tcPr>
            <w:tcW w:type="dxa" w:w="3756"/>
            <w:shd w:val="clear" w:color="auto" w:fill="D9E2F3"/>
          </w:tcPr>
          <w:p>
            <w:pPr>
              <w:spacing w:before="20" w:after="20"/>
            </w:pPr>
            <w:r>
              <w:rPr>
                <w:rFonts w:ascii="Arial" w:hAnsi="Arial" w:cs="Arial" w:eastAsia="Arial"/>
                <w:b/>
                <w:i w:val="0"/>
                <w:sz w:val="18"/>
              </w:rPr>
              <w:t>Content</w:t>
            </w:r>
          </w:p>
        </w:tc>
        <w:tc>
          <w:tcPr>
            <w:tcW w:type="dxa" w:w="197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Claim No.</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Broker claim number</w:t>
            </w:r>
          </w:p>
        </w:tc>
        <w:tc>
          <w:tcPr>
            <w:tcW w:type="dxa" w:w="1972"/>
          </w:tcPr>
          <w:p>
            <w:pPr>
              <w:spacing w:before="20" w:after="20"/>
            </w:pPr>
            <w:r>
              <w:rPr>
                <w:rFonts w:ascii="Arial" w:hAnsi="Arial" w:cs="Arial" w:eastAsia="Arial"/>
                <w:b w:val="0"/>
                <w:i w:val="0"/>
                <w:sz w:val="18"/>
              </w:rPr>
              <w:t>BCL-2026-000001</w:t>
            </w:r>
          </w:p>
        </w:tc>
      </w:tr>
      <w:tr>
        <w:trPr>
          <w:cantSplit/>
        </w:trPr>
        <w:tc>
          <w:tcPr>
            <w:tcW w:type="dxa" w:w="2253"/>
          </w:tcPr>
          <w:p>
            <w:pPr>
              <w:spacing w:before="20" w:after="20"/>
            </w:pPr>
            <w:r>
              <w:rPr>
                <w:rFonts w:ascii="Arial" w:hAnsi="Arial" w:cs="Arial" w:eastAsia="Arial"/>
                <w:b w:val="0"/>
                <w:i w:val="0"/>
                <w:sz w:val="18"/>
              </w:rPr>
              <w:t>Insurer</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Insurer code</w:t>
            </w:r>
          </w:p>
        </w:tc>
        <w:tc>
          <w:tcPr>
            <w:tcW w:type="dxa" w:w="1972"/>
          </w:tcPr>
          <w:p>
            <w:pPr>
              <w:spacing w:before="20" w:after="20"/>
            </w:pPr>
            <w:r>
              <w:rPr>
                <w:rFonts w:ascii="Arial" w:hAnsi="Arial" w:cs="Arial" w:eastAsia="Arial"/>
                <w:b w:val="0"/>
                <w:i w:val="0"/>
                <w:sz w:val="18"/>
              </w:rPr>
              <w:t>INS-ALPHA</w:t>
            </w:r>
          </w:p>
        </w:tc>
      </w:tr>
      <w:tr>
        <w:trPr>
          <w:cantSplit/>
        </w:trPr>
        <w:tc>
          <w:tcPr>
            <w:tcW w:type="dxa" w:w="2253"/>
          </w:tcPr>
          <w:p>
            <w:pPr>
              <w:spacing w:before="20" w:after="20"/>
            </w:pPr>
            <w:r>
              <w:rPr>
                <w:rFonts w:ascii="Arial" w:hAnsi="Arial" w:cs="Arial" w:eastAsia="Arial"/>
                <w:b w:val="0"/>
                <w:i w:val="0"/>
                <w:sz w:val="18"/>
              </w:rPr>
              <w:t>Insurer Claim No.</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Insurer's claim number</w:t>
            </w:r>
          </w:p>
        </w:tc>
        <w:tc>
          <w:tcPr>
            <w:tcW w:type="dxa" w:w="1972"/>
          </w:tcPr>
          <w:p>
            <w:pPr>
              <w:spacing w:before="20" w:after="20"/>
            </w:pPr>
            <w:r>
              <w:rPr>
                <w:rFonts w:ascii="Arial" w:hAnsi="Arial" w:cs="Arial" w:eastAsia="Arial"/>
                <w:b w:val="0"/>
                <w:i w:val="0"/>
                <w:sz w:val="18"/>
              </w:rPr>
              <w:t>ALPHA-CL-0001</w:t>
            </w:r>
          </w:p>
        </w:tc>
      </w:tr>
      <w:tr>
        <w:trPr>
          <w:cantSplit/>
        </w:trPr>
        <w:tc>
          <w:tcPr>
            <w:tcW w:type="dxa" w:w="2253"/>
          </w:tcPr>
          <w:p>
            <w:pPr>
              <w:spacing w:before="20" w:after="20"/>
            </w:pPr>
            <w:r>
              <w:rPr>
                <w:rFonts w:ascii="Arial" w:hAnsi="Arial" w:cs="Arial" w:eastAsia="Arial"/>
                <w:b w:val="0"/>
                <w:i w:val="0"/>
                <w:sz w:val="18"/>
              </w:rPr>
              <w:t>Reported To Insurer On</w:t>
            </w:r>
          </w:p>
        </w:tc>
        <w:tc>
          <w:tcPr>
            <w:tcW w:type="dxa" w:w="657"/>
          </w:tcPr>
          <w:p>
            <w:pPr>
              <w:spacing w:before="20" w:after="20"/>
            </w:pPr>
            <w:r>
              <w:rPr>
                <w:rFonts w:ascii="Arial" w:hAnsi="Arial" w:cs="Arial" w:eastAsia="Arial"/>
                <w:b w:val="0"/>
                <w:i w:val="0"/>
                <w:sz w:val="18"/>
              </w:rPr>
              <w:t>N</w:t>
            </w:r>
          </w:p>
        </w:tc>
        <w:tc>
          <w:tcPr>
            <w:tcW w:type="dxa" w:w="3756"/>
          </w:tcPr>
          <w:p>
            <w:pPr>
              <w:spacing w:before="20" w:after="20"/>
            </w:pPr>
            <w:r>
              <w:rPr>
                <w:rFonts w:ascii="Arial" w:hAnsi="Arial" w:cs="Arial" w:eastAsia="Arial"/>
                <w:b w:val="0"/>
                <w:i w:val="0"/>
                <w:sz w:val="18"/>
              </w:rPr>
              <w:t>Date the loss was reported</w:t>
            </w:r>
          </w:p>
        </w:tc>
        <w:tc>
          <w:tcPr>
            <w:tcW w:type="dxa" w:w="1972"/>
          </w:tcPr>
          <w:p>
            <w:pPr>
              <w:spacing w:before="20" w:after="20"/>
            </w:pPr>
            <w:r>
              <w:rPr>
                <w:rFonts w:ascii="Arial" w:hAnsi="Arial" w:cs="Arial" w:eastAsia="Arial"/>
                <w:b w:val="0"/>
                <w:i w:val="0"/>
                <w:sz w:val="18"/>
              </w:rPr>
              <w:t>2026-10-11</w:t>
            </w:r>
          </w:p>
        </w:tc>
      </w:tr>
    </w:tbl>
    <w:p>
      <w:pPr>
        <w:spacing w:after="40"/>
      </w:pPr>
    </w:p>
    <w:p>
      <w:pPr>
        <w:keepNext/>
        <w:spacing w:before="120" w:after="60"/>
        <w:ind w:left="363"/>
      </w:pPr>
      <w:r>
        <w:rPr>
          <w:rFonts w:ascii="Arial" w:hAnsi="Arial" w:cs="Arial" w:eastAsia="Arial"/>
          <w:b/>
          <w:i w:val="0"/>
          <w:sz w:val="18"/>
        </w:rPr>
        <w:t>Table 4: Insurer updates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57"/>
        <w:gridCol w:w="3756"/>
        <w:gridCol w:w="197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657"/>
            <w:shd w:val="clear" w:color="auto" w:fill="D9E2F3"/>
          </w:tcPr>
          <w:p>
            <w:pPr>
              <w:spacing w:before="20" w:after="20"/>
            </w:pPr>
            <w:r>
              <w:rPr>
                <w:rFonts w:ascii="Arial" w:hAnsi="Arial" w:cs="Arial" w:eastAsia="Arial"/>
                <w:b/>
                <w:i w:val="0"/>
                <w:sz w:val="18"/>
              </w:rPr>
              <w:t>Req.</w:t>
            </w:r>
          </w:p>
        </w:tc>
        <w:tc>
          <w:tcPr>
            <w:tcW w:type="dxa" w:w="3756"/>
            <w:shd w:val="clear" w:color="auto" w:fill="D9E2F3"/>
          </w:tcPr>
          <w:p>
            <w:pPr>
              <w:spacing w:before="20" w:after="20"/>
            </w:pPr>
            <w:r>
              <w:rPr>
                <w:rFonts w:ascii="Arial" w:hAnsi="Arial" w:cs="Arial" w:eastAsia="Arial"/>
                <w:b/>
                <w:i w:val="0"/>
                <w:sz w:val="18"/>
              </w:rPr>
              <w:t>Content</w:t>
            </w:r>
          </w:p>
        </w:tc>
        <w:tc>
          <w:tcPr>
            <w:tcW w:type="dxa" w:w="197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Claim No.</w:t>
            </w:r>
          </w:p>
        </w:tc>
        <w:tc>
          <w:tcPr>
            <w:tcW w:type="dxa" w:w="657"/>
          </w:tcPr>
          <w:p>
            <w:pPr>
              <w:spacing w:before="20" w:after="20"/>
            </w:pPr>
            <w:r>
              <w:rPr>
                <w:rFonts w:ascii="Arial" w:hAnsi="Arial" w:cs="Arial" w:eastAsia="Arial"/>
                <w:b w:val="0"/>
                <w:i w:val="0"/>
                <w:sz w:val="18"/>
              </w:rPr>
              <w:t>Cond.</w:t>
            </w:r>
          </w:p>
        </w:tc>
        <w:tc>
          <w:tcPr>
            <w:tcW w:type="dxa" w:w="3756"/>
          </w:tcPr>
          <w:p>
            <w:pPr>
              <w:spacing w:before="20" w:after="20"/>
            </w:pPr>
            <w:r>
              <w:rPr>
                <w:rFonts w:ascii="Arial" w:hAnsi="Arial" w:cs="Arial" w:eastAsia="Arial"/>
                <w:b w:val="0"/>
                <w:i w:val="0"/>
                <w:sz w:val="18"/>
              </w:rPr>
              <w:t>Broker claim number, else insurer and insurer claim number</w:t>
            </w:r>
          </w:p>
        </w:tc>
        <w:tc>
          <w:tcPr>
            <w:tcW w:type="dxa" w:w="1972"/>
          </w:tcPr>
          <w:p>
            <w:pPr>
              <w:spacing w:before="20" w:after="20"/>
            </w:pPr>
            <w:r>
              <w:rPr>
                <w:rFonts w:ascii="Arial" w:hAnsi="Arial" w:cs="Arial" w:eastAsia="Arial"/>
                <w:b w:val="0"/>
                <w:i w:val="0"/>
                <w:sz w:val="18"/>
              </w:rPr>
              <w:t>BCL-2026-000001</w:t>
            </w:r>
          </w:p>
        </w:tc>
      </w:tr>
      <w:tr>
        <w:trPr>
          <w:cantSplit/>
        </w:trPr>
        <w:tc>
          <w:tcPr>
            <w:tcW w:type="dxa" w:w="2253"/>
          </w:tcPr>
          <w:p>
            <w:pPr>
              <w:spacing w:before="20" w:after="20"/>
            </w:pPr>
            <w:r>
              <w:rPr>
                <w:rFonts w:ascii="Arial" w:hAnsi="Arial" w:cs="Arial" w:eastAsia="Arial"/>
                <w:b w:val="0"/>
                <w:i w:val="0"/>
                <w:sz w:val="18"/>
              </w:rPr>
              <w:t>Insurer</w:t>
            </w:r>
          </w:p>
        </w:tc>
        <w:tc>
          <w:tcPr>
            <w:tcW w:type="dxa" w:w="657"/>
          </w:tcPr>
          <w:p>
            <w:pPr>
              <w:spacing w:before="20" w:after="20"/>
            </w:pPr>
            <w:r>
              <w:rPr>
                <w:rFonts w:ascii="Arial" w:hAnsi="Arial" w:cs="Arial" w:eastAsia="Arial"/>
                <w:b w:val="0"/>
                <w:i w:val="0"/>
                <w:sz w:val="18"/>
              </w:rPr>
              <w:t>Cond.</w:t>
            </w:r>
          </w:p>
        </w:tc>
        <w:tc>
          <w:tcPr>
            <w:tcW w:type="dxa" w:w="3756"/>
          </w:tcPr>
          <w:p>
            <w:pPr>
              <w:spacing w:before="20" w:after="20"/>
            </w:pPr>
            <w:r>
              <w:rPr>
                <w:rFonts w:ascii="Arial" w:hAnsi="Arial" w:cs="Arial" w:eastAsia="Arial"/>
                <w:b w:val="0"/>
                <w:i w:val="0"/>
                <w:sz w:val="18"/>
              </w:rPr>
              <w:t>With the insurer claim number</w:t>
            </w:r>
          </w:p>
        </w:tc>
        <w:tc>
          <w:tcPr>
            <w:tcW w:type="dxa" w:w="1972"/>
          </w:tcPr>
          <w:p>
            <w:pPr>
              <w:spacing w:before="20" w:after="20"/>
            </w:pPr>
            <w:r>
              <w:rPr>
                <w:rFonts w:ascii="Arial" w:hAnsi="Arial" w:cs="Arial" w:eastAsia="Arial"/>
                <w:b w:val="0"/>
                <w:i w:val="0"/>
                <w:sz w:val="18"/>
              </w:rPr>
              <w:t>INS-ALPHA</w:t>
            </w:r>
          </w:p>
        </w:tc>
      </w:tr>
      <w:tr>
        <w:trPr>
          <w:cantSplit/>
        </w:trPr>
        <w:tc>
          <w:tcPr>
            <w:tcW w:type="dxa" w:w="2253"/>
          </w:tcPr>
          <w:p>
            <w:pPr>
              <w:spacing w:before="20" w:after="20"/>
            </w:pPr>
            <w:r>
              <w:rPr>
                <w:rFonts w:ascii="Arial" w:hAnsi="Arial" w:cs="Arial" w:eastAsia="Arial"/>
                <w:b w:val="0"/>
                <w:i w:val="0"/>
                <w:sz w:val="18"/>
              </w:rPr>
              <w:t>Insurer Claim No.</w:t>
            </w:r>
          </w:p>
        </w:tc>
        <w:tc>
          <w:tcPr>
            <w:tcW w:type="dxa" w:w="657"/>
          </w:tcPr>
          <w:p>
            <w:pPr>
              <w:spacing w:before="20" w:after="20"/>
            </w:pPr>
            <w:r>
              <w:rPr>
                <w:rFonts w:ascii="Arial" w:hAnsi="Arial" w:cs="Arial" w:eastAsia="Arial"/>
                <w:b w:val="0"/>
                <w:i w:val="0"/>
                <w:sz w:val="18"/>
              </w:rPr>
              <w:t>Cond.</w:t>
            </w:r>
          </w:p>
        </w:tc>
        <w:tc>
          <w:tcPr>
            <w:tcW w:type="dxa" w:w="3756"/>
          </w:tcPr>
          <w:p>
            <w:pPr>
              <w:spacing w:before="20" w:after="20"/>
            </w:pPr>
            <w:r>
              <w:rPr>
                <w:rFonts w:ascii="Arial" w:hAnsi="Arial" w:cs="Arial" w:eastAsia="Arial"/>
                <w:b w:val="0"/>
                <w:i w:val="0"/>
                <w:sz w:val="18"/>
              </w:rPr>
              <w:t>Insurer's claim number</w:t>
            </w:r>
          </w:p>
        </w:tc>
        <w:tc>
          <w:tcPr>
            <w:tcW w:type="dxa" w:w="1972"/>
          </w:tcPr>
          <w:p>
            <w:pPr>
              <w:spacing w:before="20" w:after="20"/>
            </w:pPr>
            <w:r>
              <w:rPr>
                <w:rFonts w:ascii="Arial" w:hAnsi="Arial" w:cs="Arial" w:eastAsia="Arial"/>
                <w:b w:val="0"/>
                <w:i w:val="0"/>
                <w:sz w:val="18"/>
              </w:rPr>
              <w:t>ALPHA-CL-0001</w:t>
            </w:r>
          </w:p>
        </w:tc>
      </w:tr>
      <w:tr>
        <w:trPr>
          <w:cantSplit/>
        </w:trPr>
        <w:tc>
          <w:tcPr>
            <w:tcW w:type="dxa" w:w="2253"/>
          </w:tcPr>
          <w:p>
            <w:pPr>
              <w:spacing w:before="20" w:after="20"/>
            </w:pPr>
            <w:r>
              <w:rPr>
                <w:rFonts w:ascii="Arial" w:hAnsi="Arial" w:cs="Arial" w:eastAsia="Arial"/>
                <w:b w:val="0"/>
                <w:i w:val="0"/>
                <w:sz w:val="18"/>
              </w:rPr>
              <w:t>Update Date</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Not in the future</w:t>
            </w:r>
          </w:p>
        </w:tc>
        <w:tc>
          <w:tcPr>
            <w:tcW w:type="dxa" w:w="1972"/>
          </w:tcPr>
          <w:p>
            <w:pPr>
              <w:spacing w:before="20" w:after="20"/>
            </w:pPr>
            <w:r>
              <w:rPr>
                <w:rFonts w:ascii="Arial" w:hAnsi="Arial" w:cs="Arial" w:eastAsia="Arial"/>
                <w:b w:val="0"/>
                <w:i w:val="0"/>
                <w:sz w:val="18"/>
              </w:rPr>
              <w:t>2026-10-15</w:t>
            </w:r>
          </w:p>
        </w:tc>
      </w:tr>
      <w:tr>
        <w:trPr>
          <w:cantSplit/>
        </w:trPr>
        <w:tc>
          <w:tcPr>
            <w:tcW w:type="dxa" w:w="2253"/>
          </w:tcPr>
          <w:p>
            <w:pPr>
              <w:spacing w:before="20" w:after="20"/>
            </w:pPr>
            <w:r>
              <w:rPr>
                <w:rFonts w:ascii="Arial" w:hAnsi="Arial" w:cs="Arial" w:eastAsia="Arial"/>
                <w:b w:val="0"/>
                <w:i w:val="0"/>
                <w:sz w:val="18"/>
              </w:rPr>
              <w:t>Source</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E-mail, Letter, Insurer portal, Call, File</w:t>
            </w:r>
          </w:p>
        </w:tc>
        <w:tc>
          <w:tcPr>
            <w:tcW w:type="dxa" w:w="1972"/>
          </w:tcPr>
          <w:p>
            <w:pPr>
              <w:spacing w:before="20" w:after="20"/>
            </w:pPr>
            <w:r>
              <w:rPr>
                <w:rFonts w:ascii="Arial" w:hAnsi="Arial" w:cs="Arial" w:eastAsia="Arial"/>
                <w:b w:val="0"/>
                <w:i w:val="0"/>
                <w:sz w:val="18"/>
              </w:rPr>
              <w:t>EMAIL</w:t>
            </w:r>
          </w:p>
        </w:tc>
      </w:tr>
      <w:tr>
        <w:trPr>
          <w:cantSplit/>
        </w:trPr>
        <w:tc>
          <w:tcPr>
            <w:tcW w:type="dxa" w:w="2253"/>
          </w:tcPr>
          <w:p>
            <w:pPr>
              <w:spacing w:before="20" w:after="20"/>
            </w:pPr>
            <w:r>
              <w:rPr>
                <w:rFonts w:ascii="Arial" w:hAnsi="Arial" w:cs="Arial" w:eastAsia="Arial"/>
                <w:b w:val="0"/>
                <w:i w:val="0"/>
                <w:sz w:val="18"/>
              </w:rPr>
              <w:t>Reference</w:t>
            </w:r>
          </w:p>
        </w:tc>
        <w:tc>
          <w:tcPr>
            <w:tcW w:type="dxa" w:w="657"/>
          </w:tcPr>
          <w:p>
            <w:pPr>
              <w:spacing w:before="20" w:after="20"/>
            </w:pPr>
            <w:r>
              <w:rPr>
                <w:rFonts w:ascii="Arial" w:hAnsi="Arial" w:cs="Arial" w:eastAsia="Arial"/>
                <w:b w:val="0"/>
                <w:i w:val="0"/>
                <w:sz w:val="18"/>
              </w:rPr>
              <w:t>N</w:t>
            </w:r>
          </w:p>
        </w:tc>
        <w:tc>
          <w:tcPr>
            <w:tcW w:type="dxa" w:w="3756"/>
          </w:tcPr>
          <w:p>
            <w:pPr>
              <w:spacing w:before="20" w:after="20"/>
            </w:pPr>
            <w:r>
              <w:rPr>
                <w:rFonts w:ascii="Arial" w:hAnsi="Arial" w:cs="Arial" w:eastAsia="Arial"/>
                <w:b w:val="0"/>
                <w:i w:val="0"/>
                <w:sz w:val="18"/>
              </w:rPr>
              <w:t>Insurer's reference</w:t>
            </w:r>
          </w:p>
        </w:tc>
        <w:tc>
          <w:tcPr>
            <w:tcW w:type="dxa" w:w="1972"/>
          </w:tcPr>
          <w:p>
            <w:pPr>
              <w:spacing w:before="20" w:after="20"/>
            </w:pPr>
            <w:r>
              <w:rPr>
                <w:rFonts w:ascii="Arial" w:hAnsi="Arial" w:cs="Arial" w:eastAsia="Arial"/>
                <w:b w:val="0"/>
                <w:i w:val="0"/>
                <w:sz w:val="18"/>
              </w:rPr>
              <w:t>LTR-0001</w:t>
            </w:r>
          </w:p>
        </w:tc>
      </w:tr>
      <w:tr>
        <w:trPr>
          <w:cantSplit/>
        </w:trPr>
        <w:tc>
          <w:tcPr>
            <w:tcW w:type="dxa" w:w="2253"/>
          </w:tcPr>
          <w:p>
            <w:pPr>
              <w:spacing w:before="20" w:after="20"/>
            </w:pPr>
            <w:r>
              <w:rPr>
                <w:rFonts w:ascii="Arial" w:hAnsi="Arial" w:cs="Arial" w:eastAsia="Arial"/>
                <w:b w:val="0"/>
                <w:i w:val="0"/>
                <w:sz w:val="18"/>
              </w:rPr>
              <w:t>Remarks</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What the insurer communicated</w:t>
            </w:r>
          </w:p>
        </w:tc>
        <w:tc>
          <w:tcPr>
            <w:tcW w:type="dxa" w:w="1972"/>
          </w:tcPr>
          <w:p>
            <w:pPr>
              <w:spacing w:before="20" w:after="20"/>
            </w:pPr>
            <w:r>
              <w:rPr>
                <w:rFonts w:ascii="Arial" w:hAnsi="Arial" w:cs="Arial" w:eastAsia="Arial"/>
                <w:b w:val="0"/>
                <w:i w:val="0"/>
                <w:sz w:val="18"/>
              </w:rPr>
              <w:t>Adjuster appointed</w:t>
            </w:r>
          </w:p>
        </w:tc>
      </w:tr>
    </w:tbl>
    <w:p>
      <w:pPr>
        <w:spacing w:after="40"/>
      </w:pPr>
    </w:p>
    <w:p>
      <w:pPr>
        <w:keepNext/>
        <w:spacing w:before="120" w:after="60"/>
        <w:ind w:left="363"/>
      </w:pPr>
      <w:r>
        <w:rPr>
          <w:rFonts w:ascii="Arial" w:hAnsi="Arial" w:cs="Arial" w:eastAsia="Arial"/>
          <w:b/>
          <w:i w:val="0"/>
          <w:sz w:val="18"/>
        </w:rPr>
        <w:t>Table 5: Insurer location 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57"/>
        <w:gridCol w:w="3756"/>
        <w:gridCol w:w="197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657"/>
            <w:shd w:val="clear" w:color="auto" w:fill="D9E2F3"/>
          </w:tcPr>
          <w:p>
            <w:pPr>
              <w:spacing w:before="20" w:after="20"/>
            </w:pPr>
            <w:r>
              <w:rPr>
                <w:rFonts w:ascii="Arial" w:hAnsi="Arial" w:cs="Arial" w:eastAsia="Arial"/>
                <w:b/>
                <w:i w:val="0"/>
                <w:sz w:val="18"/>
              </w:rPr>
              <w:t>Req.</w:t>
            </w:r>
          </w:p>
        </w:tc>
        <w:tc>
          <w:tcPr>
            <w:tcW w:type="dxa" w:w="3756"/>
            <w:shd w:val="clear" w:color="auto" w:fill="D9E2F3"/>
          </w:tcPr>
          <w:p>
            <w:pPr>
              <w:spacing w:before="20" w:after="20"/>
            </w:pPr>
            <w:r>
              <w:rPr>
                <w:rFonts w:ascii="Arial" w:hAnsi="Arial" w:cs="Arial" w:eastAsia="Arial"/>
                <w:b/>
                <w:i w:val="0"/>
                <w:sz w:val="18"/>
              </w:rPr>
              <w:t>Content</w:t>
            </w:r>
          </w:p>
        </w:tc>
        <w:tc>
          <w:tcPr>
            <w:tcW w:type="dxa" w:w="197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ARN</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Account of the cover</w:t>
            </w:r>
          </w:p>
        </w:tc>
        <w:tc>
          <w:tcPr>
            <w:tcW w:type="dxa" w:w="1972"/>
          </w:tcPr>
          <w:p>
            <w:pPr>
              <w:spacing w:before="20" w:after="20"/>
            </w:pPr>
            <w:r>
              <w:rPr>
                <w:rFonts w:ascii="Arial" w:hAnsi="Arial" w:cs="Arial" w:eastAsia="Arial"/>
                <w:b w:val="0"/>
                <w:i w:val="0"/>
                <w:sz w:val="18"/>
              </w:rPr>
              <w:t>ARN-2026-000001</w:t>
            </w:r>
          </w:p>
        </w:tc>
      </w:tr>
      <w:tr>
        <w:trPr>
          <w:cantSplit/>
        </w:trPr>
        <w:tc>
          <w:tcPr>
            <w:tcW w:type="dxa" w:w="2253"/>
          </w:tcPr>
          <w:p>
            <w:pPr>
              <w:spacing w:before="20" w:after="20"/>
            </w:pPr>
            <w:r>
              <w:rPr>
                <w:rFonts w:ascii="Arial" w:hAnsi="Arial" w:cs="Arial" w:eastAsia="Arial"/>
                <w:b w:val="0"/>
                <w:i w:val="0"/>
                <w:sz w:val="18"/>
              </w:rPr>
              <w:t>Item No.</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Location item of the cover</w:t>
            </w:r>
          </w:p>
        </w:tc>
        <w:tc>
          <w:tcPr>
            <w:tcW w:type="dxa" w:w="1972"/>
          </w:tcPr>
          <w:p>
            <w:pPr>
              <w:spacing w:before="20" w:after="20"/>
            </w:pPr>
            <w:r>
              <w:rPr>
                <w:rFonts w:ascii="Arial" w:hAnsi="Arial" w:cs="Arial" w:eastAsia="Arial"/>
                <w:b w:val="0"/>
                <w:i w:val="0"/>
                <w:sz w:val="18"/>
              </w:rPr>
              <w:t>1</w:t>
            </w:r>
          </w:p>
        </w:tc>
      </w:tr>
      <w:tr>
        <w:trPr>
          <w:cantSplit/>
        </w:trPr>
        <w:tc>
          <w:tcPr>
            <w:tcW w:type="dxa" w:w="2253"/>
          </w:tcPr>
          <w:p>
            <w:pPr>
              <w:spacing w:before="20" w:after="20"/>
            </w:pPr>
            <w:r>
              <w:rPr>
                <w:rFonts w:ascii="Arial" w:hAnsi="Arial" w:cs="Arial" w:eastAsia="Arial"/>
                <w:b w:val="0"/>
                <w:i w:val="0"/>
                <w:sz w:val="18"/>
              </w:rPr>
              <w:t>Insurer</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Insurer of the cover</w:t>
            </w:r>
          </w:p>
        </w:tc>
        <w:tc>
          <w:tcPr>
            <w:tcW w:type="dxa" w:w="1972"/>
          </w:tcPr>
          <w:p>
            <w:pPr>
              <w:spacing w:before="20" w:after="20"/>
            </w:pPr>
            <w:r>
              <w:rPr>
                <w:rFonts w:ascii="Arial" w:hAnsi="Arial" w:cs="Arial" w:eastAsia="Arial"/>
                <w:b w:val="0"/>
                <w:i w:val="0"/>
                <w:sz w:val="18"/>
              </w:rPr>
              <w:t>INS-ALPHA</w:t>
            </w:r>
          </w:p>
        </w:tc>
      </w:tr>
      <w:tr>
        <w:trPr>
          <w:cantSplit/>
        </w:trPr>
        <w:tc>
          <w:tcPr>
            <w:tcW w:type="dxa" w:w="2253"/>
          </w:tcPr>
          <w:p>
            <w:pPr>
              <w:spacing w:before="20" w:after="20"/>
            </w:pPr>
            <w:r>
              <w:rPr>
                <w:rFonts w:ascii="Arial" w:hAnsi="Arial" w:cs="Arial" w:eastAsia="Arial"/>
                <w:b w:val="0"/>
                <w:i w:val="0"/>
                <w:sz w:val="18"/>
              </w:rPr>
              <w:t>Insurer Location Ref</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Insurer's reference</w:t>
            </w:r>
          </w:p>
        </w:tc>
        <w:tc>
          <w:tcPr>
            <w:tcW w:type="dxa" w:w="1972"/>
          </w:tcPr>
          <w:p>
            <w:pPr>
              <w:spacing w:before="20" w:after="20"/>
            </w:pPr>
            <w:r>
              <w:rPr>
                <w:rFonts w:ascii="Arial" w:hAnsi="Arial" w:cs="Arial" w:eastAsia="Arial"/>
                <w:b w:val="0"/>
                <w:i w:val="0"/>
                <w:sz w:val="18"/>
              </w:rPr>
              <w:t>ALPHA-LOC-0001</w:t>
            </w:r>
          </w:p>
        </w:tc>
      </w:tr>
      <w:tr>
        <w:trPr>
          <w:cantSplit/>
        </w:trPr>
        <w:tc>
          <w:tcPr>
            <w:tcW w:type="dxa" w:w="2253"/>
          </w:tcPr>
          <w:p>
            <w:pPr>
              <w:spacing w:before="20" w:after="20"/>
            </w:pPr>
            <w:r>
              <w:rPr>
                <w:rFonts w:ascii="Arial" w:hAnsi="Arial" w:cs="Arial" w:eastAsia="Arial"/>
                <w:b w:val="0"/>
                <w:i w:val="0"/>
                <w:sz w:val="18"/>
              </w:rPr>
              <w:t>Effective From</w:t>
            </w:r>
          </w:p>
        </w:tc>
        <w:tc>
          <w:tcPr>
            <w:tcW w:type="dxa" w:w="657"/>
          </w:tcPr>
          <w:p>
            <w:pPr>
              <w:spacing w:before="20" w:after="20"/>
            </w:pPr>
            <w:r>
              <w:rPr>
                <w:rFonts w:ascii="Arial" w:hAnsi="Arial" w:cs="Arial" w:eastAsia="Arial"/>
                <w:b w:val="0"/>
                <w:i w:val="0"/>
                <w:sz w:val="18"/>
              </w:rPr>
              <w:t>Y</w:t>
            </w:r>
          </w:p>
        </w:tc>
        <w:tc>
          <w:tcPr>
            <w:tcW w:type="dxa" w:w="3756"/>
          </w:tcPr>
          <w:p>
            <w:pPr>
              <w:spacing w:before="20" w:after="20"/>
            </w:pPr>
            <w:r>
              <w:rPr>
                <w:rFonts w:ascii="Arial" w:hAnsi="Arial" w:cs="Arial" w:eastAsia="Arial"/>
                <w:b w:val="0"/>
                <w:i w:val="0"/>
                <w:sz w:val="18"/>
              </w:rPr>
              <w:t>First day of the reference</w:t>
            </w:r>
          </w:p>
        </w:tc>
        <w:tc>
          <w:tcPr>
            <w:tcW w:type="dxa" w:w="1972"/>
          </w:tcPr>
          <w:p>
            <w:pPr>
              <w:spacing w:before="20" w:after="20"/>
            </w:pPr>
            <w:r>
              <w:rPr>
                <w:rFonts w:ascii="Arial" w:hAnsi="Arial" w:cs="Arial" w:eastAsia="Arial"/>
                <w:b w:val="0"/>
                <w:i w:val="0"/>
                <w:sz w:val="18"/>
              </w:rPr>
              <w:t>2026-10-01</w:t>
            </w:r>
          </w:p>
        </w:tc>
      </w:tr>
    </w:tbl>
    <w:p>
      <w:pPr>
        <w:spacing w:after="40"/>
      </w:pPr>
    </w:p>
    <w:p>
      <w:pPr>
        <w:pStyle w:val="Heading1"/>
        <w:pageBreakBefore/>
      </w:pPr>
      <w:r>
        <w:t>IF-CLM-03 Claim Documents</w:t>
      </w:r>
    </w:p>
    <w:p>
      <w:pPr>
        <w:pStyle w:val="ListParagraph"/>
        <w:tabs>
          <w:tab w:pos="680" w:val="left"/>
        </w:tabs>
        <w:spacing w:after="60"/>
        <w:ind w:left="680" w:hanging="283"/>
      </w:pPr>
      <w:r>
        <w:rPr>
          <w:rFonts w:ascii="Arial" w:hAnsi="Arial" w:cs="Arial" w:eastAsia="Arial"/>
          <w:b w:val="0"/>
          <w:i w:val="0"/>
          <w:sz w:val="20"/>
        </w:rPr>
        <w:t>•</w:t>
        <w:tab/>
        <w:t>Documents are uploaded on the claim as JPEG, PNG, HEIC or PDF, at most 10 MB each, and stored in the document store (S3) with the claim, account and client as owners [Integration scope].</w:t>
      </w:r>
    </w:p>
    <w:p>
      <w:pPr>
        <w:pStyle w:val="ListParagraph"/>
        <w:tabs>
          <w:tab w:pos="680" w:val="left"/>
        </w:tabs>
        <w:spacing w:after="60"/>
        <w:ind w:left="680" w:hanging="283"/>
      </w:pPr>
      <w:r>
        <w:rPr>
          <w:rFonts w:ascii="Arial" w:hAnsi="Arial" w:cs="Arial" w:eastAsia="Arial"/>
          <w:b w:val="0"/>
          <w:i w:val="0"/>
          <w:sz w:val="20"/>
        </w:rPr>
        <w:t>•</w:t>
        <w:tab/>
        <w:t>Each document has a type from the list of claim document types; the checklist per risk code category comes with G-CLM-01.</w:t>
      </w:r>
    </w:p>
    <w:p>
      <w:pPr>
        <w:pStyle w:val="Heading1"/>
        <w:pageBreakBefore/>
      </w:pPr>
      <w:r>
        <w:t>IF-CLM-04 Module Hand-offs</w:t>
      </w:r>
    </w:p>
    <w:p>
      <w:pPr>
        <w:keepNext/>
        <w:spacing w:before="120" w:after="60"/>
        <w:ind w:left="363"/>
      </w:pPr>
      <w:r>
        <w:rPr>
          <w:rFonts w:ascii="Arial" w:hAnsi="Arial" w:cs="Arial" w:eastAsia="Arial"/>
          <w:b/>
          <w:i w:val="0"/>
          <w:sz w:val="18"/>
        </w:rPr>
        <w:t>Table 6: Hand-offs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4883"/>
        <w:gridCol w:w="1502"/>
      </w:tblGrid>
      <w:tr>
        <w:trPr>
          <w:tblHeader/>
          <w:cantSplit/>
        </w:trPr>
        <w:tc>
          <w:tcPr>
            <w:tcW w:type="dxa" w:w="2253"/>
            <w:shd w:val="clear" w:color="auto" w:fill="D9E2F3"/>
          </w:tcPr>
          <w:p>
            <w:pPr>
              <w:spacing w:before="20" w:after="20"/>
            </w:pPr>
            <w:r>
              <w:rPr>
                <w:rFonts w:ascii="Arial" w:hAnsi="Arial" w:cs="Arial" w:eastAsia="Arial"/>
                <w:b/>
                <w:i w:val="0"/>
                <w:sz w:val="18"/>
              </w:rPr>
              <w:t>Hand-off</w:t>
            </w:r>
          </w:p>
        </w:tc>
        <w:tc>
          <w:tcPr>
            <w:tcW w:type="dxa" w:w="4883"/>
            <w:shd w:val="clear" w:color="auto" w:fill="D9E2F3"/>
          </w:tcPr>
          <w:p>
            <w:pPr>
              <w:spacing w:before="20" w:after="20"/>
            </w:pPr>
            <w:r>
              <w:rPr>
                <w:rFonts w:ascii="Arial" w:hAnsi="Arial" w:cs="Arial" w:eastAsia="Arial"/>
                <w:b/>
                <w:i w:val="0"/>
                <w:sz w:val="18"/>
              </w:rPr>
              <w:t>What passes</w:t>
            </w:r>
          </w:p>
        </w:tc>
        <w:tc>
          <w:tcPr>
            <w:tcW w:type="dxa" w:w="1502"/>
            <w:shd w:val="clear" w:color="auto" w:fill="D9E2F3"/>
          </w:tcPr>
          <w:p>
            <w:pPr>
              <w:spacing w:before="20" w:after="20"/>
            </w:pPr>
            <w:r>
              <w:rPr>
                <w:rFonts w:ascii="Arial" w:hAnsi="Arial" w:cs="Arial" w:eastAsia="Arial"/>
                <w:b/>
                <w:i w:val="0"/>
                <w:sz w:val="18"/>
              </w:rPr>
              <w:t>When</w:t>
            </w:r>
          </w:p>
        </w:tc>
      </w:tr>
      <w:tr>
        <w:trPr>
          <w:cantSplit/>
        </w:trPr>
        <w:tc>
          <w:tcPr>
            <w:tcW w:type="dxa" w:w="2253"/>
          </w:tcPr>
          <w:p>
            <w:pPr>
              <w:spacing w:before="20" w:after="20"/>
            </w:pPr>
            <w:r>
              <w:rPr>
                <w:rFonts w:ascii="Arial" w:hAnsi="Arial" w:cs="Arial" w:eastAsia="Arial"/>
                <w:b w:val="0"/>
                <w:i w:val="0"/>
                <w:sz w:val="18"/>
              </w:rPr>
              <w:t>Operations invoice ledger</w:t>
            </w:r>
          </w:p>
        </w:tc>
        <w:tc>
          <w:tcPr>
            <w:tcW w:type="dxa" w:w="4883"/>
          </w:tcPr>
          <w:p>
            <w:pPr>
              <w:spacing w:before="20" w:after="20"/>
            </w:pPr>
            <w:r>
              <w:rPr>
                <w:rFonts w:ascii="Arial" w:hAnsi="Arial" w:cs="Arial" w:eastAsia="Arial"/>
                <w:b w:val="0"/>
                <w:i w:val="0"/>
                <w:sz w:val="18"/>
              </w:rPr>
              <w:t>Premium status of the invoices of the cover; payment and remittance events</w:t>
            </w:r>
          </w:p>
        </w:tc>
        <w:tc>
          <w:tcPr>
            <w:tcW w:type="dxa" w:w="1502"/>
          </w:tcPr>
          <w:p>
            <w:pPr>
              <w:spacing w:before="20" w:after="20"/>
            </w:pPr>
            <w:r>
              <w:rPr>
                <w:rFonts w:ascii="Arial" w:hAnsi="Arial" w:cs="Arial" w:eastAsia="Arial"/>
                <w:b w:val="0"/>
                <w:i w:val="0"/>
                <w:sz w:val="18"/>
              </w:rPr>
              <w:t>Recording; each payment; daily</w:t>
            </w:r>
          </w:p>
        </w:tc>
      </w:tr>
      <w:tr>
        <w:trPr>
          <w:cantSplit/>
        </w:trPr>
        <w:tc>
          <w:tcPr>
            <w:tcW w:type="dxa" w:w="2253"/>
          </w:tcPr>
          <w:p>
            <w:pPr>
              <w:spacing w:before="20" w:after="20"/>
            </w:pPr>
            <w:r>
              <w:rPr>
                <w:rFonts w:ascii="Arial" w:hAnsi="Arial" w:cs="Arial" w:eastAsia="Arial"/>
                <w:b w:val="0"/>
                <w:i w:val="0"/>
                <w:sz w:val="18"/>
              </w:rPr>
              <w:t>Remittance</w:t>
            </w:r>
          </w:p>
        </w:tc>
        <w:tc>
          <w:tcPr>
            <w:tcW w:type="dxa" w:w="4883"/>
          </w:tcPr>
          <w:p>
            <w:pPr>
              <w:spacing w:before="20" w:after="20"/>
            </w:pPr>
            <w:r>
              <w:rPr>
                <w:rFonts w:ascii="Arial" w:hAnsi="Arial" w:cs="Arial" w:eastAsia="Arial"/>
                <w:b w:val="0"/>
                <w:i w:val="0"/>
                <w:sz w:val="18"/>
              </w:rPr>
              <w:t>Confirmation of an open claim for a special remittance with condition Claims; notice when fully remitted</w:t>
            </w:r>
          </w:p>
        </w:tc>
        <w:tc>
          <w:tcPr>
            <w:tcW w:type="dxa" w:w="1502"/>
          </w:tcPr>
          <w:p>
            <w:pPr>
              <w:spacing w:before="20" w:after="20"/>
            </w:pPr>
            <w:r>
              <w:rPr>
                <w:rFonts w:ascii="Arial" w:hAnsi="Arial" w:cs="Arial" w:eastAsia="Arial"/>
                <w:b w:val="0"/>
                <w:i w:val="0"/>
                <w:sz w:val="18"/>
              </w:rPr>
              <w:t>Request; remittance</w:t>
            </w:r>
          </w:p>
        </w:tc>
      </w:tr>
      <w:tr>
        <w:trPr>
          <w:cantSplit/>
        </w:trPr>
        <w:tc>
          <w:tcPr>
            <w:tcW w:type="dxa" w:w="2253"/>
          </w:tcPr>
          <w:p>
            <w:pPr>
              <w:spacing w:before="20" w:after="20"/>
            </w:pPr>
            <w:r>
              <w:rPr>
                <w:rFonts w:ascii="Arial" w:hAnsi="Arial" w:cs="Arial" w:eastAsia="Arial"/>
                <w:b w:val="0"/>
                <w:i w:val="0"/>
                <w:sz w:val="18"/>
              </w:rPr>
              <w:t>New Business, Renewal, Account</w:t>
            </w:r>
          </w:p>
        </w:tc>
        <w:tc>
          <w:tcPr>
            <w:tcW w:type="dxa" w:w="4883"/>
          </w:tcPr>
          <w:p>
            <w:pPr>
              <w:spacing w:before="20" w:after="20"/>
            </w:pPr>
            <w:r>
              <w:rPr>
                <w:rFonts w:ascii="Arial" w:hAnsi="Arial" w:cs="Arial" w:eastAsia="Arial"/>
                <w:b w:val="0"/>
                <w:i w:val="0"/>
                <w:sz w:val="18"/>
              </w:rPr>
              <w:t>Claim experience of a cover: number, status, paid and outstanding</w:t>
            </w:r>
          </w:p>
        </w:tc>
        <w:tc>
          <w:tcPr>
            <w:tcW w:type="dxa" w:w="1502"/>
          </w:tcPr>
          <w:p>
            <w:pPr>
              <w:spacing w:before="20" w:after="20"/>
            </w:pPr>
            <w:r>
              <w:rPr>
                <w:rFonts w:ascii="Arial" w:hAnsi="Arial" w:cs="Arial" w:eastAsia="Arial"/>
                <w:b w:val="0"/>
                <w:i w:val="0"/>
                <w:sz w:val="18"/>
              </w:rPr>
              <w:t>On request</w:t>
            </w:r>
          </w:p>
        </w:tc>
      </w:tr>
      <w:tr>
        <w:trPr>
          <w:cantSplit/>
        </w:trPr>
        <w:tc>
          <w:tcPr>
            <w:tcW w:type="dxa" w:w="2253"/>
          </w:tcPr>
          <w:p>
            <w:pPr>
              <w:spacing w:before="20" w:after="20"/>
            </w:pPr>
            <w:r>
              <w:rPr>
                <w:rFonts w:ascii="Arial" w:hAnsi="Arial" w:cs="Arial" w:eastAsia="Arial"/>
                <w:b w:val="0"/>
                <w:i w:val="0"/>
                <w:sz w:val="18"/>
              </w:rPr>
              <w:t>User Access</w:t>
            </w:r>
          </w:p>
        </w:tc>
        <w:tc>
          <w:tcPr>
            <w:tcW w:type="dxa" w:w="4883"/>
          </w:tcPr>
          <w:p>
            <w:pPr>
              <w:spacing w:before="20" w:after="20"/>
            </w:pPr>
            <w:r>
              <w:rPr>
                <w:rFonts w:ascii="Arial" w:hAnsi="Arial" w:cs="Arial" w:eastAsia="Arial"/>
                <w:b w:val="0"/>
                <w:i w:val="0"/>
                <w:sz w:val="18"/>
              </w:rPr>
              <w:t>Users, group profiles and reporting lines from UIDM-ISC</w:t>
            </w:r>
          </w:p>
        </w:tc>
        <w:tc>
          <w:tcPr>
            <w:tcW w:type="dxa" w:w="1502"/>
          </w:tcPr>
          <w:p>
            <w:pPr>
              <w:spacing w:before="20" w:after="20"/>
            </w:pPr>
            <w:r>
              <w:rPr>
                <w:rFonts w:ascii="Arial" w:hAnsi="Arial" w:cs="Arial" w:eastAsia="Arial"/>
                <w:b w:val="0"/>
                <w:i w:val="0"/>
                <w:sz w:val="18"/>
              </w:rPr>
              <w:t>Continuous</w:t>
            </w:r>
          </w:p>
        </w:tc>
      </w:tr>
    </w:tbl>
    <w:p>
      <w:pPr>
        <w:spacing w:after="40"/>
      </w:pPr>
    </w:p>
    <w:p>
      <w:pPr>
        <w:pStyle w:val="Heading1"/>
        <w:pageBreakBefore/>
      </w:pPr>
      <w:r>
        <w:t>IF-CLM-05 Legacy Claims Load</w:t>
      </w:r>
    </w:p>
    <w:p>
      <w:pPr>
        <w:spacing w:after="120"/>
        <w:ind w:left="363"/>
      </w:pPr>
      <w:r>
        <w:rPr>
          <w:rFonts w:ascii="Arial" w:hAnsi="Arial" w:cs="Arial" w:eastAsia="Arial"/>
          <w:b w:val="0"/>
          <w:i w:val="0"/>
          <w:sz w:val="20"/>
        </w:rPr>
        <w:t>Open and historical claims of the core system are loaded by Data Migration (BRD-13) with their insurer claim numbers, statuses and dates, as source Migrated; the data mapping of Annex C is to be received (D-CLM-01, Q-CL-17) [Data Migration scope].</w:t>
      </w:r>
    </w:p>
    <w:p>
      <w:pPr>
        <w:pStyle w:val="Heading1"/>
        <w:pageBreakBefore/>
      </w:pPr>
      <w:r>
        <w:t>Open Points</w:t>
      </w:r>
    </w:p>
    <w:p>
      <w:pPr>
        <w:keepNext/>
        <w:spacing w:before="120" w:after="60"/>
        <w:ind w:left="363"/>
      </w:pPr>
      <w:r>
        <w:rPr>
          <w:rFonts w:ascii="Arial" w:hAnsi="Arial" w:cs="Arial" w:eastAsia="Arial"/>
          <w:b/>
          <w:i w:val="0"/>
          <w:sz w:val="18"/>
        </w:rPr>
        <w:t>Table 7: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5446"/>
        <w:gridCol w:w="1878"/>
      </w:tblGrid>
      <w:tr>
        <w:trPr>
          <w:tblHeader/>
          <w:cantSplit/>
        </w:trPr>
        <w:tc>
          <w:tcPr>
            <w:tcW w:type="dxa" w:w="1314"/>
            <w:shd w:val="clear" w:color="auto" w:fill="D9E2F3"/>
          </w:tcPr>
          <w:p>
            <w:pPr>
              <w:spacing w:before="20" w:after="20"/>
            </w:pPr>
            <w:r>
              <w:rPr>
                <w:rFonts w:ascii="Arial" w:hAnsi="Arial" w:cs="Arial" w:eastAsia="Arial"/>
                <w:b/>
                <w:i w:val="0"/>
                <w:sz w:val="18"/>
              </w:rPr>
              <w:t>ID</w:t>
            </w:r>
          </w:p>
        </w:tc>
        <w:tc>
          <w:tcPr>
            <w:tcW w:type="dxa" w:w="5446"/>
            <w:shd w:val="clear" w:color="auto" w:fill="D9E2F3"/>
          </w:tcPr>
          <w:p>
            <w:pPr>
              <w:spacing w:before="20" w:after="20"/>
            </w:pPr>
            <w:r>
              <w:rPr>
                <w:rFonts w:ascii="Arial" w:hAnsi="Arial" w:cs="Arial" w:eastAsia="Arial"/>
                <w:b/>
                <w:i w:val="0"/>
                <w:sz w:val="18"/>
              </w:rPr>
              <w:t>Point</w:t>
            </w:r>
          </w:p>
        </w:tc>
        <w:tc>
          <w:tcPr>
            <w:tcW w:type="dxa" w:w="1878"/>
            <w:shd w:val="clear" w:color="auto" w:fill="D9E2F3"/>
          </w:tcPr>
          <w:p>
            <w:pPr>
              <w:spacing w:before="20" w:after="20"/>
            </w:pPr>
            <w:r>
              <w:rPr>
                <w:rFonts w:ascii="Arial" w:hAnsi="Arial" w:cs="Arial" w:eastAsia="Arial"/>
                <w:b/>
                <w:i w:val="0"/>
                <w:sz w:val="18"/>
              </w:rPr>
              <w:t>Owner</w:t>
            </w:r>
          </w:p>
        </w:tc>
      </w:tr>
      <w:tr>
        <w:trPr>
          <w:cantSplit/>
        </w:trPr>
        <w:tc>
          <w:tcPr>
            <w:tcW w:type="dxa" w:w="1314"/>
          </w:tcPr>
          <w:p>
            <w:pPr>
              <w:spacing w:before="20" w:after="20"/>
            </w:pPr>
            <w:r>
              <w:rPr>
                <w:rFonts w:ascii="Arial" w:hAnsi="Arial" w:cs="Arial" w:eastAsia="Arial"/>
                <w:b w:val="0"/>
                <w:i w:val="0"/>
                <w:sz w:val="18"/>
              </w:rPr>
              <w:t>Q-CL-05</w:t>
            </w:r>
          </w:p>
        </w:tc>
        <w:tc>
          <w:tcPr>
            <w:tcW w:type="dxa" w:w="5446"/>
          </w:tcPr>
          <w:p>
            <w:pPr>
              <w:spacing w:before="20" w:after="20"/>
            </w:pPr>
            <w:r>
              <w:rPr>
                <w:rFonts w:ascii="Arial" w:hAnsi="Arial" w:cs="Arial" w:eastAsia="Arial"/>
                <w:b w:val="0"/>
                <w:i w:val="0"/>
                <w:sz w:val="18"/>
              </w:rPr>
              <w:t>Annexes R, S and T are empty: settlement fields, settlement check registry, certificate of no claim. Does BDOI receive settlement checks for safekeeping (the dashboard lists 'Settlement Check for Safekeeping')? This changes CLQ10 (no claim money through BDOI).</w:t>
            </w:r>
          </w:p>
        </w:tc>
        <w:tc>
          <w:tcPr>
            <w:tcW w:type="dxa" w:w="1878"/>
          </w:tcPr>
          <w:p>
            <w:pPr>
              <w:spacing w:before="20" w:after="20"/>
            </w:pPr>
            <w:r>
              <w:rPr>
                <w:rFonts w:ascii="Arial" w:hAnsi="Arial" w:cs="Arial" w:eastAsia="Arial"/>
                <w:b w:val="0"/>
                <w:i w:val="0"/>
                <w:sz w:val="18"/>
              </w:rPr>
              <w:t>Claims Unit Head; Comptrollership</w:t>
            </w:r>
          </w:p>
        </w:tc>
      </w:tr>
      <w:tr>
        <w:trPr>
          <w:cantSplit/>
        </w:trPr>
        <w:tc>
          <w:tcPr>
            <w:tcW w:type="dxa" w:w="1314"/>
          </w:tcPr>
          <w:p>
            <w:pPr>
              <w:spacing w:before="20" w:after="20"/>
            </w:pPr>
            <w:r>
              <w:rPr>
                <w:rFonts w:ascii="Arial" w:hAnsi="Arial" w:cs="Arial" w:eastAsia="Arial"/>
                <w:b w:val="0"/>
                <w:i w:val="0"/>
                <w:sz w:val="18"/>
              </w:rPr>
              <w:t>Q-CL-17</w:t>
            </w:r>
          </w:p>
        </w:tc>
        <w:tc>
          <w:tcPr>
            <w:tcW w:type="dxa" w:w="5446"/>
          </w:tcPr>
          <w:p>
            <w:pPr>
              <w:spacing w:before="20" w:after="20"/>
            </w:pPr>
            <w:r>
              <w:rPr>
                <w:rFonts w:ascii="Arial" w:hAnsi="Arial" w:cs="Arial" w:eastAsia="Arial"/>
                <w:b w:val="0"/>
                <w:i w:val="0"/>
                <w:sz w:val="18"/>
              </w:rPr>
              <w:t>Legacy claims: years and statuses to migrate (Annex C reference not received).</w:t>
            </w:r>
          </w:p>
        </w:tc>
        <w:tc>
          <w:tcPr>
            <w:tcW w:type="dxa" w:w="1878"/>
          </w:tcPr>
          <w:p>
            <w:pPr>
              <w:spacing w:before="20" w:after="20"/>
            </w:pPr>
            <w:r>
              <w:rPr>
                <w:rFonts w:ascii="Arial" w:hAnsi="Arial" w:cs="Arial" w:eastAsia="Arial"/>
                <w:b w:val="0"/>
                <w:i w:val="0"/>
                <w:sz w:val="18"/>
              </w:rPr>
              <w:t>Claims Unit Head; Data Migration</w:t>
            </w:r>
          </w:p>
        </w:tc>
      </w:tr>
      <w:tr>
        <w:trPr>
          <w:cantSplit/>
        </w:trPr>
        <w:tc>
          <w:tcPr>
            <w:tcW w:type="dxa" w:w="1314"/>
          </w:tcPr>
          <w:p>
            <w:pPr>
              <w:spacing w:before="20" w:after="20"/>
            </w:pPr>
            <w:r>
              <w:rPr>
                <w:rFonts w:ascii="Arial" w:hAnsi="Arial" w:cs="Arial" w:eastAsia="Arial"/>
                <w:b w:val="0"/>
                <w:i w:val="0"/>
                <w:sz w:val="18"/>
              </w:rPr>
              <w:t>D-CLM-03</w:t>
            </w:r>
          </w:p>
        </w:tc>
        <w:tc>
          <w:tcPr>
            <w:tcW w:type="dxa" w:w="5446"/>
          </w:tcPr>
          <w:p>
            <w:pPr>
              <w:spacing w:before="20" w:after="20"/>
            </w:pPr>
            <w:r>
              <w:rPr>
                <w:rFonts w:ascii="Arial" w:hAnsi="Arial" w:cs="Arial" w:eastAsia="Arial"/>
                <w:b w:val="0"/>
                <w:i w:val="0"/>
                <w:sz w:val="18"/>
              </w:rPr>
              <w:t>BDO IT confirms the e-mail service (CCM) and the insurers' claims mailboxes (IS-CLM-01).</w:t>
            </w:r>
          </w:p>
        </w:tc>
        <w:tc>
          <w:tcPr>
            <w:tcW w:type="dxa" w:w="1878"/>
          </w:tcPr>
          <w:p>
            <w:pPr>
              <w:spacing w:before="20" w:after="20"/>
            </w:pPr>
            <w:r>
              <w:rPr>
                <w:rFonts w:ascii="Arial" w:hAnsi="Arial" w:cs="Arial" w:eastAsia="Arial"/>
                <w:b w:val="0"/>
                <w:i w:val="0"/>
                <w:sz w:val="18"/>
              </w:rPr>
              <w:t>BDO IT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BRD-07 Claims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