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Non-Functional and Security Requirements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BIBS-NFR-BRD-00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10/08/2026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2.0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08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of the catalogue and its register.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One document for every BRD pack, with the security requirements, the ASR checklist summary and the measured User Access results. Replaces the NFR document and register v1.0. NFR-SEC-02 and NFR-SEC-03 follow the agreed access model.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Sizing Basis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Requirements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Performance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Capacity and volume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Availability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Recovery (RTO, RPO, backup and DR)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Scalability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Security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Privacy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Accessibility</w:t>
      </w:r>
      <w:r>
        <w:tab/>
      </w:r>
      <w:r>
        <w:t xml:space="preserve">13</w:t>
      </w:r>
    </w:p>
    <w:p>
      <w:pPr>
        <w:pStyle w:val="TOC2"/>
        <w:tabs>
          <w:tab w:val="right" w:leader="dot" w:pos="9630"/>
        </w:tabs>
      </w:pPr>
      <w:r>
        <w:t xml:space="preserve">Usability and low-click workflows</w:t>
      </w:r>
      <w:r>
        <w:tab/>
      </w:r>
      <w:r>
        <w:t xml:space="preserve">14</w:t>
      </w:r>
    </w:p>
    <w:p>
      <w:pPr>
        <w:pStyle w:val="TOC2"/>
        <w:tabs>
          <w:tab w:val="right" w:leader="dot" w:pos="9630"/>
        </w:tabs>
      </w:pPr>
      <w:r>
        <w:t xml:space="preserve">Responsive and mobile-first</w:t>
      </w:r>
      <w:r>
        <w:tab/>
      </w:r>
      <w:r>
        <w:t xml:space="preserve">14</w:t>
      </w:r>
    </w:p>
    <w:p>
      <w:pPr>
        <w:pStyle w:val="TOC2"/>
        <w:tabs>
          <w:tab w:val="right" w:leader="dot" w:pos="9630"/>
        </w:tabs>
      </w:pPr>
      <w:r>
        <w:t xml:space="preserve">Localisation</w:t>
      </w:r>
      <w:r>
        <w:tab/>
      </w:r>
      <w:r>
        <w:t xml:space="preserve">15</w:t>
      </w:r>
    </w:p>
    <w:p>
      <w:pPr>
        <w:pStyle w:val="TOC2"/>
        <w:tabs>
          <w:tab w:val="right" w:leader="dot" w:pos="9630"/>
        </w:tabs>
      </w:pPr>
      <w:r>
        <w:t xml:space="preserve">Maintainability</w:t>
      </w:r>
      <w:r>
        <w:tab/>
      </w:r>
      <w:r>
        <w:t xml:space="preserve">15</w:t>
      </w:r>
    </w:p>
    <w:p>
      <w:pPr>
        <w:pStyle w:val="TOC2"/>
        <w:tabs>
          <w:tab w:val="right" w:leader="dot" w:pos="9630"/>
        </w:tabs>
      </w:pPr>
      <w:r>
        <w:t xml:space="preserve">Configurability</w:t>
      </w:r>
      <w:r>
        <w:tab/>
      </w:r>
      <w:r>
        <w:t xml:space="preserve">16</w:t>
      </w:r>
    </w:p>
    <w:p>
      <w:pPr>
        <w:pStyle w:val="TOC2"/>
        <w:tabs>
          <w:tab w:val="right" w:leader="dot" w:pos="9630"/>
        </w:tabs>
      </w:pPr>
      <w:r>
        <w:t xml:space="preserve">Observability</w:t>
      </w:r>
      <w:r>
        <w:tab/>
      </w:r>
      <w:r>
        <w:t xml:space="preserve">17</w:t>
      </w:r>
    </w:p>
    <w:p>
      <w:pPr>
        <w:pStyle w:val="TOC2"/>
        <w:tabs>
          <w:tab w:val="right" w:leader="dot" w:pos="9630"/>
        </w:tabs>
      </w:pPr>
      <w:r>
        <w:t xml:space="preserve">Supportability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Auditability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Data retention</w:t>
      </w:r>
      <w:r>
        <w:tab/>
      </w:r>
      <w:r>
        <w:t xml:space="preserve">19</w:t>
      </w:r>
    </w:p>
    <w:p>
      <w:pPr>
        <w:pStyle w:val="TOC2"/>
        <w:tabs>
          <w:tab w:val="right" w:leader="dot" w:pos="9630"/>
        </w:tabs>
      </w:pPr>
      <w:r>
        <w:t xml:space="preserve">Interoperability</w:t>
      </w:r>
      <w:r>
        <w:tab/>
      </w:r>
      <w:r>
        <w:t xml:space="preserve">19</w:t>
      </w:r>
    </w:p>
    <w:p>
      <w:pPr>
        <w:pStyle w:val="TOC1"/>
        <w:tabs>
          <w:tab w:val="right" w:leader="dot" w:pos="9630"/>
        </w:tabs>
      </w:pPr>
      <w:r>
        <w:t xml:space="preserve">Measured Results: User Access</w:t>
      </w:r>
      <w:r>
        <w:tab/>
      </w:r>
      <w:r>
        <w:t xml:space="preserve">21</w:t>
      </w:r>
    </w:p>
    <w:p>
      <w:pPr>
        <w:pStyle w:val="TOC1"/>
        <w:tabs>
          <w:tab w:val="right" w:leader="dot" w:pos="9630"/>
        </w:tabs>
      </w:pPr>
      <w:r>
        <w:t xml:space="preserve">Security</w:t>
      </w:r>
      <w:r>
        <w:tab/>
      </w:r>
      <w:r>
        <w:t xml:space="preserve">22</w:t>
      </w:r>
    </w:p>
    <w:p>
      <w:pPr>
        <w:pStyle w:val="TOC2"/>
        <w:tabs>
          <w:tab w:val="right" w:leader="dot" w:pos="9630"/>
        </w:tabs>
      </w:pPr>
      <w:r>
        <w:t xml:space="preserve">BDO Application Security Requirements</w:t>
      </w:r>
      <w:r>
        <w:tab/>
      </w:r>
      <w:r>
        <w:t xml:space="preserve">22</w:t>
      </w:r>
    </w:p>
    <w:p>
      <w:pPr>
        <w:pStyle w:val="TOC2"/>
        <w:tabs>
          <w:tab w:val="right" w:leader="dot" w:pos="9630"/>
        </w:tabs>
      </w:pPr>
      <w:r>
        <w:t xml:space="preserve">OWASP Self-Assessment</w:t>
      </w:r>
      <w:r>
        <w:tab/>
      </w:r>
      <w:r>
        <w:t xml:space="preserve">22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states the non-functional and security requirements of BIBS once, for every BRD. Each requirement has an ID (NFR-&lt;area&gt;-nn), a measurable target, how it is verified, when, and its status. An FRS or another document of a BRD pack refers to these IDs and does not repeat them.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Status: ALIGNED, the sources agree or BDOI has answered; DECISION, the BRDs conflict and BDOI decides, the proposal applies until then; PROPOSED, no BDOI value exists, BDOI confirms.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Requirements changed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90"/>
        <w:gridCol w:w="6949"/>
      </w:tblGrid>
      <w:tr>
        <w:trPr>
          <w:tblHeader/>
          <w:cantSplit/>
        </w:trPr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694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Change in version 2.0</w:t>
            </w:r>
          </w:p>
        </w:tc>
      </w:tr>
      <w:tr>
        <w:trPr>
          <w:cantSplit/>
        </w:trPr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NFR-SEC-02</w:t>
            </w:r>
          </w:p>
        </w:tc>
        <w:tc>
          <w:tcPr>
            <w:tcW w:type="dxa" w:w="694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factor at Microsoft Entra ID for every bank user; no break-glass account (BDOI IT, 15 Oct 2026; D-008).</w:t>
            </w:r>
          </w:p>
        </w:tc>
      </w:tr>
      <w:tr>
        <w:trPr>
          <w:cantSplit/>
        </w:trPr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NFR-SEC-03</w:t>
            </w:r>
          </w:p>
        </w:tc>
        <w:tc>
          <w:tcPr>
            <w:tcW w:type="dxa" w:w="694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Provisioning from UIDM-ISC over SCIM 2.0 in force; a leaver loses every session on receipt of the event; daily reconciliation added.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Sizing Basis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Sizing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Named users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530 (User Access sizing); 1,344 in NFR-CAP-01, to be confirmed by BDOI (O-001)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Concurrent users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150 in year 1 (NFR-CAP-01)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full re-synchronisation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600 users and 2,000 group-profile membership changes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of the measured run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1,200 users, 157 group profiles, 120,000 sessions, 63,000 access change records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Host of the measured run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 virtual processors, database on the same host, 1 GB application memory, 20 database connections; production runs at least 3 application instances (NFR-AVL-04)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Requirements</w:t>
      </w:r>
    </w:p>
    <w:p>
      <w:pPr>
        <w:pStyle w:val="Heading2"/>
      </w:pPr>
      <w:r>
        <w:t>Performance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Performance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 response time. Every screen opens, and every single-record action (save, submit, approve) completes, within the target at the design load.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p95 at most 2.0 seconds and p99 at most 4.0 seconds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(load); Baseline in SIT (Jun 2027); NFT on Pre-Prod (1 Nov to 15 Dec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 and work-list response time. The first page of any search result or work list is shown within the target; lists are paged on the server.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First page (up to 50 rows) p95 at most 3.0 seconds; each further page p95 at most 2.0 seconds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(load);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Interactive reports. An on-screen report or its export is produced within the target; larger reports run as background jobs (NFR-PRF-04).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most 20 seconds (p95) for a report of up to 30,000 rows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(volume);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Long-running reports, extracts and scheduled files. Reports and files that exceed NFR-PRF-03 run as background jobs with progress shown; the user keeps working meanwhile.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file at most 3 minutes, weekly at most 10 minutes, monthly at most 15 minutes, at year-5 volumes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(volume); NFT on Pre-Prod; dress rehearsal (15 to 26 Nov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Bulk uploads. An upload file is acknowledged at once and processed in the background with a result per row.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Acknowledgement within 3 seconds; a 5,000-row file validated and committed within 10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(volume);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NFR-PRF-06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generation and batch printing. Business documents (slips, advices, receipts, SOA, vouchers) are generated within the target.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document p95 at most 5 seconds; a batch of 50 documents at most 10 seconds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(load);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NFR-PRF-07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Night batch window. The scheduled jobs of the night (booking batch, remittance extraction, GL-SL reconciliation, Collections files, renewal extraction, screening, application file) finish before the service window opens.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chain from 20:00 to 05:30 PHT completes before 06:00 PHT at year-5 volumes; a failed job can be re-run within the window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(volume); NFT on Pre-Prod; dress rehearsal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NFR-PRF-08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Notifications and e-mail. Users are told of status changes, approvals and pending work without delay.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 notification within 1 minute of the event; e-mail handed to CCM within 5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SIT;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NFR-PRF-09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 time. Single sign-on through EIAM completes quickly once the identity provider answers.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p95 at most 3 seconds from the identity provider's answer to the role home page, excluding the user's own MFA entry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(load);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Capacity and volume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Capacity and volume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NFR-CAP-01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Users. BIBS serves every named user of BDOI and the concurrent sessions of the peak.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1,344 named users; design load 150 concurrent users in year 1, growing 20% a year (311 in year 5); peak test at 429 concurrent sessions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(peak);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NFR-CAP-02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Transaction volumes. BIBS carries the business volumes of the BRDs for five years.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Year 1: New Business 21,200 transactions and 1,300 endorsements a month; Renewal 25,800 a month; Collections 1,200 updates a day; Claims 55 bookings and 1,096 updates a day; CSF 144,400 a year; Submitted Policies 63,000 sanitations a year. Growth 20% a year (Submitted Policies 25%)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(volume);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NFR-CAP-03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and document volume. Storage is sized for five years of data and documents with headroom.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years (60 months) at 20% growth a year with at least 30% free capacity at the end of year 5; migrated base up to 1,000,000 client rows and 500,000 open items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Capacity analysis; After Trial migration 2 (Jul 2027); before go-live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NFR-CAP-04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sizes. Users attach and upload files up to the limits; larger bulk files go straight to the document store.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Attachments up to 10 MB a file; uploads through the screens up to 25 MB; bulk files up to 5 GB by direct transfer; limits are parameters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(boundary);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NFR-CAP-05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Peak periods. The month-end, mid-month and year-end peaks are carried without missing the response targets.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1.5 times the average daily volume on the 15th, the 30th, month-end and year-end, within NFR-PRF-01 and NFR-PRF-02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(peak);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Availability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Availability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NFR-AVL-01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Availability in the service window. BIBS is available to users throughout the service window.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99.9% of the service window each month (about 25 minutes of unplanned unavailability in a month of 26 service days)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Pre-Prod soak (Nov 2027); measured monthly from go-live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NFR-AVL-02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Service window. One service window serves every module; production runs 24 x 7 so jobs and interfaces run outside it.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06:00 to 22:00 PHT Monday to Saturday, plus month-end weekends; production infrastructure 24 x 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ORR / PRR (Dec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NFR-AVL-03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Planned maintenance. Planned work happens in one window outside every module's service hours.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00:00 to 04:00 PHT; at most 45 minutes of planned downtime a month; announced 5 business days ahead; releases without downtime where the change allows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ORR / PRR; monthly from go-live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NFR-AVL-04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single point of failure. Production keeps running when one pod, node or availability zone fails.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Backend at least 3 pods over 3 availability zones (at least 2 available during changes); web tier at least 2 pods; PostgreSQL 16 Multi-AZ; Kafka 3 brokers; Valkey primary and replica in two zones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Resilience;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NFR-AVL-05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Graceful degradation. A failed cache or event-streaming service does not stop screen work.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Valkey outage - sign-in checks fall back to PostgreSQL; Kafka outage - events wait in the outbox and are delivered on recovery with none lost or delivered twice to the consumer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Resilience;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</w:tbl>
    <w:p>
      <w:pPr>
        <w:spacing w:after="40"/>
      </w:pPr>
    </w:p>
    <w:p>
      <w:pPr>
        <w:pStyle w:val="Heading2"/>
      </w:pPr>
      <w:r>
        <w:t>Recovery (RTO, RPO, backup and DR)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Recovery (RTO, RPO, backup and DR)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NFR-REC-01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Recovery point objective (RPO). At most the target of committed work is lost in a disaster.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RPO at most 15 minutes for data and documents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Disaster recovery; DR drill on the DR environment (Dec 2027), then twice a year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NFR-REC-02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Recovery time objective (RTO). Service is restored within the target after a declared disaster; critical services first.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RTO at most 4 hours; sign-in, Cashiering, Remittance, booking and the GL first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Disaster recovery; DR drill (Dec 2027), then twice a year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NFR-REC-03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Backup. Data and documents are backed up continuously and kept for the retention period.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Continuous transaction-log archiving plus a base backup every 4 hours; backups encrypted and kept 7 years; document store versioned with cross-region replication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ORR / PRR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NFR-REC-04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Restore and DR drills. Recovery is proven before go-live and kept proven afterwards.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Point-in-time restore tested every quarter; DR failover drill before go-live (Dec 2027) and twice a year after; each with a written result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Disaster recovery; Pre-Prod and DR (Dec 2027); quarterly and half-yearly after go-live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NFR-REC-05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 region. A second AWS region hosts the DR copy of BIBS once BDOI confirms data residency.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Database cross-region replica, document store cross-region replication, standby Kubernetes cluster scaled from 0 to 6 backend pods at failover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Disaster recovery; DR environment ready by 1 Nov 2027 (DEP-25)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</w:tbl>
    <w:p>
      <w:pPr>
        <w:spacing w:after="40"/>
      </w:pPr>
    </w:p>
    <w:p>
      <w:pPr>
        <w:pStyle w:val="Heading2"/>
      </w:pPr>
      <w:r>
        <w:t>Scalability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Scalability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NFR-SCL-01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Horizontal scaling without downtime. The web, jobs and integration workloads scale out and in without interrupting users.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backend 3 to 6 pods in year 1 and 4 to 8 in year 5 by CPU-based autoscaling; a scale-out completes within 5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(stress);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NFR-SCL-02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Data-tier scaling. Database storage grows online; a compute change of the managed database fits the maintenance window.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Storage grows without downtime; a compute class change at most 120 minutes of downtime, inside the maintenance window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Pre-Prod (Nov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NFR-SCL-03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Stateless application tier. Any pod serves any request; a scheduled job runs once across pods.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user session state in the pods; each job run holds a cluster-wide lock; 0 duplicate job runs in the volume test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SIT (two pods from Jan 2027); NFT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NFR-SCL-04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Growth headroom. The production cluster carries the year-5 load with headroom.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the year-5 peak, CPU and memory use of the cluster below 70%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(stress);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Security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8: Security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Single sign-on with EIAM. BDO users sign in once with their enterprise identity; BIBS keeps the roles.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BDO user signs in through EIAM (Microsoft Entra ID) by OpenID Connect or SAML 2.0; local passwords only for the named break-glass administrators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security; SIT (after the EIAM specification, DEP-07)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factor. Privileged users prove a second factor.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factor for every bank user at Microsoft Entra ID (EIAM conditional access); TOTP second factor for privileged test accounts outside production; no break-glass account (BDOI IT, 15 Oct 2026)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provisioning and leavers. Joiners, movers and leavers reach BIBS from UIDM-ISC; dormant accounts are disabled.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SCIM 2.0 provisioning from UIDM-ISC for every joiner, mover and leaver; a leaver disabled in BIBS with every session ended on receipt of the UIDM-ISC event; accounts dormant for 90 days disabled by the daily run after a 7-day notice; daily reconciliation with UIDM-ISC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security; SIT (after DEP-08)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 and data-scope access control. Every function is checked against the user's permissions and every record against the user's companies and branches; makers never approve their own work.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successful unauthorised accesses in the security-access cases of every test plan and in the penetration test; every refusal logged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SIT; UAT; penetration test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 and lock-out. Idle sessions end and repeated failures lock the account.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Inactivity warning at 15 minutes and sign-out at 30 minutes; absolute session end 8 hours; lock-out after 3 consecutive failed attempts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NFR-SEC-06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Encryption in transit and at rest. Data is encrypted on every connection and in every store.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TLS 1.2 or higher on every connection (browser, Gateway API, between workloads, to the managed services); database, document store and backups encrypted with customer-managed keys per environment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Pre-Prod; ORR / PRR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NFR-SEC-07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Secure development gates. Every change passes the security gates of the CI pipeline before it can be released.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SAST (CodeQL and SonarQube security rules) with no new high finding; Java dependencies fail at CVSS 7.0 or higher; web packages fail on high or critical advisories; container images fail on high or critical findings with a fix; secret detection over the full history; a software bill of materials kept with every release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 (SAST and dependency scanning); Every change, from development to production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NFR-SEC-08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DAST and penetration test. The running application is tested from outside before go-live.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DAST scan of each release candidate in SIT and Pre-Prod with no open high or critical finding; early scan in SIT in June 2027; independent penetration test 1 Nov to 15 Dec 2027; critical and high findings closed before go-live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 (DAST, penetration test); SIT (Jun 2027); Pre-Prod (Nov to Dec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NFR-SEC-09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Integration security. System-to-system traffic is authenticated separately from users.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inbound interface passes the Apigee X gateway with its own client credentials; user tokens are refused on the integration paths; each partner system has its own credentials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system integration; SIT (after DEP-13)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NFR-SEC-10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Protection of documents that leave BDOI. Documents sent outside BDOI are protected.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outbound document (slips, advices, SOA, schedules, reports) is a password-protected PDF or Excel file with the password sent separately; e-mail only to approved domains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SIT; UAT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NFR-SEC-11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Uploaded files. Uploaded files cannot carry malware into BIBS.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uploaded file scanned for malware and held in quarantine until clean; Office files refused above 1,000 parts or 100 times expansion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NFR-SEC-12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Vulnerability remediation. Security findings in production are fixed within set times.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Critical within 7 days, high within 30 days, medium within 90 days; an accepted finding expires after at most 6 months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From go-live, monthly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Privacy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9: Privacy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NFR-PRV-01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Masked data outside production. Personal data never reaches a non-production environment unmasked.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Names, TIN, addresses, contact details and bank account numbers masked in DEV, SIT, training and UAT; 0 unmasked records found in the masking verification of each migration load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migration; security; Trial migrations 1 to 4 (Apr to Oct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NFR-PRV-02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residency and support access. Production data stays in the agreed region and is reached only by authorised personnel in the Philippines.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in AWS ap-southeast-1; DR region confirmed by BDOI after the data-residency check; production access only by named personnel in the Philippines, each session logged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ORR / PRR; quarterly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NFR-PRV-03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Sensitive personal information. Health-related and member data of Employee Benefits is handled as sensitive personal information.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by department access class; every download logged; no health data in the member roster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SIT and UAT of Drop 2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NFR-PRV-04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Data-subject requests. BDOI can answer a client's request to access or correct personal data.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personal data held on one client found and exported within 1 business day; corrections recorded with the audit trail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acceptance; UAT (Drop 1)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NFR-PRV-05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Migration staging purge. Migration staging data does not outlive its purpose.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Staged data and files purged within 5 days of the batch sign-off; access only for the migration roles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migration; Trial migrations; cut-over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NFR-PRV-06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 event alerts. Events that may indicate a personal-data breach reach BDO Information Security quickly.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 within 15 minutes for repeated failed sign-ins, privilege changes, refused data-scope access and exports above 10,000 rows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Pre-Prod (Nov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Accessibility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10: Accessibility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NFR-ACC-01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WCAG 2.2 level AA. Every screen meets the success criteria of WCAG 2.2 at levels A and AA.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open level A or AA failures on the screens of each sign-off set; 0 serious or critical issues in the scan of every screen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Accessibility; SIT of each drop; re-check in UAT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NFR-ACC-02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Keyboard use. Every function works with the keyboard alone.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action reachable by keyboard with a visible focus ring; rows open with Enter; tabs move with the arrow keys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Accessibility;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NFR-ACC-03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Contrast and colour. Text and status are readable for users with low vision or colour blindness.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 contrast at least 4.5:1 (3:1 for large text and controls); a status is never shown by colour alone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Accessibility;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NFR-ACC-04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Zoom and reflow. Screens stay usable when users enlarge the text.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Usable at 200% browser zoom and at a 320-pixel reflow width without loss of content or function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Accessibility;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Usability and low-click workflows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11: Usability and low-click workflows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NFR-USE-01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Low-click navigation. Daily work starts from the role home page with few clicks.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Any daily task reached in at most 2 clicks from the role home page or the menu; a record opened from a search result in 1 click; the main action of a record (submit, approve) at most 1 click away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Usability; SIT (screen review); UAT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NFR-USE-02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lists and bulk actions. Queues let users act on many items at once where the FRS allows bulk processing.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queue offers filters, saved views and an action on selected rows; 50 items dispositioned without opening each record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Usability; SIT; UAT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NFR-USE-03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entry. Users key each value once, with defaults and look-ups.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value is never asked twice in one journey; known values defaulted; dates dd-MMM-yyyy; amounts with thousands separators and two decimals; field errors shown inline with what to do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Usability;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NFR-USE-04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Consistent screens. Every screen follows the BDO UX guidelines and the BDOI UX design.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Records shown in tables or tree tables with row action menus, never as free text; labels not codes; user names not log-ins; 0 deviations open at the end of SIT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Usability;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NFR-USE-05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Learnability. Trained users complete their main tasks without help.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90% of first attempts at the top task of each persona completed without help in UAT; System Usability Scale score of at least 75 in the UAT survey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Usability; UAT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NFR-USE-06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Help and messages. Users find help in the application and messages say what to do next.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Help page for every screen family; every message of the messages catalogue states the next action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Usability;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</w:tbl>
    <w:p>
      <w:pPr>
        <w:spacing w:after="40"/>
      </w:pPr>
    </w:p>
    <w:p>
      <w:pPr>
        <w:pStyle w:val="Heading2"/>
      </w:pPr>
      <w:r>
        <w:t>Responsive and mobile-first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12: Responsive and mobile-first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NFR-RSP-01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Responsive layout. Screens work on phone, tablet and desktop widths.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screen usable from 360 to 1920 pixels wide with no horizontal page scroll; wide tables scroll inside their frame or collapse to cards on phones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Responsive (cross-device);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NFR-RSP-02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Mobile parity. The same functions and response times apply on BDO-issued mobile devices.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functions and NFR-PRF targets on a BDO-issued phone or tablet on the BDO network; touch targets at least 44 pixels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Responsive (cross-device); SIT; UAT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NFR-RSP-03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Supported browsers. Users need only a browser.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Current and previous major versions of Microsoft Edge and Google Chrome on Windows, Safari on iOS and Chrome on Android; no plug-in or local install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Responsive (cross-device);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Localisation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13: Localisation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NFR-LOC-01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Language and business terms. The screens use English and BDOI's own business terms.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English user interface; BDOI terms (ARN, PRF, TSU, DP, RA, CLPC, FFY) exactly as in the BRDs; every acronym in the glossary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Usability;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NFR-LOC-02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Dates and time zone. Business dates follow Philippine time.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date in Asia/Manila (PHT); dates shown dd-MMM-yyyy and times in PHT; time stamps stored in UTC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(boundary);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NFR-LOC-03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Currency and amounts. Amounts follow the company's base currency and BDOI's foreign-currency rules.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Base currency PHP from the company record; USD and other currencies with daily and month-end revaluation rates; amounts with two decimals and thousands separators; reports in several currencies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NFR-LOC-04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Philippine formats and calendar. Philippine identifiers, addresses and working days are handled correctly.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TIN, mobile numbers and addresses (region, province, city or municipality, barangay) validated to Philippine formats; business-day rules follow the holiday calendar kept by the Business Administrator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Maintainability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14: Maintainability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NFR-MNT-01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 quality gates. Every change passes the static quality gates before it is merged.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Formatting, compiler warnings as errors, Checkstyle, PMD with duplication at 120 tokens, SpotBugs, ArchUnit architecture rules, TypeScript strict and SonarJS rules; cognitive complexity at most 15 per function in the web client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Static analysis; Every change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NFR-MNT-02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 coverage. New and changed code is covered by unit testing.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 coverage above 90% on new and changed code (new-code gate of SonarQube); overall line coverage at least 80% and branch coverage at least 65%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Unit testing; Every change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NFR-MNT-03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Modular structure. Each business area is a separate module of one application, with checked boundaries.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package per bounded context; 0 cycles between modules; boundary rules checked on every change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Static analysis; Every change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NFR-MNT-04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Technology baseline and support horizon. Every component runs on a version under upstream support.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PostgreSQL 16, Valkey 8, Apache Kafka 3.9, OpenJDK 21 LTS, Spring Boot 3.5, React (compiled with Node 22 LTS, not used in production), nginx, managed Kubernetes with the Gateway API; baseline reviewed every year and before go-live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Before go-live; yearly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NFR-MNT-05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Releases and rollback. Releases do not stop users and can be rolled back.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Rolling deployment with no pod unavailable; data changes compatible with the previous release; rollback by redeploying the previous release within 30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Pre-Prod (Nov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NFR-MNT-06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Documentation kept current. The technical and support documents match each release.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Technical specification, configuration guide, runbook and data dictionary updated with each release; release notes list every changed function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Each release; ORR / PRR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2"/>
      </w:pPr>
      <w:r>
        <w:t>Configurability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15: Configurability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NFR-CFG-01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hard-coded business rules. Business rule values are data maintained on screen, not program code.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rate, limit, number of days, threshold, numbering prefix, approver and message text is a parameter, list of values, rule table or template; 0 client names, codes or currency literals in the application code, checked on every change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Static analysis; configuration review; Every change;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NFR-CFG-02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dates and approval of configuration. Configuration changes are dated, kept in history and approved by a second user.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change of a list, parameter or rule has an effective date and a second-user approval; security parameters need a second approval by a security administrator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NFR-CFG-03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Configurable workflows. Approval stages, approver matrices, SLA timers and escalations change without a release.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workflow of the FRS configurable on screen: stages, approver matrix, SLA hours, escalation rules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NFR-CFG-04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and e-mail templates. Business users maintain the templates of documents and e-mails.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document and e-mail template edited by the Business Administrator, downloaded and uploaded as Word, under maker-checker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NFR-CFG-05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Branding by theme pack. Brand, logo and colours come from configuration.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 Insure brand applied from the theme pack of the deployment; no brand element fixed in the screens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Configuration review;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</w:tbl>
    <w:p>
      <w:pPr>
        <w:spacing w:after="40"/>
      </w:pPr>
    </w:p>
    <w:p>
      <w:pPr>
        <w:pStyle w:val="Heading2"/>
      </w:pPr>
      <w:r>
        <w:t>Observability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16: Observability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NFR-OBS-01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Metrics and dashboards. Operations sees the health and load of every workload.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Application, JVM, request, connection-pool and business metrics sent to the BDO monitoring platform; dashboards per workload (web, jobs, integration, web tier) and for the managed services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Pre-Prod; ORR / PRR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NFR-OBS-02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Logs. Logs let support trace every event without exposing personal data.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line per event with time stamp, correlation ID, user and module; shipped to the BDO log platform within 1 minute; no passwords or full personal identifiers in logs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Pre-Prod; ORR / PRR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NFR-OBS-03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Alerts. Faults raise alerts before users report them.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 for an error rate above 1% over 5 minutes, p95 above its NFR-PRF target for 10 minutes, a failed job, a new dead letter, a security-store failure and a certificate expiring within 30 days; the on-call person notified within 5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Pre-Prod (Nov 2027)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NFR-OBS-04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Correlation of requests and events. One reference follows a request from the screen to the logs and the integration events.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request carries a correlation ID; an unexpected error shows the user a reference found in the logs; integration events carry the same ID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NFR-OBS-05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Job monitoring. Every scheduled job is visible on screen with its history.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history (start, end, records, result, trigger, user) for every job; failures e-mailed to the job's recipients; manual runs restricted to authorised roles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</w:tbl>
    <w:p>
      <w:pPr>
        <w:spacing w:after="40"/>
      </w:pPr>
    </w:p>
    <w:p>
      <w:pPr>
        <w:pStyle w:val="Heading2"/>
      </w:pPr>
      <w:r>
        <w:t>Supportability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17: Supportability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NFR-SUP-01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Support levels. Each support level has a defined role from go-live.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L1 BDOI service desk, L2 BDOI application support, L3 iorta TechNXT; each level named and trained before the hypercare exit (2 Feb 2028)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ORR / PRR; hypercare exit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NFR-SUP-02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 handling within the agreed service levels. Production incidents are answered and resolved within the response and resolution times of their priority (P1 to P4) in the support service levels.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least 95% of incidents each month within the response and resolution times of their priority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From go-live, monthly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NFR-SUP-03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Error references and coded messages. Support finds the cause of a reported error quickly.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unexpected error shows a reference found in the logs; every business error shows a message of the messages catalogue with its code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NFR-SUP-04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Hypercare. The project team supports the first month of production.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Hypercare from T+1 to T+30 (4 Jan to 2 Feb 2028) with issue triage at 10:00 and 16:00 each business day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Hypercare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NFR-SUP-05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Administration without a command line. Support runs routine tasks from screens.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Jobs started, stopped and re-run, caches cleared and integration events re-sent from administration screens; 0 routine tasks that need a command line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Operational acceptance; Knowledge transfer (from Jun 2027); ORR / PRR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</w:tbl>
    <w:p>
      <w:pPr>
        <w:spacing w:after="40"/>
      </w:pPr>
    </w:p>
    <w:p>
      <w:pPr>
        <w:pStyle w:val="Heading2"/>
      </w:pPr>
      <w:r>
        <w:t>Auditability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18: Auditability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NFR-AUD-01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 audit trail. Every action is recorded with who, what, when and from where.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create, update, approve, post, reverse, sign-in, sign-out, report run and export recorded with the user, time, source IP, module, record, old and new values and a success or failure indicator, in the same transaction as the change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NFR-AUD-02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records cannot be changed. No one changes or deletes an audit record.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successful changes or deletions of audit records by any user, administrator or the application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Security; SIT; penetration test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NFR-AUD-03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enquiry and export. Auditors find and export audit records themselves.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trail filtered by user, period, module and record on screen; one month for one user exported within 2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 (volume); NFT on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NFR-AUD-04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Master-data change log. Changes to master data keep old and new values field by field.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and roles, products and versions, insurers and branches, commission rates, lists of values, chart of accounts, payees and parameters logged field by field with old and new values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</w:tbl>
    <w:p>
      <w:pPr>
        <w:spacing w:after="40"/>
      </w:pPr>
    </w:p>
    <w:p>
      <w:pPr>
        <w:pStyle w:val="Heading2"/>
      </w:pPr>
      <w:r>
        <w:t>Data retention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19: Data retention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NFR-RET-01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Retention per record type. Each record type has its retention rule.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Default 5 years online and 15 years archive; Claims 10 years online and 15 archive; Accounting vouchers and reports, Sanction Screening and Submitted Policies 5 years online and 5 archive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Configuration review; UAT (Drop 1); before go-live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NFR-RET-02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Archive, purge and legal hold. Records leave the online store only under approved rules.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Monthly review lists eligible records; archive and purge run only after BDOI approves the retention decision (Q39); records and files under legal hold never purged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NFR-RET-03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 retention. Audit records outlive the records they describe.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records 5 years online and archived to 16 years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Configuration review; Before go-live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NFR-RET-04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storage tiers. Older documents move to cheaper storage and stay retrievable.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Documents to infrequent-access storage after 90 days and to archive storage after 1 year; any document retrieved within 1 minute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System; Pre-Prod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NFR-RET-05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AML records. KYC and screening records are kept as AMLA requires.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KYC documents and screening cases kept at least 5 years after the end of the client relationship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Configuration review; UAT (Drop 1)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</w:tbl>
    <w:p>
      <w:pPr>
        <w:spacing w:after="40"/>
      </w:pPr>
    </w:p>
    <w:p>
      <w:pPr>
        <w:pStyle w:val="Heading2"/>
      </w:pPr>
      <w:r>
        <w:t>Interoperability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20: Interoperability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86"/>
        <w:gridCol w:w="2205"/>
        <w:gridCol w:w="2573"/>
        <w:gridCol w:w="1654"/>
        <w:gridCol w:w="919"/>
      </w:tblGrid>
      <w:tr>
        <w:trPr>
          <w:tblHeader/>
          <w:cantSplit/>
        </w:trPr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Verified by, when</w:t>
            </w:r>
          </w:p>
        </w:tc>
        <w:tc>
          <w:tcPr>
            <w:tcW w:type="dxa" w:w="9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NFR-INT-01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Integration gateway and contracts. Every system-to-system interface is published through the BDO gateway with a written contract.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service interface through Apigee X, described in OpenAPI 3 with versioned contracts; every file interface with an agreed layout and control totals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Service interface (API);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NFR-INT-02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events. Business events reach their consumers exactly once from the consumer's view.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Events published through a transactional outbox; 0 events lost in the resilience test; failed events kept as dead letters and re-sent from the administration screen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Resilience; SIT; NFT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NFR-INT-03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standards. Identity interfaces use open standards.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OpenID Connect and SAML 2.0 with EIAM; SCIM 2.0 provisioning from UIDM-ISC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NFR-INT-04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interfaces. Inbound files are validated, reconciled and reported.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inbound file (PDC list, bills payment, bank and insurer files) validated against its layout; each run reconciled to its control totals; errors reported per row; a failed transfer retried up to 3 times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SIT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NFR-INT-05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 through CCM. All outbound e-mail goes through the BDO communications service.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100% of outbound e-mail sent through CCM with its delivery status recorded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integration; SIT (after DEP-12)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NFR-INT-06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Unavailable partner systems. An unavailable external system does not block users.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Outbound messages queued and retried for 24 hours; an alert after 3 failed attempts; users keep working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Resilience; SIT; NFT</w:t>
            </w:r>
          </w:p>
        </w:tc>
        <w:tc>
          <w:tcPr>
            <w:tcW w:type="dxa" w:w="9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Measured Results: User Access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Measured on 16 Oct 2026 on a single host with the volumes above. The same scenarios run again on the production-sized Pre-Prod during the non-functional tests (1 Nov to 15 Dec 2027) are the acceptance evidence.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21: Load test of User Access, 16 Oct 2026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70"/>
        <w:gridCol w:w="1286"/>
        <w:gridCol w:w="827"/>
        <w:gridCol w:w="643"/>
        <w:gridCol w:w="1378"/>
        <w:gridCol w:w="1194"/>
        <w:gridCol w:w="1286"/>
        <w:gridCol w:w="551"/>
      </w:tblGrid>
      <w:tr>
        <w:trPr>
          <w:tblHeader/>
          <w:cantSplit/>
        </w:trPr>
        <w:tc>
          <w:tcPr>
            <w:tcW w:type="dxa" w:w="147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Load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Requests</w:t>
            </w:r>
          </w:p>
        </w:tc>
        <w:tc>
          <w:tcPr>
            <w:tcW w:type="dxa" w:w="64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Errors</w:t>
            </w:r>
          </w:p>
        </w:tc>
        <w:tc>
          <w:tcPr>
            <w:tcW w:type="dxa" w:w="13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p95</w:t>
            </w:r>
          </w:p>
        </w:tc>
        <w:tc>
          <w:tcPr>
            <w:tcW w:type="dxa" w:w="119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p99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NFR</w:t>
            </w:r>
          </w:p>
        </w:tc>
        <w:tc>
          <w:tcPr>
            <w:tcW w:type="dxa" w:w="5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 and menu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150 users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42,054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3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14 ms; sign-in 373 ms</w:t>
            </w:r>
          </w:p>
        </w:tc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24 ms; sign-in 389 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NFR-PRF-01, NFR-PRF-09</w:t>
            </w:r>
          </w:p>
        </w:tc>
        <w:tc>
          <w:tcPr>
            <w:tcW w:type="dxa" w:w="5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and user detail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30 users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6,289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3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322 ms</w:t>
            </w:r>
          </w:p>
        </w:tc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478 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NFR-PRF-01, NFR-PRF-02</w:t>
            </w:r>
          </w:p>
        </w:tc>
        <w:tc>
          <w:tcPr>
            <w:tcW w:type="dxa" w:w="5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30 users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5,651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3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112 ms</w:t>
            </w:r>
          </w:p>
        </w:tc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330 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NFR-PRF-01, NFR-PRF-02</w:t>
            </w:r>
          </w:p>
        </w:tc>
        <w:tc>
          <w:tcPr>
            <w:tcW w:type="dxa" w:w="5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 users, 20 extracts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3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2.2 s (1,200 users)</w:t>
            </w:r>
          </w:p>
        </w:tc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2.2 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NFR-PRF-04</w:t>
            </w:r>
          </w:p>
        </w:tc>
        <w:tc>
          <w:tcPr>
            <w:tcW w:type="dxa" w:w="5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re-synchronisation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600 users + 2,000 changes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3,200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3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84 ms</w:t>
            </w:r>
          </w:p>
        </w:tc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98 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NFR-SEC-03</w:t>
            </w:r>
          </w:p>
        </w:tc>
        <w:tc>
          <w:tcPr>
            <w:tcW w:type="dxa" w:w="5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new joiners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600 joiners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3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94 ms</w:t>
            </w:r>
          </w:p>
        </w:tc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104 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NFR-SEC-03</w:t>
            </w:r>
          </w:p>
        </w:tc>
        <w:tc>
          <w:tcPr>
            <w:tcW w:type="dxa" w:w="5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Mixed load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150 users + 10 changes a second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35,368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3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76 ms; sign-in 680 ms</w:t>
            </w:r>
          </w:p>
        </w:tc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163 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NFR-PRF-01, NFR-PRF-09</w:t>
            </w:r>
          </w:p>
        </w:tc>
        <w:tc>
          <w:tcPr>
            <w:tcW w:type="dxa" w:w="5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Security</w:t>
      </w:r>
    </w:p>
    <w:p>
      <w:pPr>
        <w:pStyle w:val="Heading2"/>
      </w:pPr>
      <w:r>
        <w:t>BDO Application Security Requirements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Self-assessment of BIBS against the BDO Application Security Requirement workbook (ITS-SQT-1.2.8-L3, ASR V4.10, Fraud-ASR V4.9). BIBS is an internal back-office application with no card data, no customer-facing service and no artificial-intelligence component, so many items do not apply.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22: ASR checklist summary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57"/>
        <w:gridCol w:w="1234"/>
        <w:gridCol w:w="1234"/>
        <w:gridCol w:w="1234"/>
        <w:gridCol w:w="1645"/>
        <w:gridCol w:w="1234"/>
      </w:tblGrid>
      <w:tr>
        <w:trPr>
          <w:tblHeader/>
          <w:cantSplit/>
        </w:trPr>
        <w:tc>
          <w:tcPr>
            <w:tcW w:type="dxa" w:w="20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Sheet</w:t>
            </w:r>
          </w:p>
        </w:tc>
        <w:tc>
          <w:tcPr>
            <w:tcW w:type="dxa" w:w="12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Met</w:t>
            </w:r>
          </w:p>
        </w:tc>
        <w:tc>
          <w:tcPr>
            <w:tcW w:type="dxa" w:w="12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Partly</w:t>
            </w:r>
          </w:p>
        </w:tc>
        <w:tc>
          <w:tcPr>
            <w:tcW w:type="dxa" w:w="12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 met</w:t>
            </w:r>
          </w:p>
        </w:tc>
        <w:tc>
          <w:tcPr>
            <w:tcW w:type="dxa" w:w="16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 applicable</w:t>
            </w:r>
          </w:p>
        </w:tc>
        <w:tc>
          <w:tcPr>
            <w:tcW w:type="dxa" w:w="12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ASR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133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Fraud-ASR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27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23: ASR items not fully met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08"/>
        <w:gridCol w:w="3005"/>
        <w:gridCol w:w="939"/>
        <w:gridCol w:w="3286"/>
      </w:tblGrid>
      <w:tr>
        <w:trPr>
          <w:tblHeader/>
          <w:cantSplit/>
        </w:trPr>
        <w:tc>
          <w:tcPr>
            <w:tcW w:type="dxa" w:w="140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1.8.6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Quantum-resistant algorithms for network communications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met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Depends on the load balancer and runtime support; plan with BDOI IT.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1.2.5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Minimum password length 12 for administrator accounts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Met by Entra ID in production; test accounts use 10 characters.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1.2.14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parameters adjustable to the threat level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parameters except the minimum length are UAM settings.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1.5.2, 1.5.3, 1.5.5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of start-up, failures, record reads and storage access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Application log and cloud storage logging to confirm with BDOI IT.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1.7.6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Least privilege on the database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Separate account for schema changes to add.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1.7.10, 1.9.7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Recovery after ransomware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Immutable or cross-account backup copies to confirm with BDOI IT.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1.9.3, 1.9.5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Supported libraries; third-party libraries encapsulated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Dependency scanning key to set in the delivery pipeline.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2.3.1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authorisation bypass through record references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read and change is checked by permission and data access; record numbers stay visible.</w:t>
            </w:r>
          </w:p>
        </w:tc>
      </w:tr>
      <w:tr>
        <w:trPr>
          <w:cantSplit/>
        </w:trPr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3.4.2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Answers limited to what the caller needs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Partly</w:t>
            </w:r>
          </w:p>
        </w:tc>
        <w:tc>
          <w:tcPr>
            <w:tcW w:type="dxa" w:w="3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user lists return every user; paging above a few thousand users.</w:t>
            </w:r>
          </w:p>
        </w:tc>
      </w:tr>
    </w:tbl>
    <w:p>
      <w:pPr>
        <w:spacing w:after="40"/>
      </w:pPr>
    </w:p>
    <w:p>
      <w:pPr>
        <w:pStyle w:val="Heading2"/>
      </w:pPr>
      <w:r>
        <w:t>OWASP Self-Assessment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24: OWASP Top 10 2021 and API Top 10 2023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56"/>
        <w:gridCol w:w="4883"/>
      </w:tblGrid>
      <w:tr>
        <w:trPr>
          <w:tblHeader/>
          <w:cantSplit/>
        </w:trPr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8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control and identity</w:t>
            </w:r>
          </w:p>
        </w:tc>
        <w:tc>
          <w:tcPr>
            <w:tcW w:type="dxa" w:w="488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Authentication and session</w:t>
            </w:r>
          </w:p>
        </w:tc>
        <w:tc>
          <w:tcPr>
            <w:tcW w:type="dxa" w:w="488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Met; single sign-on settings per environment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Input, output and errors</w:t>
            </w:r>
          </w:p>
        </w:tc>
        <w:tc>
          <w:tcPr>
            <w:tcW w:type="dxa" w:w="488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Transport, headers and configuration</w:t>
            </w:r>
          </w:p>
        </w:tc>
        <w:tc>
          <w:tcPr>
            <w:tcW w:type="dxa" w:w="488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Met; values per environment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25: Open items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95"/>
        <w:gridCol w:w="3944"/>
      </w:tblGrid>
      <w:tr>
        <w:trPr>
          <w:tblHeader/>
          <w:cantSplit/>
        </w:trPr>
        <w:tc>
          <w:tcPr>
            <w:tcW w:type="dxa" w:w="469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Open item</w:t>
            </w:r>
          </w:p>
        </w:tc>
        <w:tc>
          <w:tcPr>
            <w:tcW w:type="dxa" w:w="394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dormant user deactivated in BIBS returns active if UIDM-ISC sends the account as active.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disables the account on the notice Dormant users deactivated.</w:t>
            </w:r>
          </w:p>
        </w:tc>
      </w:tr>
      <w:tr>
        <w:trPr>
          <w:cantSplit/>
        </w:trPr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user lists return every user (425 KB for 1,200 users).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Server paging above a few thousand users.</w:t>
            </w:r>
          </w:p>
        </w:tc>
      </w:tr>
      <w:tr>
        <w:trPr>
          <w:cantSplit/>
        </w:trPr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sign-ins of the same test account at the same instant can be refused once.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Accept (test accounts only) or retry once.</w:t>
            </w:r>
          </w:p>
        </w:tc>
      </w:tr>
      <w:tr>
        <w:trPr>
          <w:cantSplit/>
        </w:trPr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Integration rate limit (300 calls a minute) against a full re-synchronisation (about 2,600 calls).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Agree the value with BDOI IT before the load test.</w:t>
            </w:r>
          </w:p>
        </w:tc>
      </w:tr>
    </w:tbl>
    <w:p>
      <w:pPr>
        <w:spacing w:after="40"/>
      </w:pP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Non-Functional and Security Requirements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Programme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NFR BRD-00 Non Functional and Security Requirements v2.0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