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client-logo.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DATA ARCHITECTURE</w:t>
      </w:r>
    </w:p>
    <w:p>
      <w:pPr>
        <w:spacing w:after="80" w:line="240" w:lineRule="auto"/>
      </w:pPr>
      <w:r>
        <w:rPr>
          <w:b/>
          <w:color w:val="004EA8"/>
          <w:sz w:val="56"/>
        </w:rPr>
        <w:t>Data Architecture</w:t>
      </w:r>
    </w:p>
    <w:p>
      <w:pPr>
        <w:spacing w:after="40"/>
      </w:pPr>
      <w:r>
        <w:rPr>
          <w:color w:val="2E2E2E"/>
          <w:sz w:val="28"/>
        </w:rPr>
        <w:t>Data model, master data, lineage, audit, retention, reconciliation, data quality and model governance of BIBS</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BIBS-DAT-BRD-00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08 October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1.0</w:t>
            </w:r>
          </w:p>
        </w:tc>
        <w:tc>
          <w:tcPr>
            <w:tcW w:type="dxa" w:w="1360"/>
            <w:tcMar>
              <w:top w:w="50" w:type="dxa"/>
              <w:bottom w:w="50" w:type="dxa"/>
              <w:left w:w="90" w:type="dxa"/>
              <w:right w:w="90" w:type="dxa"/>
            </w:tcMar>
          </w:tcPr>
          <w:p>
            <w:pPr>
              <w:pStyle w:val="BDOITable"/>
            </w:pPr>
            <w:r>
              <w:rPr>
                <w:sz w:val="18"/>
              </w:rPr>
              <w:t>08 Oct 2026</w:t>
            </w:r>
          </w:p>
        </w:tc>
        <w:tc>
          <w:tcPr>
            <w:tcW w:type="dxa" w:w="1700"/>
            <w:tcMar>
              <w:top w:w="50" w:type="dxa"/>
              <w:bottom w:w="50" w:type="dxa"/>
              <w:left w:w="90" w:type="dxa"/>
              <w:right w:w="90" w:type="dxa"/>
            </w:tcMar>
          </w:tcPr>
          <w:p>
            <w:pPr>
              <w:pStyle w:val="BDOITable"/>
            </w:pPr>
            <w:r>
              <w:rPr>
                <w:sz w:val="18"/>
              </w:rPr>
              <w:t>iorta TechNXT Data Architect</w:t>
            </w:r>
          </w:p>
        </w:tc>
        <w:tc>
          <w:tcPr>
            <w:tcW w:type="dxa" w:w="1700"/>
            <w:tcMar>
              <w:top w:w="50" w:type="dxa"/>
              <w:bottom w:w="50" w:type="dxa"/>
              <w:left w:w="90" w:type="dxa"/>
              <w:right w:w="90" w:type="dxa"/>
            </w:tcMar>
          </w:tcPr>
          <w:p>
            <w:pPr>
              <w:pStyle w:val="BDOITable"/>
            </w:pPr>
            <w:r>
              <w:rPr>
                <w:sz w:val="18"/>
              </w:rPr>
              <w:t>iorta TechNXT Solution Architect; Migration Lead</w:t>
            </w:r>
          </w:p>
        </w:tc>
        <w:tc>
          <w:tcPr>
            <w:tcW w:type="dxa" w:w="1700"/>
            <w:tcMar>
              <w:top w:w="50" w:type="dxa"/>
              <w:bottom w:w="50" w:type="dxa"/>
              <w:left w:w="90" w:type="dxa"/>
              <w:right w:w="90" w:type="dxa"/>
            </w:tcMar>
          </w:tcPr>
          <w:p>
            <w:pPr>
              <w:pStyle w:val="BDOITable"/>
            </w:pPr>
            <w:r>
              <w:rPr>
                <w:sz w:val="18"/>
              </w:rPr>
              <w:t>BDOI IT (pending)</w:t>
            </w:r>
          </w:p>
        </w:tc>
        <w:tc>
          <w:tcPr>
            <w:tcW w:type="dxa" w:w="2606"/>
            <w:tcMar>
              <w:top w:w="50" w:type="dxa"/>
              <w:bottom w:w="50" w:type="dxa"/>
              <w:left w:w="90" w:type="dxa"/>
              <w:right w:w="90" w:type="dxa"/>
            </w:tcMar>
          </w:tcPr>
          <w:p>
            <w:pPr>
              <w:pStyle w:val="BDOITable"/>
            </w:pPr>
            <w:r>
              <w:rPr>
                <w:sz w:val="18"/>
              </w:rPr>
              <w:t>First issue, from the production schema of 08 October 2026, the module documentation, the BRDs and FRS, the Data Migration Handbook, the IER workbook v20 and the client decisions of 26 September and 8 October 2026</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BDOI Information Technology Group (BDOI IT)</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Data architecture, interfaces, retention implementation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Head - Comptrollership; Product Owners - Comptrollership</w:t>
            </w:r>
          </w:p>
        </w:tc>
        <w:tc>
          <w:tcPr>
            <w:tcW w:type="dxa" w:w="2266"/>
            <w:tcMar>
              <w:top w:w="50" w:type="dxa"/>
              <w:bottom w:w="50" w:type="dxa"/>
              <w:left w:w="90" w:type="dxa"/>
              <w:right w:w="90" w:type="dxa"/>
            </w:tcMar>
            <w:shd w:val="clear" w:color="auto" w:fill="E5F5FF"/>
          </w:tcPr>
          <w:p>
            <w:pPr>
              <w:pStyle w:val="BDOITable"/>
            </w:pPr>
            <w:r>
              <w:rPr>
                <w:sz w:val="18"/>
              </w:rPr>
              <w:t>Approver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Financial lineage, reconciliation controls, BIR retention</w:t>
            </w:r>
          </w:p>
        </w:tc>
      </w:tr>
      <w:tr>
        <w:trPr>
          <w:cantSplit w:val="true"/>
        </w:trPr>
        <w:tc>
          <w:tcPr>
            <w:tcW w:type="dxa" w:w="2606"/>
            <w:tcMar>
              <w:top w:w="50" w:type="dxa"/>
              <w:bottom w:w="50" w:type="dxa"/>
              <w:left w:w="90" w:type="dxa"/>
              <w:right w:w="90" w:type="dxa"/>
            </w:tcMar>
          </w:tcPr>
          <w:p>
            <w:pPr>
              <w:pStyle w:val="BDOITable"/>
            </w:pPr>
            <w:r>
              <w:rPr>
                <w:sz w:val="18"/>
              </w:rPr>
              <w:t>Compliance Officer; BDOI Data Protection Officer</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AMLA and privacy retention, classification, model governance of screening</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Product Owner, Marketing Business System</w:t>
            </w:r>
          </w:p>
        </w:tc>
        <w:tc>
          <w:tcPr>
            <w:tcW w:type="dxa" w:w="2266"/>
            <w:tcMar>
              <w:top w:w="50" w:type="dxa"/>
              <w:bottom w:w="50" w:type="dxa"/>
              <w:left w:w="90" w:type="dxa"/>
              <w:right w:w="90" w:type="dxa"/>
            </w:tcMar>
            <w:shd w:val="clear" w:color="auto" w:fill="E5F5FF"/>
          </w:tcPr>
          <w:p>
            <w:pPr>
              <w:pStyle w:val="BDOITable"/>
            </w:pPr>
            <w:r>
              <w:rPr>
                <w:sz w:val="18"/>
              </w:rPr>
              <w:t>Reviewer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Master data of clients, products, packages, insurers</w:t>
            </w:r>
          </w:p>
        </w:tc>
      </w:tr>
      <w:tr>
        <w:trPr>
          <w:cantSplit w:val="true"/>
        </w:trPr>
        <w:tc>
          <w:tcPr>
            <w:tcW w:type="dxa" w:w="2606"/>
            <w:tcMar>
              <w:top w:w="50" w:type="dxa"/>
              <w:bottom w:w="50" w:type="dxa"/>
              <w:left w:w="90" w:type="dxa"/>
              <w:right w:w="90" w:type="dxa"/>
            </w:tcMar>
          </w:tcPr>
          <w:p>
            <w:pPr>
              <w:pStyle w:val="BDOITable"/>
            </w:pPr>
            <w:r>
              <w:rPr>
                <w:sz w:val="18"/>
              </w:rPr>
              <w:t>Data Migration Lead and data owners</w:t>
            </w:r>
          </w:p>
        </w:tc>
        <w:tc>
          <w:tcPr>
            <w:tcW w:type="dxa" w:w="2266"/>
            <w:tcMar>
              <w:top w:w="50" w:type="dxa"/>
              <w:bottom w:w="50" w:type="dxa"/>
              <w:left w:w="90" w:type="dxa"/>
              <w:right w:w="90" w:type="dxa"/>
            </w:tcMar>
          </w:tcPr>
          <w:p>
            <w:pPr>
              <w:pStyle w:val="BDOITable"/>
            </w:pPr>
            <w:r>
              <w:rPr>
                <w:sz w:val="18"/>
              </w:rPr>
              <w:t>Reviewer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Golden records and data quality rules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Enterprise Data Platform team (EDP); EGL team</w:t>
            </w:r>
          </w:p>
        </w:tc>
        <w:tc>
          <w:tcPr>
            <w:tcW w:type="dxa" w:w="2266"/>
            <w:tcMar>
              <w:top w:w="50" w:type="dxa"/>
              <w:bottom w:w="50" w:type="dxa"/>
              <w:left w:w="90" w:type="dxa"/>
              <w:right w:w="90" w:type="dxa"/>
            </w:tcMar>
            <w:shd w:val="clear" w:color="auto" w:fill="E5F5FF"/>
          </w:tcPr>
          <w:p>
            <w:pPr>
              <w:pStyle w:val="BDOITable"/>
            </w:pPr>
            <w:r>
              <w:rPr>
                <w:sz w:val="18"/>
              </w:rPr>
              <w:t>Reviewer</w:t>
            </w:r>
          </w:p>
        </w:tc>
        <w:tc>
          <w:tcPr>
            <w:tcW w:type="dxa" w:w="2266"/>
            <w:tcMar>
              <w:top w:w="50" w:type="dxa"/>
              <w:bottom w:w="50" w:type="dxa"/>
              <w:left w:w="90" w:type="dxa"/>
              <w:right w:w="90" w:type="dxa"/>
            </w:tcMar>
            <w:shd w:val="clear" w:color="auto" w:fill="E5F5FF"/>
          </w:tcPr>
          <w:p>
            <w:pPr>
              <w:pStyle w:val="BDOITable"/>
            </w:pPr>
            <w:r>
              <w:rPr>
                <w:sz w:val="18"/>
              </w:rPr>
              <w:t>BDO Unibank IT</w:t>
            </w:r>
          </w:p>
        </w:tc>
        <w:tc>
          <w:tcPr>
            <w:tcW w:type="dxa" w:w="2833"/>
            <w:tcMar>
              <w:top w:w="50" w:type="dxa"/>
              <w:bottom w:w="50" w:type="dxa"/>
              <w:left w:w="90" w:type="dxa"/>
              <w:right w:w="90" w:type="dxa"/>
            </w:tcMar>
            <w:shd w:val="clear" w:color="auto" w:fill="E5F5FF"/>
          </w:tcPr>
          <w:p>
            <w:pPr>
              <w:pStyle w:val="BDOITable"/>
            </w:pPr>
            <w:r>
              <w:rPr>
                <w:sz w:val="18"/>
              </w:rPr>
              <w:t>Extracts and lineage to BDO platforms</w:t>
            </w:r>
          </w:p>
        </w:tc>
      </w:tr>
      <w:tr>
        <w:trPr>
          <w:cantSplit w:val="true"/>
        </w:trPr>
        <w:tc>
          <w:tcPr>
            <w:tcW w:type="dxa" w:w="2606"/>
            <w:tcMar>
              <w:top w:w="50" w:type="dxa"/>
              <w:bottom w:w="50" w:type="dxa"/>
              <w:left w:w="90" w:type="dxa"/>
              <w:right w:w="90" w:type="dxa"/>
            </w:tcMar>
          </w:tcPr>
          <w:p>
            <w:pPr>
              <w:pStyle w:val="BDOITable"/>
            </w:pPr>
            <w:r>
              <w:rPr>
                <w:sz w:val="18"/>
              </w:rPr>
              <w:t>Project team</w:t>
            </w:r>
          </w:p>
        </w:tc>
        <w:tc>
          <w:tcPr>
            <w:tcW w:type="dxa" w:w="2266"/>
            <w:tcMar>
              <w:top w:w="50" w:type="dxa"/>
              <w:bottom w:w="50" w:type="dxa"/>
              <w:left w:w="90" w:type="dxa"/>
              <w:right w:w="90" w:type="dxa"/>
            </w:tcMar>
          </w:tcPr>
          <w:p>
            <w:pPr>
              <w:pStyle w:val="BDOITable"/>
            </w:pPr>
            <w:r>
              <w:rPr>
                <w:sz w:val="18"/>
              </w:rPr>
              <w:t>Delivery</w:t>
            </w:r>
          </w:p>
        </w:tc>
        <w:tc>
          <w:tcPr>
            <w:tcW w:type="dxa" w:w="2266"/>
            <w:tcMar>
              <w:top w:w="50" w:type="dxa"/>
              <w:bottom w:w="50" w:type="dxa"/>
              <w:left w:w="90" w:type="dxa"/>
              <w:right w:w="90" w:type="dxa"/>
            </w:tcMar>
          </w:tcPr>
          <w:p>
            <w:pPr>
              <w:pStyle w:val="BDOITable"/>
            </w:pPr>
            <w:r>
              <w:rPr>
                <w:sz w:val="18"/>
              </w:rPr>
              <w:t>iorta TechNXT</w:t>
            </w:r>
          </w:p>
        </w:tc>
        <w:tc>
          <w:tcPr>
            <w:tcW w:type="dxa" w:w="2833"/>
            <w:tcMar>
              <w:top w:w="50" w:type="dxa"/>
              <w:bottom w:w="50" w:type="dxa"/>
              <w:left w:w="90" w:type="dxa"/>
              <w:right w:w="90" w:type="dxa"/>
            </w:tcMar>
          </w:tcPr>
          <w:p>
            <w:pPr>
              <w:pStyle w:val="BDOITable"/>
            </w:pPr>
            <w:r>
              <w:rPr>
                <w:sz w:val="18"/>
              </w:rPr>
              <w:t>Data model, migration, reports, interfaces</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4</w:t>
        </w:r>
      </w:hyperlink>
    </w:p>
    <w:p>
      <w:pPr>
        <w:pStyle w:val="toc2"/>
      </w:pPr>
      <w:hyperlink w:anchor="_Toc000102" w:history="1">
        <w:r>
          <w:t xml:space="preserve">1.1 Purpose and audience</w:t>
        </w:r>
        <w:r>
          <w:t xml:space="preserve">	</w:t>
        </w:r>
        <w:r>
          <w:t xml:space="preserve">4</w:t>
        </w:r>
      </w:hyperlink>
    </w:p>
    <w:p>
      <w:pPr>
        <w:pStyle w:val="toc2"/>
      </w:pPr>
      <w:hyperlink w:anchor="_Toc000103" w:history="1">
        <w:r>
          <w:t xml:space="preserve">1.2 Scope</w:t>
        </w:r>
        <w:r>
          <w:t xml:space="preserve">	</w:t>
        </w:r>
        <w:r>
          <w:t xml:space="preserve">4</w:t>
        </w:r>
      </w:hyperlink>
    </w:p>
    <w:p>
      <w:pPr>
        <w:pStyle w:val="toc2"/>
      </w:pPr>
      <w:hyperlink w:anchor="_Toc000104" w:history="1">
        <w:r>
          <w:t xml:space="preserve">1.3 Sources</w:t>
        </w:r>
        <w:r>
          <w:t xml:space="preserve">	</w:t>
        </w:r>
        <w:r>
          <w:t xml:space="preserve">4</w:t>
        </w:r>
      </w:hyperlink>
    </w:p>
    <w:p>
      <w:pPr>
        <w:pStyle w:val="toc2"/>
      </w:pPr>
      <w:hyperlink w:anchor="_Toc000105" w:history="1">
        <w:r>
          <w:t xml:space="preserve">1.4 Summary</w:t>
        </w:r>
        <w:r>
          <w:t xml:space="preserve">	</w:t>
        </w:r>
        <w:r>
          <w:t xml:space="preserve">5</w:t>
        </w:r>
      </w:hyperlink>
    </w:p>
    <w:p>
      <w:pPr>
        <w:pStyle w:val="toc1"/>
      </w:pPr>
      <w:hyperlink w:anchor="_Toc000106" w:history="1">
        <w:r>
          <w:t xml:space="preserve">2 Principles and overview</w:t>
        </w:r>
        <w:r>
          <w:t xml:space="preserve">	</w:t>
        </w:r>
        <w:r>
          <w:t xml:space="preserve">6</w:t>
        </w:r>
      </w:hyperlink>
    </w:p>
    <w:p>
      <w:pPr>
        <w:pStyle w:val="toc1"/>
      </w:pPr>
      <w:hyperlink w:anchor="_Toc000107" w:history="1">
        <w:r>
          <w:t xml:space="preserve">3 Conceptual and logical data model</w:t>
        </w:r>
        <w:r>
          <w:t xml:space="preserve">	</w:t>
        </w:r>
        <w:r>
          <w:t xml:space="preserve">7</w:t>
        </w:r>
      </w:hyperlink>
    </w:p>
    <w:p>
      <w:pPr>
        <w:pStyle w:val="toc2"/>
      </w:pPr>
      <w:hyperlink w:anchor="_Toc000108" w:history="1">
        <w:r>
          <w:t xml:space="preserve">3.1 Conceptual model</w:t>
        </w:r>
        <w:r>
          <w:t xml:space="preserve">	</w:t>
        </w:r>
        <w:r>
          <w:t xml:space="preserve">7</w:t>
        </w:r>
      </w:hyperlink>
    </w:p>
    <w:p>
      <w:pPr>
        <w:pStyle w:val="toc2"/>
      </w:pPr>
      <w:hyperlink w:anchor="_Toc000109" w:history="1">
        <w:r>
          <w:t xml:space="preserve">3.2 Data domains</w:t>
        </w:r>
        <w:r>
          <w:t xml:space="preserve">	</w:t>
        </w:r>
        <w:r>
          <w:t xml:space="preserve">8</w:t>
        </w:r>
      </w:hyperlink>
    </w:p>
    <w:p>
      <w:pPr>
        <w:pStyle w:val="toc2"/>
      </w:pPr>
      <w:hyperlink w:anchor="_Toc000110" w:history="1">
        <w:r>
          <w:t xml:space="preserve">3.3 Logical model per domain</w:t>
        </w:r>
        <w:r>
          <w:t xml:space="preserve">	</w:t>
        </w:r>
        <w:r>
          <w:t xml:space="preserve">8</w:t>
        </w:r>
      </w:hyperlink>
    </w:p>
    <w:p>
      <w:pPr>
        <w:pStyle w:val="toc1"/>
      </w:pPr>
      <w:hyperlink w:anchor="_Toc000111" w:history="1">
        <w:r>
          <w:t xml:space="preserve">4 Master data management</w:t>
        </w:r>
        <w:r>
          <w:t xml:space="preserve">	</w:t>
        </w:r>
        <w:r>
          <w:t xml:space="preserve">10</w:t>
        </w:r>
      </w:hyperlink>
    </w:p>
    <w:p>
      <w:pPr>
        <w:pStyle w:val="toc2"/>
      </w:pPr>
      <w:hyperlink w:anchor="_Toc000112" w:history="1">
        <w:r>
          <w:t xml:space="preserve">4.1 Ownership</w:t>
        </w:r>
        <w:r>
          <w:t xml:space="preserve">	</w:t>
        </w:r>
        <w:r>
          <w:t xml:space="preserve">10</w:t>
        </w:r>
      </w:hyperlink>
    </w:p>
    <w:p>
      <w:pPr>
        <w:pStyle w:val="toc2"/>
      </w:pPr>
      <w:hyperlink w:anchor="_Toc000113" w:history="1">
        <w:r>
          <w:t xml:space="preserve">4.2 Master data and golden-record rules</w:t>
        </w:r>
        <w:r>
          <w:t xml:space="preserve">	</w:t>
        </w:r>
        <w:r>
          <w:t xml:space="preserve">11</w:t>
        </w:r>
      </w:hyperlink>
    </w:p>
    <w:p>
      <w:pPr>
        <w:pStyle w:val="toc2"/>
      </w:pPr>
      <w:hyperlink w:anchor="_Toc000114" w:history="1">
        <w:r>
          <w:t xml:space="preserve">4.3 Master data quality targets (proposal)</w:t>
        </w:r>
        <w:r>
          <w:t xml:space="preserve">	</w:t>
        </w:r>
        <w:r>
          <w:t xml:space="preserve">12</w:t>
        </w:r>
      </w:hyperlink>
    </w:p>
    <w:p>
      <w:pPr>
        <w:pStyle w:val="toc1"/>
      </w:pPr>
      <w:hyperlink w:anchor="_Toc000115" w:history="1">
        <w:r>
          <w:t xml:space="preserve">5 Data lineage</w:t>
        </w:r>
        <w:r>
          <w:t xml:space="preserve">	</w:t>
        </w:r>
        <w:r>
          <w:t xml:space="preserve">13</w:t>
        </w:r>
      </w:hyperlink>
    </w:p>
    <w:p>
      <w:pPr>
        <w:pStyle w:val="toc1"/>
      </w:pPr>
      <w:hyperlink w:anchor="_Toc000116" w:history="1">
        <w:r>
          <w:t xml:space="preserve">6 Audit trails</w:t>
        </w:r>
        <w:r>
          <w:t xml:space="preserve">	</w:t>
        </w:r>
        <w:r>
          <w:t xml:space="preserve">15</w:t>
        </w:r>
      </w:hyperlink>
    </w:p>
    <w:p>
      <w:pPr>
        <w:pStyle w:val="toc1"/>
      </w:pPr>
      <w:hyperlink w:anchor="_Toc000117" w:history="1">
        <w:r>
          <w:t xml:space="preserve">7 Archival and retention schedule</w:t>
        </w:r>
        <w:r>
          <w:t xml:space="preserve">	</w:t>
        </w:r>
        <w:r>
          <w:t xml:space="preserve">16</w:t>
        </w:r>
      </w:hyperlink>
    </w:p>
    <w:p>
      <w:pPr>
        <w:pStyle w:val="toc2"/>
      </w:pPr>
      <w:hyperlink w:anchor="_Toc000118" w:history="1">
        <w:r>
          <w:t xml:space="preserve">7.1 Proposed schedule</w:t>
        </w:r>
        <w:r>
          <w:t xml:space="preserve">	</w:t>
        </w:r>
        <w:r>
          <w:t xml:space="preserve">16</w:t>
        </w:r>
      </w:hyperlink>
    </w:p>
    <w:p>
      <w:pPr>
        <w:pStyle w:val="toc1"/>
      </w:pPr>
      <w:hyperlink w:anchor="_Toc000119" w:history="1">
        <w:r>
          <w:t xml:space="preserve">8 Metadata management and data catalogue</w:t>
        </w:r>
        <w:r>
          <w:t xml:space="preserve">	</w:t>
        </w:r>
        <w:r>
          <w:t xml:space="preserve">18</w:t>
        </w:r>
      </w:hyperlink>
    </w:p>
    <w:p>
      <w:pPr>
        <w:pStyle w:val="toc1"/>
      </w:pPr>
      <w:hyperlink w:anchor="_Toc000120" w:history="1">
        <w:r>
          <w:t xml:space="preserve">9 Reconciliation controls</w:t>
        </w:r>
        <w:r>
          <w:t xml:space="preserve">	</w:t>
        </w:r>
        <w:r>
          <w:t xml:space="preserve">19</w:t>
        </w:r>
      </w:hyperlink>
    </w:p>
    <w:p>
      <w:pPr>
        <w:pStyle w:val="toc1"/>
      </w:pPr>
      <w:hyperlink w:anchor="_Toc000121" w:history="1">
        <w:r>
          <w:t xml:space="preserve">10 Data classification and privacy</w:t>
        </w:r>
        <w:r>
          <w:t xml:space="preserve">	</w:t>
        </w:r>
        <w:r>
          <w:t xml:space="preserve">20</w:t>
        </w:r>
      </w:hyperlink>
    </w:p>
    <w:p>
      <w:pPr>
        <w:pStyle w:val="toc1"/>
      </w:pPr>
      <w:hyperlink w:anchor="_Toc000122" w:history="1">
        <w:r>
          <w:t xml:space="preserve">11 Data quality rules and monitoring</w:t>
        </w:r>
        <w:r>
          <w:t xml:space="preserve">	</w:t>
        </w:r>
        <w:r>
          <w:t xml:space="preserve">21</w:t>
        </w:r>
      </w:hyperlink>
    </w:p>
    <w:p>
      <w:pPr>
        <w:pStyle w:val="toc1"/>
      </w:pPr>
      <w:hyperlink w:anchor="_Toc000123" w:history="1">
        <w:r>
          <w:t xml:space="preserve">12 Automated decision and model governance</w:t>
        </w:r>
        <w:r>
          <w:t xml:space="preserve">	</w:t>
        </w:r>
        <w:r>
          <w:t xml:space="preserve">22</w:t>
        </w:r>
      </w:hyperlink>
    </w:p>
    <w:p>
      <w:pPr>
        <w:pStyle w:val="toc2"/>
      </w:pPr>
      <w:hyperlink w:anchor="_Toc000124" w:history="1">
        <w:r>
          <w:t xml:space="preserve">12.1 Automated decisions in BIBS</w:t>
        </w:r>
        <w:r>
          <w:t xml:space="preserve">	</w:t>
        </w:r>
        <w:r>
          <w:t xml:space="preserve">22</w:t>
        </w:r>
      </w:hyperlink>
    </w:p>
    <w:p>
      <w:pPr>
        <w:pStyle w:val="toc2"/>
      </w:pPr>
      <w:hyperlink w:anchor="_Toc000125" w:history="1">
        <w:r>
          <w:t xml:space="preserve">12.2 Governance of a generative tool, should BDOI introduce one</w:t>
        </w:r>
        <w:r>
          <w:t xml:space="preserve">	</w:t>
        </w:r>
        <w:r>
          <w:t xml:space="preserve">22</w:t>
        </w:r>
      </w:hyperlink>
    </w:p>
    <w:p>
      <w:pPr>
        <w:pStyle w:val="toc1"/>
      </w:pPr>
      <w:hyperlink w:anchor="_Toc000126" w:history="1">
        <w:r>
          <w:t xml:space="preserve">13 Roles and responsibilities</w:t>
        </w:r>
        <w:r>
          <w:t xml:space="preserve">	</w:t>
        </w:r>
        <w:r>
          <w:t xml:space="preserve">24</w:t>
        </w:r>
      </w:hyperlink>
    </w:p>
    <w:p>
      <w:pPr>
        <w:pStyle w:val="toc1"/>
      </w:pPr>
      <w:hyperlink w:anchor="_Toc000127" w:history="1">
        <w:r>
          <w:t xml:space="preserve">14 Decisions and open points for BDOI</w:t>
        </w:r>
        <w:r>
          <w:t xml:space="preserve">	</w:t>
        </w:r>
        <w:r>
          <w:t xml:space="preserve">25</w:t>
        </w:r>
      </w:hyperlink>
    </w:p>
    <w:p>
      <w:pPr>
        <w:pStyle w:val="toc1"/>
      </w:pPr>
      <w:hyperlink w:anchor="_Toc000128" w:history="1">
        <w:r>
          <w:t xml:space="preserve">References</w:t>
        </w:r>
        <w:r>
          <w:t xml:space="preserve">	</w:t>
        </w:r>
        <w:r>
          <w:t xml:space="preserve">26</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 and audience</w:t>
      </w:r>
      <w:bookmarkEnd w:id="102"/>
    </w:p>
    <w:p>
      <w:r>
        <w:rPr/>
        <w:t>This document describes the data architecture of BIBS (BDOI Broker System, on iNXT BrokerVerse) for BDO Insurance and Reinsurance Brokers, Inc. (BDOI): the conceptual and logical model per domain, who owns which data and how the golden record of each master is kept, how data flows from its sources through BIBS to the general ledger, the reports and the regulators, what is audited and for how long it is kept, the reconciliation and data quality controls, the metadata and data catalogue, and the governance of automated decisions.</w:t>
      </w:r>
    </w:p>
    <w:p>
      <w:r>
        <w:rPr/>
        <w:t>The audience is BDOI IT, Comptrollership, Compliance, the Data Protection Officer, the data owners and the Data Migration team. The physical model (tables, columns, keys) is in the companion documents BIBS Entity Relationship Diagrams v1.0 and BIBS Data Dictionary v1.0.</w:t>
      </w:r>
    </w:p>
    <w:p>
      <w:pPr>
        <w:pStyle w:val="Heading2"/>
      </w:pPr>
      <w:bookmarkStart w:id="103" w:name="_Toc000103"/>
      <w:r>
        <w:rPr/>
        <w:t>1.2 Scope</w:t>
      </w:r>
      <w:bookmarkEnd w:id="103"/>
    </w:p>
    <w:p>
      <w:pPr>
        <w:pStyle w:val="Caption"/>
        <w:keepNext/>
        <w:spacing w:after="60"/>
      </w:pPr>
      <w:r>
        <w:rPr>
          <w:b/>
          <w:i w:val="0"/>
        </w:rPr>
        <w:t xml:space="preserve">Table 1: </w:t>
      </w:r>
      <w:r>
        <w:rPr/>
        <w:t>Scope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01"/>
        <w:gridCol w:w="7671"/>
      </w:tblGrid>
      <w:tr>
        <w:trPr>
          <w:tblHeader w:val="true"/>
          <w:cantSplit w:val="true"/>
        </w:trPr>
        <w:tc>
          <w:tcPr>
            <w:tcW w:type="dxa" w:w="2301"/>
            <w:shd w:val="clear" w:color="auto" w:fill="004EA8"/>
            <w:tcMar>
              <w:top w:w="50" w:type="dxa"/>
              <w:bottom w:w="50" w:type="dxa"/>
              <w:left w:w="90" w:type="dxa"/>
              <w:right w:w="90" w:type="dxa"/>
            </w:tcMar>
            <w:vAlign w:val="center"/>
          </w:tcPr>
          <w:p>
            <w:pPr>
              <w:pStyle w:val="BDOITableHeader"/>
            </w:pPr>
            <w:r>
              <w:rPr>
                <w:b/>
                <w:color w:val="FFFFFF"/>
                <w:sz w:val="18"/>
              </w:rPr>
              <w:t>Item</w:t>
            </w:r>
          </w:p>
        </w:tc>
        <w:tc>
          <w:tcPr>
            <w:tcW w:type="dxa" w:w="7671"/>
            <w:shd w:val="clear" w:color="auto" w:fill="004EA8"/>
            <w:tcMar>
              <w:top w:w="50" w:type="dxa"/>
              <w:bottom w:w="50" w:type="dxa"/>
              <w:left w:w="90" w:type="dxa"/>
              <w:right w:w="90" w:type="dxa"/>
            </w:tcMar>
            <w:vAlign w:val="center"/>
          </w:tcPr>
          <w:p>
            <w:pPr>
              <w:pStyle w:val="BDOITableHeader"/>
            </w:pPr>
            <w:r>
              <w:rPr>
                <w:b/>
                <w:color w:val="FFFFFF"/>
                <w:sz w:val="18"/>
              </w:rPr>
              <w:t>Scope</w:t>
            </w:r>
          </w:p>
        </w:tc>
      </w:tr>
      <w:tr>
        <w:trPr>
          <w:cantSplit w:val="true"/>
        </w:trPr>
        <w:tc>
          <w:tcPr>
            <w:tcW w:type="dxa" w:w="2301"/>
            <w:tcMar>
              <w:top w:w="50" w:type="dxa"/>
              <w:bottom w:w="50" w:type="dxa"/>
              <w:left w:w="90" w:type="dxa"/>
              <w:right w:w="90" w:type="dxa"/>
            </w:tcMar>
          </w:tcPr>
          <w:p>
            <w:pPr>
              <w:pStyle w:val="BDOITable"/>
            </w:pPr>
            <w:r>
              <w:rPr>
                <w:b/>
                <w:sz w:val="18"/>
              </w:rPr>
              <w:t>In scope</w:t>
            </w:r>
          </w:p>
        </w:tc>
        <w:tc>
          <w:tcPr>
            <w:tcW w:type="dxa" w:w="7671"/>
            <w:tcMar>
              <w:top w:w="50" w:type="dxa"/>
              <w:bottom w:w="50" w:type="dxa"/>
              <w:left w:w="90" w:type="dxa"/>
              <w:right w:w="90" w:type="dxa"/>
            </w:tcMar>
          </w:tcPr>
          <w:p>
            <w:pPr>
              <w:pStyle w:val="BDOITable"/>
            </w:pPr>
            <w:r>
              <w:rPr>
                <w:sz w:val="18"/>
              </w:rPr>
              <w:t>All data held by BIBS for the BRDs of Drop 0 (BRD-03, 11, 13), Drop 1 (BRD-01, 02, 04, 05, 06, 09, 10, 12) and Drop 2 (BRD-07, 08); its documents in Amazon S3; its interfaces to BDO systems and regulators</w:t>
            </w:r>
          </w:p>
        </w:tc>
      </w:tr>
      <w:tr>
        <w:trPr>
          <w:cantSplit w:val="true"/>
        </w:trPr>
        <w:tc>
          <w:tcPr>
            <w:tcW w:type="dxa" w:w="2301"/>
            <w:tcMar>
              <w:top w:w="50" w:type="dxa"/>
              <w:bottom w:w="50" w:type="dxa"/>
              <w:left w:w="90" w:type="dxa"/>
              <w:right w:w="90" w:type="dxa"/>
            </w:tcMar>
            <w:shd w:val="clear" w:color="auto" w:fill="E5F5FF"/>
          </w:tcPr>
          <w:p>
            <w:pPr>
              <w:pStyle w:val="BDOITable"/>
            </w:pPr>
            <w:r>
              <w:rPr>
                <w:b/>
                <w:sz w:val="18"/>
              </w:rPr>
              <w:t>Out of scope</w:t>
            </w:r>
          </w:p>
        </w:tc>
        <w:tc>
          <w:tcPr>
            <w:tcW w:type="dxa" w:w="7671"/>
            <w:tcMar>
              <w:top w:w="50" w:type="dxa"/>
              <w:bottom w:w="50" w:type="dxa"/>
              <w:left w:w="90" w:type="dxa"/>
              <w:right w:w="90" w:type="dxa"/>
            </w:tcMar>
            <w:shd w:val="clear" w:color="auto" w:fill="E5F5FF"/>
          </w:tcPr>
          <w:p>
            <w:pPr>
              <w:pStyle w:val="BDOITable"/>
            </w:pPr>
            <w:r>
              <w:rPr>
                <w:sz w:val="18"/>
              </w:rPr>
              <w:t>Reinsurance broking (phase 2); data held only in BDO systems (EIAM, EGL, EDP, CMS); the insurer-company modules being removed from BIBS (insurer underwriting, insurer claims, reinsurance treaty accounting, actuarial reserves, group consolidation), whose tables are not part of the model</w:t>
            </w:r>
          </w:p>
        </w:tc>
      </w:tr>
      <w:tr>
        <w:trPr>
          <w:cantSplit w:val="true"/>
        </w:trPr>
        <w:tc>
          <w:tcPr>
            <w:tcW w:type="dxa" w:w="2301"/>
            <w:tcMar>
              <w:top w:w="50" w:type="dxa"/>
              <w:bottom w:w="50" w:type="dxa"/>
              <w:left w:w="90" w:type="dxa"/>
              <w:right w:w="90" w:type="dxa"/>
            </w:tcMar>
          </w:tcPr>
          <w:p>
            <w:pPr>
              <w:pStyle w:val="BDOITable"/>
            </w:pPr>
            <w:r>
              <w:rPr>
                <w:b/>
                <w:sz w:val="18"/>
              </w:rPr>
              <w:t>Date</w:t>
            </w:r>
          </w:p>
        </w:tc>
        <w:tc>
          <w:tcPr>
            <w:tcW w:type="dxa" w:w="7671"/>
            <w:tcMar>
              <w:top w:w="50" w:type="dxa"/>
              <w:bottom w:w="50" w:type="dxa"/>
              <w:left w:w="90" w:type="dxa"/>
              <w:right w:w="90" w:type="dxa"/>
            </w:tcMar>
          </w:tcPr>
          <w:p>
            <w:pPr>
              <w:pStyle w:val="BDOITable"/>
            </w:pPr>
            <w:r>
              <w:rPr>
                <w:sz w:val="18"/>
              </w:rPr>
              <w:t>Production schema and configuration of 08 October 2026; go-live January 2028</w:t>
            </w:r>
          </w:p>
        </w:tc>
      </w:tr>
    </w:tbl>
    <w:p>
      <w:pPr>
        <w:pStyle w:val="BDOISpacer"/>
      </w:pPr>
    </w:p>
    <w:p>
      <w:pPr>
        <w:pStyle w:val="Heading2"/>
      </w:pPr>
      <w:bookmarkStart w:id="104" w:name="_Toc000104"/>
      <w:r>
        <w:rPr/>
        <w:t>1.3 Sources</w:t>
      </w:r>
      <w:bookmarkEnd w:id="104"/>
    </w:p>
    <w:p>
      <w:pPr>
        <w:pStyle w:val="Caption"/>
        <w:keepNext/>
        <w:spacing w:after="60"/>
      </w:pPr>
      <w:r>
        <w:rPr>
          <w:b/>
          <w:i w:val="0"/>
        </w:rPr>
        <w:t xml:space="preserve">Table 2: </w:t>
      </w:r>
      <w:r>
        <w:rPr/>
        <w:t>Sources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67"/>
        <w:gridCol w:w="4603"/>
        <w:gridCol w:w="4603"/>
      </w:tblGrid>
      <w:tr>
        <w:trPr>
          <w:tblHeader w:val="true"/>
          <w:cantSplit w:val="true"/>
        </w:trPr>
        <w:tc>
          <w:tcPr>
            <w:tcW w:type="dxa" w:w="767"/>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4602"/>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4602"/>
            <w:shd w:val="clear" w:color="auto" w:fill="004EA8"/>
            <w:tcMar>
              <w:top w:w="50" w:type="dxa"/>
              <w:bottom w:w="50" w:type="dxa"/>
              <w:left w:w="90" w:type="dxa"/>
              <w:right w:w="90" w:type="dxa"/>
            </w:tcMar>
            <w:vAlign w:val="center"/>
          </w:tcPr>
          <w:p>
            <w:pPr>
              <w:pStyle w:val="BDOITableHeader"/>
            </w:pPr>
            <w:r>
              <w:rPr>
                <w:b/>
                <w:color w:val="FFFFFF"/>
                <w:sz w:val="18"/>
              </w:rPr>
              <w:t>Used for</w:t>
            </w:r>
          </w:p>
        </w:tc>
      </w:tr>
      <w:tr>
        <w:trPr>
          <w:cantSplit w:val="true"/>
        </w:trPr>
        <w:tc>
          <w:tcPr>
            <w:tcW w:type="dxa" w:w="767"/>
            <w:tcMar>
              <w:top w:w="50" w:type="dxa"/>
              <w:bottom w:w="50" w:type="dxa"/>
              <w:left w:w="90" w:type="dxa"/>
              <w:right w:w="90" w:type="dxa"/>
            </w:tcMar>
          </w:tcPr>
          <w:p>
            <w:pPr>
              <w:pStyle w:val="BDOITable"/>
            </w:pPr>
            <w:r>
              <w:rPr>
                <w:b/>
                <w:sz w:val="18"/>
              </w:rPr>
              <w:t>S1</w:t>
            </w:r>
          </w:p>
        </w:tc>
        <w:tc>
          <w:tcPr>
            <w:tcW w:type="dxa" w:w="4602"/>
            <w:tcMar>
              <w:top w:w="50" w:type="dxa"/>
              <w:bottom w:w="50" w:type="dxa"/>
              <w:left w:w="90" w:type="dxa"/>
              <w:right w:w="90" w:type="dxa"/>
            </w:tcMar>
          </w:tcPr>
          <w:p>
            <w:pPr>
              <w:pStyle w:val="BDOITable"/>
            </w:pPr>
            <w:r>
              <w:rPr>
                <w:sz w:val="18"/>
              </w:rPr>
              <w:t>BRDs of 8 October 2026 (umbrella BRD and BRD-01 to BRD-13) and their FRS</w:t>
            </w:r>
          </w:p>
        </w:tc>
        <w:tc>
          <w:tcPr>
            <w:tcW w:type="dxa" w:w="4602"/>
            <w:tcMar>
              <w:top w:w="50" w:type="dxa"/>
              <w:bottom w:w="50" w:type="dxa"/>
              <w:left w:w="90" w:type="dxa"/>
              <w:right w:w="90" w:type="dxa"/>
            </w:tcMar>
          </w:tcPr>
          <w:p>
            <w:pPr>
              <w:pStyle w:val="BDOITable"/>
            </w:pPr>
            <w:r>
              <w:rPr>
                <w:sz w:val="18"/>
              </w:rPr>
              <w:t>Business entities, retention and audit requirements</w:t>
            </w:r>
          </w:p>
        </w:tc>
      </w:tr>
      <w:tr>
        <w:trPr>
          <w:cantSplit w:val="true"/>
        </w:trPr>
        <w:tc>
          <w:tcPr>
            <w:tcW w:type="dxa" w:w="767"/>
            <w:tcMar>
              <w:top w:w="50" w:type="dxa"/>
              <w:bottom w:w="50" w:type="dxa"/>
              <w:left w:w="90" w:type="dxa"/>
              <w:right w:w="90" w:type="dxa"/>
            </w:tcMar>
            <w:shd w:val="clear" w:color="auto" w:fill="E5F5FF"/>
          </w:tcPr>
          <w:p>
            <w:pPr>
              <w:pStyle w:val="BDOITable"/>
            </w:pPr>
            <w:r>
              <w:rPr>
                <w:b/>
                <w:sz w:val="18"/>
              </w:rPr>
              <w:t>S2</w:t>
            </w:r>
          </w:p>
        </w:tc>
        <w:tc>
          <w:tcPr>
            <w:tcW w:type="dxa" w:w="4602"/>
            <w:tcMar>
              <w:top w:w="50" w:type="dxa"/>
              <w:bottom w:w="50" w:type="dxa"/>
              <w:left w:w="90" w:type="dxa"/>
              <w:right w:w="90" w:type="dxa"/>
            </w:tcMar>
            <w:shd w:val="clear" w:color="auto" w:fill="E5F5FF"/>
          </w:tcPr>
          <w:p>
            <w:pPr>
              <w:pStyle w:val="BDOITable"/>
            </w:pPr>
            <w:r>
              <w:rPr>
                <w:sz w:val="18"/>
              </w:rPr>
              <w:t>BDOI Drop Plan; Programme Alignment v1.0; Integration Inventory v1.0</w:t>
            </w:r>
          </w:p>
        </w:tc>
        <w:tc>
          <w:tcPr>
            <w:tcW w:type="dxa" w:w="4602"/>
            <w:tcMar>
              <w:top w:w="50" w:type="dxa"/>
              <w:bottom w:w="50" w:type="dxa"/>
              <w:left w:w="90" w:type="dxa"/>
              <w:right w:w="90" w:type="dxa"/>
            </w:tcMar>
            <w:shd w:val="clear" w:color="auto" w:fill="E5F5FF"/>
          </w:tcPr>
          <w:p>
            <w:pPr>
              <w:pStyle w:val="BDOITable"/>
            </w:pPr>
            <w:r>
              <w:rPr>
                <w:sz w:val="18"/>
              </w:rPr>
              <w:t>Drops, interfaces (EGL, EDP, CMS, ECM and others)</w:t>
            </w:r>
          </w:p>
        </w:tc>
      </w:tr>
      <w:tr>
        <w:trPr>
          <w:cantSplit w:val="true"/>
        </w:trPr>
        <w:tc>
          <w:tcPr>
            <w:tcW w:type="dxa" w:w="767"/>
            <w:tcMar>
              <w:top w:w="50" w:type="dxa"/>
              <w:bottom w:w="50" w:type="dxa"/>
              <w:left w:w="90" w:type="dxa"/>
              <w:right w:w="90" w:type="dxa"/>
            </w:tcMar>
          </w:tcPr>
          <w:p>
            <w:pPr>
              <w:pStyle w:val="BDOITable"/>
            </w:pPr>
            <w:r>
              <w:rPr>
                <w:b/>
                <w:sz w:val="18"/>
              </w:rPr>
              <w:t>S3</w:t>
            </w:r>
          </w:p>
        </w:tc>
        <w:tc>
          <w:tcPr>
            <w:tcW w:type="dxa" w:w="4602"/>
            <w:tcMar>
              <w:top w:w="50" w:type="dxa"/>
              <w:bottom w:w="50" w:type="dxa"/>
              <w:left w:w="90" w:type="dxa"/>
              <w:right w:w="90" w:type="dxa"/>
            </w:tcMar>
          </w:tcPr>
          <w:p>
            <w:pPr>
              <w:pStyle w:val="BDOITable"/>
            </w:pPr>
            <w:r>
              <w:rPr>
                <w:sz w:val="18"/>
              </w:rPr>
              <w:t>BRD-13 Data Migration Handbook and Migration Workbook</w:t>
            </w:r>
          </w:p>
        </w:tc>
        <w:tc>
          <w:tcPr>
            <w:tcW w:type="dxa" w:w="4602"/>
            <w:tcMar>
              <w:top w:w="50" w:type="dxa"/>
              <w:bottom w:w="50" w:type="dxa"/>
              <w:left w:w="90" w:type="dxa"/>
              <w:right w:w="90" w:type="dxa"/>
            </w:tcMar>
          </w:tcPr>
          <w:p>
            <w:pPr>
              <w:pStyle w:val="BDOITable"/>
            </w:pPr>
            <w:r>
              <w:rPr>
                <w:sz w:val="18"/>
              </w:rPr>
              <w:t>Migration objects, reconciliation levels L1 to L5, quality gates</w:t>
            </w:r>
          </w:p>
        </w:tc>
      </w:tr>
      <w:tr>
        <w:trPr>
          <w:cantSplit w:val="true"/>
        </w:trPr>
        <w:tc>
          <w:tcPr>
            <w:tcW w:type="dxa" w:w="767"/>
            <w:tcMar>
              <w:top w:w="50" w:type="dxa"/>
              <w:bottom w:w="50" w:type="dxa"/>
              <w:left w:w="90" w:type="dxa"/>
              <w:right w:w="90" w:type="dxa"/>
            </w:tcMar>
            <w:shd w:val="clear" w:color="auto" w:fill="E5F5FF"/>
          </w:tcPr>
          <w:p>
            <w:pPr>
              <w:pStyle w:val="BDOITable"/>
            </w:pPr>
            <w:r>
              <w:rPr>
                <w:b/>
                <w:sz w:val="18"/>
              </w:rPr>
              <w:t>S4</w:t>
            </w:r>
          </w:p>
        </w:tc>
        <w:tc>
          <w:tcPr>
            <w:tcW w:type="dxa" w:w="4602"/>
            <w:tcMar>
              <w:top w:w="50" w:type="dxa"/>
              <w:bottom w:w="50" w:type="dxa"/>
              <w:left w:w="90" w:type="dxa"/>
              <w:right w:w="90" w:type="dxa"/>
            </w:tcMar>
            <w:shd w:val="clear" w:color="auto" w:fill="E5F5FF"/>
          </w:tcPr>
          <w:p>
            <w:pPr>
              <w:pStyle w:val="BDOITable"/>
            </w:pPr>
            <w:r>
              <w:rPr>
                <w:sz w:val="18"/>
              </w:rPr>
              <w:t>IER workbook v20</w:t>
            </w:r>
          </w:p>
        </w:tc>
        <w:tc>
          <w:tcPr>
            <w:tcW w:type="dxa" w:w="4602"/>
            <w:tcMar>
              <w:top w:w="50" w:type="dxa"/>
              <w:bottom w:w="50" w:type="dxa"/>
              <w:left w:w="90" w:type="dxa"/>
              <w:right w:w="90" w:type="dxa"/>
            </w:tcMar>
            <w:shd w:val="clear" w:color="auto" w:fill="E5F5FF"/>
          </w:tcPr>
          <w:p>
            <w:pPr>
              <w:pStyle w:val="BDOITable"/>
            </w:pPr>
            <w:r>
              <w:rPr>
                <w:sz w:val="18"/>
              </w:rPr>
              <w:t>PostgreSQL 16 on Amazon RDS (2 TB, Multi-AZ), RPO 15 minutes, RTO 4 hours</w:t>
            </w:r>
          </w:p>
        </w:tc>
      </w:tr>
      <w:tr>
        <w:trPr>
          <w:cantSplit w:val="true"/>
        </w:trPr>
        <w:tc>
          <w:tcPr>
            <w:tcW w:type="dxa" w:w="767"/>
            <w:tcMar>
              <w:top w:w="50" w:type="dxa"/>
              <w:bottom w:w="50" w:type="dxa"/>
              <w:left w:w="90" w:type="dxa"/>
              <w:right w:w="90" w:type="dxa"/>
            </w:tcMar>
          </w:tcPr>
          <w:p>
            <w:pPr>
              <w:pStyle w:val="BDOITable"/>
            </w:pPr>
            <w:r>
              <w:rPr>
                <w:b/>
                <w:sz w:val="18"/>
              </w:rPr>
              <w:t>S5</w:t>
            </w:r>
          </w:p>
        </w:tc>
        <w:tc>
          <w:tcPr>
            <w:tcW w:type="dxa" w:w="4602"/>
            <w:tcMar>
              <w:top w:w="50" w:type="dxa"/>
              <w:bottom w:w="50" w:type="dxa"/>
              <w:left w:w="90" w:type="dxa"/>
              <w:right w:w="90" w:type="dxa"/>
            </w:tcMar>
          </w:tcPr>
          <w:p>
            <w:pPr>
              <w:pStyle w:val="BDOITable"/>
            </w:pPr>
            <w:r>
              <w:rPr>
                <w:sz w:val="18"/>
              </w:rPr>
              <w:t>Document storage decision (BDOI answers of 26 September 2026)</w:t>
            </w:r>
          </w:p>
        </w:tc>
        <w:tc>
          <w:tcPr>
            <w:tcW w:type="dxa" w:w="4602"/>
            <w:tcMar>
              <w:top w:w="50" w:type="dxa"/>
              <w:bottom w:w="50" w:type="dxa"/>
              <w:left w:w="90" w:type="dxa"/>
              <w:right w:w="90" w:type="dxa"/>
            </w:tcMar>
          </w:tcPr>
          <w:p>
            <w:pPr>
              <w:pStyle w:val="BDOITable"/>
            </w:pPr>
            <w:r>
              <w:rPr>
                <w:sz w:val="18"/>
              </w:rPr>
              <w:t>S3, record classes, legal hold, ECM archive</w:t>
            </w:r>
          </w:p>
        </w:tc>
      </w:tr>
      <w:tr>
        <w:trPr>
          <w:cantSplit w:val="true"/>
        </w:trPr>
        <w:tc>
          <w:tcPr>
            <w:tcW w:type="dxa" w:w="767"/>
            <w:tcMar>
              <w:top w:w="50" w:type="dxa"/>
              <w:bottom w:w="50" w:type="dxa"/>
              <w:left w:w="90" w:type="dxa"/>
              <w:right w:w="90" w:type="dxa"/>
            </w:tcMar>
            <w:shd w:val="clear" w:color="auto" w:fill="E5F5FF"/>
          </w:tcPr>
          <w:p>
            <w:pPr>
              <w:pStyle w:val="BDOITable"/>
            </w:pPr>
            <w:r>
              <w:rPr>
                <w:b/>
                <w:sz w:val="18"/>
              </w:rPr>
              <w:t>S6</w:t>
            </w:r>
          </w:p>
        </w:tc>
        <w:tc>
          <w:tcPr>
            <w:tcW w:type="dxa" w:w="4602"/>
            <w:tcMar>
              <w:top w:w="50" w:type="dxa"/>
              <w:bottom w:w="50" w:type="dxa"/>
              <w:left w:w="90" w:type="dxa"/>
              <w:right w:w="90" w:type="dxa"/>
            </w:tcMar>
            <w:shd w:val="clear" w:color="auto" w:fill="E5F5FF"/>
          </w:tcPr>
          <w:p>
            <w:pPr>
              <w:pStyle w:val="BDOITable"/>
            </w:pPr>
            <w:r>
              <w:rPr>
                <w:sz w:val="18"/>
              </w:rPr>
              <w:t>Client decisions of 8 October 2026</w:t>
            </w:r>
          </w:p>
        </w:tc>
        <w:tc>
          <w:tcPr>
            <w:tcW w:type="dxa" w:w="4602"/>
            <w:tcMar>
              <w:top w:w="50" w:type="dxa"/>
              <w:bottom w:w="50" w:type="dxa"/>
              <w:left w:w="90" w:type="dxa"/>
              <w:right w:w="90" w:type="dxa"/>
            </w:tcMar>
            <w:shd w:val="clear" w:color="auto" w:fill="E5F5FF"/>
          </w:tcPr>
          <w:p>
            <w:pPr>
              <w:pStyle w:val="BDOITable"/>
            </w:pPr>
            <w:r>
              <w:rPr>
                <w:sz w:val="18"/>
              </w:rPr>
              <w:t>PostgreSQL 16, Valkey 8, Apache Kafka 3.9</w:t>
            </w:r>
          </w:p>
        </w:tc>
      </w:tr>
      <w:tr>
        <w:trPr>
          <w:cantSplit w:val="true"/>
        </w:trPr>
        <w:tc>
          <w:tcPr>
            <w:tcW w:type="dxa" w:w="767"/>
            <w:tcMar>
              <w:top w:w="50" w:type="dxa"/>
              <w:bottom w:w="50" w:type="dxa"/>
              <w:left w:w="90" w:type="dxa"/>
              <w:right w:w="90" w:type="dxa"/>
            </w:tcMar>
          </w:tcPr>
          <w:p>
            <w:pPr>
              <w:pStyle w:val="BDOITable"/>
            </w:pPr>
            <w:r>
              <w:rPr>
                <w:b/>
                <w:sz w:val="18"/>
              </w:rPr>
              <w:t>S7</w:t>
            </w:r>
          </w:p>
        </w:tc>
        <w:tc>
          <w:tcPr>
            <w:tcW w:type="dxa" w:w="4602"/>
            <w:tcMar>
              <w:top w:w="50" w:type="dxa"/>
              <w:bottom w:w="50" w:type="dxa"/>
              <w:left w:w="90" w:type="dxa"/>
              <w:right w:w="90" w:type="dxa"/>
            </w:tcMar>
          </w:tcPr>
          <w:p>
            <w:pPr>
              <w:pStyle w:val="BDOITable"/>
            </w:pPr>
            <w:r>
              <w:rPr>
                <w:sz w:val="18"/>
              </w:rPr>
              <w:t>Production schema of 8 October 2026 (Entity Relationship Diagrams v1.0, Data Dictionary v1.0)</w:t>
            </w:r>
          </w:p>
        </w:tc>
        <w:tc>
          <w:tcPr>
            <w:tcW w:type="dxa" w:w="4602"/>
            <w:tcMar>
              <w:top w:w="50" w:type="dxa"/>
              <w:bottom w:w="50" w:type="dxa"/>
              <w:left w:w="90" w:type="dxa"/>
              <w:right w:w="90" w:type="dxa"/>
            </w:tcMar>
          </w:tcPr>
          <w:p>
            <w:pPr>
              <w:pStyle w:val="BDOITable"/>
            </w:pPr>
            <w:r>
              <w:rPr>
                <w:sz w:val="18"/>
              </w:rPr>
              <w:t>Physical model, audit tables, retention configuration</w:t>
            </w:r>
          </w:p>
        </w:tc>
      </w:tr>
    </w:tbl>
    <w:p>
      <w:pPr>
        <w:pStyle w:val="BDOISpacer"/>
      </w:pPr>
    </w:p>
    <w:p>
      <w:pPr>
        <w:pStyle w:val="Heading2"/>
      </w:pPr>
      <w:bookmarkStart w:id="105" w:name="_Toc000105"/>
      <w:r>
        <w:rPr/>
        <w:t>1.4 Summary</w:t>
      </w:r>
      <w:bookmarkEnd w:id="105"/>
    </w:p>
    <w:p>
      <w:pPr>
        <w:tabs>
          <w:tab w:pos="312" w:val="left"/>
        </w:tabs>
        <w:spacing w:after="40"/>
        <w:ind w:left="312" w:hanging="283"/>
      </w:pPr>
      <w:r>
        <w:rPr>
          <w:color w:val="004EA8"/>
        </w:rPr>
        <w:t>•</w:t>
        <w:tab/>
      </w:r>
      <w:r>
        <w:rPr>
          <w:b/>
        </w:rPr>
        <w:t>One operational database.</w:t>
      </w:r>
      <w:r>
        <w:rPr/>
        <w:t xml:space="preserve"> BIBS keeps all business data in one PostgreSQL 16 database, organised in 17 data domains (561 tables). A business record, its journal, ledger entries, open items and audit rows commit in one transaction, so the operational data and the books never disagree.</w:t>
      </w:r>
    </w:p>
    <w:p>
      <w:pPr>
        <w:tabs>
          <w:tab w:pos="312" w:val="left"/>
        </w:tabs>
        <w:spacing w:after="40"/>
        <w:ind w:left="312" w:hanging="283"/>
      </w:pPr>
      <w:r>
        <w:rPr>
          <w:color w:val="004EA8"/>
        </w:rPr>
        <w:t>•</w:t>
        <w:tab/>
      </w:r>
      <w:r>
        <w:rPr>
          <w:b/>
        </w:rPr>
        <w:t>Owned master data.</w:t>
      </w:r>
      <w:r>
        <w:rPr/>
        <w:t xml:space="preserve"> Every master (client, insurer, product and package, organisation, users) has one BDOI owner, one system of record and maker-checker control. Client duplicates are blocked on hard keys (TIN, identity document, name and birth date).</w:t>
      </w:r>
    </w:p>
    <w:p>
      <w:pPr>
        <w:tabs>
          <w:tab w:pos="312" w:val="left"/>
        </w:tabs>
        <w:spacing w:after="40"/>
        <w:ind w:left="312" w:hanging="283"/>
      </w:pPr>
      <w:r>
        <w:rPr>
          <w:color w:val="004EA8"/>
        </w:rPr>
        <w:t>•</w:t>
        <w:tab/>
      </w:r>
      <w:r>
        <w:rPr>
          <w:b/>
        </w:rPr>
        <w:t>Traceable numbers.</w:t>
      </w:r>
      <w:r>
        <w:rPr/>
        <w:t xml:space="preserve"> Every journal comes from a configured accounting event of a business record; every report and extract reads the ledger or the operational records; the general ledger reaches EGL as journals or trial balance by account, branch, cost centre and currency.</w:t>
      </w:r>
    </w:p>
    <w:p>
      <w:pPr>
        <w:tabs>
          <w:tab w:pos="312" w:val="left"/>
        </w:tabs>
        <w:spacing w:after="40"/>
        <w:ind w:left="312" w:hanging="283"/>
      </w:pPr>
      <w:r>
        <w:rPr>
          <w:color w:val="004EA8"/>
        </w:rPr>
        <w:t>•</w:t>
        <w:tab/>
      </w:r>
      <w:r>
        <w:rPr>
          <w:b/>
        </w:rPr>
        <w:t>Evidence by design.</w:t>
      </w:r>
      <w:r>
        <w:rPr/>
        <w:t xml:space="preserve"> The audit trail and 13 other history tables are insert-only at database level. Retention runs per record type and record class with review, archive, legal hold and disposal steps; the values proposed here (BIR 10 years, AMLA 5 years after closure) are open points for BDOI.</w:t>
      </w:r>
    </w:p>
    <w:p>
      <w:pPr>
        <w:tabs>
          <w:tab w:pos="312" w:val="left"/>
        </w:tabs>
        <w:spacing w:after="120"/>
        <w:ind w:left="312" w:hanging="283"/>
      </w:pPr>
      <w:r>
        <w:rPr>
          <w:color w:val="004EA8"/>
        </w:rPr>
        <w:t>•</w:t>
        <w:tab/>
      </w:r>
      <w:r>
        <w:rPr>
          <w:b/>
        </w:rPr>
        <w:t>Controlled automated decisions.</w:t>
      </w:r>
      <w:r>
        <w:rPr/>
        <w:t xml:space="preserve"> Name matching and risk profiling of sanction screening, payment matching and collection rules are versioned, approved under maker-checker and monitored; any generative tool BDOI introduces later follows the governance of chapter 12.</w:t>
      </w:r>
    </w:p>
    <w:p>
      <w:pPr>
        <w:pStyle w:val="Heading1"/>
        <w:pageBreakBefore/>
        <w:pBdr>
          <w:bottom w:val="single" w:sz="4" w:space="4" w:color="99C1E7"/>
        </w:pBdr>
      </w:pPr>
      <w:bookmarkStart w:id="106" w:name="_Toc000106"/>
      <w:r>
        <w:rPr/>
        <w:t>2 Principles and overview</w:t>
      </w:r>
      <w:bookmarkEnd w:id="106"/>
    </w:p>
    <w:p>
      <w:pPr>
        <w:pStyle w:val="Caption"/>
        <w:keepNext/>
        <w:spacing w:after="60"/>
      </w:pPr>
      <w:r>
        <w:rPr>
          <w:b/>
          <w:i w:val="0"/>
        </w:rPr>
        <w:t xml:space="preserve">Table 3: </w:t>
      </w:r>
      <w:r>
        <w:rPr/>
        <w:t>Data architecture principles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34"/>
        <w:gridCol w:w="7238"/>
      </w:tblGrid>
      <w:tr>
        <w:trPr>
          <w:tblHeader w:val="true"/>
          <w:cantSplit w:val="true"/>
        </w:trPr>
        <w:tc>
          <w:tcPr>
            <w:tcW w:type="dxa" w:w="2734"/>
            <w:shd w:val="clear" w:color="auto" w:fill="004EA8"/>
            <w:tcMar>
              <w:top w:w="50" w:type="dxa"/>
              <w:bottom w:w="50" w:type="dxa"/>
              <w:left w:w="90" w:type="dxa"/>
              <w:right w:w="90" w:type="dxa"/>
            </w:tcMar>
            <w:vAlign w:val="center"/>
          </w:tcPr>
          <w:p>
            <w:pPr>
              <w:pStyle w:val="BDOITableHeader"/>
            </w:pPr>
            <w:r>
              <w:rPr>
                <w:b/>
                <w:color w:val="FFFFFF"/>
                <w:sz w:val="18"/>
              </w:rPr>
              <w:t>Principle</w:t>
            </w:r>
          </w:p>
        </w:tc>
        <w:tc>
          <w:tcPr>
            <w:tcW w:type="dxa" w:w="7238"/>
            <w:shd w:val="clear" w:color="auto" w:fill="004EA8"/>
            <w:tcMar>
              <w:top w:w="50" w:type="dxa"/>
              <w:bottom w:w="50" w:type="dxa"/>
              <w:left w:w="90" w:type="dxa"/>
              <w:right w:w="90" w:type="dxa"/>
            </w:tcMar>
            <w:vAlign w:val="center"/>
          </w:tcPr>
          <w:p>
            <w:pPr>
              <w:pStyle w:val="BDOITableHeader"/>
            </w:pPr>
            <w:r>
              <w:rPr>
                <w:b/>
                <w:color w:val="FFFFFF"/>
                <w:sz w:val="18"/>
              </w:rPr>
              <w:t>What it means in BIBS</w:t>
            </w:r>
          </w:p>
        </w:tc>
      </w:tr>
      <w:tr>
        <w:trPr>
          <w:cantSplit w:val="true"/>
        </w:trPr>
        <w:tc>
          <w:tcPr>
            <w:tcW w:type="dxa" w:w="2734"/>
            <w:tcMar>
              <w:top w:w="50" w:type="dxa"/>
              <w:bottom w:w="50" w:type="dxa"/>
              <w:left w:w="90" w:type="dxa"/>
              <w:right w:w="90" w:type="dxa"/>
            </w:tcMar>
          </w:tcPr>
          <w:p>
            <w:pPr>
              <w:pStyle w:val="BDOITable"/>
            </w:pPr>
            <w:r>
              <w:rPr>
                <w:b/>
                <w:sz w:val="18"/>
              </w:rPr>
              <w:t>One system of record per data object</w:t>
            </w:r>
          </w:p>
        </w:tc>
        <w:tc>
          <w:tcPr>
            <w:tcW w:type="dxa" w:w="7238"/>
            <w:tcMar>
              <w:top w:w="50" w:type="dxa"/>
              <w:bottom w:w="50" w:type="dxa"/>
              <w:left w:w="90" w:type="dxa"/>
              <w:right w:w="90" w:type="dxa"/>
            </w:tcMar>
          </w:tcPr>
          <w:p>
            <w:pPr>
              <w:pStyle w:val="BDOITable"/>
            </w:pPr>
            <w:r>
              <w:rPr>
                <w:sz w:val="18"/>
              </w:rPr>
              <w:t>Each entity has one owning module and one BDOI owner; other modules read it through the owner's services, never copy it</w:t>
            </w:r>
          </w:p>
        </w:tc>
      </w:tr>
      <w:tr>
        <w:trPr>
          <w:cantSplit w:val="true"/>
        </w:trPr>
        <w:tc>
          <w:tcPr>
            <w:tcW w:type="dxa" w:w="2734"/>
            <w:tcMar>
              <w:top w:w="50" w:type="dxa"/>
              <w:bottom w:w="50" w:type="dxa"/>
              <w:left w:w="90" w:type="dxa"/>
              <w:right w:w="90" w:type="dxa"/>
            </w:tcMar>
            <w:shd w:val="clear" w:color="auto" w:fill="E5F5FF"/>
          </w:tcPr>
          <w:p>
            <w:pPr>
              <w:pStyle w:val="BDOITable"/>
            </w:pPr>
            <w:r>
              <w:rPr>
                <w:b/>
                <w:sz w:val="18"/>
              </w:rPr>
              <w:t>Transactional integrity</w:t>
            </w:r>
          </w:p>
        </w:tc>
        <w:tc>
          <w:tcPr>
            <w:tcW w:type="dxa" w:w="7238"/>
            <w:tcMar>
              <w:top w:w="50" w:type="dxa"/>
              <w:bottom w:w="50" w:type="dxa"/>
              <w:left w:w="90" w:type="dxa"/>
              <w:right w:w="90" w:type="dxa"/>
            </w:tcMar>
            <w:shd w:val="clear" w:color="auto" w:fill="E5F5FF"/>
          </w:tcPr>
          <w:p>
            <w:pPr>
              <w:pStyle w:val="BDOITable"/>
            </w:pPr>
            <w:r>
              <w:rPr>
                <w:sz w:val="18"/>
              </w:rPr>
              <w:t>The business record and its accounting, open items and audit commit in one database transaction; corrections are reversals, never updates of posted data</w:t>
            </w:r>
          </w:p>
        </w:tc>
      </w:tr>
      <w:tr>
        <w:trPr>
          <w:cantSplit w:val="true"/>
        </w:trPr>
        <w:tc>
          <w:tcPr>
            <w:tcW w:type="dxa" w:w="2734"/>
            <w:tcMar>
              <w:top w:w="50" w:type="dxa"/>
              <w:bottom w:w="50" w:type="dxa"/>
              <w:left w:w="90" w:type="dxa"/>
              <w:right w:w="90" w:type="dxa"/>
            </w:tcMar>
          </w:tcPr>
          <w:p>
            <w:pPr>
              <w:pStyle w:val="BDOITable"/>
            </w:pPr>
            <w:r>
              <w:rPr>
                <w:b/>
                <w:sz w:val="18"/>
              </w:rPr>
              <w:t>Accounting by configuration</w:t>
            </w:r>
          </w:p>
        </w:tc>
        <w:tc>
          <w:tcPr>
            <w:tcW w:type="dxa" w:w="7238"/>
            <w:tcMar>
              <w:top w:w="50" w:type="dxa"/>
              <w:bottom w:w="50" w:type="dxa"/>
              <w:left w:w="90" w:type="dxa"/>
              <w:right w:w="90" w:type="dxa"/>
            </w:tcMar>
          </w:tcPr>
          <w:p>
            <w:pPr>
              <w:pStyle w:val="BDOITable"/>
            </w:pPr>
            <w:r>
              <w:rPr>
                <w:sz w:val="18"/>
              </w:rPr>
              <w:t>Journals come from accounting events and rules maintained by Comptrollership; GL accounts are never chosen in program code</w:t>
            </w:r>
          </w:p>
        </w:tc>
      </w:tr>
      <w:tr>
        <w:trPr>
          <w:cantSplit w:val="true"/>
        </w:trPr>
        <w:tc>
          <w:tcPr>
            <w:tcW w:type="dxa" w:w="2734"/>
            <w:tcMar>
              <w:top w:w="50" w:type="dxa"/>
              <w:bottom w:w="50" w:type="dxa"/>
              <w:left w:w="90" w:type="dxa"/>
              <w:right w:w="90" w:type="dxa"/>
            </w:tcMar>
            <w:shd w:val="clear" w:color="auto" w:fill="E5F5FF"/>
          </w:tcPr>
          <w:p>
            <w:pPr>
              <w:pStyle w:val="BDOITable"/>
            </w:pPr>
            <w:r>
              <w:rPr>
                <w:b/>
                <w:sz w:val="18"/>
              </w:rPr>
              <w:t>Maker-checker on master data</w:t>
            </w:r>
          </w:p>
        </w:tc>
        <w:tc>
          <w:tcPr>
            <w:tcW w:type="dxa" w:w="7238"/>
            <w:tcMar>
              <w:top w:w="50" w:type="dxa"/>
              <w:bottom w:w="50" w:type="dxa"/>
              <w:left w:w="90" w:type="dxa"/>
              <w:right w:w="90" w:type="dxa"/>
            </w:tcMar>
            <w:shd w:val="clear" w:color="auto" w:fill="E5F5FF"/>
          </w:tcPr>
          <w:p>
            <w:pPr>
              <w:pStyle w:val="BDOITable"/>
            </w:pPr>
            <w:r>
              <w:rPr>
                <w:sz w:val="18"/>
              </w:rPr>
              <w:t>Every master record has a record status and an authoriser who is not its maker</w:t>
            </w:r>
          </w:p>
        </w:tc>
      </w:tr>
      <w:tr>
        <w:trPr>
          <w:cantSplit w:val="true"/>
        </w:trPr>
        <w:tc>
          <w:tcPr>
            <w:tcW w:type="dxa" w:w="2734"/>
            <w:tcMar>
              <w:top w:w="50" w:type="dxa"/>
              <w:bottom w:w="50" w:type="dxa"/>
              <w:left w:w="90" w:type="dxa"/>
              <w:right w:w="90" w:type="dxa"/>
            </w:tcMar>
          </w:tcPr>
          <w:p>
            <w:pPr>
              <w:pStyle w:val="BDOITable"/>
            </w:pPr>
            <w:r>
              <w:rPr>
                <w:b/>
                <w:sz w:val="18"/>
              </w:rPr>
              <w:t>Evidence is immutable</w:t>
            </w:r>
          </w:p>
        </w:tc>
        <w:tc>
          <w:tcPr>
            <w:tcW w:type="dxa" w:w="7238"/>
            <w:tcMar>
              <w:top w:w="50" w:type="dxa"/>
              <w:bottom w:w="50" w:type="dxa"/>
              <w:left w:w="90" w:type="dxa"/>
              <w:right w:w="90" w:type="dxa"/>
            </w:tcMar>
          </w:tcPr>
          <w:p>
            <w:pPr>
              <w:pStyle w:val="BDOITable"/>
            </w:pPr>
            <w:r>
              <w:rPr>
                <w:sz w:val="18"/>
              </w:rPr>
              <w:t>Audit trail, ledger entries and history tables refuse UPDATE, DELETE and TRUNCATE at database level</w:t>
            </w:r>
          </w:p>
        </w:tc>
      </w:tr>
      <w:tr>
        <w:trPr>
          <w:cantSplit w:val="true"/>
        </w:trPr>
        <w:tc>
          <w:tcPr>
            <w:tcW w:type="dxa" w:w="2734"/>
            <w:tcMar>
              <w:top w:w="50" w:type="dxa"/>
              <w:bottom w:w="50" w:type="dxa"/>
              <w:left w:w="90" w:type="dxa"/>
              <w:right w:w="90" w:type="dxa"/>
            </w:tcMar>
            <w:shd w:val="clear" w:color="auto" w:fill="E5F5FF"/>
          </w:tcPr>
          <w:p>
            <w:pPr>
              <w:pStyle w:val="BDOITable"/>
            </w:pPr>
            <w:r>
              <w:rPr>
                <w:b/>
                <w:sz w:val="18"/>
              </w:rPr>
              <w:t>Data scope by company and branch</w:t>
            </w:r>
          </w:p>
        </w:tc>
        <w:tc>
          <w:tcPr>
            <w:tcW w:type="dxa" w:w="7238"/>
            <w:tcMar>
              <w:top w:w="50" w:type="dxa"/>
              <w:bottom w:w="50" w:type="dxa"/>
              <w:left w:w="90" w:type="dxa"/>
              <w:right w:w="90" w:type="dxa"/>
            </w:tcMar>
            <w:shd w:val="clear" w:color="auto" w:fill="E5F5FF"/>
          </w:tcPr>
          <w:p>
            <w:pPr>
              <w:pStyle w:val="BDOITable"/>
            </w:pPr>
            <w:r>
              <w:rPr>
                <w:sz w:val="18"/>
              </w:rPr>
              <w:t>Every business record carries its company (and branch where relevant); access follows the user's data scope</w:t>
            </w:r>
          </w:p>
        </w:tc>
      </w:tr>
      <w:tr>
        <w:trPr>
          <w:cantSplit w:val="true"/>
        </w:trPr>
        <w:tc>
          <w:tcPr>
            <w:tcW w:type="dxa" w:w="2734"/>
            <w:tcMar>
              <w:top w:w="50" w:type="dxa"/>
              <w:bottom w:w="50" w:type="dxa"/>
              <w:left w:w="90" w:type="dxa"/>
              <w:right w:w="90" w:type="dxa"/>
            </w:tcMar>
          </w:tcPr>
          <w:p>
            <w:pPr>
              <w:pStyle w:val="BDOITable"/>
            </w:pPr>
            <w:r>
              <w:rPr>
                <w:b/>
                <w:sz w:val="18"/>
              </w:rPr>
              <w:t>Documents outside the database</w:t>
            </w:r>
          </w:p>
        </w:tc>
        <w:tc>
          <w:tcPr>
            <w:tcW w:type="dxa" w:w="7238"/>
            <w:tcMar>
              <w:top w:w="50" w:type="dxa"/>
              <w:bottom w:w="50" w:type="dxa"/>
              <w:left w:w="90" w:type="dxa"/>
              <w:right w:w="90" w:type="dxa"/>
            </w:tcMar>
          </w:tcPr>
          <w:p>
            <w:pPr>
              <w:pStyle w:val="BDOITable"/>
            </w:pPr>
            <w:r>
              <w:rPr>
                <w:sz w:val="18"/>
              </w:rPr>
              <w:t>File content in Amazon S3 (SSE-KMS, Object Lock); the database keeps metadata, checksum and record class</w:t>
            </w:r>
          </w:p>
        </w:tc>
      </w:tr>
      <w:tr>
        <w:trPr>
          <w:cantSplit w:val="true"/>
        </w:trPr>
        <w:tc>
          <w:tcPr>
            <w:tcW w:type="dxa" w:w="2734"/>
            <w:tcMar>
              <w:top w:w="50" w:type="dxa"/>
              <w:bottom w:w="50" w:type="dxa"/>
              <w:left w:w="90" w:type="dxa"/>
              <w:right w:w="90" w:type="dxa"/>
            </w:tcMar>
            <w:shd w:val="clear" w:color="auto" w:fill="E5F5FF"/>
          </w:tcPr>
          <w:p>
            <w:pPr>
              <w:pStyle w:val="BDOITable"/>
            </w:pPr>
            <w:r>
              <w:rPr>
                <w:b/>
                <w:sz w:val="18"/>
              </w:rPr>
              <w:t>Privacy by design</w:t>
            </w:r>
          </w:p>
        </w:tc>
        <w:tc>
          <w:tcPr>
            <w:tcW w:type="dxa" w:w="7238"/>
            <w:tcMar>
              <w:top w:w="50" w:type="dxa"/>
              <w:bottom w:w="50" w:type="dxa"/>
              <w:left w:w="90" w:type="dxa"/>
              <w:right w:w="90" w:type="dxa"/>
            </w:tcMar>
            <w:shd w:val="clear" w:color="auto" w:fill="E5F5FF"/>
          </w:tcPr>
          <w:p>
            <w:pPr>
              <w:pStyle w:val="BDOITable"/>
            </w:pPr>
            <w:r>
              <w:rPr>
                <w:sz w:val="18"/>
              </w:rPr>
              <w:t>Minimum data per function, masking outside production, retention with disposal (Security Architecture, chapter 12)</w:t>
            </w:r>
          </w:p>
        </w:tc>
      </w:tr>
    </w:tbl>
    <w:p>
      <w:pPr>
        <w:pStyle w:val="BDOISpacer"/>
      </w:pPr>
    </w:p>
    <w:p>
      <w:pPr>
        <w:pStyle w:val="Caption"/>
        <w:keepNext/>
        <w:spacing w:after="60"/>
      </w:pPr>
      <w:r>
        <w:rPr>
          <w:b/>
          <w:i w:val="0"/>
        </w:rPr>
        <w:t xml:space="preserve">Table 4: </w:t>
      </w:r>
      <w:r>
        <w:rPr/>
        <w:t>Data stores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452"/>
        <w:gridCol w:w="3433"/>
        <w:gridCol w:w="4087"/>
      </w:tblGrid>
      <w:tr>
        <w:trPr>
          <w:tblHeader w:val="true"/>
          <w:cantSplit w:val="true"/>
        </w:trPr>
        <w:tc>
          <w:tcPr>
            <w:tcW w:type="dxa" w:w="2452"/>
            <w:shd w:val="clear" w:color="auto" w:fill="004EA8"/>
            <w:tcMar>
              <w:top w:w="50" w:type="dxa"/>
              <w:bottom w:w="50" w:type="dxa"/>
              <w:left w:w="90" w:type="dxa"/>
              <w:right w:w="90" w:type="dxa"/>
            </w:tcMar>
            <w:vAlign w:val="center"/>
          </w:tcPr>
          <w:p>
            <w:pPr>
              <w:pStyle w:val="BDOITableHeader"/>
            </w:pPr>
            <w:r>
              <w:rPr>
                <w:b/>
                <w:color w:val="FFFFFF"/>
                <w:sz w:val="18"/>
              </w:rPr>
              <w:t>Store</w:t>
            </w:r>
          </w:p>
        </w:tc>
        <w:tc>
          <w:tcPr>
            <w:tcW w:type="dxa" w:w="3433"/>
            <w:shd w:val="clear" w:color="auto" w:fill="004EA8"/>
            <w:tcMar>
              <w:top w:w="50" w:type="dxa"/>
              <w:bottom w:w="50" w:type="dxa"/>
              <w:left w:w="90" w:type="dxa"/>
              <w:right w:w="90" w:type="dxa"/>
            </w:tcMar>
            <w:vAlign w:val="center"/>
          </w:tcPr>
          <w:p>
            <w:pPr>
              <w:pStyle w:val="BDOITableHeader"/>
            </w:pPr>
            <w:r>
              <w:rPr>
                <w:b/>
                <w:color w:val="FFFFFF"/>
                <w:sz w:val="18"/>
              </w:rPr>
              <w:t>Holds</w:t>
            </w:r>
          </w:p>
        </w:tc>
        <w:tc>
          <w:tcPr>
            <w:tcW w:type="dxa" w:w="4087"/>
            <w:shd w:val="clear" w:color="auto" w:fill="004EA8"/>
            <w:tcMar>
              <w:top w:w="50" w:type="dxa"/>
              <w:bottom w:w="50" w:type="dxa"/>
              <w:left w:w="90" w:type="dxa"/>
              <w:right w:w="90" w:type="dxa"/>
            </w:tcMar>
            <w:vAlign w:val="center"/>
          </w:tcPr>
          <w:p>
            <w:pPr>
              <w:pStyle w:val="BDOITableHeader"/>
            </w:pPr>
            <w:r>
              <w:rPr>
                <w:b/>
                <w:color w:val="FFFFFF"/>
                <w:sz w:val="18"/>
              </w:rPr>
              <w:t>Notes</w:t>
            </w:r>
          </w:p>
        </w:tc>
      </w:tr>
      <w:tr>
        <w:trPr>
          <w:cantSplit w:val="true"/>
        </w:trPr>
        <w:tc>
          <w:tcPr>
            <w:tcW w:type="dxa" w:w="2452"/>
            <w:tcMar>
              <w:top w:w="50" w:type="dxa"/>
              <w:bottom w:w="50" w:type="dxa"/>
              <w:left w:w="90" w:type="dxa"/>
              <w:right w:w="90" w:type="dxa"/>
            </w:tcMar>
          </w:tcPr>
          <w:p>
            <w:pPr>
              <w:pStyle w:val="BDOITable"/>
            </w:pPr>
            <w:r>
              <w:rPr>
                <w:b/>
                <w:sz w:val="18"/>
              </w:rPr>
              <w:t>PostgreSQL 16 (Amazon RDS Multi-AZ, 2 TB in the IER)</w:t>
            </w:r>
          </w:p>
        </w:tc>
        <w:tc>
          <w:tcPr>
            <w:tcW w:type="dxa" w:w="3433"/>
            <w:tcMar>
              <w:top w:w="50" w:type="dxa"/>
              <w:bottom w:w="50" w:type="dxa"/>
              <w:left w:w="90" w:type="dxa"/>
              <w:right w:w="90" w:type="dxa"/>
            </w:tcMar>
          </w:tcPr>
          <w:p>
            <w:pPr>
              <w:pStyle w:val="BDOITable"/>
            </w:pPr>
            <w:r>
              <w:rPr>
                <w:sz w:val="18"/>
              </w:rPr>
              <w:t>All business, accounting, audit and configuration data; file metadata</w:t>
            </w:r>
          </w:p>
        </w:tc>
        <w:tc>
          <w:tcPr>
            <w:tcW w:type="dxa" w:w="4087"/>
            <w:tcMar>
              <w:top w:w="50" w:type="dxa"/>
              <w:bottom w:w="50" w:type="dxa"/>
              <w:left w:w="90" w:type="dxa"/>
              <w:right w:w="90" w:type="dxa"/>
            </w:tcMar>
          </w:tcPr>
          <w:p>
            <w:pPr>
              <w:pStyle w:val="BDOITable"/>
            </w:pPr>
            <w:r>
              <w:rPr>
                <w:sz w:val="18"/>
              </w:rPr>
              <w:t>System of record; point-in-time recovery; cross-region replica for DR (RPO 15 minutes, RTO 4 hours)</w:t>
            </w:r>
          </w:p>
        </w:tc>
      </w:tr>
      <w:tr>
        <w:trPr>
          <w:cantSplit w:val="true"/>
        </w:trPr>
        <w:tc>
          <w:tcPr>
            <w:tcW w:type="dxa" w:w="2452"/>
            <w:tcMar>
              <w:top w:w="50" w:type="dxa"/>
              <w:bottom w:w="50" w:type="dxa"/>
              <w:left w:w="90" w:type="dxa"/>
              <w:right w:w="90" w:type="dxa"/>
            </w:tcMar>
            <w:shd w:val="clear" w:color="auto" w:fill="E5F5FF"/>
          </w:tcPr>
          <w:p>
            <w:pPr>
              <w:pStyle w:val="BDOITable"/>
            </w:pPr>
            <w:r>
              <w:rPr>
                <w:b/>
                <w:sz w:val="18"/>
              </w:rPr>
              <w:t>Amazon S3 (documents, reports, inbound, migration buckets)</w:t>
            </w:r>
          </w:p>
        </w:tc>
        <w:tc>
          <w:tcPr>
            <w:tcW w:type="dxa" w:w="3433"/>
            <w:tcMar>
              <w:top w:w="50" w:type="dxa"/>
              <w:bottom w:w="50" w:type="dxa"/>
              <w:left w:w="90" w:type="dxa"/>
              <w:right w:w="90" w:type="dxa"/>
            </w:tcMar>
            <w:shd w:val="clear" w:color="auto" w:fill="E5F5FF"/>
          </w:tcPr>
          <w:p>
            <w:pPr>
              <w:pStyle w:val="BDOITable"/>
            </w:pPr>
            <w:r>
              <w:rPr>
                <w:sz w:val="18"/>
              </w:rPr>
              <w:t>Attachments, generated documents, report outputs, inbound files, migration extracts</w:t>
            </w:r>
          </w:p>
        </w:tc>
        <w:tc>
          <w:tcPr>
            <w:tcW w:type="dxa" w:w="4087"/>
            <w:tcMar>
              <w:top w:w="50" w:type="dxa"/>
              <w:bottom w:w="50" w:type="dxa"/>
              <w:left w:w="90" w:type="dxa"/>
              <w:right w:w="90" w:type="dxa"/>
            </w:tcMar>
            <w:shd w:val="clear" w:color="auto" w:fill="E5F5FF"/>
          </w:tcPr>
          <w:p>
            <w:pPr>
              <w:pStyle w:val="BDOITable"/>
            </w:pPr>
            <w:r>
              <w:rPr>
                <w:sz w:val="18"/>
              </w:rPr>
              <w:t>Record class and retention per object; versioning; replication to the DR region</w:t>
            </w:r>
          </w:p>
        </w:tc>
      </w:tr>
      <w:tr>
        <w:trPr>
          <w:cantSplit w:val="true"/>
        </w:trPr>
        <w:tc>
          <w:tcPr>
            <w:tcW w:type="dxa" w:w="2452"/>
            <w:tcMar>
              <w:top w:w="50" w:type="dxa"/>
              <w:bottom w:w="50" w:type="dxa"/>
              <w:left w:w="90" w:type="dxa"/>
              <w:right w:w="90" w:type="dxa"/>
            </w:tcMar>
          </w:tcPr>
          <w:p>
            <w:pPr>
              <w:pStyle w:val="BDOITable"/>
            </w:pPr>
            <w:r>
              <w:rPr>
                <w:b/>
                <w:sz w:val="18"/>
              </w:rPr>
              <w:t>Valkey 8</w:t>
            </w:r>
          </w:p>
        </w:tc>
        <w:tc>
          <w:tcPr>
            <w:tcW w:type="dxa" w:w="3433"/>
            <w:tcMar>
              <w:top w:w="50" w:type="dxa"/>
              <w:bottom w:w="50" w:type="dxa"/>
              <w:left w:w="90" w:type="dxa"/>
              <w:right w:w="90" w:type="dxa"/>
            </w:tcMar>
          </w:tcPr>
          <w:p>
            <w:pPr>
              <w:pStyle w:val="BDOITable"/>
            </w:pPr>
            <w:r>
              <w:rPr>
                <w:sz w:val="18"/>
              </w:rPr>
              <w:t>Caches (reference data, data scope), session and token denylist entries, job locks, counters</w:t>
            </w:r>
          </w:p>
        </w:tc>
        <w:tc>
          <w:tcPr>
            <w:tcW w:type="dxa" w:w="4087"/>
            <w:tcMar>
              <w:top w:w="50" w:type="dxa"/>
              <w:bottom w:w="50" w:type="dxa"/>
              <w:left w:w="90" w:type="dxa"/>
              <w:right w:w="90" w:type="dxa"/>
            </w:tcMar>
          </w:tcPr>
          <w:p>
            <w:pPr>
              <w:pStyle w:val="BDOITable"/>
            </w:pPr>
            <w:r>
              <w:rPr>
                <w:sz w:val="18"/>
              </w:rPr>
              <w:t>Not a system of record; refilled from PostgreSQL</w:t>
            </w:r>
          </w:p>
        </w:tc>
      </w:tr>
      <w:tr>
        <w:trPr>
          <w:cantSplit w:val="true"/>
        </w:trPr>
        <w:tc>
          <w:tcPr>
            <w:tcW w:type="dxa" w:w="2452"/>
            <w:tcMar>
              <w:top w:w="50" w:type="dxa"/>
              <w:bottom w:w="50" w:type="dxa"/>
              <w:left w:w="90" w:type="dxa"/>
              <w:right w:w="90" w:type="dxa"/>
            </w:tcMar>
            <w:shd w:val="clear" w:color="auto" w:fill="E5F5FF"/>
          </w:tcPr>
          <w:p>
            <w:pPr>
              <w:pStyle w:val="BDOITable"/>
            </w:pPr>
            <w:r>
              <w:rPr>
                <w:b/>
                <w:sz w:val="18"/>
              </w:rPr>
              <w:t>Apache Kafka 3.9 (Amazon MSK)</w:t>
            </w:r>
          </w:p>
        </w:tc>
        <w:tc>
          <w:tcPr>
            <w:tcW w:type="dxa" w:w="3433"/>
            <w:tcMar>
              <w:top w:w="50" w:type="dxa"/>
              <w:bottom w:w="50" w:type="dxa"/>
              <w:left w:w="90" w:type="dxa"/>
              <w:right w:w="90" w:type="dxa"/>
            </w:tcMar>
            <w:shd w:val="clear" w:color="auto" w:fill="E5F5FF"/>
          </w:tcPr>
          <w:p>
            <w:pPr>
              <w:pStyle w:val="BDOITable"/>
            </w:pPr>
            <w:r>
              <w:rPr>
                <w:sz w:val="18"/>
              </w:rPr>
              <w:t>Integration events published from the transactional outbox</w:t>
            </w:r>
          </w:p>
        </w:tc>
        <w:tc>
          <w:tcPr>
            <w:tcW w:type="dxa" w:w="4087"/>
            <w:tcMar>
              <w:top w:w="50" w:type="dxa"/>
              <w:bottom w:w="50" w:type="dxa"/>
              <w:left w:w="90" w:type="dxa"/>
              <w:right w:w="90" w:type="dxa"/>
            </w:tcMar>
            <w:shd w:val="clear" w:color="auto" w:fill="E5F5FF"/>
          </w:tcPr>
          <w:p>
            <w:pPr>
              <w:pStyle w:val="BDOITable"/>
            </w:pPr>
            <w:r>
              <w:rPr>
                <w:sz w:val="18"/>
              </w:rPr>
              <w:t>Not a system of record; events can be replayed from the outbox archive</w:t>
            </w:r>
          </w:p>
        </w:tc>
      </w:tr>
      <w:tr>
        <w:trPr>
          <w:cantSplit w:val="true"/>
        </w:trPr>
        <w:tc>
          <w:tcPr>
            <w:tcW w:type="dxa" w:w="2452"/>
            <w:tcMar>
              <w:top w:w="50" w:type="dxa"/>
              <w:bottom w:w="50" w:type="dxa"/>
              <w:left w:w="90" w:type="dxa"/>
              <w:right w:w="90" w:type="dxa"/>
            </w:tcMar>
          </w:tcPr>
          <w:p>
            <w:pPr>
              <w:pStyle w:val="BDOITable"/>
            </w:pPr>
            <w:r>
              <w:rPr>
                <w:b/>
                <w:sz w:val="18"/>
              </w:rPr>
              <w:t>ECM (BDO)</w:t>
            </w:r>
          </w:p>
        </w:tc>
        <w:tc>
          <w:tcPr>
            <w:tcW w:type="dxa" w:w="3433"/>
            <w:tcMar>
              <w:top w:w="50" w:type="dxa"/>
              <w:bottom w:w="50" w:type="dxa"/>
              <w:left w:w="90" w:type="dxa"/>
              <w:right w:w="90" w:type="dxa"/>
            </w:tcMar>
          </w:tcPr>
          <w:p>
            <w:pPr>
              <w:pStyle w:val="BDOITable"/>
            </w:pPr>
            <w:r>
              <w:rPr>
                <w:sz w:val="18"/>
              </w:rPr>
              <w:t>Final records of the "archive to ECM" classes</w:t>
            </w:r>
          </w:p>
        </w:tc>
        <w:tc>
          <w:tcPr>
            <w:tcW w:type="dxa" w:w="4087"/>
            <w:tcMar>
              <w:top w:w="50" w:type="dxa"/>
              <w:bottom w:w="50" w:type="dxa"/>
              <w:left w:w="90" w:type="dxa"/>
              <w:right w:w="90" w:type="dxa"/>
            </w:tcMar>
          </w:tcPr>
          <w:p>
            <w:pPr>
              <w:pStyle w:val="BDOITable"/>
            </w:pPr>
            <w:r>
              <w:rPr>
                <w:sz w:val="18"/>
              </w:rPr>
              <w:t>Records-management archive; retrieval in BIBS stays on S3</w:t>
            </w:r>
          </w:p>
        </w:tc>
      </w:tr>
    </w:tbl>
    <w:p>
      <w:pPr>
        <w:pStyle w:val="BDOISpacer"/>
      </w:pPr>
    </w:p>
    <w:p>
      <w:r>
        <w:rPr>
          <w:b/>
        </w:rPr>
        <w:t>Volumes (sizing basis).</w:t>
      </w:r>
      <w:r>
        <w:rPr/>
        <w:t xml:space="preserve"> 1,344 named and 429 concurrent users (umbrella BRD; the IER diagram states about 1,200 internal users, open point IQ32 of the Programme Alignment); about 21,200 new-business bookings and 25,800 renewal accounts a month; 15 % yearly growth over 60 months (IER).</w:t>
      </w:r>
    </w:p>
    <w:p>
      <w:pPr>
        <w:pStyle w:val="Heading1"/>
        <w:pageBreakBefore/>
        <w:pBdr>
          <w:bottom w:val="single" w:sz="4" w:space="4" w:color="99C1E7"/>
        </w:pBdr>
      </w:pPr>
      <w:bookmarkStart w:id="107" w:name="_Toc000107"/>
      <w:r>
        <w:rPr/>
        <w:t>3 Conceptual and logical data model</w:t>
      </w:r>
      <w:bookmarkEnd w:id="107"/>
    </w:p>
    <w:p>
      <w:pPr>
        <w:pStyle w:val="Heading2"/>
      </w:pPr>
      <w:bookmarkStart w:id="108" w:name="_Toc000108"/>
      <w:r>
        <w:rPr/>
        <w:t>3.1 Conceptual model</w:t>
      </w:r>
      <w:bookmarkEnd w:id="108"/>
    </w:p>
    <w:p>
      <w:pPr>
        <w:keepNext/>
        <w:spacing w:before="80" w:after="0"/>
        <w:jc w:val="center"/>
      </w:pPr>
      <w:r>
        <w:drawing>
          <wp:inline xmlns:a="http://schemas.openxmlformats.org/drawingml/2006/main" xmlns:pic="http://schemas.openxmlformats.org/drawingml/2006/picture">
            <wp:extent cx="5400000" cy="5755334"/>
            <wp:docPr id="3" name="Picture 3"/>
            <wp:cNvGraphicFramePr>
              <a:graphicFrameLocks noChangeAspect="1"/>
            </wp:cNvGraphicFramePr>
            <a:graphic>
              <a:graphicData uri="http://schemas.openxmlformats.org/drawingml/2006/picture">
                <pic:pic>
                  <pic:nvPicPr>
                    <pic:cNvPr id="0" name="da_conceptual_1003.jpg"/>
                    <pic:cNvPicPr/>
                  </pic:nvPicPr>
                  <pic:blipFill>
                    <a:blip r:embed="rId15"/>
                    <a:stretch>
                      <a:fillRect/>
                    </a:stretch>
                  </pic:blipFill>
                  <pic:spPr>
                    <a:xfrm>
                      <a:off x="0" y="0"/>
                      <a:ext cx="5400000" cy="5755334"/>
                    </a:xfrm>
                    <a:prstGeom prst="rect"/>
                  </pic:spPr>
                </pic:pic>
              </a:graphicData>
            </a:graphic>
          </wp:inline>
        </w:drawing>
      </w:r>
    </w:p>
    <w:p>
      <w:pPr>
        <w:pStyle w:val="Caption"/>
        <w:jc w:val="center"/>
      </w:pPr>
      <w:r>
        <w:rPr>
          <w:b/>
          <w:i w:val="0"/>
        </w:rPr>
        <w:t xml:space="preserve">Figure 1: </w:t>
      </w:r>
      <w:r>
        <w:rPr/>
        <w:t>Conceptual model: main business entities and their relationships</w:t>
      </w:r>
    </w:p>
    <w:p>
      <w:r>
        <w:rPr/>
        <w:t>The client is the centre of the broking model. A quotation (package) or a proposal request (non-package) becomes an account with its risk items; the account is placed with one or more insurers and issued as a policy; booking creates the invoice with the premium by component, the insurer shares and the broker commission. Collections, cashiering, remittance to insurers, commission receivables, endorsements, renewals and claims all work on the invoice and the account. Every money movement produces accounting events that the rules turn into journals of the immutable ledger and open items of the sub-ledger.</w:t>
      </w:r>
    </w:p>
    <w:p>
      <w:pPr>
        <w:pStyle w:val="Heading2"/>
      </w:pPr>
      <w:bookmarkStart w:id="109" w:name="_Toc000109"/>
      <w:r>
        <w:rPr/>
        <w:t>3.2 Data domains</w:t>
      </w:r>
      <w:bookmarkEnd w:id="109"/>
    </w:p>
    <w:p>
      <w:pPr>
        <w:pStyle w:val="Caption"/>
        <w:keepNext/>
        <w:spacing w:after="60"/>
      </w:pPr>
      <w:r>
        <w:rPr>
          <w:b/>
          <w:i w:val="0"/>
        </w:rPr>
        <w:t xml:space="preserve">Table 5: </w:t>
      </w:r>
      <w:r>
        <w:rPr/>
        <w:t>Data domains of the production schema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39"/>
        <w:gridCol w:w="2301"/>
        <w:gridCol w:w="1150"/>
        <w:gridCol w:w="4091"/>
        <w:gridCol w:w="767"/>
        <w:gridCol w:w="1022"/>
      </w:tblGrid>
      <w:tr>
        <w:trPr>
          <w:tblHeader w:val="true"/>
          <w:cantSplit w:val="true"/>
        </w:trPr>
        <w:tc>
          <w:tcPr>
            <w:tcW w:type="dxa" w:w="639"/>
            <w:shd w:val="clear" w:color="auto" w:fill="004EA8"/>
            <w:tcMar>
              <w:top w:w="50" w:type="dxa"/>
              <w:bottom w:w="50" w:type="dxa"/>
              <w:left w:w="90" w:type="dxa"/>
              <w:right w:w="90" w:type="dxa"/>
            </w:tcMar>
            <w:vAlign w:val="center"/>
          </w:tcPr>
          <w:p>
            <w:pPr>
              <w:pStyle w:val="BDOITableHeader"/>
            </w:pPr>
            <w:r>
              <w:rPr>
                <w:b/>
                <w:color w:val="FFFFFF"/>
                <w:sz w:val="18"/>
              </w:rPr>
              <w:t>ID</w:t>
            </w:r>
          </w:p>
        </w:tc>
        <w:tc>
          <w:tcPr>
            <w:tcW w:type="dxa" w:w="2301"/>
            <w:shd w:val="clear" w:color="auto" w:fill="004EA8"/>
            <w:tcMar>
              <w:top w:w="50" w:type="dxa"/>
              <w:bottom w:w="50" w:type="dxa"/>
              <w:left w:w="90" w:type="dxa"/>
              <w:right w:w="90" w:type="dxa"/>
            </w:tcMar>
            <w:vAlign w:val="center"/>
          </w:tcPr>
          <w:p>
            <w:pPr>
              <w:pStyle w:val="BDOITableHeader"/>
            </w:pPr>
            <w:r>
              <w:rPr>
                <w:b/>
                <w:color w:val="FFFFFF"/>
                <w:sz w:val="18"/>
              </w:rPr>
              <w:t>Domain</w:t>
            </w:r>
          </w:p>
        </w:tc>
        <w:tc>
          <w:tcPr>
            <w:tcW w:type="dxa" w:w="1151"/>
            <w:shd w:val="clear" w:color="auto" w:fill="004EA8"/>
            <w:tcMar>
              <w:top w:w="50" w:type="dxa"/>
              <w:bottom w:w="50" w:type="dxa"/>
              <w:left w:w="90" w:type="dxa"/>
              <w:right w:w="90" w:type="dxa"/>
            </w:tcMar>
            <w:vAlign w:val="center"/>
          </w:tcPr>
          <w:p>
            <w:pPr>
              <w:pStyle w:val="BDOITableHeader"/>
            </w:pPr>
            <w:r>
              <w:rPr>
                <w:b/>
                <w:color w:val="FFFFFF"/>
                <w:sz w:val="18"/>
              </w:rPr>
              <w:t>BRD</w:t>
            </w:r>
          </w:p>
        </w:tc>
        <w:tc>
          <w:tcPr>
            <w:tcW w:type="dxa" w:w="4091"/>
            <w:shd w:val="clear" w:color="auto" w:fill="004EA8"/>
            <w:tcMar>
              <w:top w:w="50" w:type="dxa"/>
              <w:bottom w:w="50" w:type="dxa"/>
              <w:left w:w="90" w:type="dxa"/>
              <w:right w:w="90" w:type="dxa"/>
            </w:tcMar>
            <w:vAlign w:val="center"/>
          </w:tcPr>
          <w:p>
            <w:pPr>
              <w:pStyle w:val="BDOITableHeader"/>
            </w:pPr>
            <w:r>
              <w:rPr>
                <w:b/>
                <w:color w:val="FFFFFF"/>
                <w:sz w:val="18"/>
              </w:rPr>
              <w:t>Modules</w:t>
            </w:r>
          </w:p>
        </w:tc>
        <w:tc>
          <w:tcPr>
            <w:tcW w:type="dxa" w:w="767"/>
            <w:shd w:val="clear" w:color="auto" w:fill="004EA8"/>
            <w:tcMar>
              <w:top w:w="50" w:type="dxa"/>
              <w:bottom w:w="50" w:type="dxa"/>
              <w:left w:w="90" w:type="dxa"/>
              <w:right w:w="90" w:type="dxa"/>
            </w:tcMar>
            <w:vAlign w:val="center"/>
          </w:tcPr>
          <w:p>
            <w:pPr>
              <w:pStyle w:val="BDOITableHeader"/>
            </w:pPr>
            <w:r>
              <w:rPr>
                <w:b/>
                <w:color w:val="FFFFFF"/>
                <w:sz w:val="18"/>
              </w:rPr>
              <w:t>Tables</w:t>
            </w:r>
          </w:p>
        </w:tc>
        <w:tc>
          <w:tcPr>
            <w:tcW w:type="dxa" w:w="1023"/>
            <w:shd w:val="clear" w:color="auto" w:fill="004EA8"/>
            <w:tcMar>
              <w:top w:w="50" w:type="dxa"/>
              <w:bottom w:w="50" w:type="dxa"/>
              <w:left w:w="90" w:type="dxa"/>
              <w:right w:w="90" w:type="dxa"/>
            </w:tcMar>
            <w:vAlign w:val="center"/>
          </w:tcPr>
          <w:p>
            <w:pPr>
              <w:pStyle w:val="BDOITableHeader"/>
            </w:pPr>
            <w:r>
              <w:rPr>
                <w:b/>
                <w:color w:val="FFFFFF"/>
                <w:sz w:val="18"/>
              </w:rPr>
              <w:t>Columns</w:t>
            </w:r>
          </w:p>
        </w:tc>
      </w:tr>
      <w:tr>
        <w:trPr>
          <w:cantSplit w:val="true"/>
        </w:trPr>
        <w:tc>
          <w:tcPr>
            <w:tcW w:type="dxa" w:w="639"/>
            <w:tcMar>
              <w:top w:w="50" w:type="dxa"/>
              <w:bottom w:w="50" w:type="dxa"/>
              <w:left w:w="90" w:type="dxa"/>
              <w:right w:w="90" w:type="dxa"/>
            </w:tcMar>
          </w:tcPr>
          <w:p>
            <w:pPr>
              <w:pStyle w:val="BDOITable"/>
            </w:pPr>
            <w:r>
              <w:rPr>
                <w:b/>
                <w:sz w:val="18"/>
              </w:rPr>
              <w:t>D01</w:t>
            </w:r>
          </w:p>
        </w:tc>
        <w:tc>
          <w:tcPr>
            <w:tcW w:type="dxa" w:w="2301"/>
            <w:tcMar>
              <w:top w:w="50" w:type="dxa"/>
              <w:bottom w:w="50" w:type="dxa"/>
              <w:left w:w="90" w:type="dxa"/>
              <w:right w:w="90" w:type="dxa"/>
            </w:tcMar>
          </w:tcPr>
          <w:p>
            <w:pPr>
              <w:pStyle w:val="BDOITable"/>
            </w:pPr>
            <w:r>
              <w:rPr>
                <w:sz w:val="18"/>
              </w:rPr>
              <w:t>Security and User Access</w:t>
            </w:r>
          </w:p>
        </w:tc>
        <w:tc>
          <w:tcPr>
            <w:tcW w:type="dxa" w:w="1151"/>
            <w:tcMar>
              <w:top w:w="50" w:type="dxa"/>
              <w:bottom w:w="50" w:type="dxa"/>
              <w:left w:w="90" w:type="dxa"/>
              <w:right w:w="90" w:type="dxa"/>
            </w:tcMar>
          </w:tcPr>
          <w:p>
            <w:pPr>
              <w:pStyle w:val="BDOITable"/>
            </w:pPr>
            <w:r>
              <w:rPr>
                <w:sz w:val="18"/>
              </w:rPr>
              <w:t>BRD-11</w:t>
            </w:r>
          </w:p>
        </w:tc>
        <w:tc>
          <w:tcPr>
            <w:tcW w:type="dxa" w:w="4091"/>
            <w:tcMar>
              <w:top w:w="50" w:type="dxa"/>
              <w:bottom w:w="50" w:type="dxa"/>
              <w:left w:w="90" w:type="dxa"/>
              <w:right w:w="90" w:type="dxa"/>
            </w:tcMar>
          </w:tcPr>
          <w:p>
            <w:pPr>
              <w:pStyle w:val="BDOITable"/>
            </w:pPr>
            <w:r>
              <w:rPr>
                <w:sz w:val="18"/>
              </w:rPr>
              <w:t>SECURITY, NBADMIN</w:t>
            </w:r>
          </w:p>
        </w:tc>
        <w:tc>
          <w:tcPr>
            <w:tcW w:type="dxa" w:w="767"/>
            <w:tcMar>
              <w:top w:w="50" w:type="dxa"/>
              <w:bottom w:w="50" w:type="dxa"/>
              <w:left w:w="90" w:type="dxa"/>
              <w:right w:w="90" w:type="dxa"/>
            </w:tcMar>
          </w:tcPr>
          <w:p>
            <w:pPr>
              <w:pStyle w:val="BDOITable"/>
            </w:pPr>
            <w:r>
              <w:rPr>
                <w:sz w:val="18"/>
              </w:rPr>
              <w:t>24</w:t>
            </w:r>
          </w:p>
        </w:tc>
        <w:tc>
          <w:tcPr>
            <w:tcW w:type="dxa" w:w="1023"/>
            <w:tcMar>
              <w:top w:w="50" w:type="dxa"/>
              <w:bottom w:w="50" w:type="dxa"/>
              <w:left w:w="90" w:type="dxa"/>
              <w:right w:w="90" w:type="dxa"/>
            </w:tcMar>
          </w:tcPr>
          <w:p>
            <w:pPr>
              <w:pStyle w:val="BDOITable"/>
            </w:pPr>
            <w:r>
              <w:rPr>
                <w:sz w:val="18"/>
              </w:rPr>
              <w:t>255</w:t>
            </w:r>
          </w:p>
        </w:tc>
      </w:tr>
      <w:tr>
        <w:trPr>
          <w:cantSplit w:val="true"/>
        </w:trPr>
        <w:tc>
          <w:tcPr>
            <w:tcW w:type="dxa" w:w="639"/>
            <w:tcMar>
              <w:top w:w="50" w:type="dxa"/>
              <w:bottom w:w="50" w:type="dxa"/>
              <w:left w:w="90" w:type="dxa"/>
              <w:right w:w="90" w:type="dxa"/>
            </w:tcMar>
            <w:shd w:val="clear" w:color="auto" w:fill="E5F5FF"/>
          </w:tcPr>
          <w:p>
            <w:pPr>
              <w:pStyle w:val="BDOITable"/>
            </w:pPr>
            <w:r>
              <w:rPr>
                <w:b/>
                <w:sz w:val="18"/>
              </w:rPr>
              <w:t>D02</w:t>
            </w:r>
          </w:p>
        </w:tc>
        <w:tc>
          <w:tcPr>
            <w:tcW w:type="dxa" w:w="2301"/>
            <w:tcMar>
              <w:top w:w="50" w:type="dxa"/>
              <w:bottom w:w="50" w:type="dxa"/>
              <w:left w:w="90" w:type="dxa"/>
              <w:right w:w="90" w:type="dxa"/>
            </w:tcMar>
            <w:shd w:val="clear" w:color="auto" w:fill="E5F5FF"/>
          </w:tcPr>
          <w:p>
            <w:pPr>
              <w:pStyle w:val="BDOITable"/>
            </w:pPr>
            <w:r>
              <w:rPr>
                <w:sz w:val="18"/>
              </w:rPr>
              <w:t>Platform Services</w:t>
            </w:r>
          </w:p>
        </w:tc>
        <w:tc>
          <w:tcPr>
            <w:tcW w:type="dxa" w:w="1151"/>
            <w:tcMar>
              <w:top w:w="50" w:type="dxa"/>
              <w:bottom w:w="50" w:type="dxa"/>
              <w:left w:w="90" w:type="dxa"/>
              <w:right w:w="90" w:type="dxa"/>
            </w:tcMar>
            <w:shd w:val="clear" w:color="auto" w:fill="E5F5FF"/>
          </w:tcPr>
          <w:p>
            <w:pPr>
              <w:pStyle w:val="BDOITable"/>
            </w:pPr>
            <w:r>
              <w:rPr>
                <w:sz w:val="18"/>
              </w:rPr>
              <w:t>BRD-00</w:t>
            </w:r>
          </w:p>
        </w:tc>
        <w:tc>
          <w:tcPr>
            <w:tcW w:type="dxa" w:w="4091"/>
            <w:tcMar>
              <w:top w:w="50" w:type="dxa"/>
              <w:bottom w:w="50" w:type="dxa"/>
              <w:left w:w="90" w:type="dxa"/>
              <w:right w:w="90" w:type="dxa"/>
            </w:tcMar>
            <w:shd w:val="clear" w:color="auto" w:fill="E5F5FF"/>
          </w:tcPr>
          <w:p>
            <w:pPr>
              <w:pStyle w:val="BDOITable"/>
            </w:pPr>
            <w:r>
              <w:rPr>
                <w:sz w:val="18"/>
              </w:rPr>
              <w:t>SYSTEM, AUDIT, LOV, WORKFLOW, MESSAGING, ALERT, BULK, ATTACHMENT, DOCGEN, STORAGE, REPORT, EVENTS, COMMON</w:t>
            </w:r>
          </w:p>
        </w:tc>
        <w:tc>
          <w:tcPr>
            <w:tcW w:type="dxa" w:w="767"/>
            <w:tcMar>
              <w:top w:w="50" w:type="dxa"/>
              <w:bottom w:w="50" w:type="dxa"/>
              <w:left w:w="90" w:type="dxa"/>
              <w:right w:w="90" w:type="dxa"/>
            </w:tcMar>
            <w:shd w:val="clear" w:color="auto" w:fill="E5F5FF"/>
          </w:tcPr>
          <w:p>
            <w:pPr>
              <w:pStyle w:val="BDOITable"/>
            </w:pPr>
            <w:r>
              <w:rPr>
                <w:sz w:val="18"/>
              </w:rPr>
              <w:t>39</w:t>
            </w:r>
          </w:p>
        </w:tc>
        <w:tc>
          <w:tcPr>
            <w:tcW w:type="dxa" w:w="1023"/>
            <w:tcMar>
              <w:top w:w="50" w:type="dxa"/>
              <w:bottom w:w="50" w:type="dxa"/>
              <w:left w:w="90" w:type="dxa"/>
              <w:right w:w="90" w:type="dxa"/>
            </w:tcMar>
            <w:shd w:val="clear" w:color="auto" w:fill="E5F5FF"/>
          </w:tcPr>
          <w:p>
            <w:pPr>
              <w:pStyle w:val="BDOITable"/>
            </w:pPr>
            <w:r>
              <w:rPr>
                <w:sz w:val="18"/>
              </w:rPr>
              <w:t>494</w:t>
            </w:r>
          </w:p>
        </w:tc>
      </w:tr>
      <w:tr>
        <w:trPr>
          <w:cantSplit w:val="true"/>
        </w:trPr>
        <w:tc>
          <w:tcPr>
            <w:tcW w:type="dxa" w:w="639"/>
            <w:tcMar>
              <w:top w:w="50" w:type="dxa"/>
              <w:bottom w:w="50" w:type="dxa"/>
              <w:left w:w="90" w:type="dxa"/>
              <w:right w:w="90" w:type="dxa"/>
            </w:tcMar>
          </w:tcPr>
          <w:p>
            <w:pPr>
              <w:pStyle w:val="BDOITable"/>
            </w:pPr>
            <w:r>
              <w:rPr>
                <w:b/>
                <w:sz w:val="18"/>
              </w:rPr>
              <w:t>D03</w:t>
            </w:r>
          </w:p>
        </w:tc>
        <w:tc>
          <w:tcPr>
            <w:tcW w:type="dxa" w:w="2301"/>
            <w:tcMar>
              <w:top w:w="50" w:type="dxa"/>
              <w:bottom w:w="50" w:type="dxa"/>
              <w:left w:w="90" w:type="dxa"/>
              <w:right w:w="90" w:type="dxa"/>
            </w:tcMar>
          </w:tcPr>
          <w:p>
            <w:pPr>
              <w:pStyle w:val="BDOITable"/>
            </w:pPr>
            <w:r>
              <w:rPr>
                <w:sz w:val="18"/>
              </w:rPr>
              <w:t>Organisation and Reference Data</w:t>
            </w:r>
          </w:p>
        </w:tc>
        <w:tc>
          <w:tcPr>
            <w:tcW w:type="dxa" w:w="1151"/>
            <w:tcMar>
              <w:top w:w="50" w:type="dxa"/>
              <w:bottom w:w="50" w:type="dxa"/>
              <w:left w:w="90" w:type="dxa"/>
              <w:right w:w="90" w:type="dxa"/>
            </w:tcMar>
          </w:tcPr>
          <w:p>
            <w:pPr>
              <w:pStyle w:val="BDOITable"/>
            </w:pPr>
            <w:r>
              <w:rPr>
                <w:sz w:val="18"/>
              </w:rPr>
              <w:t>BRD-00</w:t>
            </w:r>
          </w:p>
        </w:tc>
        <w:tc>
          <w:tcPr>
            <w:tcW w:type="dxa" w:w="4091"/>
            <w:tcMar>
              <w:top w:w="50" w:type="dxa"/>
              <w:bottom w:w="50" w:type="dxa"/>
              <w:left w:w="90" w:type="dxa"/>
              <w:right w:w="90" w:type="dxa"/>
            </w:tcMar>
          </w:tcPr>
          <w:p>
            <w:pPr>
              <w:pStyle w:val="BDOITable"/>
            </w:pPr>
            <w:r>
              <w:rPr>
                <w:sz w:val="18"/>
              </w:rPr>
              <w:t>ORGANIZATION, CURRENCY, DIMENSION, PERIOD</w:t>
            </w:r>
          </w:p>
        </w:tc>
        <w:tc>
          <w:tcPr>
            <w:tcW w:type="dxa" w:w="767"/>
            <w:tcMar>
              <w:top w:w="50" w:type="dxa"/>
              <w:bottom w:w="50" w:type="dxa"/>
              <w:left w:w="90" w:type="dxa"/>
              <w:right w:w="90" w:type="dxa"/>
            </w:tcMar>
          </w:tcPr>
          <w:p>
            <w:pPr>
              <w:pStyle w:val="BDOITable"/>
            </w:pPr>
            <w:r>
              <w:rPr>
                <w:sz w:val="18"/>
              </w:rPr>
              <w:t>10</w:t>
            </w:r>
          </w:p>
        </w:tc>
        <w:tc>
          <w:tcPr>
            <w:tcW w:type="dxa" w:w="1023"/>
            <w:tcMar>
              <w:top w:w="50" w:type="dxa"/>
              <w:bottom w:w="50" w:type="dxa"/>
              <w:left w:w="90" w:type="dxa"/>
              <w:right w:w="90" w:type="dxa"/>
            </w:tcMar>
          </w:tcPr>
          <w:p>
            <w:pPr>
              <w:pStyle w:val="BDOITable"/>
            </w:pPr>
            <w:r>
              <w:rPr>
                <w:sz w:val="18"/>
              </w:rPr>
              <w:t>141</w:t>
            </w:r>
          </w:p>
        </w:tc>
      </w:tr>
      <w:tr>
        <w:trPr>
          <w:cantSplit w:val="true"/>
        </w:trPr>
        <w:tc>
          <w:tcPr>
            <w:tcW w:type="dxa" w:w="639"/>
            <w:tcMar>
              <w:top w:w="50" w:type="dxa"/>
              <w:bottom w:w="50" w:type="dxa"/>
              <w:left w:w="90" w:type="dxa"/>
              <w:right w:w="90" w:type="dxa"/>
            </w:tcMar>
            <w:shd w:val="clear" w:color="auto" w:fill="E5F5FF"/>
          </w:tcPr>
          <w:p>
            <w:pPr>
              <w:pStyle w:val="BDOITable"/>
            </w:pPr>
            <w:r>
              <w:rPr>
                <w:b/>
                <w:sz w:val="18"/>
              </w:rPr>
              <w:t>D04</w:t>
            </w:r>
          </w:p>
        </w:tc>
        <w:tc>
          <w:tcPr>
            <w:tcW w:type="dxa" w:w="2301"/>
            <w:tcMar>
              <w:top w:w="50" w:type="dxa"/>
              <w:bottom w:w="50" w:type="dxa"/>
              <w:left w:w="90" w:type="dxa"/>
              <w:right w:w="90" w:type="dxa"/>
            </w:tcMar>
            <w:shd w:val="clear" w:color="auto" w:fill="E5F5FF"/>
          </w:tcPr>
          <w:p>
            <w:pPr>
              <w:pStyle w:val="BDOITable"/>
            </w:pPr>
            <w:r>
              <w:rPr>
                <w:sz w:val="18"/>
              </w:rPr>
              <w:t>Client and Party</w:t>
            </w:r>
          </w:p>
        </w:tc>
        <w:tc>
          <w:tcPr>
            <w:tcW w:type="dxa" w:w="1151"/>
            <w:tcMar>
              <w:top w:w="50" w:type="dxa"/>
              <w:bottom w:w="50" w:type="dxa"/>
              <w:left w:w="90" w:type="dxa"/>
              <w:right w:w="90" w:type="dxa"/>
            </w:tcMar>
            <w:shd w:val="clear" w:color="auto" w:fill="E5F5FF"/>
          </w:tcPr>
          <w:p>
            <w:pPr>
              <w:pStyle w:val="BDOITable"/>
            </w:pPr>
            <w:r>
              <w:rPr>
                <w:sz w:val="18"/>
              </w:rPr>
              <w:t>BRD-01</w:t>
            </w:r>
          </w:p>
        </w:tc>
        <w:tc>
          <w:tcPr>
            <w:tcW w:type="dxa" w:w="4091"/>
            <w:tcMar>
              <w:top w:w="50" w:type="dxa"/>
              <w:bottom w:w="50" w:type="dxa"/>
              <w:left w:w="90" w:type="dxa"/>
              <w:right w:w="90" w:type="dxa"/>
            </w:tcMar>
            <w:shd w:val="clear" w:color="auto" w:fill="E5F5FF"/>
          </w:tcPr>
          <w:p>
            <w:pPr>
              <w:pStyle w:val="BDOITable"/>
            </w:pPr>
            <w:r>
              <w:rPr>
                <w:sz w:val="18"/>
              </w:rPr>
              <w:t>CRM, PARTY</w:t>
            </w:r>
          </w:p>
        </w:tc>
        <w:tc>
          <w:tcPr>
            <w:tcW w:type="dxa" w:w="767"/>
            <w:tcMar>
              <w:top w:w="50" w:type="dxa"/>
              <w:bottom w:w="50" w:type="dxa"/>
              <w:left w:w="90" w:type="dxa"/>
              <w:right w:w="90" w:type="dxa"/>
            </w:tcMar>
            <w:shd w:val="clear" w:color="auto" w:fill="E5F5FF"/>
          </w:tcPr>
          <w:p>
            <w:pPr>
              <w:pStyle w:val="BDOITable"/>
            </w:pPr>
            <w:r>
              <w:rPr>
                <w:sz w:val="18"/>
              </w:rPr>
              <w:t>7</w:t>
            </w:r>
          </w:p>
        </w:tc>
        <w:tc>
          <w:tcPr>
            <w:tcW w:type="dxa" w:w="1023"/>
            <w:tcMar>
              <w:top w:w="50" w:type="dxa"/>
              <w:bottom w:w="50" w:type="dxa"/>
              <w:left w:w="90" w:type="dxa"/>
              <w:right w:w="90" w:type="dxa"/>
            </w:tcMar>
            <w:shd w:val="clear" w:color="auto" w:fill="E5F5FF"/>
          </w:tcPr>
          <w:p>
            <w:pPr>
              <w:pStyle w:val="BDOITable"/>
            </w:pPr>
            <w:r>
              <w:rPr>
                <w:sz w:val="18"/>
              </w:rPr>
              <w:t>142</w:t>
            </w:r>
          </w:p>
        </w:tc>
      </w:tr>
      <w:tr>
        <w:trPr>
          <w:cantSplit w:val="true"/>
        </w:trPr>
        <w:tc>
          <w:tcPr>
            <w:tcW w:type="dxa" w:w="639"/>
            <w:tcMar>
              <w:top w:w="50" w:type="dxa"/>
              <w:bottom w:w="50" w:type="dxa"/>
              <w:left w:w="90" w:type="dxa"/>
              <w:right w:w="90" w:type="dxa"/>
            </w:tcMar>
          </w:tcPr>
          <w:p>
            <w:pPr>
              <w:pStyle w:val="BDOITable"/>
            </w:pPr>
            <w:r>
              <w:rPr>
                <w:b/>
                <w:sz w:val="18"/>
              </w:rPr>
              <w:t>D05</w:t>
            </w:r>
          </w:p>
        </w:tc>
        <w:tc>
          <w:tcPr>
            <w:tcW w:type="dxa" w:w="2301"/>
            <w:tcMar>
              <w:top w:w="50" w:type="dxa"/>
              <w:bottom w:w="50" w:type="dxa"/>
              <w:left w:w="90" w:type="dxa"/>
              <w:right w:w="90" w:type="dxa"/>
            </w:tcMar>
          </w:tcPr>
          <w:p>
            <w:pPr>
              <w:pStyle w:val="BDOITable"/>
            </w:pPr>
            <w:r>
              <w:rPr>
                <w:sz w:val="18"/>
              </w:rPr>
              <w:t>Product Catalogue and Maintenance</w:t>
            </w:r>
          </w:p>
        </w:tc>
        <w:tc>
          <w:tcPr>
            <w:tcW w:type="dxa" w:w="1151"/>
            <w:tcMar>
              <w:top w:w="50" w:type="dxa"/>
              <w:bottom w:w="50" w:type="dxa"/>
              <w:left w:w="90" w:type="dxa"/>
              <w:right w:w="90" w:type="dxa"/>
            </w:tcMar>
          </w:tcPr>
          <w:p>
            <w:pPr>
              <w:pStyle w:val="BDOITable"/>
            </w:pPr>
            <w:r>
              <w:rPr>
                <w:sz w:val="18"/>
              </w:rPr>
              <w:t>BRD-03</w:t>
            </w:r>
          </w:p>
        </w:tc>
        <w:tc>
          <w:tcPr>
            <w:tcW w:type="dxa" w:w="4091"/>
            <w:tcMar>
              <w:top w:w="50" w:type="dxa"/>
              <w:bottom w:w="50" w:type="dxa"/>
              <w:left w:w="90" w:type="dxa"/>
              <w:right w:w="90" w:type="dxa"/>
            </w:tcMar>
          </w:tcPr>
          <w:p>
            <w:pPr>
              <w:pStyle w:val="BDOITable"/>
            </w:pPr>
            <w:r>
              <w:rPr>
                <w:sz w:val="18"/>
              </w:rPr>
              <w:t>CATALOG, PRODUCTMAINT</w:t>
            </w:r>
          </w:p>
        </w:tc>
        <w:tc>
          <w:tcPr>
            <w:tcW w:type="dxa" w:w="767"/>
            <w:tcMar>
              <w:top w:w="50" w:type="dxa"/>
              <w:bottom w:w="50" w:type="dxa"/>
              <w:left w:w="90" w:type="dxa"/>
              <w:right w:w="90" w:type="dxa"/>
            </w:tcMar>
          </w:tcPr>
          <w:p>
            <w:pPr>
              <w:pStyle w:val="BDOITable"/>
            </w:pPr>
            <w:r>
              <w:rPr>
                <w:sz w:val="18"/>
              </w:rPr>
              <w:t>32</w:t>
            </w:r>
          </w:p>
        </w:tc>
        <w:tc>
          <w:tcPr>
            <w:tcW w:type="dxa" w:w="1023"/>
            <w:tcMar>
              <w:top w:w="50" w:type="dxa"/>
              <w:bottom w:w="50" w:type="dxa"/>
              <w:left w:w="90" w:type="dxa"/>
              <w:right w:w="90" w:type="dxa"/>
            </w:tcMar>
          </w:tcPr>
          <w:p>
            <w:pPr>
              <w:pStyle w:val="BDOITable"/>
            </w:pPr>
            <w:r>
              <w:rPr>
                <w:sz w:val="18"/>
              </w:rPr>
              <w:t>544</w:t>
            </w:r>
          </w:p>
        </w:tc>
      </w:tr>
      <w:tr>
        <w:trPr>
          <w:cantSplit w:val="true"/>
        </w:trPr>
        <w:tc>
          <w:tcPr>
            <w:tcW w:type="dxa" w:w="639"/>
            <w:tcMar>
              <w:top w:w="50" w:type="dxa"/>
              <w:bottom w:w="50" w:type="dxa"/>
              <w:left w:w="90" w:type="dxa"/>
              <w:right w:w="90" w:type="dxa"/>
            </w:tcMar>
            <w:shd w:val="clear" w:color="auto" w:fill="E5F5FF"/>
          </w:tcPr>
          <w:p>
            <w:pPr>
              <w:pStyle w:val="BDOITable"/>
            </w:pPr>
            <w:r>
              <w:rPr>
                <w:b/>
                <w:sz w:val="18"/>
              </w:rPr>
              <w:t>D06</w:t>
            </w:r>
          </w:p>
        </w:tc>
        <w:tc>
          <w:tcPr>
            <w:tcW w:type="dxa" w:w="2301"/>
            <w:tcMar>
              <w:top w:w="50" w:type="dxa"/>
              <w:bottom w:w="50" w:type="dxa"/>
              <w:left w:w="90" w:type="dxa"/>
              <w:right w:w="90" w:type="dxa"/>
            </w:tcMar>
            <w:shd w:val="clear" w:color="auto" w:fill="E5F5FF"/>
          </w:tcPr>
          <w:p>
            <w:pPr>
              <w:pStyle w:val="BDOITable"/>
            </w:pPr>
            <w:r>
              <w:rPr>
                <w:sz w:val="18"/>
              </w:rPr>
              <w:t>New Business</w:t>
            </w:r>
          </w:p>
        </w:tc>
        <w:tc>
          <w:tcPr>
            <w:tcW w:type="dxa" w:w="1151"/>
            <w:tcMar>
              <w:top w:w="50" w:type="dxa"/>
              <w:bottom w:w="50" w:type="dxa"/>
              <w:left w:w="90" w:type="dxa"/>
              <w:right w:w="90" w:type="dxa"/>
            </w:tcMar>
            <w:shd w:val="clear" w:color="auto" w:fill="E5F5FF"/>
          </w:tcPr>
          <w:p>
            <w:pPr>
              <w:pStyle w:val="BDOITable"/>
            </w:pPr>
            <w:r>
              <w:rPr>
                <w:sz w:val="18"/>
              </w:rPr>
              <w:t>BRD-01</w:t>
            </w:r>
          </w:p>
        </w:tc>
        <w:tc>
          <w:tcPr>
            <w:tcW w:type="dxa" w:w="4091"/>
            <w:tcMar>
              <w:top w:w="50" w:type="dxa"/>
              <w:bottom w:w="50" w:type="dxa"/>
              <w:left w:w="90" w:type="dxa"/>
              <w:right w:w="90" w:type="dxa"/>
            </w:tcMar>
            <w:shd w:val="clear" w:color="auto" w:fill="E5F5FF"/>
          </w:tcPr>
          <w:p>
            <w:pPr>
              <w:pStyle w:val="BDOITable"/>
            </w:pPr>
            <w:r>
              <w:rPr>
                <w:sz w:val="18"/>
              </w:rPr>
              <w:t>QUOTATION, NONPACKAGE, ACCOUNT, PLACEMENT, ISSUANCE, BOOKING, NBREPORT</w:t>
            </w:r>
          </w:p>
        </w:tc>
        <w:tc>
          <w:tcPr>
            <w:tcW w:type="dxa" w:w="767"/>
            <w:tcMar>
              <w:top w:w="50" w:type="dxa"/>
              <w:bottom w:w="50" w:type="dxa"/>
              <w:left w:w="90" w:type="dxa"/>
              <w:right w:w="90" w:type="dxa"/>
            </w:tcMar>
            <w:shd w:val="clear" w:color="auto" w:fill="E5F5FF"/>
          </w:tcPr>
          <w:p>
            <w:pPr>
              <w:pStyle w:val="BDOITable"/>
            </w:pPr>
            <w:r>
              <w:rPr>
                <w:sz w:val="18"/>
              </w:rPr>
              <w:t>46</w:t>
            </w:r>
          </w:p>
        </w:tc>
        <w:tc>
          <w:tcPr>
            <w:tcW w:type="dxa" w:w="1023"/>
            <w:tcMar>
              <w:top w:w="50" w:type="dxa"/>
              <w:bottom w:w="50" w:type="dxa"/>
              <w:left w:w="90" w:type="dxa"/>
              <w:right w:w="90" w:type="dxa"/>
            </w:tcMar>
            <w:shd w:val="clear" w:color="auto" w:fill="E5F5FF"/>
          </w:tcPr>
          <w:p>
            <w:pPr>
              <w:pStyle w:val="BDOITable"/>
            </w:pPr>
            <w:r>
              <w:rPr>
                <w:sz w:val="18"/>
              </w:rPr>
              <w:t>787</w:t>
            </w:r>
          </w:p>
        </w:tc>
      </w:tr>
      <w:tr>
        <w:trPr>
          <w:cantSplit w:val="true"/>
        </w:trPr>
        <w:tc>
          <w:tcPr>
            <w:tcW w:type="dxa" w:w="639"/>
            <w:tcMar>
              <w:top w:w="50" w:type="dxa"/>
              <w:bottom w:w="50" w:type="dxa"/>
              <w:left w:w="90" w:type="dxa"/>
              <w:right w:w="90" w:type="dxa"/>
            </w:tcMar>
          </w:tcPr>
          <w:p>
            <w:pPr>
              <w:pStyle w:val="BDOITable"/>
            </w:pPr>
            <w:r>
              <w:rPr>
                <w:b/>
                <w:sz w:val="18"/>
              </w:rPr>
              <w:t>D07</w:t>
            </w:r>
          </w:p>
        </w:tc>
        <w:tc>
          <w:tcPr>
            <w:tcW w:type="dxa" w:w="2301"/>
            <w:tcMar>
              <w:top w:w="50" w:type="dxa"/>
              <w:bottom w:w="50" w:type="dxa"/>
              <w:left w:w="90" w:type="dxa"/>
              <w:right w:w="90" w:type="dxa"/>
            </w:tcMar>
          </w:tcPr>
          <w:p>
            <w:pPr>
              <w:pStyle w:val="BDOITable"/>
            </w:pPr>
            <w:r>
              <w:rPr>
                <w:sz w:val="18"/>
              </w:rPr>
              <w:t>Operations</w:t>
            </w:r>
          </w:p>
        </w:tc>
        <w:tc>
          <w:tcPr>
            <w:tcW w:type="dxa" w:w="1151"/>
            <w:tcMar>
              <w:top w:w="50" w:type="dxa"/>
              <w:bottom w:w="50" w:type="dxa"/>
              <w:left w:w="90" w:type="dxa"/>
              <w:right w:w="90" w:type="dxa"/>
            </w:tcMar>
          </w:tcPr>
          <w:p>
            <w:pPr>
              <w:pStyle w:val="BDOITable"/>
            </w:pPr>
            <w:r>
              <w:rPr>
                <w:sz w:val="18"/>
              </w:rPr>
              <w:t>BRD-02</w:t>
            </w:r>
          </w:p>
        </w:tc>
        <w:tc>
          <w:tcPr>
            <w:tcW w:type="dxa" w:w="4091"/>
            <w:tcMar>
              <w:top w:w="50" w:type="dxa"/>
              <w:bottom w:w="50" w:type="dxa"/>
              <w:left w:w="90" w:type="dxa"/>
              <w:right w:w="90" w:type="dxa"/>
            </w:tcMar>
          </w:tcPr>
          <w:p>
            <w:pPr>
              <w:pStyle w:val="BDOITable"/>
            </w:pPr>
            <w:r>
              <w:rPr>
                <w:sz w:val="18"/>
              </w:rPr>
              <w:t>OPSLEDGER, CASHIERING, REMITTANCE, PRODRECON, ADJUSTMENT, COMMISSION</w:t>
            </w:r>
          </w:p>
        </w:tc>
        <w:tc>
          <w:tcPr>
            <w:tcW w:type="dxa" w:w="767"/>
            <w:tcMar>
              <w:top w:w="50" w:type="dxa"/>
              <w:bottom w:w="50" w:type="dxa"/>
              <w:left w:w="90" w:type="dxa"/>
              <w:right w:w="90" w:type="dxa"/>
            </w:tcMar>
          </w:tcPr>
          <w:p>
            <w:pPr>
              <w:pStyle w:val="BDOITable"/>
            </w:pPr>
            <w:r>
              <w:rPr>
                <w:sz w:val="18"/>
              </w:rPr>
              <w:t>78</w:t>
            </w:r>
          </w:p>
        </w:tc>
        <w:tc>
          <w:tcPr>
            <w:tcW w:type="dxa" w:w="1023"/>
            <w:tcMar>
              <w:top w:w="50" w:type="dxa"/>
              <w:bottom w:w="50" w:type="dxa"/>
              <w:left w:w="90" w:type="dxa"/>
              <w:right w:w="90" w:type="dxa"/>
            </w:tcMar>
          </w:tcPr>
          <w:p>
            <w:pPr>
              <w:pStyle w:val="BDOITable"/>
            </w:pPr>
            <w:r>
              <w:rPr>
                <w:sz w:val="18"/>
              </w:rPr>
              <w:t>1528</w:t>
            </w:r>
          </w:p>
        </w:tc>
      </w:tr>
      <w:tr>
        <w:trPr>
          <w:cantSplit w:val="true"/>
        </w:trPr>
        <w:tc>
          <w:tcPr>
            <w:tcW w:type="dxa" w:w="639"/>
            <w:tcMar>
              <w:top w:w="50" w:type="dxa"/>
              <w:bottom w:w="50" w:type="dxa"/>
              <w:left w:w="90" w:type="dxa"/>
              <w:right w:w="90" w:type="dxa"/>
            </w:tcMar>
            <w:shd w:val="clear" w:color="auto" w:fill="E5F5FF"/>
          </w:tcPr>
          <w:p>
            <w:pPr>
              <w:pStyle w:val="BDOITable"/>
            </w:pPr>
            <w:r>
              <w:rPr>
                <w:b/>
                <w:sz w:val="18"/>
              </w:rPr>
              <w:t>D08</w:t>
            </w:r>
          </w:p>
        </w:tc>
        <w:tc>
          <w:tcPr>
            <w:tcW w:type="dxa" w:w="2301"/>
            <w:tcMar>
              <w:top w:w="50" w:type="dxa"/>
              <w:bottom w:w="50" w:type="dxa"/>
              <w:left w:w="90" w:type="dxa"/>
              <w:right w:w="90" w:type="dxa"/>
            </w:tcMar>
            <w:shd w:val="clear" w:color="auto" w:fill="E5F5FF"/>
          </w:tcPr>
          <w:p>
            <w:pPr>
              <w:pStyle w:val="BDOITable"/>
            </w:pPr>
            <w:r>
              <w:rPr>
                <w:sz w:val="18"/>
              </w:rPr>
              <w:t>Collections</w:t>
            </w:r>
          </w:p>
        </w:tc>
        <w:tc>
          <w:tcPr>
            <w:tcW w:type="dxa" w:w="1151"/>
            <w:tcMar>
              <w:top w:w="50" w:type="dxa"/>
              <w:bottom w:w="50" w:type="dxa"/>
              <w:left w:w="90" w:type="dxa"/>
              <w:right w:w="90" w:type="dxa"/>
            </w:tcMar>
            <w:shd w:val="clear" w:color="auto" w:fill="E5F5FF"/>
          </w:tcPr>
          <w:p>
            <w:pPr>
              <w:pStyle w:val="BDOITable"/>
            </w:pPr>
            <w:r>
              <w:rPr>
                <w:sz w:val="18"/>
              </w:rPr>
              <w:t>BRD-04</w:t>
            </w:r>
          </w:p>
        </w:tc>
        <w:tc>
          <w:tcPr>
            <w:tcW w:type="dxa" w:w="4091"/>
            <w:tcMar>
              <w:top w:w="50" w:type="dxa"/>
              <w:bottom w:w="50" w:type="dxa"/>
              <w:left w:w="90" w:type="dxa"/>
              <w:right w:w="90" w:type="dxa"/>
            </w:tcMar>
            <w:shd w:val="clear" w:color="auto" w:fill="E5F5FF"/>
          </w:tcPr>
          <w:p>
            <w:pPr>
              <w:pStyle w:val="BDOITable"/>
            </w:pPr>
            <w:r>
              <w:rPr>
                <w:sz w:val="18"/>
              </w:rPr>
              <w:t>COLLECTIONS</w:t>
            </w:r>
          </w:p>
        </w:tc>
        <w:tc>
          <w:tcPr>
            <w:tcW w:type="dxa" w:w="767"/>
            <w:tcMar>
              <w:top w:w="50" w:type="dxa"/>
              <w:bottom w:w="50" w:type="dxa"/>
              <w:left w:w="90" w:type="dxa"/>
              <w:right w:w="90" w:type="dxa"/>
            </w:tcMar>
            <w:shd w:val="clear" w:color="auto" w:fill="E5F5FF"/>
          </w:tcPr>
          <w:p>
            <w:pPr>
              <w:pStyle w:val="BDOITable"/>
            </w:pPr>
            <w:r>
              <w:rPr>
                <w:sz w:val="18"/>
              </w:rPr>
              <w:t>23</w:t>
            </w:r>
          </w:p>
        </w:tc>
        <w:tc>
          <w:tcPr>
            <w:tcW w:type="dxa" w:w="1023"/>
            <w:tcMar>
              <w:top w:w="50" w:type="dxa"/>
              <w:bottom w:w="50" w:type="dxa"/>
              <w:left w:w="90" w:type="dxa"/>
              <w:right w:w="90" w:type="dxa"/>
            </w:tcMar>
            <w:shd w:val="clear" w:color="auto" w:fill="E5F5FF"/>
          </w:tcPr>
          <w:p>
            <w:pPr>
              <w:pStyle w:val="BDOITable"/>
            </w:pPr>
            <w:r>
              <w:rPr>
                <w:sz w:val="18"/>
              </w:rPr>
              <w:t>438</w:t>
            </w:r>
          </w:p>
        </w:tc>
      </w:tr>
      <w:tr>
        <w:trPr>
          <w:cantSplit w:val="true"/>
        </w:trPr>
        <w:tc>
          <w:tcPr>
            <w:tcW w:type="dxa" w:w="639"/>
            <w:tcMar>
              <w:top w:w="50" w:type="dxa"/>
              <w:bottom w:w="50" w:type="dxa"/>
              <w:left w:w="90" w:type="dxa"/>
              <w:right w:w="90" w:type="dxa"/>
            </w:tcMar>
          </w:tcPr>
          <w:p>
            <w:pPr>
              <w:pStyle w:val="BDOITable"/>
            </w:pPr>
            <w:r>
              <w:rPr>
                <w:b/>
                <w:sz w:val="18"/>
              </w:rPr>
              <w:t>D09</w:t>
            </w:r>
          </w:p>
        </w:tc>
        <w:tc>
          <w:tcPr>
            <w:tcW w:type="dxa" w:w="2301"/>
            <w:tcMar>
              <w:top w:w="50" w:type="dxa"/>
              <w:bottom w:w="50" w:type="dxa"/>
              <w:left w:w="90" w:type="dxa"/>
              <w:right w:w="90" w:type="dxa"/>
            </w:tcMar>
          </w:tcPr>
          <w:p>
            <w:pPr>
              <w:pStyle w:val="BDOITable"/>
            </w:pPr>
            <w:r>
              <w:rPr>
                <w:sz w:val="18"/>
              </w:rPr>
              <w:t>General Ledger and Finance</w:t>
            </w:r>
          </w:p>
        </w:tc>
        <w:tc>
          <w:tcPr>
            <w:tcW w:type="dxa" w:w="1151"/>
            <w:tcMar>
              <w:top w:w="50" w:type="dxa"/>
              <w:bottom w:w="50" w:type="dxa"/>
              <w:left w:w="90" w:type="dxa"/>
              <w:right w:w="90" w:type="dxa"/>
            </w:tcMar>
          </w:tcPr>
          <w:p>
            <w:pPr>
              <w:pStyle w:val="BDOITable"/>
            </w:pPr>
            <w:r>
              <w:rPr>
                <w:sz w:val="18"/>
              </w:rPr>
              <w:t>BRD-05</w:t>
            </w:r>
          </w:p>
        </w:tc>
        <w:tc>
          <w:tcPr>
            <w:tcW w:type="dxa" w:w="4091"/>
            <w:tcMar>
              <w:top w:w="50" w:type="dxa"/>
              <w:bottom w:w="50" w:type="dxa"/>
              <w:left w:w="90" w:type="dxa"/>
              <w:right w:w="90" w:type="dxa"/>
            </w:tcMar>
          </w:tcPr>
          <w:p>
            <w:pPr>
              <w:pStyle w:val="BDOITable"/>
            </w:pPr>
            <w:r>
              <w:rPr>
                <w:sz w:val="18"/>
              </w:rPr>
              <w:t>COA, JOURNAL, LEDGER, SUBLEDGER, ACCOUNTING, CLOSING, BUDGET, FINREPORT, FRBS, RECEIVABLES, FIXEDASSET, INVESTMENT, TAX</w:t>
            </w:r>
          </w:p>
        </w:tc>
        <w:tc>
          <w:tcPr>
            <w:tcW w:type="dxa" w:w="767"/>
            <w:tcMar>
              <w:top w:w="50" w:type="dxa"/>
              <w:bottom w:w="50" w:type="dxa"/>
              <w:left w:w="90" w:type="dxa"/>
              <w:right w:w="90" w:type="dxa"/>
            </w:tcMar>
          </w:tcPr>
          <w:p>
            <w:pPr>
              <w:pStyle w:val="BDOITable"/>
            </w:pPr>
            <w:r>
              <w:rPr>
                <w:sz w:val="18"/>
              </w:rPr>
              <w:t>73</w:t>
            </w:r>
          </w:p>
        </w:tc>
        <w:tc>
          <w:tcPr>
            <w:tcW w:type="dxa" w:w="1023"/>
            <w:tcMar>
              <w:top w:w="50" w:type="dxa"/>
              <w:bottom w:w="50" w:type="dxa"/>
              <w:left w:w="90" w:type="dxa"/>
              <w:right w:w="90" w:type="dxa"/>
            </w:tcMar>
          </w:tcPr>
          <w:p>
            <w:pPr>
              <w:pStyle w:val="BDOITable"/>
            </w:pPr>
            <w:r>
              <w:rPr>
                <w:sz w:val="18"/>
              </w:rPr>
              <w:t>1165</w:t>
            </w:r>
          </w:p>
        </w:tc>
      </w:tr>
      <w:tr>
        <w:trPr>
          <w:cantSplit w:val="true"/>
        </w:trPr>
        <w:tc>
          <w:tcPr>
            <w:tcW w:type="dxa" w:w="639"/>
            <w:tcMar>
              <w:top w:w="50" w:type="dxa"/>
              <w:bottom w:w="50" w:type="dxa"/>
              <w:left w:w="90" w:type="dxa"/>
              <w:right w:w="90" w:type="dxa"/>
            </w:tcMar>
            <w:shd w:val="clear" w:color="auto" w:fill="E5F5FF"/>
          </w:tcPr>
          <w:p>
            <w:pPr>
              <w:pStyle w:val="BDOITable"/>
            </w:pPr>
            <w:r>
              <w:rPr>
                <w:b/>
                <w:sz w:val="18"/>
              </w:rPr>
              <w:t>D10</w:t>
            </w:r>
          </w:p>
        </w:tc>
        <w:tc>
          <w:tcPr>
            <w:tcW w:type="dxa" w:w="2301"/>
            <w:tcMar>
              <w:top w:w="50" w:type="dxa"/>
              <w:bottom w:w="50" w:type="dxa"/>
              <w:left w:w="90" w:type="dxa"/>
              <w:right w:w="90" w:type="dxa"/>
            </w:tcMar>
            <w:shd w:val="clear" w:color="auto" w:fill="E5F5FF"/>
          </w:tcPr>
          <w:p>
            <w:pPr>
              <w:pStyle w:val="BDOITable"/>
            </w:pPr>
            <w:r>
              <w:rPr>
                <w:sz w:val="18"/>
              </w:rPr>
              <w:t>Disbursement and ACSL</w:t>
            </w:r>
          </w:p>
        </w:tc>
        <w:tc>
          <w:tcPr>
            <w:tcW w:type="dxa" w:w="1151"/>
            <w:tcMar>
              <w:top w:w="50" w:type="dxa"/>
              <w:bottom w:w="50" w:type="dxa"/>
              <w:left w:w="90" w:type="dxa"/>
              <w:right w:w="90" w:type="dxa"/>
            </w:tcMar>
            <w:shd w:val="clear" w:color="auto" w:fill="E5F5FF"/>
          </w:tcPr>
          <w:p>
            <w:pPr>
              <w:pStyle w:val="BDOITable"/>
            </w:pPr>
            <w:r>
              <w:rPr>
                <w:sz w:val="18"/>
              </w:rPr>
              <w:t>BRD-05</w:t>
            </w:r>
          </w:p>
        </w:tc>
        <w:tc>
          <w:tcPr>
            <w:tcW w:type="dxa" w:w="4091"/>
            <w:tcMar>
              <w:top w:w="50" w:type="dxa"/>
              <w:bottom w:w="50" w:type="dxa"/>
              <w:left w:w="90" w:type="dxa"/>
              <w:right w:w="90" w:type="dxa"/>
            </w:tcMar>
            <w:shd w:val="clear" w:color="auto" w:fill="E5F5FF"/>
          </w:tcPr>
          <w:p>
            <w:pPr>
              <w:pStyle w:val="BDOITable"/>
            </w:pPr>
            <w:r>
              <w:rPr>
                <w:sz w:val="18"/>
              </w:rPr>
              <w:t>DISBURSEMENT, PAYABLES, PAYREQUEST, ACSL</w:t>
            </w:r>
          </w:p>
        </w:tc>
        <w:tc>
          <w:tcPr>
            <w:tcW w:type="dxa" w:w="767"/>
            <w:tcMar>
              <w:top w:w="50" w:type="dxa"/>
              <w:bottom w:w="50" w:type="dxa"/>
              <w:left w:w="90" w:type="dxa"/>
              <w:right w:w="90" w:type="dxa"/>
            </w:tcMar>
            <w:shd w:val="clear" w:color="auto" w:fill="E5F5FF"/>
          </w:tcPr>
          <w:p>
            <w:pPr>
              <w:pStyle w:val="BDOITable"/>
            </w:pPr>
            <w:r>
              <w:rPr>
                <w:sz w:val="18"/>
              </w:rPr>
              <w:t>41</w:t>
            </w:r>
          </w:p>
        </w:tc>
        <w:tc>
          <w:tcPr>
            <w:tcW w:type="dxa" w:w="1023"/>
            <w:tcMar>
              <w:top w:w="50" w:type="dxa"/>
              <w:bottom w:w="50" w:type="dxa"/>
              <w:left w:w="90" w:type="dxa"/>
              <w:right w:w="90" w:type="dxa"/>
            </w:tcMar>
            <w:shd w:val="clear" w:color="auto" w:fill="E5F5FF"/>
          </w:tcPr>
          <w:p>
            <w:pPr>
              <w:pStyle w:val="BDOITable"/>
            </w:pPr>
            <w:r>
              <w:rPr>
                <w:sz w:val="18"/>
              </w:rPr>
              <w:t>805</w:t>
            </w:r>
          </w:p>
        </w:tc>
      </w:tr>
      <w:tr>
        <w:trPr>
          <w:cantSplit w:val="true"/>
        </w:trPr>
        <w:tc>
          <w:tcPr>
            <w:tcW w:type="dxa" w:w="639"/>
            <w:tcMar>
              <w:top w:w="50" w:type="dxa"/>
              <w:bottom w:w="50" w:type="dxa"/>
              <w:left w:w="90" w:type="dxa"/>
              <w:right w:w="90" w:type="dxa"/>
            </w:tcMar>
          </w:tcPr>
          <w:p>
            <w:pPr>
              <w:pStyle w:val="BDOITable"/>
            </w:pPr>
            <w:r>
              <w:rPr>
                <w:b/>
                <w:sz w:val="18"/>
              </w:rPr>
              <w:t>D11</w:t>
            </w:r>
          </w:p>
        </w:tc>
        <w:tc>
          <w:tcPr>
            <w:tcW w:type="dxa" w:w="2301"/>
            <w:tcMar>
              <w:top w:w="50" w:type="dxa"/>
              <w:bottom w:w="50" w:type="dxa"/>
              <w:left w:w="90" w:type="dxa"/>
              <w:right w:w="90" w:type="dxa"/>
            </w:tcMar>
          </w:tcPr>
          <w:p>
            <w:pPr>
              <w:pStyle w:val="BDOITable"/>
            </w:pPr>
            <w:r>
              <w:rPr>
                <w:sz w:val="18"/>
              </w:rPr>
              <w:t>Renewal</w:t>
            </w:r>
          </w:p>
        </w:tc>
        <w:tc>
          <w:tcPr>
            <w:tcW w:type="dxa" w:w="1151"/>
            <w:tcMar>
              <w:top w:w="50" w:type="dxa"/>
              <w:bottom w:w="50" w:type="dxa"/>
              <w:left w:w="90" w:type="dxa"/>
              <w:right w:w="90" w:type="dxa"/>
            </w:tcMar>
          </w:tcPr>
          <w:p>
            <w:pPr>
              <w:pStyle w:val="BDOITable"/>
            </w:pPr>
            <w:r>
              <w:rPr>
                <w:sz w:val="18"/>
              </w:rPr>
              <w:t>BRD-06</w:t>
            </w:r>
          </w:p>
        </w:tc>
        <w:tc>
          <w:tcPr>
            <w:tcW w:type="dxa" w:w="4091"/>
            <w:tcMar>
              <w:top w:w="50" w:type="dxa"/>
              <w:bottom w:w="50" w:type="dxa"/>
              <w:left w:w="90" w:type="dxa"/>
              <w:right w:w="90" w:type="dxa"/>
            </w:tcMar>
          </w:tcPr>
          <w:p>
            <w:pPr>
              <w:pStyle w:val="BDOITable"/>
            </w:pPr>
            <w:r>
              <w:rPr>
                <w:sz w:val="18"/>
              </w:rPr>
              <w:t>RENEWAL</w:t>
            </w:r>
          </w:p>
        </w:tc>
        <w:tc>
          <w:tcPr>
            <w:tcW w:type="dxa" w:w="767"/>
            <w:tcMar>
              <w:top w:w="50" w:type="dxa"/>
              <w:bottom w:w="50" w:type="dxa"/>
              <w:left w:w="90" w:type="dxa"/>
              <w:right w:w="90" w:type="dxa"/>
            </w:tcMar>
          </w:tcPr>
          <w:p>
            <w:pPr>
              <w:pStyle w:val="BDOITable"/>
            </w:pPr>
            <w:r>
              <w:rPr>
                <w:sz w:val="18"/>
              </w:rPr>
              <w:t>32</w:t>
            </w:r>
          </w:p>
        </w:tc>
        <w:tc>
          <w:tcPr>
            <w:tcW w:type="dxa" w:w="1023"/>
            <w:tcMar>
              <w:top w:w="50" w:type="dxa"/>
              <w:bottom w:w="50" w:type="dxa"/>
              <w:left w:w="90" w:type="dxa"/>
              <w:right w:w="90" w:type="dxa"/>
            </w:tcMar>
          </w:tcPr>
          <w:p>
            <w:pPr>
              <w:pStyle w:val="BDOITable"/>
            </w:pPr>
            <w:r>
              <w:rPr>
                <w:sz w:val="18"/>
              </w:rPr>
              <w:t>570</w:t>
            </w:r>
          </w:p>
        </w:tc>
      </w:tr>
      <w:tr>
        <w:trPr>
          <w:cantSplit w:val="true"/>
        </w:trPr>
        <w:tc>
          <w:tcPr>
            <w:tcW w:type="dxa" w:w="639"/>
            <w:tcMar>
              <w:top w:w="50" w:type="dxa"/>
              <w:bottom w:w="50" w:type="dxa"/>
              <w:left w:w="90" w:type="dxa"/>
              <w:right w:w="90" w:type="dxa"/>
            </w:tcMar>
            <w:shd w:val="clear" w:color="auto" w:fill="E5F5FF"/>
          </w:tcPr>
          <w:p>
            <w:pPr>
              <w:pStyle w:val="BDOITable"/>
            </w:pPr>
            <w:r>
              <w:rPr>
                <w:b/>
                <w:sz w:val="18"/>
              </w:rPr>
              <w:t>D12</w:t>
            </w:r>
          </w:p>
        </w:tc>
        <w:tc>
          <w:tcPr>
            <w:tcW w:type="dxa" w:w="2301"/>
            <w:tcMar>
              <w:top w:w="50" w:type="dxa"/>
              <w:bottom w:w="50" w:type="dxa"/>
              <w:left w:w="90" w:type="dxa"/>
              <w:right w:w="90" w:type="dxa"/>
            </w:tcMar>
            <w:shd w:val="clear" w:color="auto" w:fill="E5F5FF"/>
          </w:tcPr>
          <w:p>
            <w:pPr>
              <w:pStyle w:val="BDOITable"/>
            </w:pPr>
            <w:r>
              <w:rPr>
                <w:sz w:val="18"/>
              </w:rPr>
              <w:t>Claims Broking</w:t>
            </w:r>
          </w:p>
        </w:tc>
        <w:tc>
          <w:tcPr>
            <w:tcW w:type="dxa" w:w="1151"/>
            <w:tcMar>
              <w:top w:w="50" w:type="dxa"/>
              <w:bottom w:w="50" w:type="dxa"/>
              <w:left w:w="90" w:type="dxa"/>
              <w:right w:w="90" w:type="dxa"/>
            </w:tcMar>
            <w:shd w:val="clear" w:color="auto" w:fill="E5F5FF"/>
          </w:tcPr>
          <w:p>
            <w:pPr>
              <w:pStyle w:val="BDOITable"/>
            </w:pPr>
            <w:r>
              <w:rPr>
                <w:sz w:val="18"/>
              </w:rPr>
              <w:t>BRD-07</w:t>
            </w:r>
          </w:p>
        </w:tc>
        <w:tc>
          <w:tcPr>
            <w:tcW w:type="dxa" w:w="4091"/>
            <w:tcMar>
              <w:top w:w="50" w:type="dxa"/>
              <w:bottom w:w="50" w:type="dxa"/>
              <w:left w:w="90" w:type="dxa"/>
              <w:right w:w="90" w:type="dxa"/>
            </w:tcMar>
            <w:shd w:val="clear" w:color="auto" w:fill="E5F5FF"/>
          </w:tcPr>
          <w:p>
            <w:pPr>
              <w:pStyle w:val="BDOITable"/>
            </w:pPr>
            <w:r>
              <w:rPr>
                <w:sz w:val="18"/>
              </w:rPr>
              <w:t>BROKERCLAIMS</w:t>
            </w:r>
          </w:p>
        </w:tc>
        <w:tc>
          <w:tcPr>
            <w:tcW w:type="dxa" w:w="767"/>
            <w:tcMar>
              <w:top w:w="50" w:type="dxa"/>
              <w:bottom w:w="50" w:type="dxa"/>
              <w:left w:w="90" w:type="dxa"/>
              <w:right w:w="90" w:type="dxa"/>
            </w:tcMar>
            <w:shd w:val="clear" w:color="auto" w:fill="E5F5FF"/>
          </w:tcPr>
          <w:p>
            <w:pPr>
              <w:pStyle w:val="BDOITable"/>
            </w:pPr>
            <w:r>
              <w:rPr>
                <w:sz w:val="18"/>
              </w:rPr>
              <w:t>13</w:t>
            </w:r>
          </w:p>
        </w:tc>
        <w:tc>
          <w:tcPr>
            <w:tcW w:type="dxa" w:w="1023"/>
            <w:tcMar>
              <w:top w:w="50" w:type="dxa"/>
              <w:bottom w:w="50" w:type="dxa"/>
              <w:left w:w="90" w:type="dxa"/>
              <w:right w:w="90" w:type="dxa"/>
            </w:tcMar>
            <w:shd w:val="clear" w:color="auto" w:fill="E5F5FF"/>
          </w:tcPr>
          <w:p>
            <w:pPr>
              <w:pStyle w:val="BDOITable"/>
            </w:pPr>
            <w:r>
              <w:rPr>
                <w:sz w:val="18"/>
              </w:rPr>
              <w:t>229</w:t>
            </w:r>
          </w:p>
        </w:tc>
      </w:tr>
      <w:tr>
        <w:trPr>
          <w:cantSplit w:val="true"/>
        </w:trPr>
        <w:tc>
          <w:tcPr>
            <w:tcW w:type="dxa" w:w="639"/>
            <w:tcMar>
              <w:top w:w="50" w:type="dxa"/>
              <w:bottom w:w="50" w:type="dxa"/>
              <w:left w:w="90" w:type="dxa"/>
              <w:right w:w="90" w:type="dxa"/>
            </w:tcMar>
          </w:tcPr>
          <w:p>
            <w:pPr>
              <w:pStyle w:val="BDOITable"/>
            </w:pPr>
            <w:r>
              <w:rPr>
                <w:b/>
                <w:sz w:val="18"/>
              </w:rPr>
              <w:t>D13</w:t>
            </w:r>
          </w:p>
        </w:tc>
        <w:tc>
          <w:tcPr>
            <w:tcW w:type="dxa" w:w="2301"/>
            <w:tcMar>
              <w:top w:w="50" w:type="dxa"/>
              <w:bottom w:w="50" w:type="dxa"/>
              <w:left w:w="90" w:type="dxa"/>
              <w:right w:w="90" w:type="dxa"/>
            </w:tcMar>
          </w:tcPr>
          <w:p>
            <w:pPr>
              <w:pStyle w:val="BDOITable"/>
            </w:pPr>
            <w:r>
              <w:rPr>
                <w:sz w:val="18"/>
              </w:rPr>
              <w:t>Employee Benefits</w:t>
            </w:r>
          </w:p>
        </w:tc>
        <w:tc>
          <w:tcPr>
            <w:tcW w:type="dxa" w:w="1151"/>
            <w:tcMar>
              <w:top w:w="50" w:type="dxa"/>
              <w:bottom w:w="50" w:type="dxa"/>
              <w:left w:w="90" w:type="dxa"/>
              <w:right w:w="90" w:type="dxa"/>
            </w:tcMar>
          </w:tcPr>
          <w:p>
            <w:pPr>
              <w:pStyle w:val="BDOITable"/>
            </w:pPr>
            <w:r>
              <w:rPr>
                <w:sz w:val="18"/>
              </w:rPr>
              <w:t>BRD-08</w:t>
            </w:r>
          </w:p>
        </w:tc>
        <w:tc>
          <w:tcPr>
            <w:tcW w:type="dxa" w:w="4091"/>
            <w:tcMar>
              <w:top w:w="50" w:type="dxa"/>
              <w:bottom w:w="50" w:type="dxa"/>
              <w:left w:w="90" w:type="dxa"/>
              <w:right w:w="90" w:type="dxa"/>
            </w:tcMar>
          </w:tcPr>
          <w:p>
            <w:pPr>
              <w:pStyle w:val="BDOITable"/>
            </w:pPr>
            <w:r>
              <w:rPr>
                <w:sz w:val="18"/>
              </w:rPr>
              <w:t>EB</w:t>
            </w:r>
          </w:p>
        </w:tc>
        <w:tc>
          <w:tcPr>
            <w:tcW w:type="dxa" w:w="767"/>
            <w:tcMar>
              <w:top w:w="50" w:type="dxa"/>
              <w:bottom w:w="50" w:type="dxa"/>
              <w:left w:w="90" w:type="dxa"/>
              <w:right w:w="90" w:type="dxa"/>
            </w:tcMar>
          </w:tcPr>
          <w:p>
            <w:pPr>
              <w:pStyle w:val="BDOITable"/>
            </w:pPr>
            <w:r>
              <w:rPr>
                <w:sz w:val="18"/>
              </w:rPr>
              <w:t>38</w:t>
            </w:r>
          </w:p>
        </w:tc>
        <w:tc>
          <w:tcPr>
            <w:tcW w:type="dxa" w:w="1023"/>
            <w:tcMar>
              <w:top w:w="50" w:type="dxa"/>
              <w:bottom w:w="50" w:type="dxa"/>
              <w:left w:w="90" w:type="dxa"/>
              <w:right w:w="90" w:type="dxa"/>
            </w:tcMar>
          </w:tcPr>
          <w:p>
            <w:pPr>
              <w:pStyle w:val="BDOITable"/>
            </w:pPr>
            <w:r>
              <w:rPr>
                <w:sz w:val="18"/>
              </w:rPr>
              <w:t>608</w:t>
            </w:r>
          </w:p>
        </w:tc>
      </w:tr>
      <w:tr>
        <w:trPr>
          <w:cantSplit w:val="true"/>
        </w:trPr>
        <w:tc>
          <w:tcPr>
            <w:tcW w:type="dxa" w:w="639"/>
            <w:tcMar>
              <w:top w:w="50" w:type="dxa"/>
              <w:bottom w:w="50" w:type="dxa"/>
              <w:left w:w="90" w:type="dxa"/>
              <w:right w:w="90" w:type="dxa"/>
            </w:tcMar>
            <w:shd w:val="clear" w:color="auto" w:fill="E5F5FF"/>
          </w:tcPr>
          <w:p>
            <w:pPr>
              <w:pStyle w:val="BDOITable"/>
            </w:pPr>
            <w:r>
              <w:rPr>
                <w:b/>
                <w:sz w:val="18"/>
              </w:rPr>
              <w:t>D14</w:t>
            </w:r>
          </w:p>
        </w:tc>
        <w:tc>
          <w:tcPr>
            <w:tcW w:type="dxa" w:w="2301"/>
            <w:tcMar>
              <w:top w:w="50" w:type="dxa"/>
              <w:bottom w:w="50" w:type="dxa"/>
              <w:left w:w="90" w:type="dxa"/>
              <w:right w:w="90" w:type="dxa"/>
            </w:tcMar>
            <w:shd w:val="clear" w:color="auto" w:fill="E5F5FF"/>
          </w:tcPr>
          <w:p>
            <w:pPr>
              <w:pStyle w:val="BDOITable"/>
            </w:pPr>
            <w:r>
              <w:rPr>
                <w:sz w:val="18"/>
              </w:rPr>
              <w:t>Customer Servicing Facility</w:t>
            </w:r>
          </w:p>
        </w:tc>
        <w:tc>
          <w:tcPr>
            <w:tcW w:type="dxa" w:w="1151"/>
            <w:tcMar>
              <w:top w:w="50" w:type="dxa"/>
              <w:bottom w:w="50" w:type="dxa"/>
              <w:left w:w="90" w:type="dxa"/>
              <w:right w:w="90" w:type="dxa"/>
            </w:tcMar>
            <w:shd w:val="clear" w:color="auto" w:fill="E5F5FF"/>
          </w:tcPr>
          <w:p>
            <w:pPr>
              <w:pStyle w:val="BDOITable"/>
            </w:pPr>
            <w:r>
              <w:rPr>
                <w:sz w:val="18"/>
              </w:rPr>
              <w:t>BRD-09</w:t>
            </w:r>
          </w:p>
        </w:tc>
        <w:tc>
          <w:tcPr>
            <w:tcW w:type="dxa" w:w="4091"/>
            <w:tcMar>
              <w:top w:w="50" w:type="dxa"/>
              <w:bottom w:w="50" w:type="dxa"/>
              <w:left w:w="90" w:type="dxa"/>
              <w:right w:w="90" w:type="dxa"/>
            </w:tcMar>
            <w:shd w:val="clear" w:color="auto" w:fill="E5F5FF"/>
          </w:tcPr>
          <w:p>
            <w:pPr>
              <w:pStyle w:val="BDOITable"/>
            </w:pPr>
            <w:r>
              <w:rPr>
                <w:sz w:val="18"/>
              </w:rPr>
              <w:t>CSF</w:t>
            </w:r>
          </w:p>
        </w:tc>
        <w:tc>
          <w:tcPr>
            <w:tcW w:type="dxa" w:w="767"/>
            <w:tcMar>
              <w:top w:w="50" w:type="dxa"/>
              <w:bottom w:w="50" w:type="dxa"/>
              <w:left w:w="90" w:type="dxa"/>
              <w:right w:w="90" w:type="dxa"/>
            </w:tcMar>
            <w:shd w:val="clear" w:color="auto" w:fill="E5F5FF"/>
          </w:tcPr>
          <w:p>
            <w:pPr>
              <w:pStyle w:val="BDOITable"/>
            </w:pPr>
            <w:r>
              <w:rPr>
                <w:sz w:val="18"/>
              </w:rPr>
              <w:t>6</w:t>
            </w:r>
          </w:p>
        </w:tc>
        <w:tc>
          <w:tcPr>
            <w:tcW w:type="dxa" w:w="1023"/>
            <w:tcMar>
              <w:top w:w="50" w:type="dxa"/>
              <w:bottom w:w="50" w:type="dxa"/>
              <w:left w:w="90" w:type="dxa"/>
              <w:right w:w="90" w:type="dxa"/>
            </w:tcMar>
            <w:shd w:val="clear" w:color="auto" w:fill="E5F5FF"/>
          </w:tcPr>
          <w:p>
            <w:pPr>
              <w:pStyle w:val="BDOITable"/>
            </w:pPr>
            <w:r>
              <w:rPr>
                <w:sz w:val="18"/>
              </w:rPr>
              <w:t>74</w:t>
            </w:r>
          </w:p>
        </w:tc>
      </w:tr>
      <w:tr>
        <w:trPr>
          <w:cantSplit w:val="true"/>
        </w:trPr>
        <w:tc>
          <w:tcPr>
            <w:tcW w:type="dxa" w:w="639"/>
            <w:tcMar>
              <w:top w:w="50" w:type="dxa"/>
              <w:bottom w:w="50" w:type="dxa"/>
              <w:left w:w="90" w:type="dxa"/>
              <w:right w:w="90" w:type="dxa"/>
            </w:tcMar>
          </w:tcPr>
          <w:p>
            <w:pPr>
              <w:pStyle w:val="BDOITable"/>
            </w:pPr>
            <w:r>
              <w:rPr>
                <w:b/>
                <w:sz w:val="18"/>
              </w:rPr>
              <w:t>D15</w:t>
            </w:r>
          </w:p>
        </w:tc>
        <w:tc>
          <w:tcPr>
            <w:tcW w:type="dxa" w:w="2301"/>
            <w:tcMar>
              <w:top w:w="50" w:type="dxa"/>
              <w:bottom w:w="50" w:type="dxa"/>
              <w:left w:w="90" w:type="dxa"/>
              <w:right w:w="90" w:type="dxa"/>
            </w:tcMar>
          </w:tcPr>
          <w:p>
            <w:pPr>
              <w:pStyle w:val="BDOITable"/>
            </w:pPr>
            <w:r>
              <w:rPr>
                <w:sz w:val="18"/>
              </w:rPr>
              <w:t>Sanction Screening</w:t>
            </w:r>
          </w:p>
        </w:tc>
        <w:tc>
          <w:tcPr>
            <w:tcW w:type="dxa" w:w="1151"/>
            <w:tcMar>
              <w:top w:w="50" w:type="dxa"/>
              <w:bottom w:w="50" w:type="dxa"/>
              <w:left w:w="90" w:type="dxa"/>
              <w:right w:w="90" w:type="dxa"/>
            </w:tcMar>
          </w:tcPr>
          <w:p>
            <w:pPr>
              <w:pStyle w:val="BDOITable"/>
            </w:pPr>
            <w:r>
              <w:rPr>
                <w:sz w:val="18"/>
              </w:rPr>
              <w:t>BRD-10</w:t>
            </w:r>
          </w:p>
        </w:tc>
        <w:tc>
          <w:tcPr>
            <w:tcW w:type="dxa" w:w="4091"/>
            <w:tcMar>
              <w:top w:w="50" w:type="dxa"/>
              <w:bottom w:w="50" w:type="dxa"/>
              <w:left w:w="90" w:type="dxa"/>
              <w:right w:w="90" w:type="dxa"/>
            </w:tcMar>
          </w:tcPr>
          <w:p>
            <w:pPr>
              <w:pStyle w:val="BDOITable"/>
            </w:pPr>
            <w:r>
              <w:rPr>
                <w:sz w:val="18"/>
              </w:rPr>
              <w:t>SCREENING</w:t>
            </w:r>
          </w:p>
        </w:tc>
        <w:tc>
          <w:tcPr>
            <w:tcW w:type="dxa" w:w="767"/>
            <w:tcMar>
              <w:top w:w="50" w:type="dxa"/>
              <w:bottom w:w="50" w:type="dxa"/>
              <w:left w:w="90" w:type="dxa"/>
              <w:right w:w="90" w:type="dxa"/>
            </w:tcMar>
          </w:tcPr>
          <w:p>
            <w:pPr>
              <w:pStyle w:val="BDOITable"/>
            </w:pPr>
            <w:r>
              <w:rPr>
                <w:sz w:val="18"/>
              </w:rPr>
              <w:t>34</w:t>
            </w:r>
          </w:p>
        </w:tc>
        <w:tc>
          <w:tcPr>
            <w:tcW w:type="dxa" w:w="1023"/>
            <w:tcMar>
              <w:top w:w="50" w:type="dxa"/>
              <w:bottom w:w="50" w:type="dxa"/>
              <w:left w:w="90" w:type="dxa"/>
              <w:right w:w="90" w:type="dxa"/>
            </w:tcMar>
          </w:tcPr>
          <w:p>
            <w:pPr>
              <w:pStyle w:val="BDOITable"/>
            </w:pPr>
            <w:r>
              <w:rPr>
                <w:sz w:val="18"/>
              </w:rPr>
              <w:t>553</w:t>
            </w:r>
          </w:p>
        </w:tc>
      </w:tr>
      <w:tr>
        <w:trPr>
          <w:cantSplit w:val="true"/>
        </w:trPr>
        <w:tc>
          <w:tcPr>
            <w:tcW w:type="dxa" w:w="639"/>
            <w:tcMar>
              <w:top w:w="50" w:type="dxa"/>
              <w:bottom w:w="50" w:type="dxa"/>
              <w:left w:w="90" w:type="dxa"/>
              <w:right w:w="90" w:type="dxa"/>
            </w:tcMar>
            <w:shd w:val="clear" w:color="auto" w:fill="E5F5FF"/>
          </w:tcPr>
          <w:p>
            <w:pPr>
              <w:pStyle w:val="BDOITable"/>
            </w:pPr>
            <w:r>
              <w:rPr>
                <w:b/>
                <w:sz w:val="18"/>
              </w:rPr>
              <w:t>D16</w:t>
            </w:r>
          </w:p>
        </w:tc>
        <w:tc>
          <w:tcPr>
            <w:tcW w:type="dxa" w:w="2301"/>
            <w:tcMar>
              <w:top w:w="50" w:type="dxa"/>
              <w:bottom w:w="50" w:type="dxa"/>
              <w:left w:w="90" w:type="dxa"/>
              <w:right w:w="90" w:type="dxa"/>
            </w:tcMar>
            <w:shd w:val="clear" w:color="auto" w:fill="E5F5FF"/>
          </w:tcPr>
          <w:p>
            <w:pPr>
              <w:pStyle w:val="BDOITable"/>
            </w:pPr>
            <w:r>
              <w:rPr>
                <w:sz w:val="18"/>
              </w:rPr>
              <w:t>Submitted Policies</w:t>
            </w:r>
          </w:p>
        </w:tc>
        <w:tc>
          <w:tcPr>
            <w:tcW w:type="dxa" w:w="1151"/>
            <w:tcMar>
              <w:top w:w="50" w:type="dxa"/>
              <w:bottom w:w="50" w:type="dxa"/>
              <w:left w:w="90" w:type="dxa"/>
              <w:right w:w="90" w:type="dxa"/>
            </w:tcMar>
            <w:shd w:val="clear" w:color="auto" w:fill="E5F5FF"/>
          </w:tcPr>
          <w:p>
            <w:pPr>
              <w:pStyle w:val="BDOITable"/>
            </w:pPr>
            <w:r>
              <w:rPr>
                <w:sz w:val="18"/>
              </w:rPr>
              <w:t>BRD-12</w:t>
            </w:r>
          </w:p>
        </w:tc>
        <w:tc>
          <w:tcPr>
            <w:tcW w:type="dxa" w:w="4091"/>
            <w:tcMar>
              <w:top w:w="50" w:type="dxa"/>
              <w:bottom w:w="50" w:type="dxa"/>
              <w:left w:w="90" w:type="dxa"/>
              <w:right w:w="90" w:type="dxa"/>
            </w:tcMar>
            <w:shd w:val="clear" w:color="auto" w:fill="E5F5FF"/>
          </w:tcPr>
          <w:p>
            <w:pPr>
              <w:pStyle w:val="BDOITable"/>
            </w:pPr>
            <w:r>
              <w:rPr>
                <w:sz w:val="18"/>
              </w:rPr>
              <w:t>SUBMITTED</w:t>
            </w:r>
          </w:p>
        </w:tc>
        <w:tc>
          <w:tcPr>
            <w:tcW w:type="dxa" w:w="767"/>
            <w:tcMar>
              <w:top w:w="50" w:type="dxa"/>
              <w:bottom w:w="50" w:type="dxa"/>
              <w:left w:w="90" w:type="dxa"/>
              <w:right w:w="90" w:type="dxa"/>
            </w:tcMar>
            <w:shd w:val="clear" w:color="auto" w:fill="E5F5FF"/>
          </w:tcPr>
          <w:p>
            <w:pPr>
              <w:pStyle w:val="BDOITable"/>
            </w:pPr>
            <w:r>
              <w:rPr>
                <w:sz w:val="18"/>
              </w:rPr>
              <w:t>30</w:t>
            </w:r>
          </w:p>
        </w:tc>
        <w:tc>
          <w:tcPr>
            <w:tcW w:type="dxa" w:w="1023"/>
            <w:tcMar>
              <w:top w:w="50" w:type="dxa"/>
              <w:bottom w:w="50" w:type="dxa"/>
              <w:left w:w="90" w:type="dxa"/>
              <w:right w:w="90" w:type="dxa"/>
            </w:tcMar>
            <w:shd w:val="clear" w:color="auto" w:fill="E5F5FF"/>
          </w:tcPr>
          <w:p>
            <w:pPr>
              <w:pStyle w:val="BDOITable"/>
            </w:pPr>
            <w:r>
              <w:rPr>
                <w:sz w:val="18"/>
              </w:rPr>
              <w:t>552</w:t>
            </w:r>
          </w:p>
        </w:tc>
      </w:tr>
      <w:tr>
        <w:trPr>
          <w:cantSplit w:val="true"/>
        </w:trPr>
        <w:tc>
          <w:tcPr>
            <w:tcW w:type="dxa" w:w="639"/>
            <w:tcMar>
              <w:top w:w="50" w:type="dxa"/>
              <w:bottom w:w="50" w:type="dxa"/>
              <w:left w:w="90" w:type="dxa"/>
              <w:right w:w="90" w:type="dxa"/>
            </w:tcMar>
          </w:tcPr>
          <w:p>
            <w:pPr>
              <w:pStyle w:val="BDOITable"/>
            </w:pPr>
            <w:r>
              <w:rPr>
                <w:b/>
                <w:sz w:val="18"/>
              </w:rPr>
              <w:t>D17</w:t>
            </w:r>
          </w:p>
        </w:tc>
        <w:tc>
          <w:tcPr>
            <w:tcW w:type="dxa" w:w="2301"/>
            <w:tcMar>
              <w:top w:w="50" w:type="dxa"/>
              <w:bottom w:w="50" w:type="dxa"/>
              <w:left w:w="90" w:type="dxa"/>
              <w:right w:w="90" w:type="dxa"/>
            </w:tcMar>
          </w:tcPr>
          <w:p>
            <w:pPr>
              <w:pStyle w:val="BDOITable"/>
            </w:pPr>
            <w:r>
              <w:rPr>
                <w:sz w:val="18"/>
              </w:rPr>
              <w:t>Data Migration</w:t>
            </w:r>
          </w:p>
        </w:tc>
        <w:tc>
          <w:tcPr>
            <w:tcW w:type="dxa" w:w="1151"/>
            <w:tcMar>
              <w:top w:w="50" w:type="dxa"/>
              <w:bottom w:w="50" w:type="dxa"/>
              <w:left w:w="90" w:type="dxa"/>
              <w:right w:w="90" w:type="dxa"/>
            </w:tcMar>
          </w:tcPr>
          <w:p>
            <w:pPr>
              <w:pStyle w:val="BDOITable"/>
            </w:pPr>
            <w:r>
              <w:rPr>
                <w:sz w:val="18"/>
              </w:rPr>
              <w:t>BRD-13</w:t>
            </w:r>
          </w:p>
        </w:tc>
        <w:tc>
          <w:tcPr>
            <w:tcW w:type="dxa" w:w="4091"/>
            <w:tcMar>
              <w:top w:w="50" w:type="dxa"/>
              <w:bottom w:w="50" w:type="dxa"/>
              <w:left w:w="90" w:type="dxa"/>
              <w:right w:w="90" w:type="dxa"/>
            </w:tcMar>
          </w:tcPr>
          <w:p>
            <w:pPr>
              <w:pStyle w:val="BDOITable"/>
            </w:pPr>
            <w:r>
              <w:rPr>
                <w:sz w:val="18"/>
              </w:rPr>
              <w:t>MIGRATION</w:t>
            </w:r>
          </w:p>
        </w:tc>
        <w:tc>
          <w:tcPr>
            <w:tcW w:type="dxa" w:w="767"/>
            <w:tcMar>
              <w:top w:w="50" w:type="dxa"/>
              <w:bottom w:w="50" w:type="dxa"/>
              <w:left w:w="90" w:type="dxa"/>
              <w:right w:w="90" w:type="dxa"/>
            </w:tcMar>
          </w:tcPr>
          <w:p>
            <w:pPr>
              <w:pStyle w:val="BDOITable"/>
            </w:pPr>
            <w:r>
              <w:rPr>
                <w:sz w:val="18"/>
              </w:rPr>
              <w:t>35</w:t>
            </w:r>
          </w:p>
        </w:tc>
        <w:tc>
          <w:tcPr>
            <w:tcW w:type="dxa" w:w="1023"/>
            <w:tcMar>
              <w:top w:w="50" w:type="dxa"/>
              <w:bottom w:w="50" w:type="dxa"/>
              <w:left w:w="90" w:type="dxa"/>
              <w:right w:w="90" w:type="dxa"/>
            </w:tcMar>
          </w:tcPr>
          <w:p>
            <w:pPr>
              <w:pStyle w:val="BDOITable"/>
            </w:pPr>
            <w:r>
              <w:rPr>
                <w:sz w:val="18"/>
              </w:rPr>
              <w:t>601</w:t>
            </w:r>
          </w:p>
        </w:tc>
      </w:tr>
      <w:tr>
        <w:trPr>
          <w:cantSplit w:val="true"/>
        </w:trPr>
        <w:tc>
          <w:tcPr>
            <w:tcW w:type="dxa" w:w="639"/>
            <w:tcMar>
              <w:top w:w="50" w:type="dxa"/>
              <w:bottom w:w="50" w:type="dxa"/>
              <w:left w:w="90" w:type="dxa"/>
              <w:right w:w="90" w:type="dxa"/>
            </w:tcMar>
            <w:shd w:val="clear" w:color="auto" w:fill="E5F5FF"/>
          </w:tcPr>
          <w:p>
            <w:pPr>
              <w:pStyle w:val="BDOITable"/>
            </w:pPr>
          </w:p>
        </w:tc>
        <w:tc>
          <w:tcPr>
            <w:tcW w:type="dxa" w:w="2301"/>
            <w:tcMar>
              <w:top w:w="50" w:type="dxa"/>
              <w:bottom w:w="50" w:type="dxa"/>
              <w:left w:w="90" w:type="dxa"/>
              <w:right w:w="90" w:type="dxa"/>
            </w:tcMar>
            <w:shd w:val="clear" w:color="auto" w:fill="E5F5FF"/>
          </w:tcPr>
          <w:p>
            <w:pPr>
              <w:pStyle w:val="BDOITable"/>
            </w:pPr>
            <w:r>
              <w:rPr>
                <w:sz w:val="18"/>
              </w:rPr>
              <w:t>Total</w:t>
            </w:r>
          </w:p>
        </w:tc>
        <w:tc>
          <w:tcPr>
            <w:tcW w:type="dxa" w:w="1151"/>
            <w:tcMar>
              <w:top w:w="50" w:type="dxa"/>
              <w:bottom w:w="50" w:type="dxa"/>
              <w:left w:w="90" w:type="dxa"/>
              <w:right w:w="90" w:type="dxa"/>
            </w:tcMar>
            <w:shd w:val="clear" w:color="auto" w:fill="E5F5FF"/>
          </w:tcPr>
          <w:p>
            <w:pPr>
              <w:pStyle w:val="BDOITable"/>
            </w:pPr>
          </w:p>
        </w:tc>
        <w:tc>
          <w:tcPr>
            <w:tcW w:type="dxa" w:w="4091"/>
            <w:tcMar>
              <w:top w:w="50" w:type="dxa"/>
              <w:bottom w:w="50" w:type="dxa"/>
              <w:left w:w="90" w:type="dxa"/>
              <w:right w:w="90" w:type="dxa"/>
            </w:tcMar>
            <w:shd w:val="clear" w:color="auto" w:fill="E5F5FF"/>
          </w:tcPr>
          <w:p>
            <w:pPr>
              <w:pStyle w:val="BDOITable"/>
            </w:pPr>
          </w:p>
        </w:tc>
        <w:tc>
          <w:tcPr>
            <w:tcW w:type="dxa" w:w="767"/>
            <w:tcMar>
              <w:top w:w="50" w:type="dxa"/>
              <w:bottom w:w="50" w:type="dxa"/>
              <w:left w:w="90" w:type="dxa"/>
              <w:right w:w="90" w:type="dxa"/>
            </w:tcMar>
            <w:shd w:val="clear" w:color="auto" w:fill="E5F5FF"/>
          </w:tcPr>
          <w:p>
            <w:pPr>
              <w:pStyle w:val="BDOITable"/>
            </w:pPr>
            <w:r>
              <w:rPr>
                <w:sz w:val="18"/>
              </w:rPr>
              <w:t>561</w:t>
            </w:r>
          </w:p>
        </w:tc>
        <w:tc>
          <w:tcPr>
            <w:tcW w:type="dxa" w:w="1023"/>
            <w:tcMar>
              <w:top w:w="50" w:type="dxa"/>
              <w:bottom w:w="50" w:type="dxa"/>
              <w:left w:w="90" w:type="dxa"/>
              <w:right w:w="90" w:type="dxa"/>
            </w:tcMar>
            <w:shd w:val="clear" w:color="auto" w:fill="E5F5FF"/>
          </w:tcPr>
          <w:p>
            <w:pPr>
              <w:pStyle w:val="BDOITable"/>
            </w:pPr>
            <w:r>
              <w:rPr>
                <w:sz w:val="18"/>
              </w:rPr>
              <w:t>9486</w:t>
            </w:r>
          </w:p>
        </w:tc>
      </w:tr>
    </w:tbl>
    <w:p>
      <w:pPr>
        <w:pStyle w:val="BDOISpacer"/>
      </w:pPr>
    </w:p>
    <w:p>
      <w:pPr>
        <w:pStyle w:val="Heading2"/>
      </w:pPr>
      <w:bookmarkStart w:id="110" w:name="_Toc000110"/>
      <w:r>
        <w:rPr/>
        <w:t>3.3 Logical model per domain</w:t>
      </w:r>
      <w:bookmarkEnd w:id="110"/>
    </w:p>
    <w:p>
      <w:pPr>
        <w:pStyle w:val="Caption"/>
        <w:keepNext/>
        <w:spacing w:after="60"/>
      </w:pPr>
      <w:r>
        <w:rPr>
          <w:b/>
          <w:i w:val="0"/>
        </w:rPr>
        <w:t xml:space="preserve">Table 6: </w:t>
      </w:r>
      <w:r>
        <w:rPr/>
        <w:t>Main logical entities and business keys per domain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30"/>
        <w:gridCol w:w="4343"/>
        <w:gridCol w:w="3699"/>
      </w:tblGrid>
      <w:tr>
        <w:trPr>
          <w:tblHeader w:val="true"/>
          <w:cantSplit w:val="true"/>
        </w:trPr>
        <w:tc>
          <w:tcPr>
            <w:tcW w:type="dxa" w:w="1930"/>
            <w:shd w:val="clear" w:color="auto" w:fill="004EA8"/>
            <w:tcMar>
              <w:top w:w="50" w:type="dxa"/>
              <w:bottom w:w="50" w:type="dxa"/>
              <w:left w:w="90" w:type="dxa"/>
              <w:right w:w="90" w:type="dxa"/>
            </w:tcMar>
            <w:vAlign w:val="center"/>
          </w:tcPr>
          <w:p>
            <w:pPr>
              <w:pStyle w:val="BDOITableHeader"/>
            </w:pPr>
            <w:r>
              <w:rPr>
                <w:b/>
                <w:color w:val="FFFFFF"/>
                <w:sz w:val="17"/>
              </w:rPr>
              <w:t>Domain</w:t>
            </w:r>
          </w:p>
        </w:tc>
        <w:tc>
          <w:tcPr>
            <w:tcW w:type="dxa" w:w="4343"/>
            <w:shd w:val="clear" w:color="auto" w:fill="004EA8"/>
            <w:tcMar>
              <w:top w:w="50" w:type="dxa"/>
              <w:bottom w:w="50" w:type="dxa"/>
              <w:left w:w="90" w:type="dxa"/>
              <w:right w:w="90" w:type="dxa"/>
            </w:tcMar>
            <w:vAlign w:val="center"/>
          </w:tcPr>
          <w:p>
            <w:pPr>
              <w:pStyle w:val="BDOITableHeader"/>
            </w:pPr>
            <w:r>
              <w:rPr>
                <w:b/>
                <w:color w:val="FFFFFF"/>
                <w:sz w:val="17"/>
              </w:rPr>
              <w:t>Main entities (logical)</w:t>
            </w:r>
          </w:p>
        </w:tc>
        <w:tc>
          <w:tcPr>
            <w:tcW w:type="dxa" w:w="3699"/>
            <w:shd w:val="clear" w:color="auto" w:fill="004EA8"/>
            <w:tcMar>
              <w:top w:w="50" w:type="dxa"/>
              <w:bottom w:w="50" w:type="dxa"/>
              <w:left w:w="90" w:type="dxa"/>
              <w:right w:w="90" w:type="dxa"/>
            </w:tcMar>
            <w:vAlign w:val="center"/>
          </w:tcPr>
          <w:p>
            <w:pPr>
              <w:pStyle w:val="BDOITableHeader"/>
            </w:pPr>
            <w:r>
              <w:rPr>
                <w:b/>
                <w:color w:val="FFFFFF"/>
                <w:sz w:val="17"/>
              </w:rPr>
              <w:t>Business keys and rules</w:t>
            </w:r>
          </w:p>
        </w:tc>
      </w:tr>
      <w:tr>
        <w:trPr>
          <w:cantSplit w:val="true"/>
        </w:trPr>
        <w:tc>
          <w:tcPr>
            <w:tcW w:type="dxa" w:w="1930"/>
            <w:tcMar>
              <w:top w:w="50" w:type="dxa"/>
              <w:bottom w:w="50" w:type="dxa"/>
              <w:left w:w="90" w:type="dxa"/>
              <w:right w:w="90" w:type="dxa"/>
            </w:tcMar>
          </w:tcPr>
          <w:p>
            <w:pPr>
              <w:pStyle w:val="BDOITable"/>
            </w:pPr>
            <w:r>
              <w:rPr>
                <w:b/>
                <w:sz w:val="17"/>
              </w:rPr>
              <w:t>D01 Security and User Access</w:t>
            </w:r>
          </w:p>
        </w:tc>
        <w:tc>
          <w:tcPr>
            <w:tcW w:type="dxa" w:w="4343"/>
            <w:tcMar>
              <w:top w:w="50" w:type="dxa"/>
              <w:bottom w:w="50" w:type="dxa"/>
              <w:left w:w="90" w:type="dxa"/>
              <w:right w:w="90" w:type="dxa"/>
            </w:tcMar>
          </w:tcPr>
          <w:p>
            <w:pPr>
              <w:pStyle w:val="BDOITable"/>
            </w:pPr>
            <w:r>
              <w:rPr>
                <w:sz w:val="17"/>
              </w:rPr>
              <w:t>User, Role (group profile), Permission, Data scope grant, Sign-in session, Access request with approvers and events, SoD rule, Access change log, Retention rule</w:t>
            </w:r>
          </w:p>
        </w:tc>
        <w:tc>
          <w:tcPr>
            <w:tcW w:type="dxa" w:w="3699"/>
            <w:tcMar>
              <w:top w:w="50" w:type="dxa"/>
              <w:bottom w:w="50" w:type="dxa"/>
              <w:left w:w="90" w:type="dxa"/>
              <w:right w:w="90" w:type="dxa"/>
            </w:tcMar>
          </w:tcPr>
          <w:p>
            <w:pPr>
              <w:pStyle w:val="BDOITable"/>
            </w:pPr>
            <w:r>
              <w:rPr>
                <w:sz w:val="17"/>
              </w:rPr>
              <w:t>User name (unique), Windows ID (unique); a request is the only way to change access</w:t>
            </w:r>
          </w:p>
        </w:tc>
      </w:tr>
      <w:tr>
        <w:trPr>
          <w:cantSplit w:val="true"/>
        </w:trPr>
        <w:tc>
          <w:tcPr>
            <w:tcW w:type="dxa" w:w="1930"/>
            <w:tcMar>
              <w:top w:w="50" w:type="dxa"/>
              <w:bottom w:w="50" w:type="dxa"/>
              <w:left w:w="90" w:type="dxa"/>
              <w:right w:w="90" w:type="dxa"/>
            </w:tcMar>
            <w:shd w:val="clear" w:color="auto" w:fill="E5F5FF"/>
          </w:tcPr>
          <w:p>
            <w:pPr>
              <w:pStyle w:val="BDOITable"/>
            </w:pPr>
            <w:r>
              <w:rPr>
                <w:b/>
                <w:sz w:val="17"/>
              </w:rPr>
              <w:t>D02 Platform Services</w:t>
            </w:r>
          </w:p>
        </w:tc>
        <w:tc>
          <w:tcPr>
            <w:tcW w:type="dxa" w:w="4343"/>
            <w:tcMar>
              <w:top w:w="50" w:type="dxa"/>
              <w:bottom w:w="50" w:type="dxa"/>
              <w:left w:w="90" w:type="dxa"/>
              <w:right w:w="90" w:type="dxa"/>
            </w:tcMar>
            <w:shd w:val="clear" w:color="auto" w:fill="E5F5FF"/>
          </w:tcPr>
          <w:p>
            <w:pPr>
              <w:pStyle w:val="BDOITable"/>
            </w:pPr>
            <w:r>
              <w:rPr>
                <w:sz w:val="17"/>
              </w:rPr>
              <w:t>Parameter, Scheduled job and run, Audit entry, List of values, Workflow case and history, Notification, Alert, Bulk job, Attachment, Stored file, Document template, Report run, Outbox event, Document sequence</w:t>
            </w:r>
          </w:p>
        </w:tc>
        <w:tc>
          <w:tcPr>
            <w:tcW w:type="dxa" w:w="3699"/>
            <w:tcMar>
              <w:top w:w="50" w:type="dxa"/>
              <w:bottom w:w="50" w:type="dxa"/>
              <w:left w:w="90" w:type="dxa"/>
              <w:right w:w="90" w:type="dxa"/>
            </w:tcMar>
            <w:shd w:val="clear" w:color="auto" w:fill="E5F5FF"/>
          </w:tcPr>
          <w:p>
            <w:pPr>
              <w:pStyle w:val="BDOITable"/>
            </w:pPr>
            <w:r>
              <w:rPr>
                <w:sz w:val="17"/>
              </w:rPr>
              <w:t>Document numbers gapless per sequence; stored files identified by a random key and SHA-256</w:t>
            </w:r>
          </w:p>
        </w:tc>
      </w:tr>
      <w:tr>
        <w:trPr>
          <w:cantSplit w:val="true"/>
        </w:trPr>
        <w:tc>
          <w:tcPr>
            <w:tcW w:type="dxa" w:w="1930"/>
            <w:tcMar>
              <w:top w:w="50" w:type="dxa"/>
              <w:bottom w:w="50" w:type="dxa"/>
              <w:left w:w="90" w:type="dxa"/>
              <w:right w:w="90" w:type="dxa"/>
            </w:tcMar>
          </w:tcPr>
          <w:p>
            <w:pPr>
              <w:pStyle w:val="BDOITable"/>
            </w:pPr>
            <w:r>
              <w:rPr>
                <w:b/>
                <w:sz w:val="17"/>
              </w:rPr>
              <w:t>D03 Organisation and Reference Data</w:t>
            </w:r>
          </w:p>
        </w:tc>
        <w:tc>
          <w:tcPr>
            <w:tcW w:type="dxa" w:w="4343"/>
            <w:tcMar>
              <w:top w:w="50" w:type="dxa"/>
              <w:bottom w:w="50" w:type="dxa"/>
              <w:left w:w="90" w:type="dxa"/>
              <w:right w:w="90" w:type="dxa"/>
            </w:tcMar>
          </w:tcPr>
          <w:p>
            <w:pPr>
              <w:pStyle w:val="BDOITable"/>
            </w:pPr>
            <w:r>
              <w:rPr>
                <w:sz w:val="17"/>
              </w:rPr>
              <w:t>Company, Branch (Office Master), Employee, Holiday calendar, Currency, Exchange rate, Cost centre and dimensions, Fiscal year, Period</w:t>
            </w:r>
          </w:p>
        </w:tc>
        <w:tc>
          <w:tcPr>
            <w:tcW w:type="dxa" w:w="3699"/>
            <w:tcMar>
              <w:top w:w="50" w:type="dxa"/>
              <w:bottom w:w="50" w:type="dxa"/>
              <w:left w:w="90" w:type="dxa"/>
              <w:right w:w="90" w:type="dxa"/>
            </w:tcMar>
          </w:tcPr>
          <w:p>
            <w:pPr>
              <w:pStyle w:val="BDOITable"/>
            </w:pPr>
            <w:r>
              <w:rPr>
                <w:sz w:val="17"/>
              </w:rPr>
              <w:t>Company and branch codes; one open period sequence per company</w:t>
            </w:r>
          </w:p>
        </w:tc>
      </w:tr>
      <w:tr>
        <w:trPr>
          <w:cantSplit w:val="true"/>
        </w:trPr>
        <w:tc>
          <w:tcPr>
            <w:tcW w:type="dxa" w:w="1930"/>
            <w:tcMar>
              <w:top w:w="50" w:type="dxa"/>
              <w:bottom w:w="50" w:type="dxa"/>
              <w:left w:w="90" w:type="dxa"/>
              <w:right w:w="90" w:type="dxa"/>
            </w:tcMar>
            <w:shd w:val="clear" w:color="auto" w:fill="E5F5FF"/>
          </w:tcPr>
          <w:p>
            <w:pPr>
              <w:pStyle w:val="BDOITable"/>
            </w:pPr>
            <w:r>
              <w:rPr>
                <w:b/>
                <w:sz w:val="17"/>
              </w:rPr>
              <w:t>D04 Client and Party</w:t>
            </w:r>
          </w:p>
        </w:tc>
        <w:tc>
          <w:tcPr>
            <w:tcW w:type="dxa" w:w="4343"/>
            <w:tcMar>
              <w:top w:w="50" w:type="dxa"/>
              <w:bottom w:w="50" w:type="dxa"/>
              <w:left w:w="90" w:type="dxa"/>
              <w:right w:w="90" w:type="dxa"/>
            </w:tcMar>
            <w:shd w:val="clear" w:color="auto" w:fill="E5F5FF"/>
          </w:tcPr>
          <w:p>
            <w:pPr>
              <w:pStyle w:val="BDOITable"/>
            </w:pPr>
            <w:r>
              <w:rPr>
                <w:sz w:val="17"/>
              </w:rPr>
              <w:t>Client (individual or corporate) with KYC profile, KYC document, Contact, Tag, Special instruction, Business partner</w:t>
            </w:r>
          </w:p>
        </w:tc>
        <w:tc>
          <w:tcPr>
            <w:tcW w:type="dxa" w:w="3699"/>
            <w:tcMar>
              <w:top w:w="50" w:type="dxa"/>
              <w:bottom w:w="50" w:type="dxa"/>
              <w:left w:w="90" w:type="dxa"/>
              <w:right w:w="90" w:type="dxa"/>
            </w:tcMar>
            <w:shd w:val="clear" w:color="auto" w:fill="E5F5FF"/>
          </w:tcPr>
          <w:p>
            <w:pPr>
              <w:pStyle w:val="BDOITable"/>
            </w:pPr>
            <w:r>
              <w:rPr>
                <w:sz w:val="17"/>
              </w:rPr>
              <w:t>Prospect PR-yyyy-nnnnnn, client CL-yyyy-nnnnnn; hard duplicate keys block creation</w:t>
            </w:r>
          </w:p>
        </w:tc>
      </w:tr>
      <w:tr>
        <w:trPr>
          <w:cantSplit w:val="true"/>
        </w:trPr>
        <w:tc>
          <w:tcPr>
            <w:tcW w:type="dxa" w:w="1930"/>
            <w:tcMar>
              <w:top w:w="50" w:type="dxa"/>
              <w:bottom w:w="50" w:type="dxa"/>
              <w:left w:w="90" w:type="dxa"/>
              <w:right w:w="90" w:type="dxa"/>
            </w:tcMar>
          </w:tcPr>
          <w:p>
            <w:pPr>
              <w:pStyle w:val="BDOITable"/>
            </w:pPr>
            <w:r>
              <w:rPr>
                <w:b/>
                <w:sz w:val="17"/>
              </w:rPr>
              <w:t>D05 Product Catalogue and Maintenance</w:t>
            </w:r>
          </w:p>
        </w:tc>
        <w:tc>
          <w:tcPr>
            <w:tcW w:type="dxa" w:w="4343"/>
            <w:tcMar>
              <w:top w:w="50" w:type="dxa"/>
              <w:bottom w:w="50" w:type="dxa"/>
              <w:left w:w="90" w:type="dxa"/>
              <w:right w:w="90" w:type="dxa"/>
            </w:tcMar>
          </w:tcPr>
          <w:p>
            <w:pPr>
              <w:pStyle w:val="BDOITable"/>
            </w:pPr>
            <w:r>
              <w:rPr>
                <w:sz w:val="17"/>
              </w:rPr>
              <w:t>Insurer and insurer branch, Product line, Product, Package and package version, Coverage, Rate, Commission and incentive set-up, Package request</w:t>
            </w:r>
          </w:p>
        </w:tc>
        <w:tc>
          <w:tcPr>
            <w:tcW w:type="dxa" w:w="3699"/>
            <w:tcMar>
              <w:top w:w="50" w:type="dxa"/>
              <w:bottom w:w="50" w:type="dxa"/>
              <w:left w:w="90" w:type="dxa"/>
              <w:right w:w="90" w:type="dxa"/>
            </w:tcMar>
          </w:tcPr>
          <w:p>
            <w:pPr>
              <w:pStyle w:val="BDOITable"/>
            </w:pPr>
            <w:r>
              <w:rPr>
                <w:sz w:val="17"/>
              </w:rPr>
              <w:t>Package version effective dates; one active version per date</w:t>
            </w:r>
          </w:p>
        </w:tc>
      </w:tr>
      <w:tr>
        <w:trPr>
          <w:cantSplit w:val="true"/>
        </w:trPr>
        <w:tc>
          <w:tcPr>
            <w:tcW w:type="dxa" w:w="1930"/>
            <w:tcMar>
              <w:top w:w="50" w:type="dxa"/>
              <w:bottom w:w="50" w:type="dxa"/>
              <w:left w:w="90" w:type="dxa"/>
              <w:right w:w="90" w:type="dxa"/>
            </w:tcMar>
            <w:shd w:val="clear" w:color="auto" w:fill="E5F5FF"/>
          </w:tcPr>
          <w:p>
            <w:pPr>
              <w:pStyle w:val="BDOITable"/>
            </w:pPr>
            <w:r>
              <w:rPr>
                <w:b/>
                <w:sz w:val="17"/>
              </w:rPr>
              <w:t>D06 New Business</w:t>
            </w:r>
          </w:p>
        </w:tc>
        <w:tc>
          <w:tcPr>
            <w:tcW w:type="dxa" w:w="4343"/>
            <w:tcMar>
              <w:top w:w="50" w:type="dxa"/>
              <w:bottom w:w="50" w:type="dxa"/>
              <w:left w:w="90" w:type="dxa"/>
              <w:right w:w="90" w:type="dxa"/>
            </w:tcMar>
            <w:shd w:val="clear" w:color="auto" w:fill="E5F5FF"/>
          </w:tcPr>
          <w:p>
            <w:pPr>
              <w:pStyle w:val="BDOITable"/>
            </w:pPr>
            <w:r>
              <w:rPr>
                <w:sz w:val="17"/>
              </w:rPr>
              <w:t>Quotation, Proposal request (PRF), Account (ARN) with risk items, Placement slip, Hold cover, Payment gate, Policy issuance, Booking batch, Invoice with components, shares and journals</w:t>
            </w:r>
          </w:p>
        </w:tc>
        <w:tc>
          <w:tcPr>
            <w:tcW w:type="dxa" w:w="3699"/>
            <w:tcMar>
              <w:top w:w="50" w:type="dxa"/>
              <w:bottom w:w="50" w:type="dxa"/>
              <w:left w:w="90" w:type="dxa"/>
              <w:right w:w="90" w:type="dxa"/>
            </w:tcMar>
            <w:shd w:val="clear" w:color="auto" w:fill="E5F5FF"/>
          </w:tcPr>
          <w:p>
            <w:pPr>
              <w:pStyle w:val="BDOITable"/>
            </w:pPr>
            <w:r>
              <w:rPr>
                <w:sz w:val="17"/>
              </w:rPr>
              <w:t>ARN per account; invoice number BIR-sequential per company; root invoice number links the invoice family</w:t>
            </w:r>
          </w:p>
        </w:tc>
      </w:tr>
      <w:tr>
        <w:trPr>
          <w:cantSplit w:val="true"/>
        </w:trPr>
        <w:tc>
          <w:tcPr>
            <w:tcW w:type="dxa" w:w="1930"/>
            <w:tcMar>
              <w:top w:w="50" w:type="dxa"/>
              <w:bottom w:w="50" w:type="dxa"/>
              <w:left w:w="90" w:type="dxa"/>
              <w:right w:w="90" w:type="dxa"/>
            </w:tcMar>
          </w:tcPr>
          <w:p>
            <w:pPr>
              <w:pStyle w:val="BDOITable"/>
            </w:pPr>
            <w:r>
              <w:rPr>
                <w:b/>
                <w:sz w:val="17"/>
              </w:rPr>
              <w:t>D07 Operations</w:t>
            </w:r>
          </w:p>
        </w:tc>
        <w:tc>
          <w:tcPr>
            <w:tcW w:type="dxa" w:w="4343"/>
            <w:tcMar>
              <w:top w:w="50" w:type="dxa"/>
              <w:bottom w:w="50" w:type="dxa"/>
              <w:left w:w="90" w:type="dxa"/>
              <w:right w:w="90" w:type="dxa"/>
            </w:tcMar>
          </w:tcPr>
          <w:p>
            <w:pPr>
              <w:pStyle w:val="BDOITable"/>
            </w:pPr>
            <w:r>
              <w:rPr>
                <w:sz w:val="17"/>
              </w:rPr>
              <w:t>Invoice ledger and movements, Receipt series, AR and OR, Payment intake, Application, Unapplied payment, Remittance batch, Production reconciliation, Endorsement request, Commission receivable, Incentive scheme</w:t>
            </w:r>
          </w:p>
        </w:tc>
        <w:tc>
          <w:tcPr>
            <w:tcW w:type="dxa" w:w="3699"/>
            <w:tcMar>
              <w:top w:w="50" w:type="dxa"/>
              <w:bottom w:w="50" w:type="dxa"/>
              <w:left w:w="90" w:type="dxa"/>
              <w:right w:w="90" w:type="dxa"/>
            </w:tcMar>
          </w:tcPr>
          <w:p>
            <w:pPr>
              <w:pStyle w:val="BDOITable"/>
            </w:pPr>
            <w:r>
              <w:rPr>
                <w:sz w:val="17"/>
              </w:rPr>
              <w:t>OR and AR numbers from receipt series; an invoice carries remittance, hold and payment status</w:t>
            </w:r>
          </w:p>
        </w:tc>
      </w:tr>
      <w:tr>
        <w:trPr>
          <w:cantSplit w:val="true"/>
        </w:trPr>
        <w:tc>
          <w:tcPr>
            <w:tcW w:type="dxa" w:w="1930"/>
            <w:tcMar>
              <w:top w:w="50" w:type="dxa"/>
              <w:bottom w:w="50" w:type="dxa"/>
              <w:left w:w="90" w:type="dxa"/>
              <w:right w:w="90" w:type="dxa"/>
            </w:tcMar>
            <w:shd w:val="clear" w:color="auto" w:fill="E5F5FF"/>
          </w:tcPr>
          <w:p>
            <w:pPr>
              <w:pStyle w:val="BDOITable"/>
            </w:pPr>
            <w:r>
              <w:rPr>
                <w:b/>
                <w:sz w:val="17"/>
              </w:rPr>
              <w:t>D08 Collections</w:t>
            </w:r>
          </w:p>
        </w:tc>
        <w:tc>
          <w:tcPr>
            <w:tcW w:type="dxa" w:w="4343"/>
            <w:tcMar>
              <w:top w:w="50" w:type="dxa"/>
              <w:bottom w:w="50" w:type="dxa"/>
              <w:left w:w="90" w:type="dxa"/>
              <w:right w:w="90" w:type="dxa"/>
            </w:tcMar>
            <w:shd w:val="clear" w:color="auto" w:fill="E5F5FF"/>
          </w:tcPr>
          <w:p>
            <w:pPr>
              <w:pStyle w:val="BDOITable"/>
            </w:pPr>
            <w:r>
              <w:rPr>
                <w:sz w:val="17"/>
              </w:rPr>
              <w:t>Collection item and account, Disposition, Promise to pay, Instalment, Escalation, Billing statement</w:t>
            </w:r>
          </w:p>
        </w:tc>
        <w:tc>
          <w:tcPr>
            <w:tcW w:type="dxa" w:w="3699"/>
            <w:tcMar>
              <w:top w:w="50" w:type="dxa"/>
              <w:bottom w:w="50" w:type="dxa"/>
              <w:left w:w="90" w:type="dxa"/>
              <w:right w:w="90" w:type="dxa"/>
            </w:tcMar>
            <w:shd w:val="clear" w:color="auto" w:fill="E5F5FF"/>
          </w:tcPr>
          <w:p>
            <w:pPr>
              <w:pStyle w:val="BDOITable"/>
            </w:pPr>
            <w:r>
              <w:rPr>
                <w:sz w:val="17"/>
              </w:rPr>
              <w:t>One collection item per ledger invoice ever listed</w:t>
            </w:r>
          </w:p>
        </w:tc>
      </w:tr>
      <w:tr>
        <w:trPr>
          <w:cantSplit w:val="true"/>
        </w:trPr>
        <w:tc>
          <w:tcPr>
            <w:tcW w:type="dxa" w:w="1930"/>
            <w:tcMar>
              <w:top w:w="50" w:type="dxa"/>
              <w:bottom w:w="50" w:type="dxa"/>
              <w:left w:w="90" w:type="dxa"/>
              <w:right w:w="90" w:type="dxa"/>
            </w:tcMar>
          </w:tcPr>
          <w:p>
            <w:pPr>
              <w:pStyle w:val="BDOITable"/>
            </w:pPr>
            <w:r>
              <w:rPr>
                <w:b/>
                <w:sz w:val="17"/>
              </w:rPr>
              <w:t>D09 General Ledger and Finance</w:t>
            </w:r>
          </w:p>
        </w:tc>
        <w:tc>
          <w:tcPr>
            <w:tcW w:type="dxa" w:w="4343"/>
            <w:tcMar>
              <w:top w:w="50" w:type="dxa"/>
              <w:bottom w:w="50" w:type="dxa"/>
              <w:left w:w="90" w:type="dxa"/>
              <w:right w:w="90" w:type="dxa"/>
            </w:tcMar>
          </w:tcPr>
          <w:p>
            <w:pPr>
              <w:pStyle w:val="BDOITable"/>
            </w:pPr>
            <w:r>
              <w:rPr>
                <w:sz w:val="17"/>
              </w:rPr>
              <w:t>GL account, Journal batch and lines, Ledger entry, Daily balance, Open item, Accounting event and rule, Period close, Budget, Statement format and schedule, Report pack, Bank reconciliation, Fixed asset, Investment, Tax return, 2307 certificate</w:t>
            </w:r>
          </w:p>
        </w:tc>
        <w:tc>
          <w:tcPr>
            <w:tcW w:type="dxa" w:w="3699"/>
            <w:tcMar>
              <w:top w:w="50" w:type="dxa"/>
              <w:bottom w:w="50" w:type="dxa"/>
              <w:left w:w="90" w:type="dxa"/>
              <w:right w:w="90" w:type="dxa"/>
            </w:tcMar>
          </w:tcPr>
          <w:p>
            <w:pPr>
              <w:pStyle w:val="BDOITable"/>
            </w:pPr>
            <w:r>
              <w:rPr>
                <w:sz w:val="17"/>
              </w:rPr>
              <w:t>Balanced journals; ledger entries immutable; corrections by reversal</w:t>
            </w:r>
          </w:p>
        </w:tc>
      </w:tr>
      <w:tr>
        <w:trPr>
          <w:cantSplit w:val="true"/>
        </w:trPr>
        <w:tc>
          <w:tcPr>
            <w:tcW w:type="dxa" w:w="1930"/>
            <w:tcMar>
              <w:top w:w="50" w:type="dxa"/>
              <w:bottom w:w="50" w:type="dxa"/>
              <w:left w:w="90" w:type="dxa"/>
              <w:right w:w="90" w:type="dxa"/>
            </w:tcMar>
            <w:shd w:val="clear" w:color="auto" w:fill="E5F5FF"/>
          </w:tcPr>
          <w:p>
            <w:pPr>
              <w:pStyle w:val="BDOITable"/>
            </w:pPr>
            <w:r>
              <w:rPr>
                <w:b/>
                <w:sz w:val="17"/>
              </w:rPr>
              <w:t>D10 Disbursement and ACSL</w:t>
            </w:r>
          </w:p>
        </w:tc>
        <w:tc>
          <w:tcPr>
            <w:tcW w:type="dxa" w:w="4343"/>
            <w:tcMar>
              <w:top w:w="50" w:type="dxa"/>
              <w:bottom w:w="50" w:type="dxa"/>
              <w:left w:w="90" w:type="dxa"/>
              <w:right w:w="90" w:type="dxa"/>
            </w:tcMar>
            <w:shd w:val="clear" w:color="auto" w:fill="E5F5FF"/>
          </w:tcPr>
          <w:p>
            <w:pPr>
              <w:pStyle w:val="BDOITable"/>
            </w:pPr>
            <w:r>
              <w:rPr>
                <w:sz w:val="17"/>
              </w:rPr>
              <w:t>Payee, Disbursement request and voucher (DV) with payment instruments, Payables masters, Refund and cash-advance requests, Insurer SOA upload, GL-SL reconciliation, Investigation case, Correction entry</w:t>
            </w:r>
          </w:p>
        </w:tc>
        <w:tc>
          <w:tcPr>
            <w:tcW w:type="dxa" w:w="3699"/>
            <w:tcMar>
              <w:top w:w="50" w:type="dxa"/>
              <w:bottom w:w="50" w:type="dxa"/>
              <w:left w:w="90" w:type="dxa"/>
              <w:right w:w="90" w:type="dxa"/>
            </w:tcMar>
            <w:shd w:val="clear" w:color="auto" w:fill="E5F5FF"/>
          </w:tcPr>
          <w:p>
            <w:pPr>
              <w:pStyle w:val="BDOITable"/>
            </w:pPr>
            <w:r>
              <w:rPr>
                <w:sz w:val="17"/>
              </w:rPr>
              <w:t>DV numbers; editable proforma only before approval</w:t>
            </w:r>
          </w:p>
        </w:tc>
      </w:tr>
      <w:tr>
        <w:trPr>
          <w:cantSplit w:val="true"/>
        </w:trPr>
        <w:tc>
          <w:tcPr>
            <w:tcW w:type="dxa" w:w="1930"/>
            <w:tcMar>
              <w:top w:w="50" w:type="dxa"/>
              <w:bottom w:w="50" w:type="dxa"/>
              <w:left w:w="90" w:type="dxa"/>
              <w:right w:w="90" w:type="dxa"/>
            </w:tcMar>
          </w:tcPr>
          <w:p>
            <w:pPr>
              <w:pStyle w:val="BDOITable"/>
            </w:pPr>
            <w:r>
              <w:rPr>
                <w:b/>
                <w:sz w:val="17"/>
              </w:rPr>
              <w:t>D11 Renewal</w:t>
            </w:r>
          </w:p>
        </w:tc>
        <w:tc>
          <w:tcPr>
            <w:tcW w:type="dxa" w:w="4343"/>
            <w:tcMar>
              <w:top w:w="50" w:type="dxa"/>
              <w:bottom w:w="50" w:type="dxa"/>
              <w:left w:w="90" w:type="dxa"/>
              <w:right w:w="90" w:type="dxa"/>
            </w:tcMar>
          </w:tcPr>
          <w:p>
            <w:pPr>
              <w:pStyle w:val="BDOITable"/>
            </w:pPr>
            <w:r>
              <w:rPr>
                <w:sz w:val="17"/>
              </w:rPr>
              <w:t>Renewal candidate, Extraction run, Check, Disposition, Letter, Insurer quotation, Acceptance, Transfer</w:t>
            </w:r>
          </w:p>
        </w:tc>
        <w:tc>
          <w:tcPr>
            <w:tcW w:type="dxa" w:w="3699"/>
            <w:tcMar>
              <w:top w:w="50" w:type="dxa"/>
              <w:bottom w:w="50" w:type="dxa"/>
              <w:left w:w="90" w:type="dxa"/>
              <w:right w:w="90" w:type="dxa"/>
            </w:tcMar>
          </w:tcPr>
          <w:p>
            <w:pPr>
              <w:pStyle w:val="BDOITable"/>
            </w:pPr>
            <w:r>
              <w:rPr>
                <w:sz w:val="17"/>
              </w:rPr>
              <w:t>One candidate per expiring account and term</w:t>
            </w:r>
          </w:p>
        </w:tc>
      </w:tr>
      <w:tr>
        <w:trPr>
          <w:cantSplit w:val="true"/>
        </w:trPr>
        <w:tc>
          <w:tcPr>
            <w:tcW w:type="dxa" w:w="1930"/>
            <w:tcMar>
              <w:top w:w="50" w:type="dxa"/>
              <w:bottom w:w="50" w:type="dxa"/>
              <w:left w:w="90" w:type="dxa"/>
              <w:right w:w="90" w:type="dxa"/>
            </w:tcMar>
            <w:shd w:val="clear" w:color="auto" w:fill="E5F5FF"/>
          </w:tcPr>
          <w:p>
            <w:pPr>
              <w:pStyle w:val="BDOITable"/>
            </w:pPr>
            <w:r>
              <w:rPr>
                <w:b/>
                <w:sz w:val="17"/>
              </w:rPr>
              <w:t>D12 Claims Broking</w:t>
            </w:r>
          </w:p>
        </w:tc>
        <w:tc>
          <w:tcPr>
            <w:tcW w:type="dxa" w:w="4343"/>
            <w:tcMar>
              <w:top w:w="50" w:type="dxa"/>
              <w:bottom w:w="50" w:type="dxa"/>
              <w:left w:w="90" w:type="dxa"/>
              <w:right w:w="90" w:type="dxa"/>
            </w:tcMar>
            <w:shd w:val="clear" w:color="auto" w:fill="E5F5FF"/>
          </w:tcPr>
          <w:p>
            <w:pPr>
              <w:pStyle w:val="BDOITable"/>
            </w:pPr>
            <w:r>
              <w:rPr>
                <w:sz w:val="17"/>
              </w:rPr>
              <w:t>Claim, Insurer line, Insurer update, Reserve change as advised, Status history, Diary entry</w:t>
            </w:r>
          </w:p>
        </w:tc>
        <w:tc>
          <w:tcPr>
            <w:tcW w:type="dxa" w:w="3699"/>
            <w:tcMar>
              <w:top w:w="50" w:type="dxa"/>
              <w:bottom w:w="50" w:type="dxa"/>
              <w:left w:w="90" w:type="dxa"/>
              <w:right w:w="90" w:type="dxa"/>
            </w:tcMar>
            <w:shd w:val="clear" w:color="auto" w:fill="E5F5FF"/>
          </w:tcPr>
          <w:p>
            <w:pPr>
              <w:pStyle w:val="BDOITable"/>
            </w:pPr>
            <w:r>
              <w:rPr>
                <w:sz w:val="17"/>
              </w:rPr>
              <w:t>Claim number; no claim journal in BIBS</w:t>
            </w:r>
          </w:p>
        </w:tc>
      </w:tr>
      <w:tr>
        <w:trPr>
          <w:cantSplit w:val="true"/>
        </w:trPr>
        <w:tc>
          <w:tcPr>
            <w:tcW w:type="dxa" w:w="1930"/>
            <w:tcMar>
              <w:top w:w="50" w:type="dxa"/>
              <w:bottom w:w="50" w:type="dxa"/>
              <w:left w:w="90" w:type="dxa"/>
              <w:right w:w="90" w:type="dxa"/>
            </w:tcMar>
          </w:tcPr>
          <w:p>
            <w:pPr>
              <w:pStyle w:val="BDOITable"/>
            </w:pPr>
            <w:r>
              <w:rPr>
                <w:b/>
                <w:sz w:val="17"/>
              </w:rPr>
              <w:t>D13 Employee Benefits</w:t>
            </w:r>
          </w:p>
        </w:tc>
        <w:tc>
          <w:tcPr>
            <w:tcW w:type="dxa" w:w="4343"/>
            <w:tcMar>
              <w:top w:w="50" w:type="dxa"/>
              <w:bottom w:w="50" w:type="dxa"/>
              <w:left w:w="90" w:type="dxa"/>
              <w:right w:w="90" w:type="dxa"/>
            </w:tcMar>
          </w:tcPr>
          <w:p>
            <w:pPr>
              <w:pStyle w:val="BDOITable"/>
            </w:pPr>
            <w:r>
              <w:rPr>
                <w:sz w:val="17"/>
              </w:rPr>
              <w:t>Programme, Proposal, Benefit line and plan, Census and member movement, Billing cycle, Statement of account, Tracked item</w:t>
            </w:r>
          </w:p>
        </w:tc>
        <w:tc>
          <w:tcPr>
            <w:tcW w:type="dxa" w:w="3699"/>
            <w:tcMar>
              <w:top w:w="50" w:type="dxa"/>
              <w:bottom w:w="50" w:type="dxa"/>
              <w:left w:w="90" w:type="dxa"/>
              <w:right w:w="90" w:type="dxa"/>
            </w:tcMar>
          </w:tcPr>
          <w:p>
            <w:pPr>
              <w:pStyle w:val="BDOITable"/>
            </w:pPr>
            <w:r>
              <w:rPr>
                <w:sz w:val="17"/>
              </w:rPr>
              <w:t>Programme number; member data limited to the roster fields</w:t>
            </w:r>
          </w:p>
        </w:tc>
      </w:tr>
      <w:tr>
        <w:trPr>
          <w:cantSplit w:val="true"/>
        </w:trPr>
        <w:tc>
          <w:tcPr>
            <w:tcW w:type="dxa" w:w="1930"/>
            <w:tcMar>
              <w:top w:w="50" w:type="dxa"/>
              <w:bottom w:w="50" w:type="dxa"/>
              <w:left w:w="90" w:type="dxa"/>
              <w:right w:w="90" w:type="dxa"/>
            </w:tcMar>
            <w:shd w:val="clear" w:color="auto" w:fill="E5F5FF"/>
          </w:tcPr>
          <w:p>
            <w:pPr>
              <w:pStyle w:val="BDOITable"/>
            </w:pPr>
            <w:r>
              <w:rPr>
                <w:b/>
                <w:sz w:val="17"/>
              </w:rPr>
              <w:t>D14 Customer Servicing Facility</w:t>
            </w:r>
          </w:p>
        </w:tc>
        <w:tc>
          <w:tcPr>
            <w:tcW w:type="dxa" w:w="4343"/>
            <w:tcMar>
              <w:top w:w="50" w:type="dxa"/>
              <w:bottom w:w="50" w:type="dxa"/>
              <w:left w:w="90" w:type="dxa"/>
              <w:right w:w="90" w:type="dxa"/>
            </w:tcMar>
            <w:shd w:val="clear" w:color="auto" w:fill="E5F5FF"/>
          </w:tcPr>
          <w:p>
            <w:pPr>
              <w:pStyle w:val="BDOITable"/>
            </w:pPr>
            <w:r>
              <w:rPr>
                <w:sz w:val="17"/>
              </w:rPr>
              <w:t>Service request, Contact change with verification, Activity, Referral</w:t>
            </w:r>
          </w:p>
        </w:tc>
        <w:tc>
          <w:tcPr>
            <w:tcW w:type="dxa" w:w="3699"/>
            <w:tcMar>
              <w:top w:w="50" w:type="dxa"/>
              <w:bottom w:w="50" w:type="dxa"/>
              <w:left w:w="90" w:type="dxa"/>
              <w:right w:w="90" w:type="dxa"/>
            </w:tcMar>
            <w:shd w:val="clear" w:color="auto" w:fill="E5F5FF"/>
          </w:tcPr>
          <w:p>
            <w:pPr>
              <w:pStyle w:val="BDOITable"/>
            </w:pPr>
            <w:r>
              <w:rPr>
                <w:sz w:val="17"/>
              </w:rPr>
              <w:t>Request number; contact changes verified before synchronisation</w:t>
            </w:r>
          </w:p>
        </w:tc>
      </w:tr>
      <w:tr>
        <w:trPr>
          <w:cantSplit w:val="true"/>
        </w:trPr>
        <w:tc>
          <w:tcPr>
            <w:tcW w:type="dxa" w:w="1930"/>
            <w:tcMar>
              <w:top w:w="50" w:type="dxa"/>
              <w:bottom w:w="50" w:type="dxa"/>
              <w:left w:w="90" w:type="dxa"/>
              <w:right w:w="90" w:type="dxa"/>
            </w:tcMar>
          </w:tcPr>
          <w:p>
            <w:pPr>
              <w:pStyle w:val="BDOITable"/>
            </w:pPr>
            <w:r>
              <w:rPr>
                <w:b/>
                <w:sz w:val="17"/>
              </w:rPr>
              <w:t>D15 Sanction Screening</w:t>
            </w:r>
          </w:p>
        </w:tc>
        <w:tc>
          <w:tcPr>
            <w:tcW w:type="dxa" w:w="4343"/>
            <w:tcMar>
              <w:top w:w="50" w:type="dxa"/>
              <w:bottom w:w="50" w:type="dxa"/>
              <w:left w:w="90" w:type="dxa"/>
              <w:right w:w="90" w:type="dxa"/>
            </w:tcMar>
          </w:tcPr>
          <w:p>
            <w:pPr>
              <w:pStyle w:val="BDOITable"/>
            </w:pPr>
            <w:r>
              <w:rPr>
                <w:sz w:val="17"/>
              </w:rPr>
              <w:t>Watchlist and entry, Watchlist change, Screening run and match, Case with reviews and votes, Client risk profile, Configuration version and rules, STR</w:t>
            </w:r>
          </w:p>
        </w:tc>
        <w:tc>
          <w:tcPr>
            <w:tcW w:type="dxa" w:w="3699"/>
            <w:tcMar>
              <w:top w:w="50" w:type="dxa"/>
              <w:bottom w:w="50" w:type="dxa"/>
              <w:left w:w="90" w:type="dxa"/>
              <w:right w:w="90" w:type="dxa"/>
            </w:tcMar>
          </w:tcPr>
          <w:p>
            <w:pPr>
              <w:pStyle w:val="BDOITable"/>
            </w:pPr>
            <w:r>
              <w:rPr>
                <w:sz w:val="17"/>
              </w:rPr>
              <w:t>Configuration versions approved before use; decisions insert-only</w:t>
            </w:r>
          </w:p>
        </w:tc>
      </w:tr>
      <w:tr>
        <w:trPr>
          <w:cantSplit w:val="true"/>
        </w:trPr>
        <w:tc>
          <w:tcPr>
            <w:tcW w:type="dxa" w:w="1930"/>
            <w:tcMar>
              <w:top w:w="50" w:type="dxa"/>
              <w:bottom w:w="50" w:type="dxa"/>
              <w:left w:w="90" w:type="dxa"/>
              <w:right w:w="90" w:type="dxa"/>
            </w:tcMar>
            <w:shd w:val="clear" w:color="auto" w:fill="E5F5FF"/>
          </w:tcPr>
          <w:p>
            <w:pPr>
              <w:pStyle w:val="BDOITable"/>
            </w:pPr>
            <w:r>
              <w:rPr>
                <w:b/>
                <w:sz w:val="17"/>
              </w:rPr>
              <w:t>D16 Submitted Policies</w:t>
            </w:r>
          </w:p>
        </w:tc>
        <w:tc>
          <w:tcPr>
            <w:tcW w:type="dxa" w:w="4343"/>
            <w:tcMar>
              <w:top w:w="50" w:type="dxa"/>
              <w:bottom w:w="50" w:type="dxa"/>
              <w:left w:w="90" w:type="dxa"/>
              <w:right w:w="90" w:type="dxa"/>
            </w:tcMar>
            <w:shd w:val="clear" w:color="auto" w:fill="E5F5FF"/>
          </w:tcPr>
          <w:p>
            <w:pPr>
              <w:pStyle w:val="BDOITable"/>
            </w:pPr>
            <w:r>
              <w:rPr>
                <w:sz w:val="17"/>
              </w:rPr>
              <w:t>Masterlist policy, Intake run, Review, IAAF and TOR records, Letter, Fee, Renewal hand-off</w:t>
            </w:r>
          </w:p>
        </w:tc>
        <w:tc>
          <w:tcPr>
            <w:tcW w:type="dxa" w:w="3699"/>
            <w:tcMar>
              <w:top w:w="50" w:type="dxa"/>
              <w:bottom w:w="50" w:type="dxa"/>
              <w:left w:w="90" w:type="dxa"/>
              <w:right w:w="90" w:type="dxa"/>
            </w:tcMar>
            <w:shd w:val="clear" w:color="auto" w:fill="E5F5FF"/>
          </w:tcPr>
          <w:p>
            <w:pPr>
              <w:pStyle w:val="BDOITable"/>
            </w:pPr>
            <w:r>
              <w:rPr>
                <w:sz w:val="17"/>
              </w:rPr>
              <w:t>Policy number per insurer</w:t>
            </w:r>
          </w:p>
        </w:tc>
      </w:tr>
      <w:tr>
        <w:trPr>
          <w:cantSplit w:val="true"/>
        </w:trPr>
        <w:tc>
          <w:tcPr>
            <w:tcW w:type="dxa" w:w="1930"/>
            <w:tcMar>
              <w:top w:w="50" w:type="dxa"/>
              <w:bottom w:w="50" w:type="dxa"/>
              <w:left w:w="90" w:type="dxa"/>
              <w:right w:w="90" w:type="dxa"/>
            </w:tcMar>
          </w:tcPr>
          <w:p>
            <w:pPr>
              <w:pStyle w:val="BDOITable"/>
            </w:pPr>
            <w:r>
              <w:rPr>
                <w:b/>
                <w:sz w:val="17"/>
              </w:rPr>
              <w:t>D17 Data Migration</w:t>
            </w:r>
          </w:p>
        </w:tc>
        <w:tc>
          <w:tcPr>
            <w:tcW w:type="dxa" w:w="4343"/>
            <w:tcMar>
              <w:top w:w="50" w:type="dxa"/>
              <w:bottom w:w="50" w:type="dxa"/>
              <w:left w:w="90" w:type="dxa"/>
              <w:right w:w="90" w:type="dxa"/>
            </w:tcMar>
          </w:tcPr>
          <w:p>
            <w:pPr>
              <w:pStyle w:val="BDOITable"/>
            </w:pPr>
            <w:r>
              <w:rPr>
                <w:sz w:val="17"/>
              </w:rPr>
              <w:t>Migration object, Batch, Extract, Staging row, Code map, Quality rule and result, Reconciliation, Gate sign-off, Legacy archive record and access log, Decommission item</w:t>
            </w:r>
          </w:p>
        </w:tc>
        <w:tc>
          <w:tcPr>
            <w:tcW w:type="dxa" w:w="3699"/>
            <w:tcMar>
              <w:top w:w="50" w:type="dxa"/>
              <w:bottom w:w="50" w:type="dxa"/>
              <w:left w:w="90" w:type="dxa"/>
              <w:right w:w="90" w:type="dxa"/>
            </w:tcMar>
          </w:tcPr>
          <w:p>
            <w:pPr>
              <w:pStyle w:val="BDOITable"/>
            </w:pPr>
            <w:r>
              <w:rPr>
                <w:sz w:val="17"/>
              </w:rPr>
              <w:t>Legacy key cross-reference per loaded row</w:t>
            </w:r>
          </w:p>
        </w:tc>
      </w:tr>
    </w:tbl>
    <w:p>
      <w:pPr>
        <w:pStyle w:val="BDOISpacer"/>
      </w:pPr>
    </w:p>
    <w:p>
      <w:pPr>
        <w:pStyle w:val="Heading1"/>
        <w:pageBreakBefore/>
        <w:pBdr>
          <w:bottom w:val="single" w:sz="4" w:space="4" w:color="99C1E7"/>
        </w:pBdr>
      </w:pPr>
      <w:bookmarkStart w:id="111" w:name="_Toc000111"/>
      <w:r>
        <w:rPr/>
        <w:t>4 Master data management</w:t>
      </w:r>
      <w:bookmarkEnd w:id="111"/>
    </w:p>
    <w:p>
      <w:pPr>
        <w:pStyle w:val="Heading2"/>
      </w:pPr>
      <w:bookmarkStart w:id="112" w:name="_Toc000112"/>
      <w:r>
        <w:rPr/>
        <w:t>4.1 Ownership</w:t>
      </w:r>
      <w:bookmarkEnd w:id="112"/>
    </w:p>
    <w:p>
      <w:pPr>
        <w:pStyle w:val="Caption"/>
        <w:keepNext/>
        <w:spacing w:after="60"/>
      </w:pPr>
      <w:r>
        <w:rPr>
          <w:b/>
          <w:i w:val="0"/>
        </w:rPr>
        <w:t xml:space="preserve">Table 7: </w:t>
      </w:r>
      <w:r>
        <w:rPr/>
        <w:t>Data domains and their owners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92"/>
        <w:gridCol w:w="2493"/>
        <w:gridCol w:w="1246"/>
        <w:gridCol w:w="5540"/>
      </w:tblGrid>
      <w:tr>
        <w:trPr>
          <w:tblHeader w:val="true"/>
          <w:cantSplit w:val="true"/>
        </w:trPr>
        <w:tc>
          <w:tcPr>
            <w:tcW w:type="dxa" w:w="692"/>
            <w:shd w:val="clear" w:color="auto" w:fill="004EA8"/>
            <w:tcMar>
              <w:top w:w="50" w:type="dxa"/>
              <w:bottom w:w="50" w:type="dxa"/>
              <w:left w:w="90" w:type="dxa"/>
              <w:right w:w="90" w:type="dxa"/>
            </w:tcMar>
            <w:vAlign w:val="center"/>
          </w:tcPr>
          <w:p>
            <w:pPr>
              <w:pStyle w:val="BDOITableHeader"/>
            </w:pPr>
            <w:r>
              <w:rPr>
                <w:b/>
                <w:color w:val="FFFFFF"/>
                <w:sz w:val="18"/>
              </w:rPr>
              <w:t>ID</w:t>
            </w:r>
          </w:p>
        </w:tc>
        <w:tc>
          <w:tcPr>
            <w:tcW w:type="dxa" w:w="2493"/>
            <w:shd w:val="clear" w:color="auto" w:fill="004EA8"/>
            <w:tcMar>
              <w:top w:w="50" w:type="dxa"/>
              <w:bottom w:w="50" w:type="dxa"/>
              <w:left w:w="90" w:type="dxa"/>
              <w:right w:w="90" w:type="dxa"/>
            </w:tcMar>
            <w:vAlign w:val="center"/>
          </w:tcPr>
          <w:p>
            <w:pPr>
              <w:pStyle w:val="BDOITableHeader"/>
            </w:pPr>
            <w:r>
              <w:rPr>
                <w:b/>
                <w:color w:val="FFFFFF"/>
                <w:sz w:val="18"/>
              </w:rPr>
              <w:t>Domain</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BRD</w:t>
            </w:r>
          </w:p>
        </w:tc>
        <w:tc>
          <w:tcPr>
            <w:tcW w:type="dxa" w:w="5540"/>
            <w:shd w:val="clear" w:color="auto" w:fill="004EA8"/>
            <w:tcMar>
              <w:top w:w="50" w:type="dxa"/>
              <w:bottom w:w="50" w:type="dxa"/>
              <w:left w:w="90" w:type="dxa"/>
              <w:right w:w="90" w:type="dxa"/>
            </w:tcMar>
            <w:vAlign w:val="center"/>
          </w:tcPr>
          <w:p>
            <w:pPr>
              <w:pStyle w:val="BDOITableHeader"/>
            </w:pPr>
            <w:r>
              <w:rPr>
                <w:b/>
                <w:color w:val="FFFFFF"/>
                <w:sz w:val="18"/>
              </w:rPr>
              <w:t>Data owner (BDOI)</w:t>
            </w:r>
          </w:p>
        </w:tc>
      </w:tr>
      <w:tr>
        <w:trPr>
          <w:cantSplit w:val="true"/>
        </w:trPr>
        <w:tc>
          <w:tcPr>
            <w:tcW w:type="dxa" w:w="692"/>
            <w:tcMar>
              <w:top w:w="50" w:type="dxa"/>
              <w:bottom w:w="50" w:type="dxa"/>
              <w:left w:w="90" w:type="dxa"/>
              <w:right w:w="90" w:type="dxa"/>
            </w:tcMar>
          </w:tcPr>
          <w:p>
            <w:pPr>
              <w:pStyle w:val="BDOITable"/>
            </w:pPr>
            <w:r>
              <w:rPr>
                <w:b/>
                <w:sz w:val="18"/>
              </w:rPr>
              <w:t>D01</w:t>
            </w:r>
          </w:p>
        </w:tc>
        <w:tc>
          <w:tcPr>
            <w:tcW w:type="dxa" w:w="2493"/>
            <w:tcMar>
              <w:top w:w="50" w:type="dxa"/>
              <w:bottom w:w="50" w:type="dxa"/>
              <w:left w:w="90" w:type="dxa"/>
              <w:right w:w="90" w:type="dxa"/>
            </w:tcMar>
          </w:tcPr>
          <w:p>
            <w:pPr>
              <w:pStyle w:val="BDOITable"/>
            </w:pPr>
            <w:r>
              <w:rPr>
                <w:sz w:val="18"/>
              </w:rPr>
              <w:t>Security and User Access</w:t>
            </w:r>
          </w:p>
        </w:tc>
        <w:tc>
          <w:tcPr>
            <w:tcW w:type="dxa" w:w="1246"/>
            <w:tcMar>
              <w:top w:w="50" w:type="dxa"/>
              <w:bottom w:w="50" w:type="dxa"/>
              <w:left w:w="90" w:type="dxa"/>
              <w:right w:w="90" w:type="dxa"/>
            </w:tcMar>
          </w:tcPr>
          <w:p>
            <w:pPr>
              <w:pStyle w:val="BDOITable"/>
            </w:pPr>
            <w:r>
              <w:rPr>
                <w:sz w:val="18"/>
              </w:rPr>
              <w:t>BRD-11</w:t>
            </w:r>
          </w:p>
        </w:tc>
        <w:tc>
          <w:tcPr>
            <w:tcW w:type="dxa" w:w="5540"/>
            <w:tcMar>
              <w:top w:w="50" w:type="dxa"/>
              <w:bottom w:w="50" w:type="dxa"/>
              <w:left w:w="90" w:type="dxa"/>
              <w:right w:w="90" w:type="dxa"/>
            </w:tcMar>
          </w:tcPr>
          <w:p>
            <w:pPr>
              <w:pStyle w:val="BDOITable"/>
            </w:pPr>
            <w:r>
              <w:rPr>
                <w:sz w:val="18"/>
              </w:rPr>
              <w:t>BDOI Information Security (policy); Business Administration (user access requests); System Administrator (role implementation)</w:t>
            </w:r>
          </w:p>
        </w:tc>
      </w:tr>
      <w:tr>
        <w:trPr>
          <w:cantSplit w:val="true"/>
        </w:trPr>
        <w:tc>
          <w:tcPr>
            <w:tcW w:type="dxa" w:w="692"/>
            <w:tcMar>
              <w:top w:w="50" w:type="dxa"/>
              <w:bottom w:w="50" w:type="dxa"/>
              <w:left w:w="90" w:type="dxa"/>
              <w:right w:w="90" w:type="dxa"/>
            </w:tcMar>
            <w:shd w:val="clear" w:color="auto" w:fill="E5F5FF"/>
          </w:tcPr>
          <w:p>
            <w:pPr>
              <w:pStyle w:val="BDOITable"/>
            </w:pPr>
            <w:r>
              <w:rPr>
                <w:b/>
                <w:sz w:val="18"/>
              </w:rPr>
              <w:t>D02</w:t>
            </w:r>
          </w:p>
        </w:tc>
        <w:tc>
          <w:tcPr>
            <w:tcW w:type="dxa" w:w="2493"/>
            <w:tcMar>
              <w:top w:w="50" w:type="dxa"/>
              <w:bottom w:w="50" w:type="dxa"/>
              <w:left w:w="90" w:type="dxa"/>
              <w:right w:w="90" w:type="dxa"/>
            </w:tcMar>
            <w:shd w:val="clear" w:color="auto" w:fill="E5F5FF"/>
          </w:tcPr>
          <w:p>
            <w:pPr>
              <w:pStyle w:val="BDOITable"/>
            </w:pPr>
            <w:r>
              <w:rPr>
                <w:sz w:val="18"/>
              </w:rPr>
              <w:t>Platform Services</w:t>
            </w:r>
          </w:p>
        </w:tc>
        <w:tc>
          <w:tcPr>
            <w:tcW w:type="dxa" w:w="1246"/>
            <w:tcMar>
              <w:top w:w="50" w:type="dxa"/>
              <w:bottom w:w="50" w:type="dxa"/>
              <w:left w:w="90" w:type="dxa"/>
              <w:right w:w="90" w:type="dxa"/>
            </w:tcMar>
            <w:shd w:val="clear" w:color="auto" w:fill="E5F5FF"/>
          </w:tcPr>
          <w:p>
            <w:pPr>
              <w:pStyle w:val="BDOITable"/>
            </w:pPr>
            <w:r>
              <w:rPr>
                <w:sz w:val="18"/>
              </w:rPr>
              <w:t>BRD-00</w:t>
            </w:r>
          </w:p>
        </w:tc>
        <w:tc>
          <w:tcPr>
            <w:tcW w:type="dxa" w:w="5540"/>
            <w:tcMar>
              <w:top w:w="50" w:type="dxa"/>
              <w:bottom w:w="50" w:type="dxa"/>
              <w:left w:w="90" w:type="dxa"/>
              <w:right w:w="90" w:type="dxa"/>
            </w:tcMar>
            <w:shd w:val="clear" w:color="auto" w:fill="E5F5FF"/>
          </w:tcPr>
          <w:p>
            <w:pPr>
              <w:pStyle w:val="BDOITable"/>
            </w:pPr>
            <w:r>
              <w:rPr>
                <w:sz w:val="18"/>
              </w:rPr>
              <w:t>BDOI IT (platform operation); System Administrator (parameters, jobs, templates)</w:t>
            </w:r>
          </w:p>
        </w:tc>
      </w:tr>
      <w:tr>
        <w:trPr>
          <w:cantSplit w:val="true"/>
        </w:trPr>
        <w:tc>
          <w:tcPr>
            <w:tcW w:type="dxa" w:w="692"/>
            <w:tcMar>
              <w:top w:w="50" w:type="dxa"/>
              <w:bottom w:w="50" w:type="dxa"/>
              <w:left w:w="90" w:type="dxa"/>
              <w:right w:w="90" w:type="dxa"/>
            </w:tcMar>
          </w:tcPr>
          <w:p>
            <w:pPr>
              <w:pStyle w:val="BDOITable"/>
            </w:pPr>
            <w:r>
              <w:rPr>
                <w:b/>
                <w:sz w:val="18"/>
              </w:rPr>
              <w:t>D03</w:t>
            </w:r>
          </w:p>
        </w:tc>
        <w:tc>
          <w:tcPr>
            <w:tcW w:type="dxa" w:w="2493"/>
            <w:tcMar>
              <w:top w:w="50" w:type="dxa"/>
              <w:bottom w:w="50" w:type="dxa"/>
              <w:left w:w="90" w:type="dxa"/>
              <w:right w:w="90" w:type="dxa"/>
            </w:tcMar>
          </w:tcPr>
          <w:p>
            <w:pPr>
              <w:pStyle w:val="BDOITable"/>
            </w:pPr>
            <w:r>
              <w:rPr>
                <w:sz w:val="18"/>
              </w:rPr>
              <w:t>Organisation and Reference Data</w:t>
            </w:r>
          </w:p>
        </w:tc>
        <w:tc>
          <w:tcPr>
            <w:tcW w:type="dxa" w:w="1246"/>
            <w:tcMar>
              <w:top w:w="50" w:type="dxa"/>
              <w:bottom w:w="50" w:type="dxa"/>
              <w:left w:w="90" w:type="dxa"/>
              <w:right w:w="90" w:type="dxa"/>
            </w:tcMar>
          </w:tcPr>
          <w:p>
            <w:pPr>
              <w:pStyle w:val="BDOITable"/>
            </w:pPr>
            <w:r>
              <w:rPr>
                <w:sz w:val="18"/>
              </w:rPr>
              <w:t>BRD-00</w:t>
            </w:r>
          </w:p>
        </w:tc>
        <w:tc>
          <w:tcPr>
            <w:tcW w:type="dxa" w:w="5540"/>
            <w:tcMar>
              <w:top w:w="50" w:type="dxa"/>
              <w:bottom w:w="50" w:type="dxa"/>
              <w:left w:w="90" w:type="dxa"/>
              <w:right w:w="90" w:type="dxa"/>
            </w:tcMar>
          </w:tcPr>
          <w:p>
            <w:pPr>
              <w:pStyle w:val="BDOITable"/>
            </w:pPr>
            <w:r>
              <w:rPr>
                <w:sz w:val="18"/>
              </w:rPr>
              <w:t>Head - Comptrollership (companies, branches, cost centres, periods, currencies)</w:t>
            </w:r>
          </w:p>
        </w:tc>
      </w:tr>
      <w:tr>
        <w:trPr>
          <w:cantSplit w:val="true"/>
        </w:trPr>
        <w:tc>
          <w:tcPr>
            <w:tcW w:type="dxa" w:w="692"/>
            <w:tcMar>
              <w:top w:w="50" w:type="dxa"/>
              <w:bottom w:w="50" w:type="dxa"/>
              <w:left w:w="90" w:type="dxa"/>
              <w:right w:w="90" w:type="dxa"/>
            </w:tcMar>
            <w:shd w:val="clear" w:color="auto" w:fill="E5F5FF"/>
          </w:tcPr>
          <w:p>
            <w:pPr>
              <w:pStyle w:val="BDOITable"/>
            </w:pPr>
            <w:r>
              <w:rPr>
                <w:b/>
                <w:sz w:val="18"/>
              </w:rPr>
              <w:t>D04</w:t>
            </w:r>
          </w:p>
        </w:tc>
        <w:tc>
          <w:tcPr>
            <w:tcW w:type="dxa" w:w="2493"/>
            <w:tcMar>
              <w:top w:w="50" w:type="dxa"/>
              <w:bottom w:w="50" w:type="dxa"/>
              <w:left w:w="90" w:type="dxa"/>
              <w:right w:w="90" w:type="dxa"/>
            </w:tcMar>
            <w:shd w:val="clear" w:color="auto" w:fill="E5F5FF"/>
          </w:tcPr>
          <w:p>
            <w:pPr>
              <w:pStyle w:val="BDOITable"/>
            </w:pPr>
            <w:r>
              <w:rPr>
                <w:sz w:val="18"/>
              </w:rPr>
              <w:t>Client and Party</w:t>
            </w:r>
          </w:p>
        </w:tc>
        <w:tc>
          <w:tcPr>
            <w:tcW w:type="dxa" w:w="1246"/>
            <w:tcMar>
              <w:top w:w="50" w:type="dxa"/>
              <w:bottom w:w="50" w:type="dxa"/>
              <w:left w:w="90" w:type="dxa"/>
              <w:right w:w="90" w:type="dxa"/>
            </w:tcMar>
            <w:shd w:val="clear" w:color="auto" w:fill="E5F5FF"/>
          </w:tcPr>
          <w:p>
            <w:pPr>
              <w:pStyle w:val="BDOITable"/>
            </w:pPr>
            <w:r>
              <w:rPr>
                <w:sz w:val="18"/>
              </w:rPr>
              <w:t>BRD-01</w:t>
            </w:r>
          </w:p>
        </w:tc>
        <w:tc>
          <w:tcPr>
            <w:tcW w:type="dxa" w:w="5540"/>
            <w:tcMar>
              <w:top w:w="50" w:type="dxa"/>
              <w:bottom w:w="50" w:type="dxa"/>
              <w:left w:w="90" w:type="dxa"/>
              <w:right w:w="90" w:type="dxa"/>
            </w:tcMar>
            <w:shd w:val="clear" w:color="auto" w:fill="E5F5FF"/>
          </w:tcPr>
          <w:p>
            <w:pPr>
              <w:pStyle w:val="BDOITable"/>
            </w:pPr>
            <w:r>
              <w:rPr>
                <w:sz w:val="18"/>
              </w:rPr>
              <w:t>Product Owner, Marketing Business System (clients); Head - Comptrollership (business partners)</w:t>
            </w:r>
          </w:p>
        </w:tc>
      </w:tr>
      <w:tr>
        <w:trPr>
          <w:cantSplit w:val="true"/>
        </w:trPr>
        <w:tc>
          <w:tcPr>
            <w:tcW w:type="dxa" w:w="692"/>
            <w:tcMar>
              <w:top w:w="50" w:type="dxa"/>
              <w:bottom w:w="50" w:type="dxa"/>
              <w:left w:w="90" w:type="dxa"/>
              <w:right w:w="90" w:type="dxa"/>
            </w:tcMar>
          </w:tcPr>
          <w:p>
            <w:pPr>
              <w:pStyle w:val="BDOITable"/>
            </w:pPr>
            <w:r>
              <w:rPr>
                <w:b/>
                <w:sz w:val="18"/>
              </w:rPr>
              <w:t>D05</w:t>
            </w:r>
          </w:p>
        </w:tc>
        <w:tc>
          <w:tcPr>
            <w:tcW w:type="dxa" w:w="2493"/>
            <w:tcMar>
              <w:top w:w="50" w:type="dxa"/>
              <w:bottom w:w="50" w:type="dxa"/>
              <w:left w:w="90" w:type="dxa"/>
              <w:right w:w="90" w:type="dxa"/>
            </w:tcMar>
          </w:tcPr>
          <w:p>
            <w:pPr>
              <w:pStyle w:val="BDOITable"/>
            </w:pPr>
            <w:r>
              <w:rPr>
                <w:sz w:val="18"/>
              </w:rPr>
              <w:t>Product Catalogue and Maintenance</w:t>
            </w:r>
          </w:p>
        </w:tc>
        <w:tc>
          <w:tcPr>
            <w:tcW w:type="dxa" w:w="1246"/>
            <w:tcMar>
              <w:top w:w="50" w:type="dxa"/>
              <w:bottom w:w="50" w:type="dxa"/>
              <w:left w:w="90" w:type="dxa"/>
              <w:right w:w="90" w:type="dxa"/>
            </w:tcMar>
          </w:tcPr>
          <w:p>
            <w:pPr>
              <w:pStyle w:val="BDOITable"/>
            </w:pPr>
            <w:r>
              <w:rPr>
                <w:sz w:val="18"/>
              </w:rPr>
              <w:t>BRD-03</w:t>
            </w:r>
          </w:p>
        </w:tc>
        <w:tc>
          <w:tcPr>
            <w:tcW w:type="dxa" w:w="5540"/>
            <w:tcMar>
              <w:top w:w="50" w:type="dxa"/>
              <w:bottom w:w="50" w:type="dxa"/>
              <w:left w:w="90" w:type="dxa"/>
              <w:right w:w="90" w:type="dxa"/>
            </w:tcMar>
          </w:tcPr>
          <w:p>
            <w:pPr>
              <w:pStyle w:val="BDOITable"/>
            </w:pPr>
            <w:r>
              <w:rPr>
                <w:sz w:val="18"/>
              </w:rPr>
              <w:t>Product Owner, Marketing Business System (with the Technical Support Unit for package requests)</w:t>
            </w:r>
          </w:p>
        </w:tc>
      </w:tr>
      <w:tr>
        <w:trPr>
          <w:cantSplit w:val="true"/>
        </w:trPr>
        <w:tc>
          <w:tcPr>
            <w:tcW w:type="dxa" w:w="692"/>
            <w:tcMar>
              <w:top w:w="50" w:type="dxa"/>
              <w:bottom w:w="50" w:type="dxa"/>
              <w:left w:w="90" w:type="dxa"/>
              <w:right w:w="90" w:type="dxa"/>
            </w:tcMar>
            <w:shd w:val="clear" w:color="auto" w:fill="E5F5FF"/>
          </w:tcPr>
          <w:p>
            <w:pPr>
              <w:pStyle w:val="BDOITable"/>
            </w:pPr>
            <w:r>
              <w:rPr>
                <w:b/>
                <w:sz w:val="18"/>
              </w:rPr>
              <w:t>D06</w:t>
            </w:r>
          </w:p>
        </w:tc>
        <w:tc>
          <w:tcPr>
            <w:tcW w:type="dxa" w:w="2493"/>
            <w:tcMar>
              <w:top w:w="50" w:type="dxa"/>
              <w:bottom w:w="50" w:type="dxa"/>
              <w:left w:w="90" w:type="dxa"/>
              <w:right w:w="90" w:type="dxa"/>
            </w:tcMar>
            <w:shd w:val="clear" w:color="auto" w:fill="E5F5FF"/>
          </w:tcPr>
          <w:p>
            <w:pPr>
              <w:pStyle w:val="BDOITable"/>
            </w:pPr>
            <w:r>
              <w:rPr>
                <w:sz w:val="18"/>
              </w:rPr>
              <w:t>New Business</w:t>
            </w:r>
          </w:p>
        </w:tc>
        <w:tc>
          <w:tcPr>
            <w:tcW w:type="dxa" w:w="1246"/>
            <w:tcMar>
              <w:top w:w="50" w:type="dxa"/>
              <w:bottom w:w="50" w:type="dxa"/>
              <w:left w:w="90" w:type="dxa"/>
              <w:right w:w="90" w:type="dxa"/>
            </w:tcMar>
            <w:shd w:val="clear" w:color="auto" w:fill="E5F5FF"/>
          </w:tcPr>
          <w:p>
            <w:pPr>
              <w:pStyle w:val="BDOITable"/>
            </w:pPr>
            <w:r>
              <w:rPr>
                <w:sz w:val="18"/>
              </w:rPr>
              <w:t>BRD-01</w:t>
            </w:r>
          </w:p>
        </w:tc>
        <w:tc>
          <w:tcPr>
            <w:tcW w:type="dxa" w:w="5540"/>
            <w:tcMar>
              <w:top w:w="50" w:type="dxa"/>
              <w:bottom w:w="50" w:type="dxa"/>
              <w:left w:w="90" w:type="dxa"/>
              <w:right w:w="90" w:type="dxa"/>
            </w:tcMar>
            <w:shd w:val="clear" w:color="auto" w:fill="E5F5FF"/>
          </w:tcPr>
          <w:p>
            <w:pPr>
              <w:pStyle w:val="BDOITable"/>
            </w:pPr>
            <w:r>
              <w:rPr>
                <w:sz w:val="18"/>
              </w:rPr>
              <w:t>Product Owner, Marketing Business System; Unit Head - Processing (placement, issuance, booking)</w:t>
            </w:r>
          </w:p>
        </w:tc>
      </w:tr>
      <w:tr>
        <w:trPr>
          <w:cantSplit w:val="true"/>
        </w:trPr>
        <w:tc>
          <w:tcPr>
            <w:tcW w:type="dxa" w:w="692"/>
            <w:tcMar>
              <w:top w:w="50" w:type="dxa"/>
              <w:bottom w:w="50" w:type="dxa"/>
              <w:left w:w="90" w:type="dxa"/>
              <w:right w:w="90" w:type="dxa"/>
            </w:tcMar>
          </w:tcPr>
          <w:p>
            <w:pPr>
              <w:pStyle w:val="BDOITable"/>
            </w:pPr>
            <w:r>
              <w:rPr>
                <w:b/>
                <w:sz w:val="18"/>
              </w:rPr>
              <w:t>D07</w:t>
            </w:r>
          </w:p>
        </w:tc>
        <w:tc>
          <w:tcPr>
            <w:tcW w:type="dxa" w:w="2493"/>
            <w:tcMar>
              <w:top w:w="50" w:type="dxa"/>
              <w:bottom w:w="50" w:type="dxa"/>
              <w:left w:w="90" w:type="dxa"/>
              <w:right w:w="90" w:type="dxa"/>
            </w:tcMar>
          </w:tcPr>
          <w:p>
            <w:pPr>
              <w:pStyle w:val="BDOITable"/>
            </w:pPr>
            <w:r>
              <w:rPr>
                <w:sz w:val="18"/>
              </w:rPr>
              <w:t>Operations</w:t>
            </w:r>
          </w:p>
        </w:tc>
        <w:tc>
          <w:tcPr>
            <w:tcW w:type="dxa" w:w="1246"/>
            <w:tcMar>
              <w:top w:w="50" w:type="dxa"/>
              <w:bottom w:w="50" w:type="dxa"/>
              <w:left w:w="90" w:type="dxa"/>
              <w:right w:w="90" w:type="dxa"/>
            </w:tcMar>
          </w:tcPr>
          <w:p>
            <w:pPr>
              <w:pStyle w:val="BDOITable"/>
            </w:pPr>
            <w:r>
              <w:rPr>
                <w:sz w:val="18"/>
              </w:rPr>
              <w:t>BRD-02</w:t>
            </w:r>
          </w:p>
        </w:tc>
        <w:tc>
          <w:tcPr>
            <w:tcW w:type="dxa" w:w="5540"/>
            <w:tcMar>
              <w:top w:w="50" w:type="dxa"/>
              <w:bottom w:w="50" w:type="dxa"/>
              <w:left w:w="90" w:type="dxa"/>
              <w:right w:w="90" w:type="dxa"/>
            </w:tcMar>
          </w:tcPr>
          <w:p>
            <w:pPr>
              <w:pStyle w:val="BDOITable"/>
            </w:pPr>
            <w:r>
              <w:rPr>
                <w:sz w:val="18"/>
              </w:rPr>
              <w:t>Operations: Financial Transactions and Processing</w:t>
            </w:r>
          </w:p>
        </w:tc>
      </w:tr>
      <w:tr>
        <w:trPr>
          <w:cantSplit w:val="true"/>
        </w:trPr>
        <w:tc>
          <w:tcPr>
            <w:tcW w:type="dxa" w:w="692"/>
            <w:tcMar>
              <w:top w:w="50" w:type="dxa"/>
              <w:bottom w:w="50" w:type="dxa"/>
              <w:left w:w="90" w:type="dxa"/>
              <w:right w:w="90" w:type="dxa"/>
            </w:tcMar>
            <w:shd w:val="clear" w:color="auto" w:fill="E5F5FF"/>
          </w:tcPr>
          <w:p>
            <w:pPr>
              <w:pStyle w:val="BDOITable"/>
            </w:pPr>
            <w:r>
              <w:rPr>
                <w:b/>
                <w:sz w:val="18"/>
              </w:rPr>
              <w:t>D08</w:t>
            </w:r>
          </w:p>
        </w:tc>
        <w:tc>
          <w:tcPr>
            <w:tcW w:type="dxa" w:w="2493"/>
            <w:tcMar>
              <w:top w:w="50" w:type="dxa"/>
              <w:bottom w:w="50" w:type="dxa"/>
              <w:left w:w="90" w:type="dxa"/>
              <w:right w:w="90" w:type="dxa"/>
            </w:tcMar>
            <w:shd w:val="clear" w:color="auto" w:fill="E5F5FF"/>
          </w:tcPr>
          <w:p>
            <w:pPr>
              <w:pStyle w:val="BDOITable"/>
            </w:pPr>
            <w:r>
              <w:rPr>
                <w:sz w:val="18"/>
              </w:rPr>
              <w:t>Collections</w:t>
            </w:r>
          </w:p>
        </w:tc>
        <w:tc>
          <w:tcPr>
            <w:tcW w:type="dxa" w:w="1246"/>
            <w:tcMar>
              <w:top w:w="50" w:type="dxa"/>
              <w:bottom w:w="50" w:type="dxa"/>
              <w:left w:w="90" w:type="dxa"/>
              <w:right w:w="90" w:type="dxa"/>
            </w:tcMar>
            <w:shd w:val="clear" w:color="auto" w:fill="E5F5FF"/>
          </w:tcPr>
          <w:p>
            <w:pPr>
              <w:pStyle w:val="BDOITable"/>
            </w:pPr>
            <w:r>
              <w:rPr>
                <w:sz w:val="18"/>
              </w:rPr>
              <w:t>BRD-04</w:t>
            </w:r>
          </w:p>
        </w:tc>
        <w:tc>
          <w:tcPr>
            <w:tcW w:type="dxa" w:w="5540"/>
            <w:tcMar>
              <w:top w:w="50" w:type="dxa"/>
              <w:bottom w:w="50" w:type="dxa"/>
              <w:left w:w="90" w:type="dxa"/>
              <w:right w:w="90" w:type="dxa"/>
            </w:tcMar>
            <w:shd w:val="clear" w:color="auto" w:fill="E5F5FF"/>
          </w:tcPr>
          <w:p>
            <w:pPr>
              <w:pStyle w:val="BDOITable"/>
            </w:pPr>
            <w:r>
              <w:rPr>
                <w:sz w:val="18"/>
              </w:rPr>
              <w:t>Collections and Marketing Support</w:t>
            </w:r>
          </w:p>
        </w:tc>
      </w:tr>
      <w:tr>
        <w:trPr>
          <w:cantSplit w:val="true"/>
        </w:trPr>
        <w:tc>
          <w:tcPr>
            <w:tcW w:type="dxa" w:w="692"/>
            <w:tcMar>
              <w:top w:w="50" w:type="dxa"/>
              <w:bottom w:w="50" w:type="dxa"/>
              <w:left w:w="90" w:type="dxa"/>
              <w:right w:w="90" w:type="dxa"/>
            </w:tcMar>
          </w:tcPr>
          <w:p>
            <w:pPr>
              <w:pStyle w:val="BDOITable"/>
            </w:pPr>
            <w:r>
              <w:rPr>
                <w:b/>
                <w:sz w:val="18"/>
              </w:rPr>
              <w:t>D09</w:t>
            </w:r>
          </w:p>
        </w:tc>
        <w:tc>
          <w:tcPr>
            <w:tcW w:type="dxa" w:w="2493"/>
            <w:tcMar>
              <w:top w:w="50" w:type="dxa"/>
              <w:bottom w:w="50" w:type="dxa"/>
              <w:left w:w="90" w:type="dxa"/>
              <w:right w:w="90" w:type="dxa"/>
            </w:tcMar>
          </w:tcPr>
          <w:p>
            <w:pPr>
              <w:pStyle w:val="BDOITable"/>
            </w:pPr>
            <w:r>
              <w:rPr>
                <w:sz w:val="18"/>
              </w:rPr>
              <w:t>General Ledger and Finance</w:t>
            </w:r>
          </w:p>
        </w:tc>
        <w:tc>
          <w:tcPr>
            <w:tcW w:type="dxa" w:w="1246"/>
            <w:tcMar>
              <w:top w:w="50" w:type="dxa"/>
              <w:bottom w:w="50" w:type="dxa"/>
              <w:left w:w="90" w:type="dxa"/>
              <w:right w:w="90" w:type="dxa"/>
            </w:tcMar>
          </w:tcPr>
          <w:p>
            <w:pPr>
              <w:pStyle w:val="BDOITable"/>
            </w:pPr>
            <w:r>
              <w:rPr>
                <w:sz w:val="18"/>
              </w:rPr>
              <w:t>BRD-05</w:t>
            </w:r>
          </w:p>
        </w:tc>
        <w:tc>
          <w:tcPr>
            <w:tcW w:type="dxa" w:w="5540"/>
            <w:tcMar>
              <w:top w:w="50" w:type="dxa"/>
              <w:bottom w:w="50" w:type="dxa"/>
              <w:left w:w="90" w:type="dxa"/>
              <w:right w:w="90" w:type="dxa"/>
            </w:tcMar>
          </w:tcPr>
          <w:p>
            <w:pPr>
              <w:pStyle w:val="BDOITable"/>
            </w:pPr>
            <w:r>
              <w:rPr>
                <w:sz w:val="18"/>
              </w:rPr>
              <w:t>Product Owner - Comptrollership - FRBS and ACSL; Head - Comptrollership</w:t>
            </w:r>
          </w:p>
        </w:tc>
      </w:tr>
      <w:tr>
        <w:trPr>
          <w:cantSplit w:val="true"/>
        </w:trPr>
        <w:tc>
          <w:tcPr>
            <w:tcW w:type="dxa" w:w="692"/>
            <w:tcMar>
              <w:top w:w="50" w:type="dxa"/>
              <w:bottom w:w="50" w:type="dxa"/>
              <w:left w:w="90" w:type="dxa"/>
              <w:right w:w="90" w:type="dxa"/>
            </w:tcMar>
            <w:shd w:val="clear" w:color="auto" w:fill="E5F5FF"/>
          </w:tcPr>
          <w:p>
            <w:pPr>
              <w:pStyle w:val="BDOITable"/>
            </w:pPr>
            <w:r>
              <w:rPr>
                <w:b/>
                <w:sz w:val="18"/>
              </w:rPr>
              <w:t>D10</w:t>
            </w:r>
          </w:p>
        </w:tc>
        <w:tc>
          <w:tcPr>
            <w:tcW w:type="dxa" w:w="2493"/>
            <w:tcMar>
              <w:top w:w="50" w:type="dxa"/>
              <w:bottom w:w="50" w:type="dxa"/>
              <w:left w:w="90" w:type="dxa"/>
              <w:right w:w="90" w:type="dxa"/>
            </w:tcMar>
            <w:shd w:val="clear" w:color="auto" w:fill="E5F5FF"/>
          </w:tcPr>
          <w:p>
            <w:pPr>
              <w:pStyle w:val="BDOITable"/>
            </w:pPr>
            <w:r>
              <w:rPr>
                <w:sz w:val="18"/>
              </w:rPr>
              <w:t>Disbursement and ACSL</w:t>
            </w:r>
          </w:p>
        </w:tc>
        <w:tc>
          <w:tcPr>
            <w:tcW w:type="dxa" w:w="1246"/>
            <w:tcMar>
              <w:top w:w="50" w:type="dxa"/>
              <w:bottom w:w="50" w:type="dxa"/>
              <w:left w:w="90" w:type="dxa"/>
              <w:right w:w="90" w:type="dxa"/>
            </w:tcMar>
            <w:shd w:val="clear" w:color="auto" w:fill="E5F5FF"/>
          </w:tcPr>
          <w:p>
            <w:pPr>
              <w:pStyle w:val="BDOITable"/>
            </w:pPr>
            <w:r>
              <w:rPr>
                <w:sz w:val="18"/>
              </w:rPr>
              <w:t>BRD-05</w:t>
            </w:r>
          </w:p>
        </w:tc>
        <w:tc>
          <w:tcPr>
            <w:tcW w:type="dxa" w:w="5540"/>
            <w:tcMar>
              <w:top w:w="50" w:type="dxa"/>
              <w:bottom w:w="50" w:type="dxa"/>
              <w:left w:w="90" w:type="dxa"/>
              <w:right w:w="90" w:type="dxa"/>
            </w:tcMar>
            <w:shd w:val="clear" w:color="auto" w:fill="E5F5FF"/>
          </w:tcPr>
          <w:p>
            <w:pPr>
              <w:pStyle w:val="BDOITable"/>
            </w:pPr>
            <w:r>
              <w:rPr>
                <w:sz w:val="18"/>
              </w:rPr>
              <w:t>Product Owner - Comptrollership - Disbursement; Product Owners - Comptrollership - ACSL</w:t>
            </w:r>
          </w:p>
        </w:tc>
      </w:tr>
      <w:tr>
        <w:trPr>
          <w:cantSplit w:val="true"/>
        </w:trPr>
        <w:tc>
          <w:tcPr>
            <w:tcW w:type="dxa" w:w="692"/>
            <w:tcMar>
              <w:top w:w="50" w:type="dxa"/>
              <w:bottom w:w="50" w:type="dxa"/>
              <w:left w:w="90" w:type="dxa"/>
              <w:right w:w="90" w:type="dxa"/>
            </w:tcMar>
          </w:tcPr>
          <w:p>
            <w:pPr>
              <w:pStyle w:val="BDOITable"/>
            </w:pPr>
            <w:r>
              <w:rPr>
                <w:b/>
                <w:sz w:val="18"/>
              </w:rPr>
              <w:t>D11</w:t>
            </w:r>
          </w:p>
        </w:tc>
        <w:tc>
          <w:tcPr>
            <w:tcW w:type="dxa" w:w="2493"/>
            <w:tcMar>
              <w:top w:w="50" w:type="dxa"/>
              <w:bottom w:w="50" w:type="dxa"/>
              <w:left w:w="90" w:type="dxa"/>
              <w:right w:w="90" w:type="dxa"/>
            </w:tcMar>
          </w:tcPr>
          <w:p>
            <w:pPr>
              <w:pStyle w:val="BDOITable"/>
            </w:pPr>
            <w:r>
              <w:rPr>
                <w:sz w:val="18"/>
              </w:rPr>
              <w:t>Renewal</w:t>
            </w:r>
          </w:p>
        </w:tc>
        <w:tc>
          <w:tcPr>
            <w:tcW w:type="dxa" w:w="1246"/>
            <w:tcMar>
              <w:top w:w="50" w:type="dxa"/>
              <w:bottom w:w="50" w:type="dxa"/>
              <w:left w:w="90" w:type="dxa"/>
              <w:right w:w="90" w:type="dxa"/>
            </w:tcMar>
          </w:tcPr>
          <w:p>
            <w:pPr>
              <w:pStyle w:val="BDOITable"/>
            </w:pPr>
            <w:r>
              <w:rPr>
                <w:sz w:val="18"/>
              </w:rPr>
              <w:t>BRD-06</w:t>
            </w:r>
          </w:p>
        </w:tc>
        <w:tc>
          <w:tcPr>
            <w:tcW w:type="dxa" w:w="5540"/>
            <w:tcMar>
              <w:top w:w="50" w:type="dxa"/>
              <w:bottom w:w="50" w:type="dxa"/>
              <w:left w:w="90" w:type="dxa"/>
              <w:right w:w="90" w:type="dxa"/>
            </w:tcMar>
          </w:tcPr>
          <w:p>
            <w:pPr>
              <w:pStyle w:val="BDOITable"/>
            </w:pPr>
            <w:r>
              <w:rPr>
                <w:sz w:val="18"/>
              </w:rPr>
              <w:t>Product Owner, Renewal</w:t>
            </w:r>
          </w:p>
        </w:tc>
      </w:tr>
      <w:tr>
        <w:trPr>
          <w:cantSplit w:val="true"/>
        </w:trPr>
        <w:tc>
          <w:tcPr>
            <w:tcW w:type="dxa" w:w="692"/>
            <w:tcMar>
              <w:top w:w="50" w:type="dxa"/>
              <w:bottom w:w="50" w:type="dxa"/>
              <w:left w:w="90" w:type="dxa"/>
              <w:right w:w="90" w:type="dxa"/>
            </w:tcMar>
            <w:shd w:val="clear" w:color="auto" w:fill="E5F5FF"/>
          </w:tcPr>
          <w:p>
            <w:pPr>
              <w:pStyle w:val="BDOITable"/>
            </w:pPr>
            <w:r>
              <w:rPr>
                <w:b/>
                <w:sz w:val="18"/>
              </w:rPr>
              <w:t>D12</w:t>
            </w:r>
          </w:p>
        </w:tc>
        <w:tc>
          <w:tcPr>
            <w:tcW w:type="dxa" w:w="2493"/>
            <w:tcMar>
              <w:top w:w="50" w:type="dxa"/>
              <w:bottom w:w="50" w:type="dxa"/>
              <w:left w:w="90" w:type="dxa"/>
              <w:right w:w="90" w:type="dxa"/>
            </w:tcMar>
            <w:shd w:val="clear" w:color="auto" w:fill="E5F5FF"/>
          </w:tcPr>
          <w:p>
            <w:pPr>
              <w:pStyle w:val="BDOITable"/>
            </w:pPr>
            <w:r>
              <w:rPr>
                <w:sz w:val="18"/>
              </w:rPr>
              <w:t>Claims Broking</w:t>
            </w:r>
          </w:p>
        </w:tc>
        <w:tc>
          <w:tcPr>
            <w:tcW w:type="dxa" w:w="1246"/>
            <w:tcMar>
              <w:top w:w="50" w:type="dxa"/>
              <w:bottom w:w="50" w:type="dxa"/>
              <w:left w:w="90" w:type="dxa"/>
              <w:right w:w="90" w:type="dxa"/>
            </w:tcMar>
            <w:shd w:val="clear" w:color="auto" w:fill="E5F5FF"/>
          </w:tcPr>
          <w:p>
            <w:pPr>
              <w:pStyle w:val="BDOITable"/>
            </w:pPr>
            <w:r>
              <w:rPr>
                <w:sz w:val="18"/>
              </w:rPr>
              <w:t>BRD-07</w:t>
            </w:r>
          </w:p>
        </w:tc>
        <w:tc>
          <w:tcPr>
            <w:tcW w:type="dxa" w:w="5540"/>
            <w:tcMar>
              <w:top w:w="50" w:type="dxa"/>
              <w:bottom w:w="50" w:type="dxa"/>
              <w:left w:w="90" w:type="dxa"/>
              <w:right w:w="90" w:type="dxa"/>
            </w:tcMar>
            <w:shd w:val="clear" w:color="auto" w:fill="E5F5FF"/>
          </w:tcPr>
          <w:p>
            <w:pPr>
              <w:pStyle w:val="BDOITable"/>
            </w:pPr>
            <w:r>
              <w:rPr>
                <w:sz w:val="18"/>
              </w:rPr>
              <w:t>Product Owner, Claims (with the Unit Head - Claims and Risk Management)</w:t>
            </w:r>
          </w:p>
        </w:tc>
      </w:tr>
      <w:tr>
        <w:trPr>
          <w:cantSplit w:val="true"/>
        </w:trPr>
        <w:tc>
          <w:tcPr>
            <w:tcW w:type="dxa" w:w="692"/>
            <w:tcMar>
              <w:top w:w="50" w:type="dxa"/>
              <w:bottom w:w="50" w:type="dxa"/>
              <w:left w:w="90" w:type="dxa"/>
              <w:right w:w="90" w:type="dxa"/>
            </w:tcMar>
          </w:tcPr>
          <w:p>
            <w:pPr>
              <w:pStyle w:val="BDOITable"/>
            </w:pPr>
            <w:r>
              <w:rPr>
                <w:b/>
                <w:sz w:val="18"/>
              </w:rPr>
              <w:t>D13</w:t>
            </w:r>
          </w:p>
        </w:tc>
        <w:tc>
          <w:tcPr>
            <w:tcW w:type="dxa" w:w="2493"/>
            <w:tcMar>
              <w:top w:w="50" w:type="dxa"/>
              <w:bottom w:w="50" w:type="dxa"/>
              <w:left w:w="90" w:type="dxa"/>
              <w:right w:w="90" w:type="dxa"/>
            </w:tcMar>
          </w:tcPr>
          <w:p>
            <w:pPr>
              <w:pStyle w:val="BDOITable"/>
            </w:pPr>
            <w:r>
              <w:rPr>
                <w:sz w:val="18"/>
              </w:rPr>
              <w:t>Employee Benefits</w:t>
            </w:r>
          </w:p>
        </w:tc>
        <w:tc>
          <w:tcPr>
            <w:tcW w:type="dxa" w:w="1246"/>
            <w:tcMar>
              <w:top w:w="50" w:type="dxa"/>
              <w:bottom w:w="50" w:type="dxa"/>
              <w:left w:w="90" w:type="dxa"/>
              <w:right w:w="90" w:type="dxa"/>
            </w:tcMar>
          </w:tcPr>
          <w:p>
            <w:pPr>
              <w:pStyle w:val="BDOITable"/>
            </w:pPr>
            <w:r>
              <w:rPr>
                <w:sz w:val="18"/>
              </w:rPr>
              <w:t>BRD-08</w:t>
            </w:r>
          </w:p>
        </w:tc>
        <w:tc>
          <w:tcPr>
            <w:tcW w:type="dxa" w:w="5540"/>
            <w:tcMar>
              <w:top w:w="50" w:type="dxa"/>
              <w:bottom w:w="50" w:type="dxa"/>
              <w:left w:w="90" w:type="dxa"/>
              <w:right w:w="90" w:type="dxa"/>
            </w:tcMar>
          </w:tcPr>
          <w:p>
            <w:pPr>
              <w:pStyle w:val="BDOITable"/>
            </w:pPr>
            <w:r>
              <w:rPr>
                <w:sz w:val="18"/>
              </w:rPr>
              <w:t>Product Owner, Employee Benefits</w:t>
            </w:r>
          </w:p>
        </w:tc>
      </w:tr>
      <w:tr>
        <w:trPr>
          <w:cantSplit w:val="true"/>
        </w:trPr>
        <w:tc>
          <w:tcPr>
            <w:tcW w:type="dxa" w:w="692"/>
            <w:tcMar>
              <w:top w:w="50" w:type="dxa"/>
              <w:bottom w:w="50" w:type="dxa"/>
              <w:left w:w="90" w:type="dxa"/>
              <w:right w:w="90" w:type="dxa"/>
            </w:tcMar>
            <w:shd w:val="clear" w:color="auto" w:fill="E5F5FF"/>
          </w:tcPr>
          <w:p>
            <w:pPr>
              <w:pStyle w:val="BDOITable"/>
            </w:pPr>
            <w:r>
              <w:rPr>
                <w:b/>
                <w:sz w:val="18"/>
              </w:rPr>
              <w:t>D14</w:t>
            </w:r>
          </w:p>
        </w:tc>
        <w:tc>
          <w:tcPr>
            <w:tcW w:type="dxa" w:w="2493"/>
            <w:tcMar>
              <w:top w:w="50" w:type="dxa"/>
              <w:bottom w:w="50" w:type="dxa"/>
              <w:left w:w="90" w:type="dxa"/>
              <w:right w:w="90" w:type="dxa"/>
            </w:tcMar>
            <w:shd w:val="clear" w:color="auto" w:fill="E5F5FF"/>
          </w:tcPr>
          <w:p>
            <w:pPr>
              <w:pStyle w:val="BDOITable"/>
            </w:pPr>
            <w:r>
              <w:rPr>
                <w:sz w:val="18"/>
              </w:rPr>
              <w:t>Customer Servicing Facility</w:t>
            </w:r>
          </w:p>
        </w:tc>
        <w:tc>
          <w:tcPr>
            <w:tcW w:type="dxa" w:w="1246"/>
            <w:tcMar>
              <w:top w:w="50" w:type="dxa"/>
              <w:bottom w:w="50" w:type="dxa"/>
              <w:left w:w="90" w:type="dxa"/>
              <w:right w:w="90" w:type="dxa"/>
            </w:tcMar>
            <w:shd w:val="clear" w:color="auto" w:fill="E5F5FF"/>
          </w:tcPr>
          <w:p>
            <w:pPr>
              <w:pStyle w:val="BDOITable"/>
            </w:pPr>
            <w:r>
              <w:rPr>
                <w:sz w:val="18"/>
              </w:rPr>
              <w:t>BRD-09</w:t>
            </w:r>
          </w:p>
        </w:tc>
        <w:tc>
          <w:tcPr>
            <w:tcW w:type="dxa" w:w="5540"/>
            <w:tcMar>
              <w:top w:w="50" w:type="dxa"/>
              <w:bottom w:w="50" w:type="dxa"/>
              <w:left w:w="90" w:type="dxa"/>
              <w:right w:w="90" w:type="dxa"/>
            </w:tcMar>
            <w:shd w:val="clear" w:color="auto" w:fill="E5F5FF"/>
          </w:tcPr>
          <w:p>
            <w:pPr>
              <w:pStyle w:val="BDOITable"/>
            </w:pPr>
            <w:r>
              <w:rPr>
                <w:sz w:val="18"/>
              </w:rPr>
              <w:t>Product Owner, Customer Servicing Facility</w:t>
            </w:r>
          </w:p>
        </w:tc>
      </w:tr>
      <w:tr>
        <w:trPr>
          <w:cantSplit w:val="true"/>
        </w:trPr>
        <w:tc>
          <w:tcPr>
            <w:tcW w:type="dxa" w:w="692"/>
            <w:tcMar>
              <w:top w:w="50" w:type="dxa"/>
              <w:bottom w:w="50" w:type="dxa"/>
              <w:left w:w="90" w:type="dxa"/>
              <w:right w:w="90" w:type="dxa"/>
            </w:tcMar>
          </w:tcPr>
          <w:p>
            <w:pPr>
              <w:pStyle w:val="BDOITable"/>
            </w:pPr>
            <w:r>
              <w:rPr>
                <w:b/>
                <w:sz w:val="18"/>
              </w:rPr>
              <w:t>D15</w:t>
            </w:r>
          </w:p>
        </w:tc>
        <w:tc>
          <w:tcPr>
            <w:tcW w:type="dxa" w:w="2493"/>
            <w:tcMar>
              <w:top w:w="50" w:type="dxa"/>
              <w:bottom w:w="50" w:type="dxa"/>
              <w:left w:w="90" w:type="dxa"/>
              <w:right w:w="90" w:type="dxa"/>
            </w:tcMar>
          </w:tcPr>
          <w:p>
            <w:pPr>
              <w:pStyle w:val="BDOITable"/>
            </w:pPr>
            <w:r>
              <w:rPr>
                <w:sz w:val="18"/>
              </w:rPr>
              <w:t>Sanction Screening</w:t>
            </w:r>
          </w:p>
        </w:tc>
        <w:tc>
          <w:tcPr>
            <w:tcW w:type="dxa" w:w="1246"/>
            <w:tcMar>
              <w:top w:w="50" w:type="dxa"/>
              <w:bottom w:w="50" w:type="dxa"/>
              <w:left w:w="90" w:type="dxa"/>
              <w:right w:w="90" w:type="dxa"/>
            </w:tcMar>
          </w:tcPr>
          <w:p>
            <w:pPr>
              <w:pStyle w:val="BDOITable"/>
            </w:pPr>
            <w:r>
              <w:rPr>
                <w:sz w:val="18"/>
              </w:rPr>
              <w:t>BRD-10</w:t>
            </w:r>
          </w:p>
        </w:tc>
        <w:tc>
          <w:tcPr>
            <w:tcW w:type="dxa" w:w="5540"/>
            <w:tcMar>
              <w:top w:w="50" w:type="dxa"/>
              <w:bottom w:w="50" w:type="dxa"/>
              <w:left w:w="90" w:type="dxa"/>
              <w:right w:w="90" w:type="dxa"/>
            </w:tcMar>
          </w:tcPr>
          <w:p>
            <w:pPr>
              <w:pStyle w:val="BDOITable"/>
            </w:pPr>
            <w:r>
              <w:rPr>
                <w:sz w:val="18"/>
              </w:rPr>
              <w:t>Compliance Officer (AMLA), with the Unit Head - Claims and Risk Management for risk profiling</w:t>
            </w:r>
          </w:p>
        </w:tc>
      </w:tr>
      <w:tr>
        <w:trPr>
          <w:cantSplit w:val="true"/>
        </w:trPr>
        <w:tc>
          <w:tcPr>
            <w:tcW w:type="dxa" w:w="692"/>
            <w:tcMar>
              <w:top w:w="50" w:type="dxa"/>
              <w:bottom w:w="50" w:type="dxa"/>
              <w:left w:w="90" w:type="dxa"/>
              <w:right w:w="90" w:type="dxa"/>
            </w:tcMar>
            <w:shd w:val="clear" w:color="auto" w:fill="E5F5FF"/>
          </w:tcPr>
          <w:p>
            <w:pPr>
              <w:pStyle w:val="BDOITable"/>
            </w:pPr>
            <w:r>
              <w:rPr>
                <w:b/>
                <w:sz w:val="18"/>
              </w:rPr>
              <w:t>D16</w:t>
            </w:r>
          </w:p>
        </w:tc>
        <w:tc>
          <w:tcPr>
            <w:tcW w:type="dxa" w:w="2493"/>
            <w:tcMar>
              <w:top w:w="50" w:type="dxa"/>
              <w:bottom w:w="50" w:type="dxa"/>
              <w:left w:w="90" w:type="dxa"/>
              <w:right w:w="90" w:type="dxa"/>
            </w:tcMar>
            <w:shd w:val="clear" w:color="auto" w:fill="E5F5FF"/>
          </w:tcPr>
          <w:p>
            <w:pPr>
              <w:pStyle w:val="BDOITable"/>
            </w:pPr>
            <w:r>
              <w:rPr>
                <w:sz w:val="18"/>
              </w:rPr>
              <w:t>Submitted Policies</w:t>
            </w:r>
          </w:p>
        </w:tc>
        <w:tc>
          <w:tcPr>
            <w:tcW w:type="dxa" w:w="1246"/>
            <w:tcMar>
              <w:top w:w="50" w:type="dxa"/>
              <w:bottom w:w="50" w:type="dxa"/>
              <w:left w:w="90" w:type="dxa"/>
              <w:right w:w="90" w:type="dxa"/>
            </w:tcMar>
            <w:shd w:val="clear" w:color="auto" w:fill="E5F5FF"/>
          </w:tcPr>
          <w:p>
            <w:pPr>
              <w:pStyle w:val="BDOITable"/>
            </w:pPr>
            <w:r>
              <w:rPr>
                <w:sz w:val="18"/>
              </w:rPr>
              <w:t>BRD-12</w:t>
            </w:r>
          </w:p>
        </w:tc>
        <w:tc>
          <w:tcPr>
            <w:tcW w:type="dxa" w:w="5540"/>
            <w:tcMar>
              <w:top w:w="50" w:type="dxa"/>
              <w:bottom w:w="50" w:type="dxa"/>
              <w:left w:w="90" w:type="dxa"/>
              <w:right w:w="90" w:type="dxa"/>
            </w:tcMar>
            <w:shd w:val="clear" w:color="auto" w:fill="E5F5FF"/>
          </w:tcPr>
          <w:p>
            <w:pPr>
              <w:pStyle w:val="BDOITable"/>
            </w:pPr>
            <w:r>
              <w:rPr>
                <w:sz w:val="18"/>
              </w:rPr>
              <w:t>Product Owner, Submitted Policies</w:t>
            </w:r>
          </w:p>
        </w:tc>
      </w:tr>
      <w:tr>
        <w:trPr>
          <w:cantSplit w:val="true"/>
        </w:trPr>
        <w:tc>
          <w:tcPr>
            <w:tcW w:type="dxa" w:w="692"/>
            <w:tcMar>
              <w:top w:w="50" w:type="dxa"/>
              <w:bottom w:w="50" w:type="dxa"/>
              <w:left w:w="90" w:type="dxa"/>
              <w:right w:w="90" w:type="dxa"/>
            </w:tcMar>
          </w:tcPr>
          <w:p>
            <w:pPr>
              <w:pStyle w:val="BDOITable"/>
            </w:pPr>
            <w:r>
              <w:rPr>
                <w:b/>
                <w:sz w:val="18"/>
              </w:rPr>
              <w:t>D17</w:t>
            </w:r>
          </w:p>
        </w:tc>
        <w:tc>
          <w:tcPr>
            <w:tcW w:type="dxa" w:w="2493"/>
            <w:tcMar>
              <w:top w:w="50" w:type="dxa"/>
              <w:bottom w:w="50" w:type="dxa"/>
              <w:left w:w="90" w:type="dxa"/>
              <w:right w:w="90" w:type="dxa"/>
            </w:tcMar>
          </w:tcPr>
          <w:p>
            <w:pPr>
              <w:pStyle w:val="BDOITable"/>
            </w:pPr>
            <w:r>
              <w:rPr>
                <w:sz w:val="18"/>
              </w:rPr>
              <w:t>Data Migration</w:t>
            </w:r>
          </w:p>
        </w:tc>
        <w:tc>
          <w:tcPr>
            <w:tcW w:type="dxa" w:w="1246"/>
            <w:tcMar>
              <w:top w:w="50" w:type="dxa"/>
              <w:bottom w:w="50" w:type="dxa"/>
              <w:left w:w="90" w:type="dxa"/>
              <w:right w:w="90" w:type="dxa"/>
            </w:tcMar>
          </w:tcPr>
          <w:p>
            <w:pPr>
              <w:pStyle w:val="BDOITable"/>
            </w:pPr>
            <w:r>
              <w:rPr>
                <w:sz w:val="18"/>
              </w:rPr>
              <w:t>BRD-13</w:t>
            </w:r>
          </w:p>
        </w:tc>
        <w:tc>
          <w:tcPr>
            <w:tcW w:type="dxa" w:w="5540"/>
            <w:tcMar>
              <w:top w:w="50" w:type="dxa"/>
              <w:bottom w:w="50" w:type="dxa"/>
              <w:left w:w="90" w:type="dxa"/>
              <w:right w:w="90" w:type="dxa"/>
            </w:tcMar>
          </w:tcPr>
          <w:p>
            <w:pPr>
              <w:pStyle w:val="BDOITable"/>
            </w:pPr>
            <w:r>
              <w:rPr>
                <w:sz w:val="18"/>
              </w:rPr>
              <w:t>Data Migration Lead (BDOI), with the data owner of each object</w:t>
            </w:r>
          </w:p>
        </w:tc>
      </w:tr>
    </w:tbl>
    <w:p>
      <w:pPr>
        <w:pStyle w:val="BDOISpacer"/>
      </w:pPr>
    </w:p>
    <w:p>
      <w:pPr>
        <w:pStyle w:val="Heading2"/>
      </w:pPr>
      <w:bookmarkStart w:id="113" w:name="_Toc000113"/>
      <w:r>
        <w:rPr/>
        <w:t>4.2 Master data and golden-record rules</w:t>
      </w:r>
      <w:bookmarkEnd w:id="113"/>
    </w:p>
    <w:p>
      <w:pPr>
        <w:pStyle w:val="Caption"/>
        <w:keepNext/>
        <w:spacing w:after="60"/>
      </w:pPr>
      <w:r>
        <w:rPr>
          <w:b/>
          <w:i w:val="0"/>
        </w:rPr>
        <w:t xml:space="preserve">Table 8: </w:t>
      </w:r>
      <w:r>
        <w:rPr/>
        <w:t>Master data management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62"/>
        <w:gridCol w:w="1728"/>
        <w:gridCol w:w="2393"/>
        <w:gridCol w:w="2659"/>
        <w:gridCol w:w="1728"/>
      </w:tblGrid>
      <w:tr>
        <w:trPr>
          <w:tblHeader w:val="true"/>
          <w:cantSplit w:val="true"/>
        </w:trPr>
        <w:tc>
          <w:tcPr>
            <w:tcW w:type="dxa" w:w="1463"/>
            <w:shd w:val="clear" w:color="auto" w:fill="004EA8"/>
            <w:tcMar>
              <w:top w:w="50" w:type="dxa"/>
              <w:bottom w:w="50" w:type="dxa"/>
              <w:left w:w="90" w:type="dxa"/>
              <w:right w:w="90" w:type="dxa"/>
            </w:tcMar>
            <w:vAlign w:val="center"/>
          </w:tcPr>
          <w:p>
            <w:pPr>
              <w:pStyle w:val="BDOITableHeader"/>
            </w:pPr>
            <w:r>
              <w:rPr>
                <w:b/>
                <w:color w:val="FFFFFF"/>
                <w:sz w:val="17"/>
              </w:rPr>
              <w:t>Master</w:t>
            </w:r>
          </w:p>
        </w:tc>
        <w:tc>
          <w:tcPr>
            <w:tcW w:type="dxa" w:w="1728"/>
            <w:shd w:val="clear" w:color="auto" w:fill="004EA8"/>
            <w:tcMar>
              <w:top w:w="50" w:type="dxa"/>
              <w:bottom w:w="50" w:type="dxa"/>
              <w:left w:w="90" w:type="dxa"/>
              <w:right w:w="90" w:type="dxa"/>
            </w:tcMar>
            <w:vAlign w:val="center"/>
          </w:tcPr>
          <w:p>
            <w:pPr>
              <w:pStyle w:val="BDOITableHeader"/>
            </w:pPr>
            <w:r>
              <w:rPr>
                <w:b/>
                <w:color w:val="FFFFFF"/>
                <w:sz w:val="17"/>
              </w:rPr>
              <w:t>System of record and owner</w:t>
            </w:r>
          </w:p>
        </w:tc>
        <w:tc>
          <w:tcPr>
            <w:tcW w:type="dxa" w:w="2393"/>
            <w:shd w:val="clear" w:color="auto" w:fill="004EA8"/>
            <w:tcMar>
              <w:top w:w="50" w:type="dxa"/>
              <w:bottom w:w="50" w:type="dxa"/>
              <w:left w:w="90" w:type="dxa"/>
              <w:right w:w="90" w:type="dxa"/>
            </w:tcMar>
            <w:vAlign w:val="center"/>
          </w:tcPr>
          <w:p>
            <w:pPr>
              <w:pStyle w:val="BDOITableHeader"/>
            </w:pPr>
            <w:r>
              <w:rPr>
                <w:b/>
                <w:color w:val="FFFFFF"/>
                <w:sz w:val="17"/>
              </w:rPr>
              <w:t>Golden-record rules</w:t>
            </w:r>
          </w:p>
        </w:tc>
        <w:tc>
          <w:tcPr>
            <w:tcW w:type="dxa" w:w="2659"/>
            <w:shd w:val="clear" w:color="auto" w:fill="004EA8"/>
            <w:tcMar>
              <w:top w:w="50" w:type="dxa"/>
              <w:bottom w:w="50" w:type="dxa"/>
              <w:left w:w="90" w:type="dxa"/>
              <w:right w:w="90" w:type="dxa"/>
            </w:tcMar>
            <w:vAlign w:val="center"/>
          </w:tcPr>
          <w:p>
            <w:pPr>
              <w:pStyle w:val="BDOITableHeader"/>
            </w:pPr>
            <w:r>
              <w:rPr>
                <w:b/>
                <w:color w:val="FFFFFF"/>
                <w:sz w:val="17"/>
              </w:rPr>
              <w:t>Change control</w:t>
            </w:r>
          </w:p>
        </w:tc>
        <w:tc>
          <w:tcPr>
            <w:tcW w:type="dxa" w:w="1728"/>
            <w:shd w:val="clear" w:color="auto" w:fill="004EA8"/>
            <w:tcMar>
              <w:top w:w="50" w:type="dxa"/>
              <w:bottom w:w="50" w:type="dxa"/>
              <w:left w:w="90" w:type="dxa"/>
              <w:right w:w="90" w:type="dxa"/>
            </w:tcMar>
            <w:vAlign w:val="center"/>
          </w:tcPr>
          <w:p>
            <w:pPr>
              <w:pStyle w:val="BDOITableHeader"/>
            </w:pPr>
            <w:r>
              <w:rPr>
                <w:b/>
                <w:color w:val="FFFFFF"/>
                <w:sz w:val="17"/>
              </w:rPr>
              <w:t>Consumers</w:t>
            </w:r>
          </w:p>
        </w:tc>
      </w:tr>
      <w:tr>
        <w:trPr>
          <w:cantSplit w:val="true"/>
        </w:trPr>
        <w:tc>
          <w:tcPr>
            <w:tcW w:type="dxa" w:w="1463"/>
            <w:tcMar>
              <w:top w:w="50" w:type="dxa"/>
              <w:bottom w:w="50" w:type="dxa"/>
              <w:left w:w="90" w:type="dxa"/>
              <w:right w:w="90" w:type="dxa"/>
            </w:tcMar>
          </w:tcPr>
          <w:p>
            <w:pPr>
              <w:pStyle w:val="BDOITable"/>
            </w:pPr>
            <w:r>
              <w:rPr>
                <w:b/>
                <w:sz w:val="17"/>
              </w:rPr>
              <w:t>Client (party)</w:t>
            </w:r>
          </w:p>
        </w:tc>
        <w:tc>
          <w:tcPr>
            <w:tcW w:type="dxa" w:w="1728"/>
            <w:tcMar>
              <w:top w:w="50" w:type="dxa"/>
              <w:bottom w:w="50" w:type="dxa"/>
              <w:left w:w="90" w:type="dxa"/>
              <w:right w:w="90" w:type="dxa"/>
            </w:tcMar>
          </w:tcPr>
          <w:p>
            <w:pPr>
              <w:pStyle w:val="BDOITable"/>
            </w:pPr>
            <w:r>
              <w:rPr>
                <w:sz w:val="17"/>
              </w:rPr>
              <w:t>BIBS client master (D04); Product Owner, Marketing Business System</w:t>
            </w:r>
          </w:p>
        </w:tc>
        <w:tc>
          <w:tcPr>
            <w:tcW w:type="dxa" w:w="2393"/>
            <w:tcMar>
              <w:top w:w="50" w:type="dxa"/>
              <w:bottom w:w="50" w:type="dxa"/>
              <w:left w:w="90" w:type="dxa"/>
              <w:right w:w="90" w:type="dxa"/>
            </w:tcMar>
          </w:tcPr>
          <w:p>
            <w:pPr>
              <w:pStyle w:val="BDOITable"/>
            </w:pPr>
            <w:r>
              <w:rPr>
                <w:sz w:val="17"/>
              </w:rPr>
              <w:t>One client per person or entity. Hard keys block a duplicate: TIN; identity document type and number; last name, first name and birth date. E-mail, mobile and corporate name warn. TIN format 000-000-000-000; minimum fields per client type; KYC review date from the risk rating. The confirmed client opens its business partner in the same transaction</w:t>
            </w:r>
          </w:p>
        </w:tc>
        <w:tc>
          <w:tcPr>
            <w:tcW w:type="dxa" w:w="2659"/>
            <w:tcMar>
              <w:top w:w="50" w:type="dxa"/>
              <w:bottom w:w="50" w:type="dxa"/>
              <w:left w:w="90" w:type="dxa"/>
              <w:right w:w="90" w:type="dxa"/>
            </w:tcMar>
          </w:tcPr>
          <w:p>
            <w:pPr>
              <w:pStyle w:val="BDOITable"/>
            </w:pPr>
            <w:r>
              <w:rPr>
                <w:sz w:val="17"/>
              </w:rPr>
              <w:t>Prospect by the Account Officer; KYC verification and confirmation under the NB_CLIENT workflow; changes audited with from / to values; deactivation with a reason; merges of legacy duplicates during migration only, approved by the data owner</w:t>
            </w:r>
          </w:p>
        </w:tc>
        <w:tc>
          <w:tcPr>
            <w:tcW w:type="dxa" w:w="1728"/>
            <w:tcMar>
              <w:top w:w="50" w:type="dxa"/>
              <w:bottom w:w="50" w:type="dxa"/>
              <w:left w:w="90" w:type="dxa"/>
              <w:right w:w="90" w:type="dxa"/>
            </w:tcMar>
          </w:tcPr>
          <w:p>
            <w:pPr>
              <w:pStyle w:val="BDOITable"/>
            </w:pPr>
            <w:r>
              <w:rPr>
                <w:sz w:val="17"/>
              </w:rPr>
              <w:t>All broking modules, screening, collections, EDP</w:t>
            </w:r>
          </w:p>
        </w:tc>
      </w:tr>
      <w:tr>
        <w:trPr>
          <w:cantSplit w:val="true"/>
        </w:trPr>
        <w:tc>
          <w:tcPr>
            <w:tcW w:type="dxa" w:w="1463"/>
            <w:tcMar>
              <w:top w:w="50" w:type="dxa"/>
              <w:bottom w:w="50" w:type="dxa"/>
              <w:left w:w="90" w:type="dxa"/>
              <w:right w:w="90" w:type="dxa"/>
            </w:tcMar>
            <w:shd w:val="clear" w:color="auto" w:fill="E5F5FF"/>
          </w:tcPr>
          <w:p>
            <w:pPr>
              <w:pStyle w:val="BDOITable"/>
            </w:pPr>
            <w:r>
              <w:rPr>
                <w:b/>
                <w:sz w:val="17"/>
              </w:rPr>
              <w:t>Insurer</w:t>
            </w:r>
          </w:p>
        </w:tc>
        <w:tc>
          <w:tcPr>
            <w:tcW w:type="dxa" w:w="1728"/>
            <w:tcMar>
              <w:top w:w="50" w:type="dxa"/>
              <w:bottom w:w="50" w:type="dxa"/>
              <w:left w:w="90" w:type="dxa"/>
              <w:right w:w="90" w:type="dxa"/>
            </w:tcMar>
            <w:shd w:val="clear" w:color="auto" w:fill="E5F5FF"/>
          </w:tcPr>
          <w:p>
            <w:pPr>
              <w:pStyle w:val="BDOITable"/>
            </w:pPr>
            <w:r>
              <w:rPr>
                <w:sz w:val="17"/>
              </w:rPr>
              <w:t>BIBS catalogue (D05); Head - Operations</w:t>
            </w:r>
          </w:p>
        </w:tc>
        <w:tc>
          <w:tcPr>
            <w:tcW w:type="dxa" w:w="2393"/>
            <w:tcMar>
              <w:top w:w="50" w:type="dxa"/>
              <w:bottom w:w="50" w:type="dxa"/>
              <w:left w:w="90" w:type="dxa"/>
              <w:right w:w="90" w:type="dxa"/>
            </w:tcMar>
            <w:shd w:val="clear" w:color="auto" w:fill="E5F5FF"/>
          </w:tcPr>
          <w:p>
            <w:pPr>
              <w:pStyle w:val="BDOITable"/>
            </w:pPr>
            <w:r>
              <w:rPr>
                <w:sz w:val="17"/>
              </w:rPr>
              <w:t>One insurer per insurer code; insurer branches and bank accounts under it; accreditation and status dates</w:t>
            </w:r>
          </w:p>
        </w:tc>
        <w:tc>
          <w:tcPr>
            <w:tcW w:type="dxa" w:w="2659"/>
            <w:tcMar>
              <w:top w:w="50" w:type="dxa"/>
              <w:bottom w:w="50" w:type="dxa"/>
              <w:left w:w="90" w:type="dxa"/>
              <w:right w:w="90" w:type="dxa"/>
            </w:tcMar>
            <w:shd w:val="clear" w:color="auto" w:fill="E5F5FF"/>
          </w:tcPr>
          <w:p>
            <w:pPr>
              <w:pStyle w:val="BDOITable"/>
            </w:pPr>
            <w:r>
              <w:rPr>
                <w:sz w:val="17"/>
              </w:rPr>
              <w:t>Maker-checker; deactivation only without open placements</w:t>
            </w:r>
          </w:p>
        </w:tc>
        <w:tc>
          <w:tcPr>
            <w:tcW w:type="dxa" w:w="1728"/>
            <w:tcMar>
              <w:top w:w="50" w:type="dxa"/>
              <w:bottom w:w="50" w:type="dxa"/>
              <w:left w:w="90" w:type="dxa"/>
              <w:right w:w="90" w:type="dxa"/>
            </w:tcMar>
            <w:shd w:val="clear" w:color="auto" w:fill="E5F5FF"/>
          </w:tcPr>
          <w:p>
            <w:pPr>
              <w:pStyle w:val="BDOITable"/>
            </w:pPr>
            <w:r>
              <w:rPr>
                <w:sz w:val="17"/>
              </w:rPr>
              <w:t>Placement, remittance, production reconciliation, ACSL, disbursement</w:t>
            </w:r>
          </w:p>
        </w:tc>
      </w:tr>
      <w:tr>
        <w:trPr>
          <w:cantSplit w:val="true"/>
        </w:trPr>
        <w:tc>
          <w:tcPr>
            <w:tcW w:type="dxa" w:w="1463"/>
            <w:tcMar>
              <w:top w:w="50" w:type="dxa"/>
              <w:bottom w:w="50" w:type="dxa"/>
              <w:left w:w="90" w:type="dxa"/>
              <w:right w:w="90" w:type="dxa"/>
            </w:tcMar>
          </w:tcPr>
          <w:p>
            <w:pPr>
              <w:pStyle w:val="BDOITable"/>
            </w:pPr>
            <w:r>
              <w:rPr>
                <w:b/>
                <w:sz w:val="17"/>
              </w:rPr>
              <w:t>Product and package</w:t>
            </w:r>
          </w:p>
        </w:tc>
        <w:tc>
          <w:tcPr>
            <w:tcW w:type="dxa" w:w="1728"/>
            <w:tcMar>
              <w:top w:w="50" w:type="dxa"/>
              <w:bottom w:w="50" w:type="dxa"/>
              <w:left w:w="90" w:type="dxa"/>
              <w:right w:w="90" w:type="dxa"/>
            </w:tcMar>
          </w:tcPr>
          <w:p>
            <w:pPr>
              <w:pStyle w:val="BDOITable"/>
            </w:pPr>
            <w:r>
              <w:rPr>
                <w:sz w:val="17"/>
              </w:rPr>
              <w:t>BIBS catalogue and product maintenance (D05); Product Owner, Marketing Business System with the TSU</w:t>
            </w:r>
          </w:p>
        </w:tc>
        <w:tc>
          <w:tcPr>
            <w:tcW w:type="dxa" w:w="2393"/>
            <w:tcMar>
              <w:top w:w="50" w:type="dxa"/>
              <w:bottom w:w="50" w:type="dxa"/>
              <w:left w:w="90" w:type="dxa"/>
              <w:right w:w="90" w:type="dxa"/>
            </w:tcMar>
          </w:tcPr>
          <w:p>
            <w:pPr>
              <w:pStyle w:val="BDOITable"/>
            </w:pPr>
            <w:r>
              <w:rPr>
                <w:sz w:val="17"/>
              </w:rPr>
              <w:t>One product per product line and code; packages in versions with effective dates, one active version per date; rates, commission and incentive criteria per version</w:t>
            </w:r>
          </w:p>
        </w:tc>
        <w:tc>
          <w:tcPr>
            <w:tcW w:type="dxa" w:w="2659"/>
            <w:tcMar>
              <w:top w:w="50" w:type="dxa"/>
              <w:bottom w:w="50" w:type="dxa"/>
              <w:left w:w="90" w:type="dxa"/>
              <w:right w:w="90" w:type="dxa"/>
            </w:tcMar>
          </w:tcPr>
          <w:p>
            <w:pPr>
              <w:pStyle w:val="BDOITable"/>
            </w:pPr>
            <w:r>
              <w:rPr>
                <w:sz w:val="17"/>
              </w:rPr>
              <w:t>Package request, negotiation and approval workflow; maker-checker on the version</w:t>
            </w:r>
          </w:p>
        </w:tc>
        <w:tc>
          <w:tcPr>
            <w:tcW w:type="dxa" w:w="1728"/>
            <w:tcMar>
              <w:top w:w="50" w:type="dxa"/>
              <w:bottom w:w="50" w:type="dxa"/>
              <w:left w:w="90" w:type="dxa"/>
              <w:right w:w="90" w:type="dxa"/>
            </w:tcMar>
          </w:tcPr>
          <w:p>
            <w:pPr>
              <w:pStyle w:val="BDOITable"/>
            </w:pPr>
            <w:r>
              <w:rPr>
                <w:sz w:val="17"/>
              </w:rPr>
              <w:t>Quotation, account, booking, renewal, commission</w:t>
            </w:r>
          </w:p>
        </w:tc>
      </w:tr>
      <w:tr>
        <w:trPr>
          <w:cantSplit w:val="true"/>
        </w:trPr>
        <w:tc>
          <w:tcPr>
            <w:tcW w:type="dxa" w:w="1463"/>
            <w:tcMar>
              <w:top w:w="50" w:type="dxa"/>
              <w:bottom w:w="50" w:type="dxa"/>
              <w:left w:w="90" w:type="dxa"/>
              <w:right w:w="90" w:type="dxa"/>
            </w:tcMar>
            <w:shd w:val="clear" w:color="auto" w:fill="E5F5FF"/>
          </w:tcPr>
          <w:p>
            <w:pPr>
              <w:pStyle w:val="BDOITable"/>
            </w:pPr>
            <w:r>
              <w:rPr>
                <w:b/>
                <w:sz w:val="17"/>
              </w:rPr>
              <w:t>Organisation (company, branch, cost centre)</w:t>
            </w:r>
          </w:p>
        </w:tc>
        <w:tc>
          <w:tcPr>
            <w:tcW w:type="dxa" w:w="1728"/>
            <w:tcMar>
              <w:top w:w="50" w:type="dxa"/>
              <w:bottom w:w="50" w:type="dxa"/>
              <w:left w:w="90" w:type="dxa"/>
              <w:right w:w="90" w:type="dxa"/>
            </w:tcMar>
            <w:shd w:val="clear" w:color="auto" w:fill="E5F5FF"/>
          </w:tcPr>
          <w:p>
            <w:pPr>
              <w:pStyle w:val="BDOITable"/>
            </w:pPr>
            <w:r>
              <w:rPr>
                <w:sz w:val="17"/>
              </w:rPr>
              <w:t>BIBS organisation (D03); Head - Comptrollership</w:t>
            </w:r>
          </w:p>
        </w:tc>
        <w:tc>
          <w:tcPr>
            <w:tcW w:type="dxa" w:w="2393"/>
            <w:tcMar>
              <w:top w:w="50" w:type="dxa"/>
              <w:bottom w:w="50" w:type="dxa"/>
              <w:left w:w="90" w:type="dxa"/>
              <w:right w:w="90" w:type="dxa"/>
            </w:tcMar>
            <w:shd w:val="clear" w:color="auto" w:fill="E5F5FF"/>
          </w:tcPr>
          <w:p>
            <w:pPr>
              <w:pStyle w:val="BDOITable"/>
            </w:pPr>
            <w:r>
              <w:rPr>
                <w:sz w:val="17"/>
              </w:rPr>
              <w:t>One code per company and branch (Office Master); cost centres and dimensions linked to GL posting controls</w:t>
            </w:r>
          </w:p>
        </w:tc>
        <w:tc>
          <w:tcPr>
            <w:tcW w:type="dxa" w:w="2659"/>
            <w:tcMar>
              <w:top w:w="50" w:type="dxa"/>
              <w:bottom w:w="50" w:type="dxa"/>
              <w:left w:w="90" w:type="dxa"/>
              <w:right w:w="90" w:type="dxa"/>
            </w:tcMar>
            <w:shd w:val="clear" w:color="auto" w:fill="E5F5FF"/>
          </w:tcPr>
          <w:p>
            <w:pPr>
              <w:pStyle w:val="BDOITable"/>
            </w:pPr>
            <w:r>
              <w:rPr>
                <w:sz w:val="17"/>
              </w:rPr>
              <w:t>Maker-checker; a branch with open records cannot be closed</w:t>
            </w:r>
          </w:p>
        </w:tc>
        <w:tc>
          <w:tcPr>
            <w:tcW w:type="dxa" w:w="1728"/>
            <w:tcMar>
              <w:top w:w="50" w:type="dxa"/>
              <w:bottom w:w="50" w:type="dxa"/>
              <w:left w:w="90" w:type="dxa"/>
              <w:right w:w="90" w:type="dxa"/>
            </w:tcMar>
            <w:shd w:val="clear" w:color="auto" w:fill="E5F5FF"/>
          </w:tcPr>
          <w:p>
            <w:pPr>
              <w:pStyle w:val="BDOITable"/>
            </w:pPr>
            <w:r>
              <w:rPr>
                <w:sz w:val="17"/>
              </w:rPr>
              <w:t>Every module (data scope), GL, EGL mapping</w:t>
            </w:r>
          </w:p>
        </w:tc>
      </w:tr>
      <w:tr>
        <w:trPr>
          <w:cantSplit w:val="true"/>
        </w:trPr>
        <w:tc>
          <w:tcPr>
            <w:tcW w:type="dxa" w:w="1463"/>
            <w:tcMar>
              <w:top w:w="50" w:type="dxa"/>
              <w:bottom w:w="50" w:type="dxa"/>
              <w:left w:w="90" w:type="dxa"/>
              <w:right w:w="90" w:type="dxa"/>
            </w:tcMar>
          </w:tcPr>
          <w:p>
            <w:pPr>
              <w:pStyle w:val="BDOITable"/>
            </w:pPr>
            <w:r>
              <w:rPr>
                <w:b/>
                <w:sz w:val="17"/>
              </w:rPr>
              <w:t>Users and roles</w:t>
            </w:r>
          </w:p>
        </w:tc>
        <w:tc>
          <w:tcPr>
            <w:tcW w:type="dxa" w:w="1728"/>
            <w:tcMar>
              <w:top w:w="50" w:type="dxa"/>
              <w:bottom w:w="50" w:type="dxa"/>
              <w:left w:w="90" w:type="dxa"/>
              <w:right w:w="90" w:type="dxa"/>
            </w:tcMar>
          </w:tcPr>
          <w:p>
            <w:pPr>
              <w:pStyle w:val="BDOITable"/>
            </w:pPr>
            <w:r>
              <w:rPr>
                <w:sz w:val="17"/>
              </w:rPr>
              <w:t>BIBS security (D01), fed by UIDM-ISC for accounts (proposal); Business Administration and the System Administrator</w:t>
            </w:r>
          </w:p>
        </w:tc>
        <w:tc>
          <w:tcPr>
            <w:tcW w:type="dxa" w:w="2393"/>
            <w:tcMar>
              <w:top w:w="50" w:type="dxa"/>
              <w:bottom w:w="50" w:type="dxa"/>
              <w:left w:w="90" w:type="dxa"/>
              <w:right w:w="90" w:type="dxa"/>
            </w:tcMar>
          </w:tcPr>
          <w:p>
            <w:pPr>
              <w:pStyle w:val="BDOITable"/>
            </w:pPr>
            <w:r>
              <w:rPr>
                <w:sz w:val="17"/>
              </w:rPr>
              <w:t>One user per person (user name and Windows ID unique); roles are group profiles approved under BRD-11</w:t>
            </w:r>
          </w:p>
        </w:tc>
        <w:tc>
          <w:tcPr>
            <w:tcW w:type="dxa" w:w="2659"/>
            <w:tcMar>
              <w:top w:w="50" w:type="dxa"/>
              <w:bottom w:w="50" w:type="dxa"/>
              <w:left w:w="90" w:type="dxa"/>
              <w:right w:w="90" w:type="dxa"/>
            </w:tcMar>
          </w:tcPr>
          <w:p>
            <w:pPr>
              <w:pStyle w:val="BDOITable"/>
            </w:pPr>
            <w:r>
              <w:rPr>
                <w:sz w:val="17"/>
              </w:rPr>
              <w:t>Access requests under four eyes; second approval for privileged or out-of-hours changes; access change log</w:t>
            </w:r>
          </w:p>
        </w:tc>
        <w:tc>
          <w:tcPr>
            <w:tcW w:type="dxa" w:w="1728"/>
            <w:tcMar>
              <w:top w:w="50" w:type="dxa"/>
              <w:bottom w:w="50" w:type="dxa"/>
              <w:left w:w="90" w:type="dxa"/>
              <w:right w:w="90" w:type="dxa"/>
            </w:tcMar>
          </w:tcPr>
          <w:p>
            <w:pPr>
              <w:pStyle w:val="BDOITable"/>
            </w:pPr>
            <w:r>
              <w:rPr>
                <w:sz w:val="17"/>
              </w:rPr>
              <w:t>Every module; audit reports</w:t>
            </w:r>
          </w:p>
        </w:tc>
      </w:tr>
      <w:tr>
        <w:trPr>
          <w:cantSplit w:val="true"/>
        </w:trPr>
        <w:tc>
          <w:tcPr>
            <w:tcW w:type="dxa" w:w="1463"/>
            <w:tcMar>
              <w:top w:w="50" w:type="dxa"/>
              <w:bottom w:w="50" w:type="dxa"/>
              <w:left w:w="90" w:type="dxa"/>
              <w:right w:w="90" w:type="dxa"/>
            </w:tcMar>
            <w:shd w:val="clear" w:color="auto" w:fill="E5F5FF"/>
          </w:tcPr>
          <w:p>
            <w:pPr>
              <w:pStyle w:val="BDOITable"/>
            </w:pPr>
            <w:r>
              <w:rPr>
                <w:b/>
                <w:sz w:val="17"/>
              </w:rPr>
              <w:t>Chart of accounts and accounting rules</w:t>
            </w:r>
          </w:p>
        </w:tc>
        <w:tc>
          <w:tcPr>
            <w:tcW w:type="dxa" w:w="1728"/>
            <w:tcMar>
              <w:top w:w="50" w:type="dxa"/>
              <w:bottom w:w="50" w:type="dxa"/>
              <w:left w:w="90" w:type="dxa"/>
              <w:right w:w="90" w:type="dxa"/>
            </w:tcMar>
            <w:shd w:val="clear" w:color="auto" w:fill="E5F5FF"/>
          </w:tcPr>
          <w:p>
            <w:pPr>
              <w:pStyle w:val="BDOITable"/>
            </w:pPr>
            <w:r>
              <w:rPr>
                <w:sz w:val="17"/>
              </w:rPr>
              <w:t>BIBS finance (D09); Head - Comptrollership</w:t>
            </w:r>
          </w:p>
        </w:tc>
        <w:tc>
          <w:tcPr>
            <w:tcW w:type="dxa" w:w="2393"/>
            <w:tcMar>
              <w:top w:w="50" w:type="dxa"/>
              <w:bottom w:w="50" w:type="dxa"/>
              <w:left w:w="90" w:type="dxa"/>
              <w:right w:w="90" w:type="dxa"/>
            </w:tcMar>
            <w:shd w:val="clear" w:color="auto" w:fill="E5F5FF"/>
          </w:tcPr>
          <w:p>
            <w:pPr>
              <w:pStyle w:val="BDOITable"/>
            </w:pPr>
            <w:r>
              <w:rPr>
                <w:sz w:val="17"/>
              </w:rPr>
              <w:t>One GL account per code with category, posting controls and branch / currency rules; one active rule per event and condition</w:t>
            </w:r>
          </w:p>
        </w:tc>
        <w:tc>
          <w:tcPr>
            <w:tcW w:type="dxa" w:w="2659"/>
            <w:tcMar>
              <w:top w:w="50" w:type="dxa"/>
              <w:bottom w:w="50" w:type="dxa"/>
              <w:left w:w="90" w:type="dxa"/>
              <w:right w:w="90" w:type="dxa"/>
            </w:tcMar>
            <w:shd w:val="clear" w:color="auto" w:fill="E5F5FF"/>
          </w:tcPr>
          <w:p>
            <w:pPr>
              <w:pStyle w:val="BDOITable"/>
            </w:pPr>
            <w:r>
              <w:rPr>
                <w:sz w:val="17"/>
              </w:rPr>
              <w:t>Maker-checker; rule simulation before authorisation</w:t>
            </w:r>
          </w:p>
        </w:tc>
        <w:tc>
          <w:tcPr>
            <w:tcW w:type="dxa" w:w="1728"/>
            <w:tcMar>
              <w:top w:w="50" w:type="dxa"/>
              <w:bottom w:w="50" w:type="dxa"/>
              <w:left w:w="90" w:type="dxa"/>
              <w:right w:w="90" w:type="dxa"/>
            </w:tcMar>
            <w:shd w:val="clear" w:color="auto" w:fill="E5F5FF"/>
          </w:tcPr>
          <w:p>
            <w:pPr>
              <w:pStyle w:val="BDOITable"/>
            </w:pPr>
            <w:r>
              <w:rPr>
                <w:sz w:val="17"/>
              </w:rPr>
              <w:t>Posting engine, reports, EGL</w:t>
            </w:r>
          </w:p>
        </w:tc>
      </w:tr>
      <w:tr>
        <w:trPr>
          <w:cantSplit w:val="true"/>
        </w:trPr>
        <w:tc>
          <w:tcPr>
            <w:tcW w:type="dxa" w:w="1463"/>
            <w:tcMar>
              <w:top w:w="50" w:type="dxa"/>
              <w:bottom w:w="50" w:type="dxa"/>
              <w:left w:w="90" w:type="dxa"/>
              <w:right w:w="90" w:type="dxa"/>
            </w:tcMar>
          </w:tcPr>
          <w:p>
            <w:pPr>
              <w:pStyle w:val="BDOITable"/>
            </w:pPr>
            <w:r>
              <w:rPr>
                <w:b/>
                <w:sz w:val="17"/>
              </w:rPr>
              <w:t>Lists of values and parameters</w:t>
            </w:r>
          </w:p>
        </w:tc>
        <w:tc>
          <w:tcPr>
            <w:tcW w:type="dxa" w:w="1728"/>
            <w:tcMar>
              <w:top w:w="50" w:type="dxa"/>
              <w:bottom w:w="50" w:type="dxa"/>
              <w:left w:w="90" w:type="dxa"/>
              <w:right w:w="90" w:type="dxa"/>
            </w:tcMar>
          </w:tcPr>
          <w:p>
            <w:pPr>
              <w:pStyle w:val="BDOITable"/>
            </w:pPr>
            <w:r>
              <w:rPr>
                <w:sz w:val="17"/>
              </w:rPr>
              <w:t>BIBS platform (D02); owner per list as named in the configuration inputs</w:t>
            </w:r>
          </w:p>
        </w:tc>
        <w:tc>
          <w:tcPr>
            <w:tcW w:type="dxa" w:w="2393"/>
            <w:tcMar>
              <w:top w:w="50" w:type="dxa"/>
              <w:bottom w:w="50" w:type="dxa"/>
              <w:left w:w="90" w:type="dxa"/>
              <w:right w:w="90" w:type="dxa"/>
            </w:tcMar>
          </w:tcPr>
          <w:p>
            <w:pPr>
              <w:pStyle w:val="BDOITable"/>
            </w:pPr>
            <w:r>
              <w:rPr>
                <w:sz w:val="17"/>
              </w:rPr>
              <w:t>One code per list; labels shown, codes stored</w:t>
            </w:r>
          </w:p>
        </w:tc>
        <w:tc>
          <w:tcPr>
            <w:tcW w:type="dxa" w:w="2659"/>
            <w:tcMar>
              <w:top w:w="50" w:type="dxa"/>
              <w:bottom w:w="50" w:type="dxa"/>
              <w:left w:w="90" w:type="dxa"/>
              <w:right w:w="90" w:type="dxa"/>
            </w:tcMar>
          </w:tcPr>
          <w:p>
            <w:pPr>
              <w:pStyle w:val="BDOITable"/>
            </w:pPr>
            <w:r>
              <w:rPr>
                <w:sz w:val="17"/>
              </w:rPr>
              <w:t>Maker-checker on values; security parameters need a second approval</w:t>
            </w:r>
          </w:p>
        </w:tc>
        <w:tc>
          <w:tcPr>
            <w:tcW w:type="dxa" w:w="1728"/>
            <w:tcMar>
              <w:top w:w="50" w:type="dxa"/>
              <w:bottom w:w="50" w:type="dxa"/>
              <w:left w:w="90" w:type="dxa"/>
              <w:right w:w="90" w:type="dxa"/>
            </w:tcMar>
          </w:tcPr>
          <w:p>
            <w:pPr>
              <w:pStyle w:val="BDOITable"/>
            </w:pPr>
            <w:r>
              <w:rPr>
                <w:sz w:val="17"/>
              </w:rPr>
              <w:t>All screens and rules</w:t>
            </w:r>
          </w:p>
        </w:tc>
      </w:tr>
    </w:tbl>
    <w:p>
      <w:pPr>
        <w:pStyle w:val="BDOISpacer"/>
      </w:pPr>
    </w:p>
    <w:p>
      <w:pPr>
        <w:pStyle w:val="Heading2"/>
      </w:pPr>
      <w:bookmarkStart w:id="114" w:name="_Toc000114"/>
      <w:r>
        <w:rPr/>
        <w:t>4.3 Master data quality targets (proposal)</w:t>
      </w:r>
      <w:bookmarkEnd w:id="114"/>
    </w:p>
    <w:p>
      <w:pPr>
        <w:pStyle w:val="Caption"/>
        <w:keepNext/>
        <w:spacing w:after="60"/>
      </w:pPr>
      <w:r>
        <w:rPr>
          <w:b/>
          <w:i w:val="0"/>
        </w:rPr>
        <w:t xml:space="preserve">Table 9: </w:t>
      </w:r>
      <w:r>
        <w:rPr/>
        <w:t>Master data quality targets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166"/>
        <w:gridCol w:w="1899"/>
        <w:gridCol w:w="2057"/>
        <w:gridCol w:w="2849"/>
      </w:tblGrid>
      <w:tr>
        <w:trPr>
          <w:tblHeader w:val="true"/>
          <w:cantSplit w:val="true"/>
        </w:trPr>
        <w:tc>
          <w:tcPr>
            <w:tcW w:type="dxa" w:w="3166"/>
            <w:shd w:val="clear" w:color="auto" w:fill="004EA8"/>
            <w:tcMar>
              <w:top w:w="50" w:type="dxa"/>
              <w:bottom w:w="50" w:type="dxa"/>
              <w:left w:w="90" w:type="dxa"/>
              <w:right w:w="90" w:type="dxa"/>
            </w:tcMar>
            <w:vAlign w:val="center"/>
          </w:tcPr>
          <w:p>
            <w:pPr>
              <w:pStyle w:val="BDOITableHeader"/>
            </w:pPr>
            <w:r>
              <w:rPr>
                <w:b/>
                <w:color w:val="FFFFFF"/>
                <w:sz w:val="18"/>
              </w:rPr>
              <w:t>Measure</w:t>
            </w:r>
          </w:p>
        </w:tc>
        <w:tc>
          <w:tcPr>
            <w:tcW w:type="dxa" w:w="1899"/>
            <w:shd w:val="clear" w:color="auto" w:fill="004EA8"/>
            <w:tcMar>
              <w:top w:w="50" w:type="dxa"/>
              <w:bottom w:w="50" w:type="dxa"/>
              <w:left w:w="90" w:type="dxa"/>
              <w:right w:w="90" w:type="dxa"/>
            </w:tcMar>
            <w:vAlign w:val="center"/>
          </w:tcPr>
          <w:p>
            <w:pPr>
              <w:pStyle w:val="BDOITableHeader"/>
            </w:pPr>
            <w:r>
              <w:rPr>
                <w:b/>
                <w:color w:val="FFFFFF"/>
                <w:sz w:val="18"/>
              </w:rPr>
              <w:t>Target at go-live</w:t>
            </w:r>
          </w:p>
        </w:tc>
        <w:tc>
          <w:tcPr>
            <w:tcW w:type="dxa" w:w="2058"/>
            <w:shd w:val="clear" w:color="auto" w:fill="004EA8"/>
            <w:tcMar>
              <w:top w:w="50" w:type="dxa"/>
              <w:bottom w:w="50" w:type="dxa"/>
              <w:left w:w="90" w:type="dxa"/>
              <w:right w:w="90" w:type="dxa"/>
            </w:tcMar>
            <w:vAlign w:val="center"/>
          </w:tcPr>
          <w:p>
            <w:pPr>
              <w:pStyle w:val="BDOITableHeader"/>
            </w:pPr>
            <w:r>
              <w:rPr>
                <w:b/>
                <w:color w:val="FFFFFF"/>
                <w:sz w:val="18"/>
              </w:rPr>
              <w:t>Then</w:t>
            </w:r>
          </w:p>
        </w:tc>
        <w:tc>
          <w:tcPr>
            <w:tcW w:type="dxa" w:w="2849"/>
            <w:shd w:val="clear" w:color="auto" w:fill="004EA8"/>
            <w:tcMar>
              <w:top w:w="50" w:type="dxa"/>
              <w:bottom w:w="50" w:type="dxa"/>
              <w:left w:w="90" w:type="dxa"/>
              <w:right w:w="90" w:type="dxa"/>
            </w:tcMar>
            <w:vAlign w:val="center"/>
          </w:tcPr>
          <w:p>
            <w:pPr>
              <w:pStyle w:val="BDOITableHeader"/>
            </w:pPr>
            <w:r>
              <w:rPr>
                <w:b/>
                <w:color w:val="FFFFFF"/>
                <w:sz w:val="18"/>
              </w:rPr>
              <w:t>Monitored by</w:t>
            </w:r>
          </w:p>
        </w:tc>
      </w:tr>
      <w:tr>
        <w:trPr>
          <w:cantSplit w:val="true"/>
        </w:trPr>
        <w:tc>
          <w:tcPr>
            <w:tcW w:type="dxa" w:w="3166"/>
            <w:tcMar>
              <w:top w:w="50" w:type="dxa"/>
              <w:bottom w:w="50" w:type="dxa"/>
              <w:left w:w="90" w:type="dxa"/>
              <w:right w:w="90" w:type="dxa"/>
            </w:tcMar>
          </w:tcPr>
          <w:p>
            <w:pPr>
              <w:pStyle w:val="BDOITable"/>
            </w:pPr>
            <w:r>
              <w:rPr>
                <w:b/>
                <w:sz w:val="18"/>
              </w:rPr>
              <w:t>Confirmed clients with complete minimum fields</w:t>
            </w:r>
          </w:p>
        </w:tc>
        <w:tc>
          <w:tcPr>
            <w:tcW w:type="dxa" w:w="1899"/>
            <w:tcMar>
              <w:top w:w="50" w:type="dxa"/>
              <w:bottom w:w="50" w:type="dxa"/>
              <w:left w:w="90" w:type="dxa"/>
              <w:right w:w="90" w:type="dxa"/>
            </w:tcMar>
          </w:tcPr>
          <w:p>
            <w:pPr>
              <w:pStyle w:val="BDOITable"/>
            </w:pPr>
            <w:r>
              <w:rPr>
                <w:sz w:val="18"/>
              </w:rPr>
              <w:t>98 %</w:t>
            </w:r>
          </w:p>
        </w:tc>
        <w:tc>
          <w:tcPr>
            <w:tcW w:type="dxa" w:w="2058"/>
            <w:tcMar>
              <w:top w:w="50" w:type="dxa"/>
              <w:bottom w:w="50" w:type="dxa"/>
              <w:left w:w="90" w:type="dxa"/>
              <w:right w:w="90" w:type="dxa"/>
            </w:tcMar>
          </w:tcPr>
          <w:p>
            <w:pPr>
              <w:pStyle w:val="BDOITable"/>
            </w:pPr>
            <w:r>
              <w:rPr>
                <w:sz w:val="18"/>
              </w:rPr>
              <w:t>99 % monthly</w:t>
            </w:r>
          </w:p>
        </w:tc>
        <w:tc>
          <w:tcPr>
            <w:tcW w:type="dxa" w:w="2849"/>
            <w:tcMar>
              <w:top w:w="50" w:type="dxa"/>
              <w:bottom w:w="50" w:type="dxa"/>
              <w:left w:w="90" w:type="dxa"/>
              <w:right w:w="90" w:type="dxa"/>
            </w:tcMar>
          </w:tcPr>
          <w:p>
            <w:pPr>
              <w:pStyle w:val="BDOITable"/>
            </w:pPr>
            <w:r>
              <w:rPr>
                <w:sz w:val="18"/>
              </w:rPr>
              <w:t>Client 360 warnings; incomplete-client report</w:t>
            </w:r>
          </w:p>
        </w:tc>
      </w:tr>
      <w:tr>
        <w:trPr>
          <w:cantSplit w:val="true"/>
        </w:trPr>
        <w:tc>
          <w:tcPr>
            <w:tcW w:type="dxa" w:w="3166"/>
            <w:tcMar>
              <w:top w:w="50" w:type="dxa"/>
              <w:bottom w:w="50" w:type="dxa"/>
              <w:left w:w="90" w:type="dxa"/>
              <w:right w:w="90" w:type="dxa"/>
            </w:tcMar>
            <w:shd w:val="clear" w:color="auto" w:fill="E5F5FF"/>
          </w:tcPr>
          <w:p>
            <w:pPr>
              <w:pStyle w:val="BDOITable"/>
            </w:pPr>
            <w:r>
              <w:rPr>
                <w:b/>
                <w:sz w:val="18"/>
              </w:rPr>
              <w:t>Confirmed clients with valid TIN format</w:t>
            </w:r>
          </w:p>
        </w:tc>
        <w:tc>
          <w:tcPr>
            <w:tcW w:type="dxa" w:w="1899"/>
            <w:tcMar>
              <w:top w:w="50" w:type="dxa"/>
              <w:bottom w:w="50" w:type="dxa"/>
              <w:left w:w="90" w:type="dxa"/>
              <w:right w:w="90" w:type="dxa"/>
            </w:tcMar>
            <w:shd w:val="clear" w:color="auto" w:fill="E5F5FF"/>
          </w:tcPr>
          <w:p>
            <w:pPr>
              <w:pStyle w:val="BDOITable"/>
            </w:pPr>
            <w:r>
              <w:rPr>
                <w:sz w:val="18"/>
              </w:rPr>
              <w:t>100 %</w:t>
            </w:r>
          </w:p>
        </w:tc>
        <w:tc>
          <w:tcPr>
            <w:tcW w:type="dxa" w:w="2058"/>
            <w:tcMar>
              <w:top w:w="50" w:type="dxa"/>
              <w:bottom w:w="50" w:type="dxa"/>
              <w:left w:w="90" w:type="dxa"/>
              <w:right w:w="90" w:type="dxa"/>
            </w:tcMar>
            <w:shd w:val="clear" w:color="auto" w:fill="E5F5FF"/>
          </w:tcPr>
          <w:p>
            <w:pPr>
              <w:pStyle w:val="BDOITable"/>
            </w:pPr>
            <w:r>
              <w:rPr>
                <w:sz w:val="18"/>
              </w:rPr>
              <w:t>100 %</w:t>
            </w:r>
          </w:p>
        </w:tc>
        <w:tc>
          <w:tcPr>
            <w:tcW w:type="dxa" w:w="2849"/>
            <w:tcMar>
              <w:top w:w="50" w:type="dxa"/>
              <w:bottom w:w="50" w:type="dxa"/>
              <w:left w:w="90" w:type="dxa"/>
              <w:right w:w="90" w:type="dxa"/>
            </w:tcMar>
            <w:shd w:val="clear" w:color="auto" w:fill="E5F5FF"/>
          </w:tcPr>
          <w:p>
            <w:pPr>
              <w:pStyle w:val="BDOITable"/>
            </w:pPr>
            <w:r>
              <w:rPr>
                <w:sz w:val="18"/>
              </w:rPr>
              <w:t>Validation at entry; migration quality rules</w:t>
            </w:r>
          </w:p>
        </w:tc>
      </w:tr>
      <w:tr>
        <w:trPr>
          <w:cantSplit w:val="true"/>
        </w:trPr>
        <w:tc>
          <w:tcPr>
            <w:tcW w:type="dxa" w:w="3166"/>
            <w:tcMar>
              <w:top w:w="50" w:type="dxa"/>
              <w:bottom w:w="50" w:type="dxa"/>
              <w:left w:w="90" w:type="dxa"/>
              <w:right w:w="90" w:type="dxa"/>
            </w:tcMar>
          </w:tcPr>
          <w:p>
            <w:pPr>
              <w:pStyle w:val="BDOITable"/>
            </w:pPr>
            <w:r>
              <w:rPr>
                <w:b/>
                <w:sz w:val="18"/>
              </w:rPr>
              <w:t>Clients with KYC review overdue</w:t>
            </w:r>
          </w:p>
        </w:tc>
        <w:tc>
          <w:tcPr>
            <w:tcW w:type="dxa" w:w="1899"/>
            <w:tcMar>
              <w:top w:w="50" w:type="dxa"/>
              <w:bottom w:w="50" w:type="dxa"/>
              <w:left w:w="90" w:type="dxa"/>
              <w:right w:w="90" w:type="dxa"/>
            </w:tcMar>
          </w:tcPr>
          <w:p>
            <w:pPr>
              <w:pStyle w:val="BDOITable"/>
            </w:pPr>
            <w:r>
              <w:rPr>
                <w:sz w:val="18"/>
              </w:rPr>
              <w:t>below 2 %</w:t>
            </w:r>
          </w:p>
        </w:tc>
        <w:tc>
          <w:tcPr>
            <w:tcW w:type="dxa" w:w="2058"/>
            <w:tcMar>
              <w:top w:w="50" w:type="dxa"/>
              <w:bottom w:w="50" w:type="dxa"/>
              <w:left w:w="90" w:type="dxa"/>
              <w:right w:w="90" w:type="dxa"/>
            </w:tcMar>
          </w:tcPr>
          <w:p>
            <w:pPr>
              <w:pStyle w:val="BDOITable"/>
            </w:pPr>
            <w:r>
              <w:rPr>
                <w:sz w:val="18"/>
              </w:rPr>
              <w:t>below 2 %</w:t>
            </w:r>
          </w:p>
        </w:tc>
        <w:tc>
          <w:tcPr>
            <w:tcW w:type="dxa" w:w="2849"/>
            <w:tcMar>
              <w:top w:w="50" w:type="dxa"/>
              <w:bottom w:w="50" w:type="dxa"/>
              <w:left w:w="90" w:type="dxa"/>
              <w:right w:w="90" w:type="dxa"/>
            </w:tcMar>
          </w:tcPr>
          <w:p>
            <w:pPr>
              <w:pStyle w:val="BDOITable"/>
            </w:pPr>
            <w:r>
              <w:rPr>
                <w:sz w:val="18"/>
              </w:rPr>
              <w:t>KYC reviews due job and report (monthly)</w:t>
            </w:r>
          </w:p>
        </w:tc>
      </w:tr>
      <w:tr>
        <w:trPr>
          <w:cantSplit w:val="true"/>
        </w:trPr>
        <w:tc>
          <w:tcPr>
            <w:tcW w:type="dxa" w:w="3166"/>
            <w:tcMar>
              <w:top w:w="50" w:type="dxa"/>
              <w:bottom w:w="50" w:type="dxa"/>
              <w:left w:w="90" w:type="dxa"/>
              <w:right w:w="90" w:type="dxa"/>
            </w:tcMar>
            <w:shd w:val="clear" w:color="auto" w:fill="E5F5FF"/>
          </w:tcPr>
          <w:p>
            <w:pPr>
              <w:pStyle w:val="BDOITable"/>
            </w:pPr>
            <w:r>
              <w:rPr>
                <w:b/>
                <w:sz w:val="18"/>
              </w:rPr>
              <w:t>Duplicate clients (hard keys)</w:t>
            </w:r>
          </w:p>
        </w:tc>
        <w:tc>
          <w:tcPr>
            <w:tcW w:type="dxa" w:w="1899"/>
            <w:tcMar>
              <w:top w:w="50" w:type="dxa"/>
              <w:bottom w:w="50" w:type="dxa"/>
              <w:left w:w="90" w:type="dxa"/>
              <w:right w:w="90" w:type="dxa"/>
            </w:tcMar>
            <w:shd w:val="clear" w:color="auto" w:fill="E5F5FF"/>
          </w:tcPr>
          <w:p>
            <w:pPr>
              <w:pStyle w:val="BDOITable"/>
            </w:pPr>
            <w:r>
              <w:rPr>
                <w:sz w:val="18"/>
              </w:rPr>
              <w:t>0</w:t>
            </w:r>
          </w:p>
        </w:tc>
        <w:tc>
          <w:tcPr>
            <w:tcW w:type="dxa" w:w="2058"/>
            <w:tcMar>
              <w:top w:w="50" w:type="dxa"/>
              <w:bottom w:w="50" w:type="dxa"/>
              <w:left w:w="90" w:type="dxa"/>
              <w:right w:w="90" w:type="dxa"/>
            </w:tcMar>
            <w:shd w:val="clear" w:color="auto" w:fill="E5F5FF"/>
          </w:tcPr>
          <w:p>
            <w:pPr>
              <w:pStyle w:val="BDOITable"/>
            </w:pPr>
            <w:r>
              <w:rPr>
                <w:sz w:val="18"/>
              </w:rPr>
              <w:t>0</w:t>
            </w:r>
          </w:p>
        </w:tc>
        <w:tc>
          <w:tcPr>
            <w:tcW w:type="dxa" w:w="2849"/>
            <w:tcMar>
              <w:top w:w="50" w:type="dxa"/>
              <w:bottom w:w="50" w:type="dxa"/>
              <w:left w:w="90" w:type="dxa"/>
              <w:right w:w="90" w:type="dxa"/>
            </w:tcMar>
            <w:shd w:val="clear" w:color="auto" w:fill="E5F5FF"/>
          </w:tcPr>
          <w:p>
            <w:pPr>
              <w:pStyle w:val="BDOITable"/>
            </w:pPr>
            <w:r>
              <w:rPr>
                <w:sz w:val="18"/>
              </w:rPr>
              <w:t>Duplicate check; migration cross-reference</w:t>
            </w:r>
          </w:p>
        </w:tc>
      </w:tr>
      <w:tr>
        <w:trPr>
          <w:cantSplit w:val="true"/>
        </w:trPr>
        <w:tc>
          <w:tcPr>
            <w:tcW w:type="dxa" w:w="3166"/>
            <w:tcMar>
              <w:top w:w="50" w:type="dxa"/>
              <w:bottom w:w="50" w:type="dxa"/>
              <w:left w:w="90" w:type="dxa"/>
              <w:right w:w="90" w:type="dxa"/>
            </w:tcMar>
          </w:tcPr>
          <w:p>
            <w:pPr>
              <w:pStyle w:val="BDOITable"/>
            </w:pPr>
            <w:r>
              <w:rPr>
                <w:b/>
                <w:sz w:val="18"/>
              </w:rPr>
              <w:t>Active insurers with a bank account and remittance terms</w:t>
            </w:r>
          </w:p>
        </w:tc>
        <w:tc>
          <w:tcPr>
            <w:tcW w:type="dxa" w:w="1899"/>
            <w:tcMar>
              <w:top w:w="50" w:type="dxa"/>
              <w:bottom w:w="50" w:type="dxa"/>
              <w:left w:w="90" w:type="dxa"/>
              <w:right w:w="90" w:type="dxa"/>
            </w:tcMar>
          </w:tcPr>
          <w:p>
            <w:pPr>
              <w:pStyle w:val="BDOITable"/>
            </w:pPr>
            <w:r>
              <w:rPr>
                <w:sz w:val="18"/>
              </w:rPr>
              <w:t>100 %</w:t>
            </w:r>
          </w:p>
        </w:tc>
        <w:tc>
          <w:tcPr>
            <w:tcW w:type="dxa" w:w="2058"/>
            <w:tcMar>
              <w:top w:w="50" w:type="dxa"/>
              <w:bottom w:w="50" w:type="dxa"/>
              <w:left w:w="90" w:type="dxa"/>
              <w:right w:w="90" w:type="dxa"/>
            </w:tcMar>
          </w:tcPr>
          <w:p>
            <w:pPr>
              <w:pStyle w:val="BDOITable"/>
            </w:pPr>
            <w:r>
              <w:rPr>
                <w:sz w:val="18"/>
              </w:rPr>
              <w:t>100 %</w:t>
            </w:r>
          </w:p>
        </w:tc>
        <w:tc>
          <w:tcPr>
            <w:tcW w:type="dxa" w:w="2849"/>
            <w:tcMar>
              <w:top w:w="50" w:type="dxa"/>
              <w:bottom w:w="50" w:type="dxa"/>
              <w:left w:w="90" w:type="dxa"/>
              <w:right w:w="90" w:type="dxa"/>
            </w:tcMar>
          </w:tcPr>
          <w:p>
            <w:pPr>
              <w:pStyle w:val="BDOITable"/>
            </w:pPr>
            <w:r>
              <w:rPr>
                <w:sz w:val="18"/>
              </w:rPr>
              <w:t>Catalogue completeness report</w:t>
            </w:r>
          </w:p>
        </w:tc>
      </w:tr>
      <w:tr>
        <w:trPr>
          <w:cantSplit w:val="true"/>
        </w:trPr>
        <w:tc>
          <w:tcPr>
            <w:tcW w:type="dxa" w:w="3166"/>
            <w:tcMar>
              <w:top w:w="50" w:type="dxa"/>
              <w:bottom w:w="50" w:type="dxa"/>
              <w:left w:w="90" w:type="dxa"/>
              <w:right w:w="90" w:type="dxa"/>
            </w:tcMar>
            <w:shd w:val="clear" w:color="auto" w:fill="E5F5FF"/>
          </w:tcPr>
          <w:p>
            <w:pPr>
              <w:pStyle w:val="BDOITable"/>
            </w:pPr>
            <w:r>
              <w:rPr>
                <w:b/>
                <w:sz w:val="18"/>
              </w:rPr>
              <w:t>Package versions with rates and commission set for every product</w:t>
            </w:r>
          </w:p>
        </w:tc>
        <w:tc>
          <w:tcPr>
            <w:tcW w:type="dxa" w:w="1899"/>
            <w:tcMar>
              <w:top w:w="50" w:type="dxa"/>
              <w:bottom w:w="50" w:type="dxa"/>
              <w:left w:w="90" w:type="dxa"/>
              <w:right w:w="90" w:type="dxa"/>
            </w:tcMar>
            <w:shd w:val="clear" w:color="auto" w:fill="E5F5FF"/>
          </w:tcPr>
          <w:p>
            <w:pPr>
              <w:pStyle w:val="BDOITable"/>
            </w:pPr>
            <w:r>
              <w:rPr>
                <w:sz w:val="18"/>
              </w:rPr>
              <w:t>100 %</w:t>
            </w:r>
          </w:p>
        </w:tc>
        <w:tc>
          <w:tcPr>
            <w:tcW w:type="dxa" w:w="2058"/>
            <w:tcMar>
              <w:top w:w="50" w:type="dxa"/>
              <w:bottom w:w="50" w:type="dxa"/>
              <w:left w:w="90" w:type="dxa"/>
              <w:right w:w="90" w:type="dxa"/>
            </w:tcMar>
            <w:shd w:val="clear" w:color="auto" w:fill="E5F5FF"/>
          </w:tcPr>
          <w:p>
            <w:pPr>
              <w:pStyle w:val="BDOITable"/>
            </w:pPr>
            <w:r>
              <w:rPr>
                <w:sz w:val="18"/>
              </w:rPr>
              <w:t>100 %</w:t>
            </w:r>
          </w:p>
        </w:tc>
        <w:tc>
          <w:tcPr>
            <w:tcW w:type="dxa" w:w="2849"/>
            <w:tcMar>
              <w:top w:w="50" w:type="dxa"/>
              <w:bottom w:w="50" w:type="dxa"/>
              <w:left w:w="90" w:type="dxa"/>
              <w:right w:w="90" w:type="dxa"/>
            </w:tcMar>
            <w:shd w:val="clear" w:color="auto" w:fill="E5F5FF"/>
          </w:tcPr>
          <w:p>
            <w:pPr>
              <w:pStyle w:val="BDOITable"/>
            </w:pPr>
            <w:r>
              <w:rPr>
                <w:sz w:val="18"/>
              </w:rPr>
              <w:t>Version validation checks</w:t>
            </w:r>
          </w:p>
        </w:tc>
      </w:tr>
    </w:tbl>
    <w:p>
      <w:pPr>
        <w:pStyle w:val="BDOISpacer"/>
      </w:pPr>
    </w:p>
    <w:p>
      <w:pPr>
        <w:pStyle w:val="Heading1"/>
        <w:pageBreakBefore/>
        <w:pBdr>
          <w:bottom w:val="single" w:sz="4" w:space="4" w:color="99C1E7"/>
        </w:pBdr>
      </w:pPr>
      <w:bookmarkStart w:id="115" w:name="_Toc000115"/>
      <w:r>
        <w:rPr/>
        <w:t>5 Data lineage</w:t>
      </w:r>
      <w:bookmarkEnd w:id="115"/>
    </w:p>
    <w:p>
      <w:pPr>
        <w:keepNext/>
        <w:spacing w:before="80" w:after="0"/>
        <w:jc w:val="center"/>
      </w:pPr>
      <w:r>
        <w:drawing>
          <wp:inline xmlns:a="http://schemas.openxmlformats.org/drawingml/2006/main" xmlns:pic="http://schemas.openxmlformats.org/drawingml/2006/picture">
            <wp:extent cx="6332220" cy="3905855"/>
            <wp:docPr id="4" name="Picture 4"/>
            <wp:cNvGraphicFramePr>
              <a:graphicFrameLocks noChangeAspect="1"/>
            </wp:cNvGraphicFramePr>
            <a:graphic>
              <a:graphicData uri="http://schemas.openxmlformats.org/drawingml/2006/picture">
                <pic:pic>
                  <pic:nvPicPr>
                    <pic:cNvPr id="0" name="da_lineage_1177.jpg"/>
                    <pic:cNvPicPr/>
                  </pic:nvPicPr>
                  <pic:blipFill>
                    <a:blip r:embed="rId16"/>
                    <a:stretch>
                      <a:fillRect/>
                    </a:stretch>
                  </pic:blipFill>
                  <pic:spPr>
                    <a:xfrm>
                      <a:off x="0" y="0"/>
                      <a:ext cx="6332220" cy="3905855"/>
                    </a:xfrm>
                    <a:prstGeom prst="rect"/>
                  </pic:spPr>
                </pic:pic>
              </a:graphicData>
            </a:graphic>
          </wp:inline>
        </w:drawing>
      </w:r>
    </w:p>
    <w:p>
      <w:pPr>
        <w:pStyle w:val="Caption"/>
        <w:jc w:val="center"/>
      </w:pPr>
      <w:r>
        <w:rPr>
          <w:b/>
          <w:i w:val="0"/>
        </w:rPr>
        <w:t xml:space="preserve">Figure 2: </w:t>
      </w:r>
      <w:r>
        <w:rPr/>
        <w:t>Lineage from the sources through BIBS to the ledger, reports and regulators</w:t>
      </w:r>
    </w:p>
    <w:p>
      <w:pPr>
        <w:pStyle w:val="Caption"/>
        <w:keepNext/>
        <w:spacing w:after="60"/>
      </w:pPr>
      <w:r>
        <w:rPr>
          <w:b/>
          <w:i w:val="0"/>
        </w:rPr>
        <w:t xml:space="preserve">Table 10: </w:t>
      </w:r>
      <w:r>
        <w:rPr/>
        <w:t>Lineage of the main figures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35"/>
        <w:gridCol w:w="2232"/>
        <w:gridCol w:w="2977"/>
        <w:gridCol w:w="2828"/>
      </w:tblGrid>
      <w:tr>
        <w:trPr>
          <w:tblHeader w:val="true"/>
          <w:cantSplit w:val="true"/>
        </w:trPr>
        <w:tc>
          <w:tcPr>
            <w:tcW w:type="dxa" w:w="1935"/>
            <w:shd w:val="clear" w:color="auto" w:fill="004EA8"/>
            <w:tcMar>
              <w:top w:w="50" w:type="dxa"/>
              <w:bottom w:w="50" w:type="dxa"/>
              <w:left w:w="90" w:type="dxa"/>
              <w:right w:w="90" w:type="dxa"/>
            </w:tcMar>
            <w:vAlign w:val="center"/>
          </w:tcPr>
          <w:p>
            <w:pPr>
              <w:pStyle w:val="BDOITableHeader"/>
            </w:pPr>
            <w:r>
              <w:rPr>
                <w:b/>
                <w:color w:val="FFFFFF"/>
                <w:sz w:val="17"/>
              </w:rPr>
              <w:t>Figure</w:t>
            </w:r>
          </w:p>
        </w:tc>
        <w:tc>
          <w:tcPr>
            <w:tcW w:type="dxa" w:w="2233"/>
            <w:shd w:val="clear" w:color="auto" w:fill="004EA8"/>
            <w:tcMar>
              <w:top w:w="50" w:type="dxa"/>
              <w:bottom w:w="50" w:type="dxa"/>
              <w:left w:w="90" w:type="dxa"/>
              <w:right w:w="90" w:type="dxa"/>
            </w:tcMar>
            <w:vAlign w:val="center"/>
          </w:tcPr>
          <w:p>
            <w:pPr>
              <w:pStyle w:val="BDOITableHeader"/>
            </w:pPr>
            <w:r>
              <w:rPr>
                <w:b/>
                <w:color w:val="FFFFFF"/>
                <w:sz w:val="17"/>
              </w:rPr>
              <w:t>Source</w:t>
            </w:r>
          </w:p>
        </w:tc>
        <w:tc>
          <w:tcPr>
            <w:tcW w:type="dxa" w:w="2977"/>
            <w:shd w:val="clear" w:color="auto" w:fill="004EA8"/>
            <w:tcMar>
              <w:top w:w="50" w:type="dxa"/>
              <w:bottom w:w="50" w:type="dxa"/>
              <w:left w:w="90" w:type="dxa"/>
              <w:right w:w="90" w:type="dxa"/>
            </w:tcMar>
            <w:vAlign w:val="center"/>
          </w:tcPr>
          <w:p>
            <w:pPr>
              <w:pStyle w:val="BDOITableHeader"/>
            </w:pPr>
            <w:r>
              <w:rPr>
                <w:b/>
                <w:color w:val="FFFFFF"/>
                <w:sz w:val="17"/>
              </w:rPr>
              <w:t>Inside BIBS</w:t>
            </w:r>
          </w:p>
        </w:tc>
        <w:tc>
          <w:tcPr>
            <w:tcW w:type="dxa" w:w="2828"/>
            <w:shd w:val="clear" w:color="auto" w:fill="004EA8"/>
            <w:tcMar>
              <w:top w:w="50" w:type="dxa"/>
              <w:bottom w:w="50" w:type="dxa"/>
              <w:left w:w="90" w:type="dxa"/>
              <w:right w:w="90" w:type="dxa"/>
            </w:tcMar>
            <w:vAlign w:val="center"/>
          </w:tcPr>
          <w:p>
            <w:pPr>
              <w:pStyle w:val="BDOITableHeader"/>
            </w:pPr>
            <w:r>
              <w:rPr>
                <w:b/>
                <w:color w:val="FFFFFF"/>
                <w:sz w:val="17"/>
              </w:rPr>
              <w:t>Destination</w:t>
            </w:r>
          </w:p>
        </w:tc>
      </w:tr>
      <w:tr>
        <w:trPr>
          <w:cantSplit w:val="true"/>
        </w:trPr>
        <w:tc>
          <w:tcPr>
            <w:tcW w:type="dxa" w:w="1935"/>
            <w:tcMar>
              <w:top w:w="50" w:type="dxa"/>
              <w:bottom w:w="50" w:type="dxa"/>
              <w:left w:w="90" w:type="dxa"/>
              <w:right w:w="90" w:type="dxa"/>
            </w:tcMar>
          </w:tcPr>
          <w:p>
            <w:pPr>
              <w:pStyle w:val="BDOITable"/>
            </w:pPr>
            <w:r>
              <w:rPr>
                <w:b/>
                <w:sz w:val="17"/>
              </w:rPr>
              <w:t>Gross premium and its components (premium, DST, VAT, LGT, other charges)</w:t>
            </w:r>
          </w:p>
        </w:tc>
        <w:tc>
          <w:tcPr>
            <w:tcW w:type="dxa" w:w="2233"/>
            <w:tcMar>
              <w:top w:w="50" w:type="dxa"/>
              <w:bottom w:w="50" w:type="dxa"/>
              <w:left w:w="90" w:type="dxa"/>
              <w:right w:w="90" w:type="dxa"/>
            </w:tcMar>
          </w:tcPr>
          <w:p>
            <w:pPr>
              <w:pStyle w:val="BDOITable"/>
            </w:pPr>
            <w:r>
              <w:rPr>
                <w:sz w:val="17"/>
              </w:rPr>
              <w:t>Insurer terms on the placement slip; rates of the package version</w:t>
            </w:r>
          </w:p>
        </w:tc>
        <w:tc>
          <w:tcPr>
            <w:tcW w:type="dxa" w:w="2977"/>
            <w:tcMar>
              <w:top w:w="50" w:type="dxa"/>
              <w:bottom w:w="50" w:type="dxa"/>
              <w:left w:w="90" w:type="dxa"/>
              <w:right w:w="90" w:type="dxa"/>
            </w:tcMar>
          </w:tcPr>
          <w:p>
            <w:pPr>
              <w:pStyle w:val="BDOITable"/>
            </w:pPr>
            <w:r>
              <w:rPr>
                <w:sz w:val="17"/>
              </w:rPr>
              <w:t>Booked invoice components; accounting event at booking; journal lines per rule</w:t>
            </w:r>
          </w:p>
        </w:tc>
        <w:tc>
          <w:tcPr>
            <w:tcW w:type="dxa" w:w="2828"/>
            <w:tcMar>
              <w:top w:w="50" w:type="dxa"/>
              <w:bottom w:w="50" w:type="dxa"/>
              <w:left w:w="90" w:type="dxa"/>
              <w:right w:w="90" w:type="dxa"/>
            </w:tcMar>
          </w:tcPr>
          <w:p>
            <w:pPr>
              <w:pStyle w:val="BDOITable"/>
            </w:pPr>
            <w:r>
              <w:rPr>
                <w:sz w:val="17"/>
              </w:rPr>
              <w:t>GL (premium receivable, due to insurer); EGL; IC broker reports; Mancom</w:t>
            </w:r>
          </w:p>
        </w:tc>
      </w:tr>
      <w:tr>
        <w:trPr>
          <w:cantSplit w:val="true"/>
        </w:trPr>
        <w:tc>
          <w:tcPr>
            <w:tcW w:type="dxa" w:w="1935"/>
            <w:tcMar>
              <w:top w:w="50" w:type="dxa"/>
              <w:bottom w:w="50" w:type="dxa"/>
              <w:left w:w="90" w:type="dxa"/>
              <w:right w:w="90" w:type="dxa"/>
            </w:tcMar>
            <w:shd w:val="clear" w:color="auto" w:fill="E5F5FF"/>
          </w:tcPr>
          <w:p>
            <w:pPr>
              <w:pStyle w:val="BDOITable"/>
            </w:pPr>
            <w:r>
              <w:rPr>
                <w:b/>
                <w:sz w:val="17"/>
              </w:rPr>
              <w:t>Broker commission and VAT on commission</w:t>
            </w:r>
          </w:p>
        </w:tc>
        <w:tc>
          <w:tcPr>
            <w:tcW w:type="dxa" w:w="2233"/>
            <w:tcMar>
              <w:top w:w="50" w:type="dxa"/>
              <w:bottom w:w="50" w:type="dxa"/>
              <w:left w:w="90" w:type="dxa"/>
              <w:right w:w="90" w:type="dxa"/>
            </w:tcMar>
            <w:shd w:val="clear" w:color="auto" w:fill="E5F5FF"/>
          </w:tcPr>
          <w:p>
            <w:pPr>
              <w:pStyle w:val="BDOITable"/>
            </w:pPr>
            <w:r>
              <w:rPr>
                <w:sz w:val="17"/>
              </w:rPr>
              <w:t>Commission rate of the package version or the placement</w:t>
            </w:r>
          </w:p>
        </w:tc>
        <w:tc>
          <w:tcPr>
            <w:tcW w:type="dxa" w:w="2977"/>
            <w:tcMar>
              <w:top w:w="50" w:type="dxa"/>
              <w:bottom w:w="50" w:type="dxa"/>
              <w:left w:w="90" w:type="dxa"/>
              <w:right w:w="90" w:type="dxa"/>
            </w:tcMar>
            <w:shd w:val="clear" w:color="auto" w:fill="E5F5FF"/>
          </w:tcPr>
          <w:p>
            <w:pPr>
              <w:pStyle w:val="BDOITable"/>
            </w:pPr>
            <w:r>
              <w:rPr>
                <w:sz w:val="17"/>
              </w:rPr>
              <w:t>Invoice commission with VAT and withholding; commission receivable</w:t>
            </w:r>
          </w:p>
        </w:tc>
        <w:tc>
          <w:tcPr>
            <w:tcW w:type="dxa" w:w="2828"/>
            <w:tcMar>
              <w:top w:w="50" w:type="dxa"/>
              <w:bottom w:w="50" w:type="dxa"/>
              <w:left w:w="90" w:type="dxa"/>
              <w:right w:w="90" w:type="dxa"/>
            </w:tcMar>
            <w:shd w:val="clear" w:color="auto" w:fill="E5F5FF"/>
          </w:tcPr>
          <w:p>
            <w:pPr>
              <w:pStyle w:val="BDOITable"/>
            </w:pPr>
            <w:r>
              <w:rPr>
                <w:sz w:val="17"/>
              </w:rPr>
              <w:t>GL income and output VAT; BIR VAT return (2550Q); EGL</w:t>
            </w:r>
          </w:p>
        </w:tc>
      </w:tr>
      <w:tr>
        <w:trPr>
          <w:cantSplit w:val="true"/>
        </w:trPr>
        <w:tc>
          <w:tcPr>
            <w:tcW w:type="dxa" w:w="1935"/>
            <w:tcMar>
              <w:top w:w="50" w:type="dxa"/>
              <w:bottom w:w="50" w:type="dxa"/>
              <w:left w:w="90" w:type="dxa"/>
              <w:right w:w="90" w:type="dxa"/>
            </w:tcMar>
          </w:tcPr>
          <w:p>
            <w:pPr>
              <w:pStyle w:val="BDOITable"/>
            </w:pPr>
            <w:r>
              <w:rPr>
                <w:b/>
                <w:sz w:val="17"/>
              </w:rPr>
              <w:t>Expanded withholding tax</w:t>
            </w:r>
          </w:p>
        </w:tc>
        <w:tc>
          <w:tcPr>
            <w:tcW w:type="dxa" w:w="2233"/>
            <w:tcMar>
              <w:top w:w="50" w:type="dxa"/>
              <w:bottom w:w="50" w:type="dxa"/>
              <w:left w:w="90" w:type="dxa"/>
              <w:right w:w="90" w:type="dxa"/>
            </w:tcMar>
          </w:tcPr>
          <w:p>
            <w:pPr>
              <w:pStyle w:val="BDOITable"/>
            </w:pPr>
            <w:r>
              <w:rPr>
                <w:sz w:val="17"/>
              </w:rPr>
              <w:t>Payee profile and tax code</w:t>
            </w:r>
          </w:p>
        </w:tc>
        <w:tc>
          <w:tcPr>
            <w:tcW w:type="dxa" w:w="2977"/>
            <w:tcMar>
              <w:top w:w="50" w:type="dxa"/>
              <w:bottom w:w="50" w:type="dxa"/>
              <w:left w:w="90" w:type="dxa"/>
              <w:right w:w="90" w:type="dxa"/>
            </w:tcMar>
          </w:tcPr>
          <w:p>
            <w:pPr>
              <w:pStyle w:val="BDOITable"/>
            </w:pPr>
            <w:r>
              <w:rPr>
                <w:sz w:val="17"/>
              </w:rPr>
              <w:t>Disbursement voucher and receipt lines; 2307 certificates issued and received</w:t>
            </w:r>
          </w:p>
        </w:tc>
        <w:tc>
          <w:tcPr>
            <w:tcW w:type="dxa" w:w="2828"/>
            <w:tcMar>
              <w:top w:w="50" w:type="dxa"/>
              <w:bottom w:w="50" w:type="dxa"/>
              <w:left w:w="90" w:type="dxa"/>
              <w:right w:w="90" w:type="dxa"/>
            </w:tcMar>
          </w:tcPr>
          <w:p>
            <w:pPr>
              <w:pStyle w:val="BDOITable"/>
            </w:pPr>
            <w:r>
              <w:rPr>
                <w:sz w:val="17"/>
              </w:rPr>
              <w:t>BIR returns (1601-EQ, QAP, SAWT); 2307 to payees</w:t>
            </w:r>
          </w:p>
        </w:tc>
      </w:tr>
      <w:tr>
        <w:trPr>
          <w:cantSplit w:val="true"/>
        </w:trPr>
        <w:tc>
          <w:tcPr>
            <w:tcW w:type="dxa" w:w="1935"/>
            <w:tcMar>
              <w:top w:w="50" w:type="dxa"/>
              <w:bottom w:w="50" w:type="dxa"/>
              <w:left w:w="90" w:type="dxa"/>
              <w:right w:w="90" w:type="dxa"/>
            </w:tcMar>
            <w:shd w:val="clear" w:color="auto" w:fill="E5F5FF"/>
          </w:tcPr>
          <w:p>
            <w:pPr>
              <w:pStyle w:val="BDOITable"/>
            </w:pPr>
            <w:r>
              <w:rPr>
                <w:b/>
                <w:sz w:val="17"/>
              </w:rPr>
              <w:t>Collections</w:t>
            </w:r>
          </w:p>
        </w:tc>
        <w:tc>
          <w:tcPr>
            <w:tcW w:type="dxa" w:w="2233"/>
            <w:tcMar>
              <w:top w:w="50" w:type="dxa"/>
              <w:bottom w:w="50" w:type="dxa"/>
              <w:left w:w="90" w:type="dxa"/>
              <w:right w:w="90" w:type="dxa"/>
            </w:tcMar>
            <w:shd w:val="clear" w:color="auto" w:fill="E5F5FF"/>
          </w:tcPr>
          <w:p>
            <w:pPr>
              <w:pStyle w:val="BDOITable"/>
            </w:pPr>
            <w:r>
              <w:rPr>
                <w:sz w:val="17"/>
              </w:rPr>
              <w:t>Bank channels (OBPCS, Old BOB, PMS, direct deposit); cashier entries</w:t>
            </w:r>
          </w:p>
        </w:tc>
        <w:tc>
          <w:tcPr>
            <w:tcW w:type="dxa" w:w="2977"/>
            <w:tcMar>
              <w:top w:w="50" w:type="dxa"/>
              <w:bottom w:w="50" w:type="dxa"/>
              <w:left w:w="90" w:type="dxa"/>
              <w:right w:w="90" w:type="dxa"/>
            </w:tcMar>
            <w:shd w:val="clear" w:color="auto" w:fill="E5F5FF"/>
          </w:tcPr>
          <w:p>
            <w:pPr>
              <w:pStyle w:val="BDOITable"/>
            </w:pPr>
            <w:r>
              <w:rPr>
                <w:sz w:val="17"/>
              </w:rPr>
              <w:t>AR / OR, application to invoice components, unapplied payments; accounting events</w:t>
            </w:r>
          </w:p>
        </w:tc>
        <w:tc>
          <w:tcPr>
            <w:tcW w:type="dxa" w:w="2828"/>
            <w:tcMar>
              <w:top w:w="50" w:type="dxa"/>
              <w:bottom w:w="50" w:type="dxa"/>
              <w:left w:w="90" w:type="dxa"/>
              <w:right w:w="90" w:type="dxa"/>
            </w:tcMar>
            <w:shd w:val="clear" w:color="auto" w:fill="E5F5FF"/>
          </w:tcPr>
          <w:p>
            <w:pPr>
              <w:pStyle w:val="BDOITable"/>
            </w:pPr>
            <w:r>
              <w:rPr>
                <w:sz w:val="17"/>
              </w:rPr>
              <w:t>GL cash and receivable; collection worklist; remittance eligibility</w:t>
            </w:r>
          </w:p>
        </w:tc>
      </w:tr>
      <w:tr>
        <w:trPr>
          <w:cantSplit w:val="true"/>
        </w:trPr>
        <w:tc>
          <w:tcPr>
            <w:tcW w:type="dxa" w:w="1935"/>
            <w:tcMar>
              <w:top w:w="50" w:type="dxa"/>
              <w:bottom w:w="50" w:type="dxa"/>
              <w:left w:w="90" w:type="dxa"/>
              <w:right w:w="90" w:type="dxa"/>
            </w:tcMar>
          </w:tcPr>
          <w:p>
            <w:pPr>
              <w:pStyle w:val="BDOITable"/>
            </w:pPr>
            <w:r>
              <w:rPr>
                <w:b/>
                <w:sz w:val="17"/>
              </w:rPr>
              <w:t>Remittance to insurers</w:t>
            </w:r>
          </w:p>
        </w:tc>
        <w:tc>
          <w:tcPr>
            <w:tcW w:type="dxa" w:w="2233"/>
            <w:tcMar>
              <w:top w:w="50" w:type="dxa"/>
              <w:bottom w:w="50" w:type="dxa"/>
              <w:left w:w="90" w:type="dxa"/>
              <w:right w:w="90" w:type="dxa"/>
            </w:tcMar>
          </w:tcPr>
          <w:p>
            <w:pPr>
              <w:pStyle w:val="BDOITable"/>
            </w:pPr>
            <w:r>
              <w:rPr>
                <w:sz w:val="17"/>
              </w:rPr>
              <w:t>Paid invoice components</w:t>
            </w:r>
          </w:p>
        </w:tc>
        <w:tc>
          <w:tcPr>
            <w:tcW w:type="dxa" w:w="2977"/>
            <w:tcMar>
              <w:top w:w="50" w:type="dxa"/>
              <w:bottom w:w="50" w:type="dxa"/>
              <w:left w:w="90" w:type="dxa"/>
              <w:right w:w="90" w:type="dxa"/>
            </w:tcMar>
          </w:tcPr>
          <w:p>
            <w:pPr>
              <w:pStyle w:val="BDOITable"/>
            </w:pPr>
            <w:r>
              <w:rPr>
                <w:sz w:val="17"/>
              </w:rPr>
              <w:t>Remittance batch, payment request, DV</w:t>
            </w:r>
          </w:p>
        </w:tc>
        <w:tc>
          <w:tcPr>
            <w:tcW w:type="dxa" w:w="2828"/>
            <w:tcMar>
              <w:top w:w="50" w:type="dxa"/>
              <w:bottom w:w="50" w:type="dxa"/>
              <w:left w:w="90" w:type="dxa"/>
              <w:right w:w="90" w:type="dxa"/>
            </w:tcMar>
          </w:tcPr>
          <w:p>
            <w:pPr>
              <w:pStyle w:val="BDOITable"/>
            </w:pPr>
            <w:r>
              <w:rPr>
                <w:sz w:val="17"/>
              </w:rPr>
              <w:t>CMS / New BOB payment; GL due to insurer; insurer SOA reconciliation (ACSL)</w:t>
            </w:r>
          </w:p>
        </w:tc>
      </w:tr>
      <w:tr>
        <w:trPr>
          <w:cantSplit w:val="true"/>
        </w:trPr>
        <w:tc>
          <w:tcPr>
            <w:tcW w:type="dxa" w:w="1935"/>
            <w:tcMar>
              <w:top w:w="50" w:type="dxa"/>
              <w:bottom w:w="50" w:type="dxa"/>
              <w:left w:w="90" w:type="dxa"/>
              <w:right w:w="90" w:type="dxa"/>
            </w:tcMar>
            <w:shd w:val="clear" w:color="auto" w:fill="E5F5FF"/>
          </w:tcPr>
          <w:p>
            <w:pPr>
              <w:pStyle w:val="BDOITable"/>
            </w:pPr>
            <w:r>
              <w:rPr>
                <w:b/>
                <w:sz w:val="17"/>
              </w:rPr>
              <w:t>Disbursements</w:t>
            </w:r>
          </w:p>
        </w:tc>
        <w:tc>
          <w:tcPr>
            <w:tcW w:type="dxa" w:w="2233"/>
            <w:tcMar>
              <w:top w:w="50" w:type="dxa"/>
              <w:bottom w:w="50" w:type="dxa"/>
              <w:left w:w="90" w:type="dxa"/>
              <w:right w:w="90" w:type="dxa"/>
            </w:tcMar>
            <w:shd w:val="clear" w:color="auto" w:fill="E5F5FF"/>
          </w:tcPr>
          <w:p>
            <w:pPr>
              <w:pStyle w:val="BDOITable"/>
            </w:pPr>
            <w:r>
              <w:rPr>
                <w:sz w:val="17"/>
              </w:rPr>
              <w:t>Requests from Operations, Marketing, HR</w:t>
            </w:r>
          </w:p>
        </w:tc>
        <w:tc>
          <w:tcPr>
            <w:tcW w:type="dxa" w:w="2977"/>
            <w:tcMar>
              <w:top w:w="50" w:type="dxa"/>
              <w:bottom w:w="50" w:type="dxa"/>
              <w:left w:w="90" w:type="dxa"/>
              <w:right w:w="90" w:type="dxa"/>
            </w:tcMar>
            <w:shd w:val="clear" w:color="auto" w:fill="E5F5FF"/>
          </w:tcPr>
          <w:p>
            <w:pPr>
              <w:pStyle w:val="BDOITable"/>
            </w:pPr>
            <w:r>
              <w:rPr>
                <w:sz w:val="17"/>
              </w:rPr>
              <w:t>DV with editable proforma, approval, payment instrument</w:t>
            </w:r>
          </w:p>
        </w:tc>
        <w:tc>
          <w:tcPr>
            <w:tcW w:type="dxa" w:w="2828"/>
            <w:tcMar>
              <w:top w:w="50" w:type="dxa"/>
              <w:bottom w:w="50" w:type="dxa"/>
              <w:left w:w="90" w:type="dxa"/>
              <w:right w:w="90" w:type="dxa"/>
            </w:tcMar>
            <w:shd w:val="clear" w:color="auto" w:fill="E5F5FF"/>
          </w:tcPr>
          <w:p>
            <w:pPr>
              <w:pStyle w:val="BDOITable"/>
            </w:pPr>
            <w:r>
              <w:rPr>
                <w:sz w:val="17"/>
              </w:rPr>
              <w:t>CMS / New BOB; GL; Disbursement reports</w:t>
            </w:r>
          </w:p>
        </w:tc>
      </w:tr>
      <w:tr>
        <w:trPr>
          <w:cantSplit w:val="true"/>
        </w:trPr>
        <w:tc>
          <w:tcPr>
            <w:tcW w:type="dxa" w:w="1935"/>
            <w:tcMar>
              <w:top w:w="50" w:type="dxa"/>
              <w:bottom w:w="50" w:type="dxa"/>
              <w:left w:w="90" w:type="dxa"/>
              <w:right w:w="90" w:type="dxa"/>
            </w:tcMar>
          </w:tcPr>
          <w:p>
            <w:pPr>
              <w:pStyle w:val="BDOITable"/>
            </w:pPr>
            <w:r>
              <w:rPr>
                <w:b/>
                <w:sz w:val="17"/>
              </w:rPr>
              <w:t>Financial statements and schedules</w:t>
            </w:r>
          </w:p>
        </w:tc>
        <w:tc>
          <w:tcPr>
            <w:tcW w:type="dxa" w:w="2233"/>
            <w:tcMar>
              <w:top w:w="50" w:type="dxa"/>
              <w:bottom w:w="50" w:type="dxa"/>
              <w:left w:w="90" w:type="dxa"/>
              <w:right w:w="90" w:type="dxa"/>
            </w:tcMar>
          </w:tcPr>
          <w:p>
            <w:pPr>
              <w:pStyle w:val="BDOITable"/>
            </w:pPr>
            <w:r>
              <w:rPr>
                <w:sz w:val="17"/>
              </w:rPr>
              <w:t>Ledger and daily balances</w:t>
            </w:r>
          </w:p>
        </w:tc>
        <w:tc>
          <w:tcPr>
            <w:tcW w:type="dxa" w:w="2977"/>
            <w:tcMar>
              <w:top w:w="50" w:type="dxa"/>
              <w:bottom w:w="50" w:type="dxa"/>
              <w:left w:w="90" w:type="dxa"/>
              <w:right w:w="90" w:type="dxa"/>
            </w:tcMar>
          </w:tcPr>
          <w:p>
            <w:pPr>
              <w:pStyle w:val="BDOITable"/>
            </w:pPr>
            <w:r>
              <w:rPr>
                <w:sz w:val="17"/>
              </w:rPr>
              <w:t>Statement formats, schedules, FRBS report pack</w:t>
            </w:r>
          </w:p>
        </w:tc>
        <w:tc>
          <w:tcPr>
            <w:tcW w:type="dxa" w:w="2828"/>
            <w:tcMar>
              <w:top w:w="50" w:type="dxa"/>
              <w:bottom w:w="50" w:type="dxa"/>
              <w:left w:w="90" w:type="dxa"/>
              <w:right w:w="90" w:type="dxa"/>
            </w:tcMar>
          </w:tcPr>
          <w:p>
            <w:pPr>
              <w:pStyle w:val="BDOITable"/>
            </w:pPr>
            <w:r>
              <w:rPr>
                <w:sz w:val="17"/>
              </w:rPr>
              <w:t>BDOI management; EGL (trial balance); BIR annual return (1702)</w:t>
            </w:r>
          </w:p>
        </w:tc>
      </w:tr>
      <w:tr>
        <w:trPr>
          <w:cantSplit w:val="true"/>
        </w:trPr>
        <w:tc>
          <w:tcPr>
            <w:tcW w:type="dxa" w:w="1935"/>
            <w:tcMar>
              <w:top w:w="50" w:type="dxa"/>
              <w:bottom w:w="50" w:type="dxa"/>
              <w:left w:w="90" w:type="dxa"/>
              <w:right w:w="90" w:type="dxa"/>
            </w:tcMar>
            <w:shd w:val="clear" w:color="auto" w:fill="E5F5FF"/>
          </w:tcPr>
          <w:p>
            <w:pPr>
              <w:pStyle w:val="BDOITable"/>
            </w:pPr>
            <w:r>
              <w:rPr>
                <w:b/>
                <w:sz w:val="17"/>
              </w:rPr>
              <w:t>Suspicious transaction reports</w:t>
            </w:r>
          </w:p>
        </w:tc>
        <w:tc>
          <w:tcPr>
            <w:tcW w:type="dxa" w:w="2233"/>
            <w:tcMar>
              <w:top w:w="50" w:type="dxa"/>
              <w:bottom w:w="50" w:type="dxa"/>
              <w:left w:w="90" w:type="dxa"/>
              <w:right w:w="90" w:type="dxa"/>
            </w:tcMar>
            <w:shd w:val="clear" w:color="auto" w:fill="E5F5FF"/>
          </w:tcPr>
          <w:p>
            <w:pPr>
              <w:pStyle w:val="BDOITable"/>
            </w:pPr>
            <w:r>
              <w:rPr>
                <w:sz w:val="17"/>
              </w:rPr>
              <w:t>Screening cases and transactions</w:t>
            </w:r>
          </w:p>
        </w:tc>
        <w:tc>
          <w:tcPr>
            <w:tcW w:type="dxa" w:w="2977"/>
            <w:tcMar>
              <w:top w:w="50" w:type="dxa"/>
              <w:bottom w:w="50" w:type="dxa"/>
              <w:left w:w="90" w:type="dxa"/>
              <w:right w:w="90" w:type="dxa"/>
            </w:tcMar>
            <w:shd w:val="clear" w:color="auto" w:fill="E5F5FF"/>
          </w:tcPr>
          <w:p>
            <w:pPr>
              <w:pStyle w:val="BDOITable"/>
            </w:pPr>
            <w:r>
              <w:rPr>
                <w:sz w:val="17"/>
              </w:rPr>
              <w:t>Case decision by the AML committee; STR record (insert-only)</w:t>
            </w:r>
          </w:p>
        </w:tc>
        <w:tc>
          <w:tcPr>
            <w:tcW w:type="dxa" w:w="2828"/>
            <w:tcMar>
              <w:top w:w="50" w:type="dxa"/>
              <w:bottom w:w="50" w:type="dxa"/>
              <w:left w:w="90" w:type="dxa"/>
              <w:right w:w="90" w:type="dxa"/>
            </w:tcMar>
            <w:shd w:val="clear" w:color="auto" w:fill="E5F5FF"/>
          </w:tcPr>
          <w:p>
            <w:pPr>
              <w:pStyle w:val="BDOITable"/>
            </w:pPr>
            <w:r>
              <w:rPr>
                <w:sz w:val="17"/>
              </w:rPr>
              <w:t>AMLC; ECM archive</w:t>
            </w:r>
          </w:p>
        </w:tc>
      </w:tr>
      <w:tr>
        <w:trPr>
          <w:cantSplit w:val="true"/>
        </w:trPr>
        <w:tc>
          <w:tcPr>
            <w:tcW w:type="dxa" w:w="1935"/>
            <w:tcMar>
              <w:top w:w="50" w:type="dxa"/>
              <w:bottom w:w="50" w:type="dxa"/>
              <w:left w:w="90" w:type="dxa"/>
              <w:right w:w="90" w:type="dxa"/>
            </w:tcMar>
          </w:tcPr>
          <w:p>
            <w:pPr>
              <w:pStyle w:val="BDOITable"/>
            </w:pPr>
            <w:r>
              <w:rPr>
                <w:b/>
                <w:sz w:val="17"/>
              </w:rPr>
              <w:t>Opening balances</w:t>
            </w:r>
          </w:p>
        </w:tc>
        <w:tc>
          <w:tcPr>
            <w:tcW w:type="dxa" w:w="2233"/>
            <w:tcMar>
              <w:top w:w="50" w:type="dxa"/>
              <w:bottom w:w="50" w:type="dxa"/>
              <w:left w:w="90" w:type="dxa"/>
              <w:right w:w="90" w:type="dxa"/>
            </w:tcMar>
          </w:tcPr>
          <w:p>
            <w:pPr>
              <w:pStyle w:val="BDOITable"/>
            </w:pPr>
            <w:r>
              <w:rPr>
                <w:sz w:val="17"/>
              </w:rPr>
              <w:t>Legacy trial balance and open items (BRD-13)</w:t>
            </w:r>
          </w:p>
        </w:tc>
        <w:tc>
          <w:tcPr>
            <w:tcW w:type="dxa" w:w="2977"/>
            <w:tcMar>
              <w:top w:w="50" w:type="dxa"/>
              <w:bottom w:w="50" w:type="dxa"/>
              <w:left w:w="90" w:type="dxa"/>
              <w:right w:w="90" w:type="dxa"/>
            </w:tcMar>
          </w:tcPr>
          <w:p>
            <w:pPr>
              <w:pStyle w:val="BDOITable"/>
            </w:pPr>
            <w:r>
              <w:rPr>
                <w:sz w:val="17"/>
              </w:rPr>
              <w:t>Migration batches; opening journals through the migration clearing account</w:t>
            </w:r>
          </w:p>
        </w:tc>
        <w:tc>
          <w:tcPr>
            <w:tcW w:type="dxa" w:w="2828"/>
            <w:tcMar>
              <w:top w:w="50" w:type="dxa"/>
              <w:bottom w:w="50" w:type="dxa"/>
              <w:left w:w="90" w:type="dxa"/>
              <w:right w:w="90" w:type="dxa"/>
            </w:tcMar>
          </w:tcPr>
          <w:p>
            <w:pPr>
              <w:pStyle w:val="BDOITable"/>
            </w:pPr>
            <w:r>
              <w:rPr>
                <w:sz w:val="17"/>
              </w:rPr>
              <w:t>GL; reconciliation L5 (clearing account at zero)</w:t>
            </w:r>
          </w:p>
        </w:tc>
      </w:tr>
      <w:tr>
        <w:trPr>
          <w:cantSplit w:val="true"/>
        </w:trPr>
        <w:tc>
          <w:tcPr>
            <w:tcW w:type="dxa" w:w="1935"/>
            <w:tcMar>
              <w:top w:w="50" w:type="dxa"/>
              <w:bottom w:w="50" w:type="dxa"/>
              <w:left w:w="90" w:type="dxa"/>
              <w:right w:w="90" w:type="dxa"/>
            </w:tcMar>
            <w:shd w:val="clear" w:color="auto" w:fill="E5F5FF"/>
          </w:tcPr>
          <w:p>
            <w:pPr>
              <w:pStyle w:val="BDOITable"/>
            </w:pPr>
            <w:r>
              <w:rPr>
                <w:b/>
                <w:sz w:val="17"/>
              </w:rPr>
              <w:t>Analytical data</w:t>
            </w:r>
          </w:p>
        </w:tc>
        <w:tc>
          <w:tcPr>
            <w:tcW w:type="dxa" w:w="2233"/>
            <w:tcMar>
              <w:top w:w="50" w:type="dxa"/>
              <w:bottom w:w="50" w:type="dxa"/>
              <w:left w:w="90" w:type="dxa"/>
              <w:right w:w="90" w:type="dxa"/>
            </w:tcMar>
            <w:shd w:val="clear" w:color="auto" w:fill="E5F5FF"/>
          </w:tcPr>
          <w:p>
            <w:pPr>
              <w:pStyle w:val="BDOITable"/>
            </w:pPr>
            <w:r>
              <w:rPr>
                <w:sz w:val="17"/>
              </w:rPr>
              <w:t>All domains</w:t>
            </w:r>
          </w:p>
        </w:tc>
        <w:tc>
          <w:tcPr>
            <w:tcW w:type="dxa" w:w="2977"/>
            <w:tcMar>
              <w:top w:w="50" w:type="dxa"/>
              <w:bottom w:w="50" w:type="dxa"/>
              <w:left w:w="90" w:type="dxa"/>
              <w:right w:w="90" w:type="dxa"/>
            </w:tcMar>
            <w:shd w:val="clear" w:color="auto" w:fill="E5F5FF"/>
          </w:tcPr>
          <w:p>
            <w:pPr>
              <w:pStyle w:val="BDOITable"/>
            </w:pPr>
            <w:r>
              <w:rPr>
                <w:sz w:val="17"/>
              </w:rPr>
              <w:t>Outbox events and extracts (daily changes)</w:t>
            </w:r>
          </w:p>
        </w:tc>
        <w:tc>
          <w:tcPr>
            <w:tcW w:type="dxa" w:w="2828"/>
            <w:tcMar>
              <w:top w:w="50" w:type="dxa"/>
              <w:bottom w:w="50" w:type="dxa"/>
              <w:left w:w="90" w:type="dxa"/>
              <w:right w:w="90" w:type="dxa"/>
            </w:tcMar>
            <w:shd w:val="clear" w:color="auto" w:fill="E5F5FF"/>
          </w:tcPr>
          <w:p>
            <w:pPr>
              <w:pStyle w:val="BDOITable"/>
            </w:pPr>
            <w:r>
              <w:rPr>
                <w:sz w:val="17"/>
              </w:rPr>
              <w:t>EDP (data ingestion, SD 11)</w:t>
            </w:r>
          </w:p>
        </w:tc>
      </w:tr>
    </w:tbl>
    <w:p>
      <w:pPr>
        <w:pStyle w:val="BDOISpacer"/>
      </w:pPr>
    </w:p>
    <w:p>
      <w:r>
        <w:rPr/>
        <w:t>Every journal line keeps the event, the source record and its company and branch, so any GL balance can be drilled down to the business records behind it (ledger entry, journal batch, accounting event, business record). Report definitions name their source tables and filters in the report catalogue (chapter 8).</w:t>
      </w:r>
    </w:p>
    <w:p>
      <w:pPr>
        <w:pStyle w:val="Heading1"/>
        <w:pageBreakBefore/>
        <w:pBdr>
          <w:bottom w:val="single" w:sz="4" w:space="4" w:color="99C1E7"/>
        </w:pBdr>
      </w:pPr>
      <w:bookmarkStart w:id="116" w:name="_Toc000116"/>
      <w:r>
        <w:rPr/>
        <w:t>6 Audit trails</w:t>
      </w:r>
      <w:bookmarkEnd w:id="116"/>
    </w:p>
    <w:p>
      <w:pPr>
        <w:pStyle w:val="Caption"/>
        <w:keepNext/>
        <w:spacing w:after="60"/>
      </w:pPr>
      <w:r>
        <w:rPr>
          <w:b/>
          <w:i w:val="0"/>
        </w:rPr>
        <w:t xml:space="preserve">Table 11: </w:t>
      </w:r>
      <w:r>
        <w:rPr/>
        <w:t>What is audited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457"/>
        <w:gridCol w:w="3902"/>
        <w:gridCol w:w="1734"/>
        <w:gridCol w:w="1879"/>
      </w:tblGrid>
      <w:tr>
        <w:trPr>
          <w:tblHeader w:val="true"/>
          <w:cantSplit w:val="true"/>
        </w:trPr>
        <w:tc>
          <w:tcPr>
            <w:tcW w:type="dxa" w:w="2457"/>
            <w:shd w:val="clear" w:color="auto" w:fill="004EA8"/>
            <w:tcMar>
              <w:top w:w="50" w:type="dxa"/>
              <w:bottom w:w="50" w:type="dxa"/>
              <w:left w:w="90" w:type="dxa"/>
              <w:right w:w="90" w:type="dxa"/>
            </w:tcMar>
            <w:vAlign w:val="center"/>
          </w:tcPr>
          <w:p>
            <w:pPr>
              <w:pStyle w:val="BDOITableHeader"/>
            </w:pPr>
            <w:r>
              <w:rPr>
                <w:b/>
                <w:color w:val="FFFFFF"/>
                <w:sz w:val="17"/>
              </w:rPr>
              <w:t>Record</w:t>
            </w:r>
          </w:p>
        </w:tc>
        <w:tc>
          <w:tcPr>
            <w:tcW w:type="dxa" w:w="3902"/>
            <w:shd w:val="clear" w:color="auto" w:fill="004EA8"/>
            <w:tcMar>
              <w:top w:w="50" w:type="dxa"/>
              <w:bottom w:w="50" w:type="dxa"/>
              <w:left w:w="90" w:type="dxa"/>
              <w:right w:w="90" w:type="dxa"/>
            </w:tcMar>
            <w:vAlign w:val="center"/>
          </w:tcPr>
          <w:p>
            <w:pPr>
              <w:pStyle w:val="BDOITableHeader"/>
            </w:pPr>
            <w:r>
              <w:rPr>
                <w:b/>
                <w:color w:val="FFFFFF"/>
                <w:sz w:val="17"/>
              </w:rPr>
              <w:t>Content</w:t>
            </w:r>
          </w:p>
        </w:tc>
        <w:tc>
          <w:tcPr>
            <w:tcW w:type="dxa" w:w="1734"/>
            <w:shd w:val="clear" w:color="auto" w:fill="004EA8"/>
            <w:tcMar>
              <w:top w:w="50" w:type="dxa"/>
              <w:bottom w:w="50" w:type="dxa"/>
              <w:left w:w="90" w:type="dxa"/>
              <w:right w:w="90" w:type="dxa"/>
            </w:tcMar>
            <w:vAlign w:val="center"/>
          </w:tcPr>
          <w:p>
            <w:pPr>
              <w:pStyle w:val="BDOITableHeader"/>
            </w:pPr>
            <w:r>
              <w:rPr>
                <w:b/>
                <w:color w:val="FFFFFF"/>
                <w:sz w:val="17"/>
              </w:rPr>
              <w:t>Immutability</w:t>
            </w:r>
          </w:p>
        </w:tc>
        <w:tc>
          <w:tcPr>
            <w:tcW w:type="dxa" w:w="1879"/>
            <w:shd w:val="clear" w:color="auto" w:fill="004EA8"/>
            <w:tcMar>
              <w:top w:w="50" w:type="dxa"/>
              <w:bottom w:w="50" w:type="dxa"/>
              <w:left w:w="90" w:type="dxa"/>
              <w:right w:w="90" w:type="dxa"/>
            </w:tcMar>
            <w:vAlign w:val="center"/>
          </w:tcPr>
          <w:p>
            <w:pPr>
              <w:pStyle w:val="BDOITableHeader"/>
            </w:pPr>
            <w:r>
              <w:rPr>
                <w:b/>
                <w:color w:val="FFFFFF"/>
                <w:sz w:val="17"/>
              </w:rPr>
              <w:t>Retention (proposal)</w:t>
            </w:r>
          </w:p>
        </w:tc>
      </w:tr>
      <w:tr>
        <w:trPr>
          <w:cantSplit w:val="true"/>
        </w:trPr>
        <w:tc>
          <w:tcPr>
            <w:tcW w:type="dxa" w:w="2457"/>
            <w:tcMar>
              <w:top w:w="50" w:type="dxa"/>
              <w:bottom w:w="50" w:type="dxa"/>
              <w:left w:w="90" w:type="dxa"/>
              <w:right w:w="90" w:type="dxa"/>
            </w:tcMar>
          </w:tcPr>
          <w:p>
            <w:pPr>
              <w:pStyle w:val="BDOITable"/>
            </w:pPr>
            <w:r>
              <w:rPr>
                <w:b/>
                <w:sz w:val="17"/>
              </w:rPr>
              <w:t>Audit trail (D02)</w:t>
            </w:r>
          </w:p>
        </w:tc>
        <w:tc>
          <w:tcPr>
            <w:tcW w:type="dxa" w:w="3902"/>
            <w:tcMar>
              <w:top w:w="50" w:type="dxa"/>
              <w:bottom w:w="50" w:type="dxa"/>
              <w:left w:w="90" w:type="dxa"/>
              <w:right w:w="90" w:type="dxa"/>
            </w:tcMar>
          </w:tcPr>
          <w:p>
            <w:pPr>
              <w:pStyle w:val="BDOITable"/>
            </w:pPr>
            <w:r>
              <w:rPr>
                <w:sz w:val="17"/>
              </w:rPr>
              <w:t>Every create, update, authorise, post, reverse, sign-in, sign-out, report run and export: time (UTC), user, entity type and id, action, summary; written in the same transaction as the change</w:t>
            </w:r>
          </w:p>
        </w:tc>
        <w:tc>
          <w:tcPr>
            <w:tcW w:type="dxa" w:w="1734"/>
            <w:tcMar>
              <w:top w:w="50" w:type="dxa"/>
              <w:bottom w:w="50" w:type="dxa"/>
              <w:left w:w="90" w:type="dxa"/>
              <w:right w:w="90" w:type="dxa"/>
            </w:tcMar>
          </w:tcPr>
          <w:p>
            <w:pPr>
              <w:pStyle w:val="BDOITable"/>
            </w:pPr>
            <w:r>
              <w:rPr>
                <w:sz w:val="17"/>
              </w:rPr>
              <w:t>Database triggers refuse UPDATE, DELETE and TRUNCATE</w:t>
            </w:r>
          </w:p>
        </w:tc>
        <w:tc>
          <w:tcPr>
            <w:tcW w:type="dxa" w:w="1879"/>
            <w:tcMar>
              <w:top w:w="50" w:type="dxa"/>
              <w:bottom w:w="50" w:type="dxa"/>
              <w:left w:w="90" w:type="dxa"/>
              <w:right w:w="90" w:type="dxa"/>
            </w:tcMar>
          </w:tcPr>
          <w:p>
            <w:pPr>
              <w:pStyle w:val="BDOITable"/>
            </w:pPr>
            <w:r>
              <w:rPr>
                <w:sz w:val="17"/>
              </w:rPr>
              <w:t>10 years (5 online)</w:t>
            </w:r>
          </w:p>
        </w:tc>
      </w:tr>
      <w:tr>
        <w:trPr>
          <w:cantSplit w:val="true"/>
        </w:trPr>
        <w:tc>
          <w:tcPr>
            <w:tcW w:type="dxa" w:w="2457"/>
            <w:tcMar>
              <w:top w:w="50" w:type="dxa"/>
              <w:bottom w:w="50" w:type="dxa"/>
              <w:left w:w="90" w:type="dxa"/>
              <w:right w:w="90" w:type="dxa"/>
            </w:tcMar>
            <w:shd w:val="clear" w:color="auto" w:fill="E5F5FF"/>
          </w:tcPr>
          <w:p>
            <w:pPr>
              <w:pStyle w:val="BDOITable"/>
            </w:pPr>
            <w:r>
              <w:rPr>
                <w:b/>
                <w:sz w:val="17"/>
              </w:rPr>
              <w:t>Access change log (D01)</w:t>
            </w:r>
          </w:p>
        </w:tc>
        <w:tc>
          <w:tcPr>
            <w:tcW w:type="dxa" w:w="3902"/>
            <w:tcMar>
              <w:top w:w="50" w:type="dxa"/>
              <w:bottom w:w="50" w:type="dxa"/>
              <w:left w:w="90" w:type="dxa"/>
              <w:right w:w="90" w:type="dxa"/>
            </w:tcMar>
            <w:shd w:val="clear" w:color="auto" w:fill="E5F5FF"/>
          </w:tcPr>
          <w:p>
            <w:pPr>
              <w:pStyle w:val="BDOITable"/>
            </w:pPr>
            <w:r>
              <w:rPr>
                <w:sz w:val="17"/>
              </w:rPr>
              <w:t>Each changed attribute of a user or role: from, to, request number, done by, approver, source</w:t>
            </w:r>
          </w:p>
        </w:tc>
        <w:tc>
          <w:tcPr>
            <w:tcW w:type="dxa" w:w="1734"/>
            <w:tcMar>
              <w:top w:w="50" w:type="dxa"/>
              <w:bottom w:w="50" w:type="dxa"/>
              <w:left w:w="90" w:type="dxa"/>
              <w:right w:w="90" w:type="dxa"/>
            </w:tcMar>
            <w:shd w:val="clear" w:color="auto" w:fill="E5F5FF"/>
          </w:tcPr>
          <w:p>
            <w:pPr>
              <w:pStyle w:val="BDOITable"/>
            </w:pPr>
            <w:r>
              <w:rPr>
                <w:sz w:val="17"/>
              </w:rPr>
              <w:t>Insert-only triggers</w:t>
            </w:r>
          </w:p>
        </w:tc>
        <w:tc>
          <w:tcPr>
            <w:tcW w:type="dxa" w:w="1879"/>
            <w:tcMar>
              <w:top w:w="50" w:type="dxa"/>
              <w:bottom w:w="50" w:type="dxa"/>
              <w:left w:w="90" w:type="dxa"/>
              <w:right w:w="90" w:type="dxa"/>
            </w:tcMar>
            <w:shd w:val="clear" w:color="auto" w:fill="E5F5FF"/>
          </w:tcPr>
          <w:p>
            <w:pPr>
              <w:pStyle w:val="BDOITable"/>
            </w:pPr>
            <w:r>
              <w:rPr>
                <w:sz w:val="17"/>
              </w:rPr>
              <w:t>15 years</w:t>
            </w:r>
          </w:p>
        </w:tc>
      </w:tr>
      <w:tr>
        <w:trPr>
          <w:cantSplit w:val="true"/>
        </w:trPr>
        <w:tc>
          <w:tcPr>
            <w:tcW w:type="dxa" w:w="2457"/>
            <w:tcMar>
              <w:top w:w="50" w:type="dxa"/>
              <w:bottom w:w="50" w:type="dxa"/>
              <w:left w:w="90" w:type="dxa"/>
              <w:right w:w="90" w:type="dxa"/>
            </w:tcMar>
          </w:tcPr>
          <w:p>
            <w:pPr>
              <w:pStyle w:val="BDOITable"/>
            </w:pPr>
            <w:r>
              <w:rPr>
                <w:b/>
                <w:sz w:val="17"/>
              </w:rPr>
              <w:t>Access request events (D01)</w:t>
            </w:r>
          </w:p>
        </w:tc>
        <w:tc>
          <w:tcPr>
            <w:tcW w:type="dxa" w:w="3902"/>
            <w:tcMar>
              <w:top w:w="50" w:type="dxa"/>
              <w:bottom w:w="50" w:type="dxa"/>
              <w:left w:w="90" w:type="dxa"/>
              <w:right w:w="90" w:type="dxa"/>
            </w:tcMar>
          </w:tcPr>
          <w:p>
            <w:pPr>
              <w:pStyle w:val="BDOITable"/>
            </w:pPr>
            <w:r>
              <w:rPr>
                <w:sz w:val="17"/>
              </w:rPr>
              <w:t>Every step of a user access request</w:t>
            </w:r>
          </w:p>
        </w:tc>
        <w:tc>
          <w:tcPr>
            <w:tcW w:type="dxa" w:w="1734"/>
            <w:tcMar>
              <w:top w:w="50" w:type="dxa"/>
              <w:bottom w:w="50" w:type="dxa"/>
              <w:left w:w="90" w:type="dxa"/>
              <w:right w:w="90" w:type="dxa"/>
            </w:tcMar>
          </w:tcPr>
          <w:p>
            <w:pPr>
              <w:pStyle w:val="BDOITable"/>
            </w:pPr>
            <w:r>
              <w:rPr>
                <w:sz w:val="17"/>
              </w:rPr>
              <w:t>Insert-only triggers</w:t>
            </w:r>
          </w:p>
        </w:tc>
        <w:tc>
          <w:tcPr>
            <w:tcW w:type="dxa" w:w="1879"/>
            <w:tcMar>
              <w:top w:w="50" w:type="dxa"/>
              <w:bottom w:w="50" w:type="dxa"/>
              <w:left w:w="90" w:type="dxa"/>
              <w:right w:w="90" w:type="dxa"/>
            </w:tcMar>
          </w:tcPr>
          <w:p>
            <w:pPr>
              <w:pStyle w:val="BDOITable"/>
            </w:pPr>
            <w:r>
              <w:rPr>
                <w:sz w:val="17"/>
              </w:rPr>
              <w:t>15 years</w:t>
            </w:r>
          </w:p>
        </w:tc>
      </w:tr>
      <w:tr>
        <w:trPr>
          <w:cantSplit w:val="true"/>
        </w:trPr>
        <w:tc>
          <w:tcPr>
            <w:tcW w:type="dxa" w:w="2457"/>
            <w:tcMar>
              <w:top w:w="50" w:type="dxa"/>
              <w:bottom w:w="50" w:type="dxa"/>
              <w:left w:w="90" w:type="dxa"/>
              <w:right w:w="90" w:type="dxa"/>
            </w:tcMar>
            <w:shd w:val="clear" w:color="auto" w:fill="E5F5FF"/>
          </w:tcPr>
          <w:p>
            <w:pPr>
              <w:pStyle w:val="BDOITable"/>
            </w:pPr>
            <w:r>
              <w:rPr>
                <w:b/>
                <w:sz w:val="17"/>
              </w:rPr>
              <w:t>Ledger entries (D09)</w:t>
            </w:r>
          </w:p>
        </w:tc>
        <w:tc>
          <w:tcPr>
            <w:tcW w:type="dxa" w:w="3902"/>
            <w:tcMar>
              <w:top w:w="50" w:type="dxa"/>
              <w:bottom w:w="50" w:type="dxa"/>
              <w:left w:w="90" w:type="dxa"/>
              <w:right w:w="90" w:type="dxa"/>
            </w:tcMar>
            <w:shd w:val="clear" w:color="auto" w:fill="E5F5FF"/>
          </w:tcPr>
          <w:p>
            <w:pPr>
              <w:pStyle w:val="BDOITable"/>
            </w:pPr>
            <w:r>
              <w:rPr>
                <w:sz w:val="17"/>
              </w:rPr>
              <w:t>Every posted amount with account, branch, currency, event and source</w:t>
            </w:r>
          </w:p>
        </w:tc>
        <w:tc>
          <w:tcPr>
            <w:tcW w:type="dxa" w:w="1734"/>
            <w:tcMar>
              <w:top w:w="50" w:type="dxa"/>
              <w:bottom w:w="50" w:type="dxa"/>
              <w:left w:w="90" w:type="dxa"/>
              <w:right w:w="90" w:type="dxa"/>
            </w:tcMar>
            <w:shd w:val="clear" w:color="auto" w:fill="E5F5FF"/>
          </w:tcPr>
          <w:p>
            <w:pPr>
              <w:pStyle w:val="BDOITable"/>
            </w:pPr>
            <w:r>
              <w:rPr>
                <w:sz w:val="17"/>
              </w:rPr>
              <w:t>Insert-only triggers; corrections by reversal</w:t>
            </w:r>
          </w:p>
        </w:tc>
        <w:tc>
          <w:tcPr>
            <w:tcW w:type="dxa" w:w="1879"/>
            <w:tcMar>
              <w:top w:w="50" w:type="dxa"/>
              <w:bottom w:w="50" w:type="dxa"/>
              <w:left w:w="90" w:type="dxa"/>
              <w:right w:w="90" w:type="dxa"/>
            </w:tcMar>
            <w:shd w:val="clear" w:color="auto" w:fill="E5F5FF"/>
          </w:tcPr>
          <w:p>
            <w:pPr>
              <w:pStyle w:val="BDOITable"/>
            </w:pPr>
            <w:r>
              <w:rPr>
                <w:sz w:val="17"/>
              </w:rPr>
              <w:t>10 years after the year (BIR)</w:t>
            </w:r>
          </w:p>
        </w:tc>
      </w:tr>
      <w:tr>
        <w:trPr>
          <w:cantSplit w:val="true"/>
        </w:trPr>
        <w:tc>
          <w:tcPr>
            <w:tcW w:type="dxa" w:w="2457"/>
            <w:tcMar>
              <w:top w:w="50" w:type="dxa"/>
              <w:bottom w:w="50" w:type="dxa"/>
              <w:left w:w="90" w:type="dxa"/>
              <w:right w:w="90" w:type="dxa"/>
            </w:tcMar>
          </w:tcPr>
          <w:p>
            <w:pPr>
              <w:pStyle w:val="BDOITable"/>
            </w:pPr>
            <w:r>
              <w:rPr>
                <w:b/>
                <w:sz w:val="17"/>
              </w:rPr>
              <w:t>Workflow case history (D02)</w:t>
            </w:r>
          </w:p>
        </w:tc>
        <w:tc>
          <w:tcPr>
            <w:tcW w:type="dxa" w:w="3902"/>
            <w:tcMar>
              <w:top w:w="50" w:type="dxa"/>
              <w:bottom w:w="50" w:type="dxa"/>
              <w:left w:w="90" w:type="dxa"/>
              <w:right w:w="90" w:type="dxa"/>
            </w:tcMar>
          </w:tcPr>
          <w:p>
            <w:pPr>
              <w:pStyle w:val="BDOITable"/>
            </w:pPr>
            <w:r>
              <w:rPr>
                <w:sz w:val="17"/>
              </w:rPr>
              <w:t>Every stage change with action, reason, comment, user</w:t>
            </w:r>
          </w:p>
        </w:tc>
        <w:tc>
          <w:tcPr>
            <w:tcW w:type="dxa" w:w="1734"/>
            <w:tcMar>
              <w:top w:w="50" w:type="dxa"/>
              <w:bottom w:w="50" w:type="dxa"/>
              <w:left w:w="90" w:type="dxa"/>
              <w:right w:w="90" w:type="dxa"/>
            </w:tcMar>
          </w:tcPr>
          <w:p>
            <w:pPr>
              <w:pStyle w:val="BDOITable"/>
            </w:pPr>
            <w:r>
              <w:rPr>
                <w:sz w:val="17"/>
              </w:rPr>
              <w:t>TRUNCATE refused</w:t>
            </w:r>
          </w:p>
        </w:tc>
        <w:tc>
          <w:tcPr>
            <w:tcW w:type="dxa" w:w="1879"/>
            <w:tcMar>
              <w:top w:w="50" w:type="dxa"/>
              <w:bottom w:w="50" w:type="dxa"/>
              <w:left w:w="90" w:type="dxa"/>
              <w:right w:w="90" w:type="dxa"/>
            </w:tcMar>
          </w:tcPr>
          <w:p>
            <w:pPr>
              <w:pStyle w:val="BDOITable"/>
            </w:pPr>
            <w:r>
              <w:rPr>
                <w:sz w:val="17"/>
              </w:rPr>
              <w:t>Life of the record</w:t>
            </w:r>
          </w:p>
        </w:tc>
      </w:tr>
      <w:tr>
        <w:trPr>
          <w:cantSplit w:val="true"/>
        </w:trPr>
        <w:tc>
          <w:tcPr>
            <w:tcW w:type="dxa" w:w="2457"/>
            <w:tcMar>
              <w:top w:w="50" w:type="dxa"/>
              <w:bottom w:w="50" w:type="dxa"/>
              <w:left w:w="90" w:type="dxa"/>
              <w:right w:w="90" w:type="dxa"/>
            </w:tcMar>
            <w:shd w:val="clear" w:color="auto" w:fill="E5F5FF"/>
          </w:tcPr>
          <w:p>
            <w:pPr>
              <w:pStyle w:val="BDOITable"/>
            </w:pPr>
            <w:r>
              <w:rPr>
                <w:b/>
                <w:sz w:val="17"/>
              </w:rPr>
              <w:t>Client note history (D04)</w:t>
            </w:r>
          </w:p>
        </w:tc>
        <w:tc>
          <w:tcPr>
            <w:tcW w:type="dxa" w:w="3902"/>
            <w:tcMar>
              <w:top w:w="50" w:type="dxa"/>
              <w:bottom w:w="50" w:type="dxa"/>
              <w:left w:w="90" w:type="dxa"/>
              <w:right w:w="90" w:type="dxa"/>
            </w:tcMar>
            <w:shd w:val="clear" w:color="auto" w:fill="E5F5FF"/>
          </w:tcPr>
          <w:p>
            <w:pPr>
              <w:pStyle w:val="BDOITable"/>
            </w:pPr>
            <w:r>
              <w:rPr>
                <w:sz w:val="17"/>
              </w:rPr>
              <w:t>Tags and special instructions: who, when, from / to</w:t>
            </w:r>
          </w:p>
        </w:tc>
        <w:tc>
          <w:tcPr>
            <w:tcW w:type="dxa" w:w="1734"/>
            <w:tcMar>
              <w:top w:w="50" w:type="dxa"/>
              <w:bottom w:w="50" w:type="dxa"/>
              <w:left w:w="90" w:type="dxa"/>
              <w:right w:w="90" w:type="dxa"/>
            </w:tcMar>
            <w:shd w:val="clear" w:color="auto" w:fill="E5F5FF"/>
          </w:tcPr>
          <w:p>
            <w:pPr>
              <w:pStyle w:val="BDOITable"/>
            </w:pPr>
            <w:r>
              <w:rPr>
                <w:sz w:val="17"/>
              </w:rPr>
              <w:t>Insert-only triggers</w:t>
            </w:r>
          </w:p>
        </w:tc>
        <w:tc>
          <w:tcPr>
            <w:tcW w:type="dxa" w:w="1879"/>
            <w:tcMar>
              <w:top w:w="50" w:type="dxa"/>
              <w:bottom w:w="50" w:type="dxa"/>
              <w:left w:w="90" w:type="dxa"/>
              <w:right w:w="90" w:type="dxa"/>
            </w:tcMar>
            <w:shd w:val="clear" w:color="auto" w:fill="E5F5FF"/>
          </w:tcPr>
          <w:p>
            <w:pPr>
              <w:pStyle w:val="BDOITable"/>
            </w:pPr>
            <w:r>
              <w:rPr>
                <w:sz w:val="17"/>
              </w:rPr>
              <w:t>Life of the client</w:t>
            </w:r>
          </w:p>
        </w:tc>
      </w:tr>
      <w:tr>
        <w:trPr>
          <w:cantSplit w:val="true"/>
        </w:trPr>
        <w:tc>
          <w:tcPr>
            <w:tcW w:type="dxa" w:w="2457"/>
            <w:tcMar>
              <w:top w:w="50" w:type="dxa"/>
              <w:bottom w:w="50" w:type="dxa"/>
              <w:left w:w="90" w:type="dxa"/>
              <w:right w:w="90" w:type="dxa"/>
            </w:tcMar>
          </w:tcPr>
          <w:p>
            <w:pPr>
              <w:pStyle w:val="BDOITable"/>
            </w:pPr>
            <w:r>
              <w:rPr>
                <w:b/>
                <w:sz w:val="17"/>
              </w:rPr>
              <w:t>Claim status history, insurer updates, reserve changes as advised (D12)</w:t>
            </w:r>
          </w:p>
        </w:tc>
        <w:tc>
          <w:tcPr>
            <w:tcW w:type="dxa" w:w="3902"/>
            <w:tcMar>
              <w:top w:w="50" w:type="dxa"/>
              <w:bottom w:w="50" w:type="dxa"/>
              <w:left w:w="90" w:type="dxa"/>
              <w:right w:w="90" w:type="dxa"/>
            </w:tcMar>
          </w:tcPr>
          <w:p>
            <w:pPr>
              <w:pStyle w:val="BDOITable"/>
            </w:pPr>
            <w:r>
              <w:rPr>
                <w:sz w:val="17"/>
              </w:rPr>
              <w:t>Claim events</w:t>
            </w:r>
          </w:p>
        </w:tc>
        <w:tc>
          <w:tcPr>
            <w:tcW w:type="dxa" w:w="1734"/>
            <w:tcMar>
              <w:top w:w="50" w:type="dxa"/>
              <w:bottom w:w="50" w:type="dxa"/>
              <w:left w:w="90" w:type="dxa"/>
              <w:right w:w="90" w:type="dxa"/>
            </w:tcMar>
          </w:tcPr>
          <w:p>
            <w:pPr>
              <w:pStyle w:val="BDOITable"/>
            </w:pPr>
            <w:r>
              <w:rPr>
                <w:sz w:val="17"/>
              </w:rPr>
              <w:t>Insert-only triggers</w:t>
            </w:r>
          </w:p>
        </w:tc>
        <w:tc>
          <w:tcPr>
            <w:tcW w:type="dxa" w:w="1879"/>
            <w:tcMar>
              <w:top w:w="50" w:type="dxa"/>
              <w:bottom w:w="50" w:type="dxa"/>
              <w:left w:w="90" w:type="dxa"/>
              <w:right w:w="90" w:type="dxa"/>
            </w:tcMar>
          </w:tcPr>
          <w:p>
            <w:pPr>
              <w:pStyle w:val="BDOITable"/>
            </w:pPr>
            <w:r>
              <w:rPr>
                <w:sz w:val="17"/>
              </w:rPr>
              <w:t>Life of the claim</w:t>
            </w:r>
          </w:p>
        </w:tc>
      </w:tr>
      <w:tr>
        <w:trPr>
          <w:cantSplit w:val="true"/>
        </w:trPr>
        <w:tc>
          <w:tcPr>
            <w:tcW w:type="dxa" w:w="2457"/>
            <w:tcMar>
              <w:top w:w="50" w:type="dxa"/>
              <w:bottom w:w="50" w:type="dxa"/>
              <w:left w:w="90" w:type="dxa"/>
              <w:right w:w="90" w:type="dxa"/>
            </w:tcMar>
            <w:shd w:val="clear" w:color="auto" w:fill="E5F5FF"/>
          </w:tcPr>
          <w:p>
            <w:pPr>
              <w:pStyle w:val="BDOITable"/>
            </w:pPr>
            <w:r>
              <w:rPr>
                <w:b/>
                <w:sz w:val="17"/>
              </w:rPr>
              <w:t>Screening case events, committee votes, risk profiles, decided watchlist changes (D15)</w:t>
            </w:r>
          </w:p>
        </w:tc>
        <w:tc>
          <w:tcPr>
            <w:tcW w:type="dxa" w:w="3902"/>
            <w:tcMar>
              <w:top w:w="50" w:type="dxa"/>
              <w:bottom w:w="50" w:type="dxa"/>
              <w:left w:w="90" w:type="dxa"/>
              <w:right w:w="90" w:type="dxa"/>
            </w:tcMar>
            <w:shd w:val="clear" w:color="auto" w:fill="E5F5FF"/>
          </w:tcPr>
          <w:p>
            <w:pPr>
              <w:pStyle w:val="BDOITable"/>
            </w:pPr>
            <w:r>
              <w:rPr>
                <w:sz w:val="17"/>
              </w:rPr>
              <w:t>Screening decisions</w:t>
            </w:r>
          </w:p>
        </w:tc>
        <w:tc>
          <w:tcPr>
            <w:tcW w:type="dxa" w:w="1734"/>
            <w:tcMar>
              <w:top w:w="50" w:type="dxa"/>
              <w:bottom w:w="50" w:type="dxa"/>
              <w:left w:w="90" w:type="dxa"/>
              <w:right w:w="90" w:type="dxa"/>
            </w:tcMar>
            <w:shd w:val="clear" w:color="auto" w:fill="E5F5FF"/>
          </w:tcPr>
          <w:p>
            <w:pPr>
              <w:pStyle w:val="BDOITable"/>
            </w:pPr>
            <w:r>
              <w:rPr>
                <w:sz w:val="17"/>
              </w:rPr>
              <w:t>Insert-only triggers</w:t>
            </w:r>
          </w:p>
        </w:tc>
        <w:tc>
          <w:tcPr>
            <w:tcW w:type="dxa" w:w="1879"/>
            <w:tcMar>
              <w:top w:w="50" w:type="dxa"/>
              <w:bottom w:w="50" w:type="dxa"/>
              <w:left w:w="90" w:type="dxa"/>
              <w:right w:w="90" w:type="dxa"/>
            </w:tcMar>
            <w:shd w:val="clear" w:color="auto" w:fill="E5F5FF"/>
          </w:tcPr>
          <w:p>
            <w:pPr>
              <w:pStyle w:val="BDOITable"/>
            </w:pPr>
            <w:r>
              <w:rPr>
                <w:sz w:val="17"/>
              </w:rPr>
              <w:t>5 years after closure (AMLA)</w:t>
            </w:r>
          </w:p>
        </w:tc>
      </w:tr>
      <w:tr>
        <w:trPr>
          <w:cantSplit w:val="true"/>
        </w:trPr>
        <w:tc>
          <w:tcPr>
            <w:tcW w:type="dxa" w:w="2457"/>
            <w:tcMar>
              <w:top w:w="50" w:type="dxa"/>
              <w:bottom w:w="50" w:type="dxa"/>
              <w:left w:w="90" w:type="dxa"/>
              <w:right w:w="90" w:type="dxa"/>
            </w:tcMar>
          </w:tcPr>
          <w:p>
            <w:pPr>
              <w:pStyle w:val="BDOITable"/>
            </w:pPr>
            <w:r>
              <w:rPr>
                <w:b/>
                <w:sz w:val="17"/>
              </w:rPr>
              <w:t>Customer servicing activities (D14)</w:t>
            </w:r>
          </w:p>
        </w:tc>
        <w:tc>
          <w:tcPr>
            <w:tcW w:type="dxa" w:w="3902"/>
            <w:tcMar>
              <w:top w:w="50" w:type="dxa"/>
              <w:bottom w:w="50" w:type="dxa"/>
              <w:left w:w="90" w:type="dxa"/>
              <w:right w:w="90" w:type="dxa"/>
            </w:tcMar>
          </w:tcPr>
          <w:p>
            <w:pPr>
              <w:pStyle w:val="BDOITable"/>
            </w:pPr>
            <w:r>
              <w:rPr>
                <w:sz w:val="17"/>
              </w:rPr>
              <w:t>Service actions</w:t>
            </w:r>
          </w:p>
        </w:tc>
        <w:tc>
          <w:tcPr>
            <w:tcW w:type="dxa" w:w="1734"/>
            <w:tcMar>
              <w:top w:w="50" w:type="dxa"/>
              <w:bottom w:w="50" w:type="dxa"/>
              <w:left w:w="90" w:type="dxa"/>
              <w:right w:w="90" w:type="dxa"/>
            </w:tcMar>
          </w:tcPr>
          <w:p>
            <w:pPr>
              <w:pStyle w:val="BDOITable"/>
            </w:pPr>
            <w:r>
              <w:rPr>
                <w:sz w:val="17"/>
              </w:rPr>
              <w:t>Insert-only triggers</w:t>
            </w:r>
          </w:p>
        </w:tc>
        <w:tc>
          <w:tcPr>
            <w:tcW w:type="dxa" w:w="1879"/>
            <w:tcMar>
              <w:top w:w="50" w:type="dxa"/>
              <w:bottom w:w="50" w:type="dxa"/>
              <w:left w:w="90" w:type="dxa"/>
              <w:right w:w="90" w:type="dxa"/>
            </w:tcMar>
          </w:tcPr>
          <w:p>
            <w:pPr>
              <w:pStyle w:val="BDOITable"/>
            </w:pPr>
            <w:r>
              <w:rPr>
                <w:sz w:val="17"/>
              </w:rPr>
              <w:t>Life of the request</w:t>
            </w:r>
          </w:p>
        </w:tc>
      </w:tr>
      <w:tr>
        <w:trPr>
          <w:cantSplit w:val="true"/>
        </w:trPr>
        <w:tc>
          <w:tcPr>
            <w:tcW w:type="dxa" w:w="2457"/>
            <w:tcMar>
              <w:top w:w="50" w:type="dxa"/>
              <w:bottom w:w="50" w:type="dxa"/>
              <w:left w:w="90" w:type="dxa"/>
              <w:right w:w="90" w:type="dxa"/>
            </w:tcMar>
            <w:shd w:val="clear" w:color="auto" w:fill="E5F5FF"/>
          </w:tcPr>
          <w:p>
            <w:pPr>
              <w:pStyle w:val="BDOITable"/>
            </w:pPr>
            <w:r>
              <w:rPr>
                <w:b/>
                <w:sz w:val="17"/>
              </w:rPr>
              <w:t>Invoice origin snapshot (D07)</w:t>
            </w:r>
          </w:p>
        </w:tc>
        <w:tc>
          <w:tcPr>
            <w:tcW w:type="dxa" w:w="3902"/>
            <w:tcMar>
              <w:top w:w="50" w:type="dxa"/>
              <w:bottom w:w="50" w:type="dxa"/>
              <w:left w:w="90" w:type="dxa"/>
              <w:right w:w="90" w:type="dxa"/>
            </w:tcMar>
            <w:shd w:val="clear" w:color="auto" w:fill="E5F5FF"/>
          </w:tcPr>
          <w:p>
            <w:pPr>
              <w:pStyle w:val="BDOITable"/>
            </w:pPr>
            <w:r>
              <w:rPr>
                <w:sz w:val="17"/>
              </w:rPr>
              <w:t>Invoice values at origin</w:t>
            </w:r>
          </w:p>
        </w:tc>
        <w:tc>
          <w:tcPr>
            <w:tcW w:type="dxa" w:w="1734"/>
            <w:tcMar>
              <w:top w:w="50" w:type="dxa"/>
              <w:bottom w:w="50" w:type="dxa"/>
              <w:left w:w="90" w:type="dxa"/>
              <w:right w:w="90" w:type="dxa"/>
            </w:tcMar>
            <w:shd w:val="clear" w:color="auto" w:fill="E5F5FF"/>
          </w:tcPr>
          <w:p>
            <w:pPr>
              <w:pStyle w:val="BDOITable"/>
            </w:pPr>
            <w:r>
              <w:rPr>
                <w:sz w:val="17"/>
              </w:rPr>
              <w:t>Insert-only triggers</w:t>
            </w:r>
          </w:p>
        </w:tc>
        <w:tc>
          <w:tcPr>
            <w:tcW w:type="dxa" w:w="1879"/>
            <w:tcMar>
              <w:top w:w="50" w:type="dxa"/>
              <w:bottom w:w="50" w:type="dxa"/>
              <w:left w:w="90" w:type="dxa"/>
              <w:right w:w="90" w:type="dxa"/>
            </w:tcMar>
            <w:shd w:val="clear" w:color="auto" w:fill="E5F5FF"/>
          </w:tcPr>
          <w:p>
            <w:pPr>
              <w:pStyle w:val="BDOITable"/>
            </w:pPr>
            <w:r>
              <w:rPr>
                <w:sz w:val="17"/>
              </w:rPr>
              <w:t>Life of the invoice</w:t>
            </w:r>
          </w:p>
        </w:tc>
      </w:tr>
      <w:tr>
        <w:trPr>
          <w:cantSplit w:val="true"/>
        </w:trPr>
        <w:tc>
          <w:tcPr>
            <w:tcW w:type="dxa" w:w="2457"/>
            <w:tcMar>
              <w:top w:w="50" w:type="dxa"/>
              <w:bottom w:w="50" w:type="dxa"/>
              <w:left w:w="90" w:type="dxa"/>
              <w:right w:w="90" w:type="dxa"/>
            </w:tcMar>
          </w:tcPr>
          <w:p>
            <w:pPr>
              <w:pStyle w:val="BDOITable"/>
            </w:pPr>
            <w:r>
              <w:rPr>
                <w:b/>
                <w:sz w:val="17"/>
              </w:rPr>
              <w:t>Legacy archive access log (D17)</w:t>
            </w:r>
          </w:p>
        </w:tc>
        <w:tc>
          <w:tcPr>
            <w:tcW w:type="dxa" w:w="3902"/>
            <w:tcMar>
              <w:top w:w="50" w:type="dxa"/>
              <w:bottom w:w="50" w:type="dxa"/>
              <w:left w:w="90" w:type="dxa"/>
              <w:right w:w="90" w:type="dxa"/>
            </w:tcMar>
          </w:tcPr>
          <w:p>
            <w:pPr>
              <w:pStyle w:val="BDOITable"/>
            </w:pPr>
            <w:r>
              <w:rPr>
                <w:sz w:val="17"/>
              </w:rPr>
              <w:t>Every inquiry of migrated legacy records</w:t>
            </w:r>
          </w:p>
        </w:tc>
        <w:tc>
          <w:tcPr>
            <w:tcW w:type="dxa" w:w="1734"/>
            <w:tcMar>
              <w:top w:w="50" w:type="dxa"/>
              <w:bottom w:w="50" w:type="dxa"/>
              <w:left w:w="90" w:type="dxa"/>
              <w:right w:w="90" w:type="dxa"/>
            </w:tcMar>
          </w:tcPr>
          <w:p>
            <w:pPr>
              <w:pStyle w:val="BDOITable"/>
            </w:pPr>
            <w:r>
              <w:rPr>
                <w:sz w:val="17"/>
              </w:rPr>
              <w:t>Append-only triggers</w:t>
            </w:r>
          </w:p>
        </w:tc>
        <w:tc>
          <w:tcPr>
            <w:tcW w:type="dxa" w:w="1879"/>
            <w:tcMar>
              <w:top w:w="50" w:type="dxa"/>
              <w:bottom w:w="50" w:type="dxa"/>
              <w:left w:w="90" w:type="dxa"/>
              <w:right w:w="90" w:type="dxa"/>
            </w:tcMar>
          </w:tcPr>
          <w:p>
            <w:pPr>
              <w:pStyle w:val="BDOITable"/>
            </w:pPr>
            <w:r>
              <w:rPr>
                <w:sz w:val="17"/>
              </w:rPr>
              <w:t>15 years</w:t>
            </w:r>
          </w:p>
        </w:tc>
      </w:tr>
      <w:tr>
        <w:trPr>
          <w:cantSplit w:val="true"/>
        </w:trPr>
        <w:tc>
          <w:tcPr>
            <w:tcW w:type="dxa" w:w="2457"/>
            <w:tcMar>
              <w:top w:w="50" w:type="dxa"/>
              <w:bottom w:w="50" w:type="dxa"/>
              <w:left w:w="90" w:type="dxa"/>
              <w:right w:w="90" w:type="dxa"/>
            </w:tcMar>
            <w:shd w:val="clear" w:color="auto" w:fill="E5F5FF"/>
          </w:tcPr>
          <w:p>
            <w:pPr>
              <w:pStyle w:val="BDOITable"/>
            </w:pPr>
            <w:r>
              <w:rPr>
                <w:b/>
                <w:sz w:val="17"/>
              </w:rPr>
              <w:t>File link audit (D02)</w:t>
            </w:r>
          </w:p>
        </w:tc>
        <w:tc>
          <w:tcPr>
            <w:tcW w:type="dxa" w:w="3902"/>
            <w:tcMar>
              <w:top w:w="50" w:type="dxa"/>
              <w:bottom w:w="50" w:type="dxa"/>
              <w:left w:w="90" w:type="dxa"/>
              <w:right w:w="90" w:type="dxa"/>
            </w:tcMar>
            <w:shd w:val="clear" w:color="auto" w:fill="E5F5FF"/>
          </w:tcPr>
          <w:p>
            <w:pPr>
              <w:pStyle w:val="BDOITable"/>
            </w:pPr>
            <w:r>
              <w:rPr>
                <w:sz w:val="17"/>
              </w:rPr>
              <w:t>Every presigned link: who, what, when, from where</w:t>
            </w:r>
          </w:p>
        </w:tc>
        <w:tc>
          <w:tcPr>
            <w:tcW w:type="dxa" w:w="1734"/>
            <w:tcMar>
              <w:top w:w="50" w:type="dxa"/>
              <w:bottom w:w="50" w:type="dxa"/>
              <w:left w:w="90" w:type="dxa"/>
              <w:right w:w="90" w:type="dxa"/>
            </w:tcMar>
            <w:shd w:val="clear" w:color="auto" w:fill="E5F5FF"/>
          </w:tcPr>
          <w:p>
            <w:pPr>
              <w:pStyle w:val="BDOITable"/>
            </w:pPr>
            <w:r>
              <w:rPr>
                <w:sz w:val="17"/>
              </w:rPr>
              <w:t>Audit trail</w:t>
            </w:r>
          </w:p>
        </w:tc>
        <w:tc>
          <w:tcPr>
            <w:tcW w:type="dxa" w:w="1879"/>
            <w:tcMar>
              <w:top w:w="50" w:type="dxa"/>
              <w:bottom w:w="50" w:type="dxa"/>
              <w:left w:w="90" w:type="dxa"/>
              <w:right w:w="90" w:type="dxa"/>
            </w:tcMar>
            <w:shd w:val="clear" w:color="auto" w:fill="E5F5FF"/>
          </w:tcPr>
          <w:p>
            <w:pPr>
              <w:pStyle w:val="BDOITable"/>
            </w:pPr>
            <w:r>
              <w:rPr>
                <w:sz w:val="17"/>
              </w:rPr>
              <w:t>5 years</w:t>
            </w:r>
          </w:p>
        </w:tc>
      </w:tr>
      <w:tr>
        <w:trPr>
          <w:cantSplit w:val="true"/>
        </w:trPr>
        <w:tc>
          <w:tcPr>
            <w:tcW w:type="dxa" w:w="2457"/>
            <w:tcMar>
              <w:top w:w="50" w:type="dxa"/>
              <w:bottom w:w="50" w:type="dxa"/>
              <w:left w:w="90" w:type="dxa"/>
              <w:right w:w="90" w:type="dxa"/>
            </w:tcMar>
          </w:tcPr>
          <w:p>
            <w:pPr>
              <w:pStyle w:val="BDOITable"/>
            </w:pPr>
            <w:r>
              <w:rPr>
                <w:b/>
                <w:sz w:val="17"/>
              </w:rPr>
              <w:t>Sign-in sessions (D01)</w:t>
            </w:r>
          </w:p>
        </w:tc>
        <w:tc>
          <w:tcPr>
            <w:tcW w:type="dxa" w:w="3902"/>
            <w:tcMar>
              <w:top w:w="50" w:type="dxa"/>
              <w:bottom w:w="50" w:type="dxa"/>
              <w:left w:w="90" w:type="dxa"/>
              <w:right w:w="90" w:type="dxa"/>
            </w:tcMar>
          </w:tcPr>
          <w:p>
            <w:pPr>
              <w:pStyle w:val="BDOITable"/>
            </w:pPr>
            <w:r>
              <w:rPr>
                <w:sz w:val="17"/>
              </w:rPr>
              <w:t>Session start, method, second factor, last activity, end reason</w:t>
            </w:r>
          </w:p>
        </w:tc>
        <w:tc>
          <w:tcPr>
            <w:tcW w:type="dxa" w:w="1734"/>
            <w:tcMar>
              <w:top w:w="50" w:type="dxa"/>
              <w:bottom w:w="50" w:type="dxa"/>
              <w:left w:w="90" w:type="dxa"/>
              <w:right w:w="90" w:type="dxa"/>
            </w:tcMar>
          </w:tcPr>
          <w:p>
            <w:pPr>
              <w:pStyle w:val="BDOITable"/>
            </w:pPr>
            <w:r>
              <w:rPr>
                <w:sz w:val="17"/>
              </w:rPr>
              <w:t>Updated only by the platform</w:t>
            </w:r>
          </w:p>
        </w:tc>
        <w:tc>
          <w:tcPr>
            <w:tcW w:type="dxa" w:w="1879"/>
            <w:tcMar>
              <w:top w:w="50" w:type="dxa"/>
              <w:bottom w:w="50" w:type="dxa"/>
              <w:left w:w="90" w:type="dxa"/>
              <w:right w:w="90" w:type="dxa"/>
            </w:tcMar>
          </w:tcPr>
          <w:p>
            <w:pPr>
              <w:pStyle w:val="BDOITable"/>
            </w:pPr>
            <w:r>
              <w:rPr>
                <w:sz w:val="17"/>
              </w:rPr>
              <w:t>1 year online</w:t>
            </w:r>
          </w:p>
        </w:tc>
      </w:tr>
    </w:tbl>
    <w:p>
      <w:pPr>
        <w:pStyle w:val="BDOISpacer"/>
      </w:pPr>
    </w:p>
    <w:p>
      <w:r>
        <w:rPr>
          <w:b/>
        </w:rPr>
        <w:t>Who can change audited data.</w:t>
      </w:r>
      <w:r>
        <w:rPr/>
        <w:t xml:space="preserve"> The application connects with a least-privilege login that has row access only: it cannot change the schema, truncate a table or disable a trigger. Archiving or correcting an insert-only table is a database administrator task under change control, done as the schema owner and recorded.</w:t>
      </w:r>
    </w:p>
    <w:p>
      <w:pPr>
        <w:pStyle w:val="Heading1"/>
        <w:pageBreakBefore/>
        <w:pBdr>
          <w:bottom w:val="single" w:sz="4" w:space="4" w:color="99C1E7"/>
        </w:pBdr>
      </w:pPr>
      <w:bookmarkStart w:id="117" w:name="_Toc000117"/>
      <w:r>
        <w:rPr/>
        <w:t>7 Archival and retention schedule</w:t>
      </w:r>
      <w:bookmarkEnd w:id="117"/>
    </w:p>
    <w:p>
      <w:pPr>
        <w:keepNext/>
        <w:spacing w:before="80" w:after="0"/>
        <w:jc w:val="center"/>
      </w:pPr>
      <w:r>
        <w:drawing>
          <wp:inline xmlns:a="http://schemas.openxmlformats.org/drawingml/2006/main" xmlns:pic="http://schemas.openxmlformats.org/drawingml/2006/picture">
            <wp:extent cx="3240000" cy="3261528"/>
            <wp:docPr id="5" name="Picture 5"/>
            <wp:cNvGraphicFramePr>
              <a:graphicFrameLocks noChangeAspect="1"/>
            </wp:cNvGraphicFramePr>
            <a:graphic>
              <a:graphicData uri="http://schemas.openxmlformats.org/drawingml/2006/picture">
                <pic:pic>
                  <pic:nvPicPr>
                    <pic:cNvPr id="0" name="da_retention_602.jpg"/>
                    <pic:cNvPicPr/>
                  </pic:nvPicPr>
                  <pic:blipFill>
                    <a:blip r:embed="rId17"/>
                    <a:stretch>
                      <a:fillRect/>
                    </a:stretch>
                  </pic:blipFill>
                  <pic:spPr>
                    <a:xfrm>
                      <a:off x="0" y="0"/>
                      <a:ext cx="3240000" cy="3261528"/>
                    </a:xfrm>
                    <a:prstGeom prst="rect"/>
                  </pic:spPr>
                </pic:pic>
              </a:graphicData>
            </a:graphic>
          </wp:inline>
        </w:drawing>
      </w:r>
    </w:p>
    <w:p>
      <w:pPr>
        <w:pStyle w:val="Caption"/>
        <w:jc w:val="center"/>
      </w:pPr>
      <w:r>
        <w:rPr>
          <w:b/>
          <w:i w:val="0"/>
        </w:rPr>
        <w:t xml:space="preserve">Figure 3: </w:t>
      </w:r>
      <w:r>
        <w:rPr/>
        <w:t>Life cycle of a record</w:t>
      </w:r>
    </w:p>
    <w:p>
      <w:r>
        <w:rPr/>
        <w:t>Retention runs in two places, both held as configuration:</w:t>
      </w:r>
    </w:p>
    <w:p>
      <w:pPr>
        <w:tabs>
          <w:tab w:pos="312" w:val="left"/>
        </w:tabs>
        <w:spacing w:after="40"/>
        <w:ind w:left="312" w:hanging="283"/>
      </w:pPr>
      <w:r>
        <w:rPr>
          <w:color w:val="004EA8"/>
        </w:rPr>
        <w:t>•</w:t>
        <w:tab/>
      </w:r>
      <w:r>
        <w:rPr>
          <w:b/>
        </w:rPr>
        <w:t>Retention rules</w:t>
      </w:r>
      <w:r>
        <w:rPr/>
        <w:t xml:space="preserve"> per record type (online years, archive years, statuses, action REVIEW or ARCHIVE). A monthly job counts the records past their online period; the data owner reviews them; archive or disposal needs the owner's approval.</w:t>
      </w:r>
    </w:p>
    <w:p>
      <w:pPr>
        <w:tabs>
          <w:tab w:pos="312" w:val="left"/>
        </w:tabs>
        <w:spacing w:after="120"/>
        <w:ind w:left="312" w:hanging="283"/>
      </w:pPr>
      <w:r>
        <w:rPr>
          <w:color w:val="004EA8"/>
        </w:rPr>
        <w:t>•</w:t>
        <w:tab/>
      </w:r>
      <w:r>
        <w:rPr>
          <w:b/>
        </w:rPr>
        <w:t>Record classes</w:t>
      </w:r>
      <w:r>
        <w:rPr/>
        <w:t xml:space="preserve"> of stored files (retention period, legal hold, archive to ECM). A daily job removes the objects of files past retention unless they are under legal hold.</w:t>
      </w:r>
    </w:p>
    <w:p>
      <w:pPr>
        <w:pStyle w:val="Heading2"/>
      </w:pPr>
      <w:bookmarkStart w:id="118" w:name="_Toc000118"/>
      <w:r>
        <w:rPr/>
        <w:t>7.1 Proposed schedule</w:t>
      </w:r>
      <w:bookmarkEnd w:id="118"/>
    </w:p>
    <w:p>
      <w:pPr>
        <w:pStyle w:val="Caption"/>
        <w:keepNext/>
        <w:spacing w:after="60"/>
      </w:pPr>
      <w:r>
        <w:rPr>
          <w:b/>
          <w:i w:val="0"/>
        </w:rPr>
        <w:t xml:space="preserve">Table 12: </w:t>
      </w:r>
      <w:r>
        <w:rPr/>
        <w:t>Retention schedule (proposal; values to be confirmed by BDOI)</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68"/>
        <w:gridCol w:w="1968"/>
        <w:gridCol w:w="984"/>
        <w:gridCol w:w="984"/>
        <w:gridCol w:w="1049"/>
        <w:gridCol w:w="3018"/>
      </w:tblGrid>
      <w:tr>
        <w:trPr>
          <w:tblHeader w:val="true"/>
          <w:cantSplit w:val="true"/>
        </w:trPr>
        <w:tc>
          <w:tcPr>
            <w:tcW w:type="dxa" w:w="1968"/>
            <w:shd w:val="clear" w:color="auto" w:fill="004EA8"/>
            <w:tcMar>
              <w:top w:w="50" w:type="dxa"/>
              <w:bottom w:w="50" w:type="dxa"/>
              <w:left w:w="90" w:type="dxa"/>
              <w:right w:w="90" w:type="dxa"/>
            </w:tcMar>
            <w:vAlign w:val="center"/>
          </w:tcPr>
          <w:p>
            <w:pPr>
              <w:pStyle w:val="BDOITableHeader"/>
            </w:pPr>
            <w:r>
              <w:rPr>
                <w:b/>
                <w:color w:val="FFFFFF"/>
                <w:sz w:val="17"/>
              </w:rPr>
              <w:t>Records</w:t>
            </w:r>
          </w:p>
        </w:tc>
        <w:tc>
          <w:tcPr>
            <w:tcW w:type="dxa" w:w="1968"/>
            <w:shd w:val="clear" w:color="auto" w:fill="004EA8"/>
            <w:tcMar>
              <w:top w:w="50" w:type="dxa"/>
              <w:bottom w:w="50" w:type="dxa"/>
              <w:left w:w="90" w:type="dxa"/>
              <w:right w:w="90" w:type="dxa"/>
            </w:tcMar>
            <w:vAlign w:val="center"/>
          </w:tcPr>
          <w:p>
            <w:pPr>
              <w:pStyle w:val="BDOITableHeader"/>
            </w:pPr>
            <w:r>
              <w:rPr>
                <w:b/>
                <w:color w:val="FFFFFF"/>
                <w:sz w:val="17"/>
              </w:rPr>
              <w:t>Legal or policy basis</w:t>
            </w:r>
          </w:p>
        </w:tc>
        <w:tc>
          <w:tcPr>
            <w:tcW w:type="dxa" w:w="984"/>
            <w:shd w:val="clear" w:color="auto" w:fill="004EA8"/>
            <w:tcMar>
              <w:top w:w="50" w:type="dxa"/>
              <w:bottom w:w="50" w:type="dxa"/>
              <w:left w:w="90" w:type="dxa"/>
              <w:right w:w="90" w:type="dxa"/>
            </w:tcMar>
            <w:vAlign w:val="center"/>
          </w:tcPr>
          <w:p>
            <w:pPr>
              <w:pStyle w:val="BDOITableHeader"/>
            </w:pPr>
            <w:r>
              <w:rPr>
                <w:b/>
                <w:color w:val="FFFFFF"/>
                <w:sz w:val="17"/>
              </w:rPr>
              <w:t>Online</w:t>
            </w:r>
          </w:p>
        </w:tc>
        <w:tc>
          <w:tcPr>
            <w:tcW w:type="dxa" w:w="984"/>
            <w:shd w:val="clear" w:color="auto" w:fill="004EA8"/>
            <w:tcMar>
              <w:top w:w="50" w:type="dxa"/>
              <w:bottom w:w="50" w:type="dxa"/>
              <w:left w:w="90" w:type="dxa"/>
              <w:right w:w="90" w:type="dxa"/>
            </w:tcMar>
            <w:vAlign w:val="center"/>
          </w:tcPr>
          <w:p>
            <w:pPr>
              <w:pStyle w:val="BDOITableHeader"/>
            </w:pPr>
            <w:r>
              <w:rPr>
                <w:b/>
                <w:color w:val="FFFFFF"/>
                <w:sz w:val="17"/>
              </w:rPr>
              <w:t>Archive</w:t>
            </w:r>
          </w:p>
        </w:tc>
        <w:tc>
          <w:tcPr>
            <w:tcW w:type="dxa" w:w="1050"/>
            <w:shd w:val="clear" w:color="auto" w:fill="004EA8"/>
            <w:tcMar>
              <w:top w:w="50" w:type="dxa"/>
              <w:bottom w:w="50" w:type="dxa"/>
              <w:left w:w="90" w:type="dxa"/>
              <w:right w:w="90" w:type="dxa"/>
            </w:tcMar>
            <w:vAlign w:val="center"/>
          </w:tcPr>
          <w:p>
            <w:pPr>
              <w:pStyle w:val="BDOITableHeader"/>
            </w:pPr>
            <w:r>
              <w:rPr>
                <w:b/>
                <w:color w:val="FFFFFF"/>
                <w:sz w:val="17"/>
              </w:rPr>
              <w:t>Total</w:t>
            </w:r>
          </w:p>
        </w:tc>
        <w:tc>
          <w:tcPr>
            <w:tcW w:type="dxa" w:w="3018"/>
            <w:shd w:val="clear" w:color="auto" w:fill="004EA8"/>
            <w:tcMar>
              <w:top w:w="50" w:type="dxa"/>
              <w:bottom w:w="50" w:type="dxa"/>
              <w:left w:w="90" w:type="dxa"/>
              <w:right w:w="90" w:type="dxa"/>
            </w:tcMar>
            <w:vAlign w:val="center"/>
          </w:tcPr>
          <w:p>
            <w:pPr>
              <w:pStyle w:val="BDOITableHeader"/>
            </w:pPr>
            <w:r>
              <w:rPr>
                <w:b/>
                <w:color w:val="FFFFFF"/>
                <w:sz w:val="17"/>
              </w:rPr>
              <w:t>Configured on 8 Oct 2026 and proposal</w:t>
            </w:r>
          </w:p>
        </w:tc>
      </w:tr>
      <w:tr>
        <w:trPr>
          <w:cantSplit w:val="true"/>
        </w:trPr>
        <w:tc>
          <w:tcPr>
            <w:tcW w:type="dxa" w:w="1968"/>
            <w:tcMar>
              <w:top w:w="50" w:type="dxa"/>
              <w:bottom w:w="50" w:type="dxa"/>
              <w:left w:w="90" w:type="dxa"/>
              <w:right w:w="90" w:type="dxa"/>
            </w:tcMar>
          </w:tcPr>
          <w:p>
            <w:pPr>
              <w:pStyle w:val="BDOITable"/>
            </w:pPr>
            <w:r>
              <w:rPr>
                <w:b/>
                <w:sz w:val="17"/>
              </w:rPr>
              <w:t>Books of accounts, journals, ledger, invoices, ORs, DVs, tax returns and 2307 certificates</w:t>
            </w:r>
          </w:p>
        </w:tc>
        <w:tc>
          <w:tcPr>
            <w:tcW w:type="dxa" w:w="1968"/>
            <w:tcMar>
              <w:top w:w="50" w:type="dxa"/>
              <w:bottom w:w="50" w:type="dxa"/>
              <w:left w:w="90" w:type="dxa"/>
              <w:right w:w="90" w:type="dxa"/>
            </w:tcMar>
          </w:tcPr>
          <w:p>
            <w:pPr>
              <w:pStyle w:val="BDOITable"/>
            </w:pPr>
            <w:r>
              <w:rPr>
                <w:sz w:val="17"/>
              </w:rPr>
              <w:t>BIR: 10 years (NIRC Section 235; RR 17-2013 as amended by RR 5-2014)</w:t>
            </w:r>
          </w:p>
        </w:tc>
        <w:tc>
          <w:tcPr>
            <w:tcW w:type="dxa" w:w="984"/>
            <w:tcMar>
              <w:top w:w="50" w:type="dxa"/>
              <w:bottom w:w="50" w:type="dxa"/>
              <w:left w:w="90" w:type="dxa"/>
              <w:right w:w="90" w:type="dxa"/>
            </w:tcMar>
          </w:tcPr>
          <w:p>
            <w:pPr>
              <w:pStyle w:val="BDOITable"/>
            </w:pPr>
            <w:r>
              <w:rPr>
                <w:sz w:val="17"/>
              </w:rPr>
              <w:t>5 years</w:t>
            </w:r>
          </w:p>
        </w:tc>
        <w:tc>
          <w:tcPr>
            <w:tcW w:type="dxa" w:w="984"/>
            <w:tcMar>
              <w:top w:w="50" w:type="dxa"/>
              <w:bottom w:w="50" w:type="dxa"/>
              <w:left w:w="90" w:type="dxa"/>
              <w:right w:w="90" w:type="dxa"/>
            </w:tcMar>
          </w:tcPr>
          <w:p>
            <w:pPr>
              <w:pStyle w:val="BDOITable"/>
            </w:pPr>
            <w:r>
              <w:rPr>
                <w:sz w:val="17"/>
              </w:rPr>
              <w:t>5 years</w:t>
            </w:r>
          </w:p>
        </w:tc>
        <w:tc>
          <w:tcPr>
            <w:tcW w:type="dxa" w:w="1050"/>
            <w:tcMar>
              <w:top w:w="50" w:type="dxa"/>
              <w:bottom w:w="50" w:type="dxa"/>
              <w:left w:w="90" w:type="dxa"/>
              <w:right w:w="90" w:type="dxa"/>
            </w:tcMar>
          </w:tcPr>
          <w:p>
            <w:pPr>
              <w:pStyle w:val="BDOITable"/>
            </w:pPr>
            <w:r>
              <w:rPr>
                <w:sz w:val="17"/>
              </w:rPr>
              <w:t>10 years after the taxable year</w:t>
            </w:r>
          </w:p>
        </w:tc>
        <w:tc>
          <w:tcPr>
            <w:tcW w:type="dxa" w:w="3018"/>
            <w:tcMar>
              <w:top w:w="50" w:type="dxa"/>
              <w:bottom w:w="50" w:type="dxa"/>
              <w:left w:w="90" w:type="dxa"/>
              <w:right w:w="90" w:type="dxa"/>
            </w:tcMar>
          </w:tcPr>
          <w:p>
            <w:pPr>
              <w:pStyle w:val="BDOITable"/>
            </w:pPr>
            <w:r>
              <w:rPr>
                <w:sz w:val="17"/>
              </w:rPr>
              <w:t>Record classes Official receipt and Filed BIR form: 20 years with legal hold; propose 10 years after the taxable year, then disposal after BIR clearance (RET-01)</w:t>
            </w:r>
          </w:p>
        </w:tc>
      </w:tr>
      <w:tr>
        <w:trPr>
          <w:cantSplit w:val="true"/>
        </w:trPr>
        <w:tc>
          <w:tcPr>
            <w:tcW w:type="dxa" w:w="1968"/>
            <w:tcMar>
              <w:top w:w="50" w:type="dxa"/>
              <w:bottom w:w="50" w:type="dxa"/>
              <w:left w:w="90" w:type="dxa"/>
              <w:right w:w="90" w:type="dxa"/>
            </w:tcMar>
            <w:shd w:val="clear" w:color="auto" w:fill="E5F5FF"/>
          </w:tcPr>
          <w:p>
            <w:pPr>
              <w:pStyle w:val="BDOITable"/>
            </w:pPr>
            <w:r>
              <w:rPr>
                <w:b/>
                <w:sz w:val="17"/>
              </w:rPr>
              <w:t>Policies, placement slips, endorsements, statements of account</w:t>
            </w:r>
          </w:p>
        </w:tc>
        <w:tc>
          <w:tcPr>
            <w:tcW w:type="dxa" w:w="1968"/>
            <w:tcMar>
              <w:top w:w="50" w:type="dxa"/>
              <w:bottom w:w="50" w:type="dxa"/>
              <w:left w:w="90" w:type="dxa"/>
              <w:right w:w="90" w:type="dxa"/>
            </w:tcMar>
            <w:shd w:val="clear" w:color="auto" w:fill="E5F5FF"/>
          </w:tcPr>
          <w:p>
            <w:pPr>
              <w:pStyle w:val="BDOITable"/>
            </w:pPr>
            <w:r>
              <w:rPr>
                <w:sz w:val="17"/>
              </w:rPr>
              <w:t>Insurance Commission requirements for brokers (to confirm); BIR for the billing</w:t>
            </w:r>
          </w:p>
        </w:tc>
        <w:tc>
          <w:tcPr>
            <w:tcW w:type="dxa" w:w="984"/>
            <w:tcMar>
              <w:top w:w="50" w:type="dxa"/>
              <w:bottom w:w="50" w:type="dxa"/>
              <w:left w:w="90" w:type="dxa"/>
              <w:right w:w="90" w:type="dxa"/>
            </w:tcMar>
            <w:shd w:val="clear" w:color="auto" w:fill="E5F5FF"/>
          </w:tcPr>
          <w:p>
            <w:pPr>
              <w:pStyle w:val="BDOITable"/>
            </w:pPr>
            <w:r>
              <w:rPr>
                <w:sz w:val="17"/>
              </w:rPr>
              <w:t>5 years</w:t>
            </w:r>
          </w:p>
        </w:tc>
        <w:tc>
          <w:tcPr>
            <w:tcW w:type="dxa" w:w="984"/>
            <w:tcMar>
              <w:top w:w="50" w:type="dxa"/>
              <w:bottom w:w="50" w:type="dxa"/>
              <w:left w:w="90" w:type="dxa"/>
              <w:right w:w="90" w:type="dxa"/>
            </w:tcMar>
            <w:shd w:val="clear" w:color="auto" w:fill="E5F5FF"/>
          </w:tcPr>
          <w:p>
            <w:pPr>
              <w:pStyle w:val="BDOITable"/>
            </w:pPr>
            <w:r>
              <w:rPr>
                <w:sz w:val="17"/>
              </w:rPr>
              <w:t>5 years</w:t>
            </w:r>
          </w:p>
        </w:tc>
        <w:tc>
          <w:tcPr>
            <w:tcW w:type="dxa" w:w="1050"/>
            <w:tcMar>
              <w:top w:w="50" w:type="dxa"/>
              <w:bottom w:w="50" w:type="dxa"/>
              <w:left w:w="90" w:type="dxa"/>
              <w:right w:w="90" w:type="dxa"/>
            </w:tcMar>
            <w:shd w:val="clear" w:color="auto" w:fill="E5F5FF"/>
          </w:tcPr>
          <w:p>
            <w:pPr>
              <w:pStyle w:val="BDOITable"/>
            </w:pPr>
            <w:r>
              <w:rPr>
                <w:sz w:val="17"/>
              </w:rPr>
              <w:t>10 years after expiry</w:t>
            </w:r>
          </w:p>
        </w:tc>
        <w:tc>
          <w:tcPr>
            <w:tcW w:type="dxa" w:w="3018"/>
            <w:tcMar>
              <w:top w:w="50" w:type="dxa"/>
              <w:bottom w:w="50" w:type="dxa"/>
              <w:left w:w="90" w:type="dxa"/>
              <w:right w:w="90" w:type="dxa"/>
            </w:tcMar>
            <w:shd w:val="clear" w:color="auto" w:fill="E5F5FF"/>
          </w:tcPr>
          <w:p>
            <w:pPr>
              <w:pStyle w:val="BDOITable"/>
            </w:pPr>
            <w:r>
              <w:rPr>
                <w:sz w:val="17"/>
              </w:rPr>
              <w:t>Record classes Issued policy document and SOA: 20 years; propose 10 years after the policy expiry (RET-02)</w:t>
            </w:r>
          </w:p>
        </w:tc>
      </w:tr>
      <w:tr>
        <w:trPr>
          <w:cantSplit w:val="true"/>
        </w:trPr>
        <w:tc>
          <w:tcPr>
            <w:tcW w:type="dxa" w:w="1968"/>
            <w:tcMar>
              <w:top w:w="50" w:type="dxa"/>
              <w:bottom w:w="50" w:type="dxa"/>
              <w:left w:w="90" w:type="dxa"/>
              <w:right w:w="90" w:type="dxa"/>
            </w:tcMar>
          </w:tcPr>
          <w:p>
            <w:pPr>
              <w:pStyle w:val="BDOITable"/>
            </w:pPr>
            <w:r>
              <w:rPr>
                <w:b/>
                <w:sz w:val="17"/>
              </w:rPr>
              <w:t>Clients and KYC documents</w:t>
            </w:r>
          </w:p>
        </w:tc>
        <w:tc>
          <w:tcPr>
            <w:tcW w:type="dxa" w:w="1968"/>
            <w:tcMar>
              <w:top w:w="50" w:type="dxa"/>
              <w:bottom w:w="50" w:type="dxa"/>
              <w:left w:w="90" w:type="dxa"/>
              <w:right w:w="90" w:type="dxa"/>
            </w:tcMar>
          </w:tcPr>
          <w:p>
            <w:pPr>
              <w:pStyle w:val="BDOITable"/>
            </w:pPr>
            <w:r>
              <w:rPr>
                <w:sz w:val="17"/>
              </w:rPr>
              <w:t>AMLA (RA 9160 as amended): 5 years after the end of the relationship; Data Privacy Act: no longer than necessary</w:t>
            </w:r>
          </w:p>
        </w:tc>
        <w:tc>
          <w:tcPr>
            <w:tcW w:type="dxa" w:w="984"/>
            <w:tcMar>
              <w:top w:w="50" w:type="dxa"/>
              <w:bottom w:w="50" w:type="dxa"/>
              <w:left w:w="90" w:type="dxa"/>
              <w:right w:w="90" w:type="dxa"/>
            </w:tcMar>
          </w:tcPr>
          <w:p>
            <w:pPr>
              <w:pStyle w:val="BDOITable"/>
            </w:pPr>
            <w:r>
              <w:rPr>
                <w:sz w:val="17"/>
              </w:rPr>
              <w:t>5 years after inactivity</w:t>
            </w:r>
          </w:p>
        </w:tc>
        <w:tc>
          <w:tcPr>
            <w:tcW w:type="dxa" w:w="984"/>
            <w:tcMar>
              <w:top w:w="50" w:type="dxa"/>
              <w:bottom w:w="50" w:type="dxa"/>
              <w:left w:w="90" w:type="dxa"/>
              <w:right w:w="90" w:type="dxa"/>
            </w:tcMar>
          </w:tcPr>
          <w:p>
            <w:pPr>
              <w:pStyle w:val="BDOITable"/>
            </w:pPr>
            <w:r>
              <w:rPr>
                <w:sz w:val="17"/>
              </w:rPr>
              <w:t>10 years</w:t>
            </w:r>
          </w:p>
        </w:tc>
        <w:tc>
          <w:tcPr>
            <w:tcW w:type="dxa" w:w="1050"/>
            <w:tcMar>
              <w:top w:w="50" w:type="dxa"/>
              <w:bottom w:w="50" w:type="dxa"/>
              <w:left w:w="90" w:type="dxa"/>
              <w:right w:w="90" w:type="dxa"/>
            </w:tcMar>
          </w:tcPr>
          <w:p>
            <w:pPr>
              <w:pStyle w:val="BDOITable"/>
            </w:pPr>
            <w:r>
              <w:rPr>
                <w:sz w:val="17"/>
              </w:rPr>
              <w:t>15 years</w:t>
            </w:r>
          </w:p>
        </w:tc>
        <w:tc>
          <w:tcPr>
            <w:tcW w:type="dxa" w:w="3018"/>
            <w:tcMar>
              <w:top w:w="50" w:type="dxa"/>
              <w:bottom w:w="50" w:type="dxa"/>
              <w:left w:w="90" w:type="dxa"/>
              <w:right w:w="90" w:type="dxa"/>
            </w:tcMar>
          </w:tcPr>
          <w:p>
            <w:pPr>
              <w:pStyle w:val="BDOITable"/>
            </w:pPr>
            <w:r>
              <w:rPr>
                <w:sz w:val="17"/>
              </w:rPr>
              <w:t>Rules CLIENT (5 online, 15 total, ARCHIVE) and prospects (REVIEW); keep; prospects never confirmed disposed after 5 years (RET-03)</w:t>
            </w:r>
          </w:p>
        </w:tc>
      </w:tr>
      <w:tr>
        <w:trPr>
          <w:cantSplit w:val="true"/>
        </w:trPr>
        <w:tc>
          <w:tcPr>
            <w:tcW w:type="dxa" w:w="1968"/>
            <w:tcMar>
              <w:top w:w="50" w:type="dxa"/>
              <w:bottom w:w="50" w:type="dxa"/>
              <w:left w:w="90" w:type="dxa"/>
              <w:right w:w="90" w:type="dxa"/>
            </w:tcMar>
            <w:shd w:val="clear" w:color="auto" w:fill="E5F5FF"/>
          </w:tcPr>
          <w:p>
            <w:pPr>
              <w:pStyle w:val="BDOITable"/>
            </w:pPr>
            <w:r>
              <w:rPr>
                <w:b/>
                <w:sz w:val="17"/>
              </w:rPr>
              <w:t>Screening cases, STRs, watchlist decisions</w:t>
            </w:r>
          </w:p>
        </w:tc>
        <w:tc>
          <w:tcPr>
            <w:tcW w:type="dxa" w:w="1968"/>
            <w:tcMar>
              <w:top w:w="50" w:type="dxa"/>
              <w:bottom w:w="50" w:type="dxa"/>
              <w:left w:w="90" w:type="dxa"/>
              <w:right w:w="90" w:type="dxa"/>
            </w:tcMar>
            <w:shd w:val="clear" w:color="auto" w:fill="E5F5FF"/>
          </w:tcPr>
          <w:p>
            <w:pPr>
              <w:pStyle w:val="BDOITable"/>
            </w:pPr>
            <w:r>
              <w:rPr>
                <w:sz w:val="17"/>
              </w:rPr>
              <w:t>AMLA: 5 years after the transaction or closure; longer while a case is under investigation</w:t>
            </w:r>
          </w:p>
        </w:tc>
        <w:tc>
          <w:tcPr>
            <w:tcW w:type="dxa" w:w="984"/>
            <w:tcMar>
              <w:top w:w="50" w:type="dxa"/>
              <w:bottom w:w="50" w:type="dxa"/>
              <w:left w:w="90" w:type="dxa"/>
              <w:right w:w="90" w:type="dxa"/>
            </w:tcMar>
            <w:shd w:val="clear" w:color="auto" w:fill="E5F5FF"/>
          </w:tcPr>
          <w:p>
            <w:pPr>
              <w:pStyle w:val="BDOITable"/>
            </w:pPr>
            <w:r>
              <w:rPr>
                <w:sz w:val="17"/>
              </w:rPr>
              <w:t>5 years</w:t>
            </w:r>
          </w:p>
        </w:tc>
        <w:tc>
          <w:tcPr>
            <w:tcW w:type="dxa" w:w="984"/>
            <w:tcMar>
              <w:top w:w="50" w:type="dxa"/>
              <w:bottom w:w="50" w:type="dxa"/>
              <w:left w:w="90" w:type="dxa"/>
              <w:right w:w="90" w:type="dxa"/>
            </w:tcMar>
            <w:shd w:val="clear" w:color="auto" w:fill="E5F5FF"/>
          </w:tcPr>
          <w:p>
            <w:pPr>
              <w:pStyle w:val="BDOITable"/>
            </w:pPr>
            <w:r>
              <w:rPr>
                <w:sz w:val="17"/>
              </w:rPr>
              <w:t>5 years</w:t>
            </w:r>
          </w:p>
        </w:tc>
        <w:tc>
          <w:tcPr>
            <w:tcW w:type="dxa" w:w="1050"/>
            <w:tcMar>
              <w:top w:w="50" w:type="dxa"/>
              <w:bottom w:w="50" w:type="dxa"/>
              <w:left w:w="90" w:type="dxa"/>
              <w:right w:w="90" w:type="dxa"/>
            </w:tcMar>
            <w:shd w:val="clear" w:color="auto" w:fill="E5F5FF"/>
          </w:tcPr>
          <w:p>
            <w:pPr>
              <w:pStyle w:val="BDOITable"/>
            </w:pPr>
            <w:r>
              <w:rPr>
                <w:sz w:val="17"/>
              </w:rPr>
              <w:t>10 years</w:t>
            </w:r>
          </w:p>
        </w:tc>
        <w:tc>
          <w:tcPr>
            <w:tcW w:type="dxa" w:w="3018"/>
            <w:tcMar>
              <w:top w:w="50" w:type="dxa"/>
              <w:bottom w:w="50" w:type="dxa"/>
              <w:left w:w="90" w:type="dxa"/>
              <w:right w:w="90" w:type="dxa"/>
            </w:tcMar>
            <w:shd w:val="clear" w:color="auto" w:fill="E5F5FF"/>
          </w:tcPr>
          <w:p>
            <w:pPr>
              <w:pStyle w:val="BDOITable"/>
            </w:pPr>
            <w:r>
              <w:rPr>
                <w:sz w:val="17"/>
              </w:rPr>
              <w:t>Rules SCREENING_CASE and WATCHLIST_ENTRY (5 + 5); STR record class 10 years with legal hold; keep (RET-03)</w:t>
            </w:r>
          </w:p>
        </w:tc>
      </w:tr>
      <w:tr>
        <w:trPr>
          <w:cantSplit w:val="true"/>
        </w:trPr>
        <w:tc>
          <w:tcPr>
            <w:tcW w:type="dxa" w:w="1968"/>
            <w:tcMar>
              <w:top w:w="50" w:type="dxa"/>
              <w:bottom w:w="50" w:type="dxa"/>
              <w:left w:w="90" w:type="dxa"/>
              <w:right w:w="90" w:type="dxa"/>
            </w:tcMar>
          </w:tcPr>
          <w:p>
            <w:pPr>
              <w:pStyle w:val="BDOITable"/>
            </w:pPr>
            <w:r>
              <w:rPr>
                <w:b/>
                <w:sz w:val="17"/>
              </w:rPr>
              <w:t>Claims</w:t>
            </w:r>
          </w:p>
        </w:tc>
        <w:tc>
          <w:tcPr>
            <w:tcW w:type="dxa" w:w="1968"/>
            <w:tcMar>
              <w:top w:w="50" w:type="dxa"/>
              <w:bottom w:w="50" w:type="dxa"/>
              <w:left w:w="90" w:type="dxa"/>
              <w:right w:w="90" w:type="dxa"/>
            </w:tcMar>
          </w:tcPr>
          <w:p>
            <w:pPr>
              <w:pStyle w:val="BDOITable"/>
            </w:pPr>
            <w:r>
              <w:rPr>
                <w:sz w:val="17"/>
              </w:rPr>
              <w:t>BIR for settlements; litigation period</w:t>
            </w:r>
          </w:p>
        </w:tc>
        <w:tc>
          <w:tcPr>
            <w:tcW w:type="dxa" w:w="984"/>
            <w:tcMar>
              <w:top w:w="50" w:type="dxa"/>
              <w:bottom w:w="50" w:type="dxa"/>
              <w:left w:w="90" w:type="dxa"/>
              <w:right w:w="90" w:type="dxa"/>
            </w:tcMar>
          </w:tcPr>
          <w:p>
            <w:pPr>
              <w:pStyle w:val="BDOITable"/>
            </w:pPr>
            <w:r>
              <w:rPr>
                <w:sz w:val="17"/>
              </w:rPr>
              <w:t>10 years</w:t>
            </w:r>
          </w:p>
        </w:tc>
        <w:tc>
          <w:tcPr>
            <w:tcW w:type="dxa" w:w="984"/>
            <w:tcMar>
              <w:top w:w="50" w:type="dxa"/>
              <w:bottom w:w="50" w:type="dxa"/>
              <w:left w:w="90" w:type="dxa"/>
              <w:right w:w="90" w:type="dxa"/>
            </w:tcMar>
          </w:tcPr>
          <w:p>
            <w:pPr>
              <w:pStyle w:val="BDOITable"/>
            </w:pPr>
            <w:r>
              <w:rPr>
                <w:sz w:val="17"/>
              </w:rPr>
              <w:t>5 years</w:t>
            </w:r>
          </w:p>
        </w:tc>
        <w:tc>
          <w:tcPr>
            <w:tcW w:type="dxa" w:w="1050"/>
            <w:tcMar>
              <w:top w:w="50" w:type="dxa"/>
              <w:bottom w:w="50" w:type="dxa"/>
              <w:left w:w="90" w:type="dxa"/>
              <w:right w:w="90" w:type="dxa"/>
            </w:tcMar>
          </w:tcPr>
          <w:p>
            <w:pPr>
              <w:pStyle w:val="BDOITable"/>
            </w:pPr>
            <w:r>
              <w:rPr>
                <w:sz w:val="17"/>
              </w:rPr>
              <w:t>15 years</w:t>
            </w:r>
          </w:p>
        </w:tc>
        <w:tc>
          <w:tcPr>
            <w:tcW w:type="dxa" w:w="3018"/>
            <w:tcMar>
              <w:top w:w="50" w:type="dxa"/>
              <w:bottom w:w="50" w:type="dxa"/>
              <w:left w:w="90" w:type="dxa"/>
              <w:right w:w="90" w:type="dxa"/>
            </w:tcMar>
          </w:tcPr>
          <w:p>
            <w:pPr>
              <w:pStyle w:val="BDOITable"/>
            </w:pPr>
            <w:r>
              <w:rPr>
                <w:sz w:val="17"/>
              </w:rPr>
              <w:t>Rule BROKER_CLAIM (10 + 5); Claim settlement letter 15 years with legal hold; keep</w:t>
            </w:r>
          </w:p>
        </w:tc>
      </w:tr>
      <w:tr>
        <w:trPr>
          <w:cantSplit w:val="true"/>
        </w:trPr>
        <w:tc>
          <w:tcPr>
            <w:tcW w:type="dxa" w:w="1968"/>
            <w:tcMar>
              <w:top w:w="50" w:type="dxa"/>
              <w:bottom w:w="50" w:type="dxa"/>
              <w:left w:w="90" w:type="dxa"/>
              <w:right w:w="90" w:type="dxa"/>
            </w:tcMar>
            <w:shd w:val="clear" w:color="auto" w:fill="E5F5FF"/>
          </w:tcPr>
          <w:p>
            <w:pPr>
              <w:pStyle w:val="BDOITable"/>
            </w:pPr>
            <w:r>
              <w:rPr>
                <w:b/>
                <w:sz w:val="17"/>
              </w:rPr>
              <w:t>Renewals, submitted policies, EB programmes, customer service requests</w:t>
            </w:r>
          </w:p>
        </w:tc>
        <w:tc>
          <w:tcPr>
            <w:tcW w:type="dxa" w:w="1968"/>
            <w:tcMar>
              <w:top w:w="50" w:type="dxa"/>
              <w:bottom w:w="50" w:type="dxa"/>
              <w:left w:w="90" w:type="dxa"/>
              <w:right w:w="90" w:type="dxa"/>
            </w:tcMar>
            <w:shd w:val="clear" w:color="auto" w:fill="E5F5FF"/>
          </w:tcPr>
          <w:p>
            <w:pPr>
              <w:pStyle w:val="BDOITable"/>
            </w:pPr>
            <w:r>
              <w:rPr>
                <w:sz w:val="17"/>
              </w:rPr>
              <w:t>BDO policy</w:t>
            </w:r>
          </w:p>
        </w:tc>
        <w:tc>
          <w:tcPr>
            <w:tcW w:type="dxa" w:w="984"/>
            <w:tcMar>
              <w:top w:w="50" w:type="dxa"/>
              <w:bottom w:w="50" w:type="dxa"/>
              <w:left w:w="90" w:type="dxa"/>
              <w:right w:w="90" w:type="dxa"/>
            </w:tcMar>
            <w:shd w:val="clear" w:color="auto" w:fill="E5F5FF"/>
          </w:tcPr>
          <w:p>
            <w:pPr>
              <w:pStyle w:val="BDOITable"/>
            </w:pPr>
            <w:r>
              <w:rPr>
                <w:sz w:val="17"/>
              </w:rPr>
              <w:t>5 years</w:t>
            </w:r>
          </w:p>
        </w:tc>
        <w:tc>
          <w:tcPr>
            <w:tcW w:type="dxa" w:w="984"/>
            <w:tcMar>
              <w:top w:w="50" w:type="dxa"/>
              <w:bottom w:w="50" w:type="dxa"/>
              <w:left w:w="90" w:type="dxa"/>
              <w:right w:w="90" w:type="dxa"/>
            </w:tcMar>
            <w:shd w:val="clear" w:color="auto" w:fill="E5F5FF"/>
          </w:tcPr>
          <w:p>
            <w:pPr>
              <w:pStyle w:val="BDOITable"/>
            </w:pPr>
            <w:r>
              <w:rPr>
                <w:sz w:val="17"/>
              </w:rPr>
              <w:t>10 years</w:t>
            </w:r>
          </w:p>
        </w:tc>
        <w:tc>
          <w:tcPr>
            <w:tcW w:type="dxa" w:w="1050"/>
            <w:tcMar>
              <w:top w:w="50" w:type="dxa"/>
              <w:bottom w:w="50" w:type="dxa"/>
              <w:left w:w="90" w:type="dxa"/>
              <w:right w:w="90" w:type="dxa"/>
            </w:tcMar>
            <w:shd w:val="clear" w:color="auto" w:fill="E5F5FF"/>
          </w:tcPr>
          <w:p>
            <w:pPr>
              <w:pStyle w:val="BDOITable"/>
            </w:pPr>
            <w:r>
              <w:rPr>
                <w:sz w:val="17"/>
              </w:rPr>
              <w:t>15 years</w:t>
            </w:r>
          </w:p>
        </w:tc>
        <w:tc>
          <w:tcPr>
            <w:tcW w:type="dxa" w:w="3018"/>
            <w:tcMar>
              <w:top w:w="50" w:type="dxa"/>
              <w:bottom w:w="50" w:type="dxa"/>
              <w:left w:w="90" w:type="dxa"/>
              <w:right w:w="90" w:type="dxa"/>
            </w:tcMar>
            <w:shd w:val="clear" w:color="auto" w:fill="E5F5FF"/>
          </w:tcPr>
          <w:p>
            <w:pPr>
              <w:pStyle w:val="BDOITable"/>
            </w:pPr>
            <w:r>
              <w:rPr>
                <w:sz w:val="17"/>
              </w:rPr>
              <w:t>Rules of 5 online and 15 in total; keep (RET-04)</w:t>
            </w:r>
          </w:p>
        </w:tc>
      </w:tr>
      <w:tr>
        <w:trPr>
          <w:cantSplit w:val="true"/>
        </w:trPr>
        <w:tc>
          <w:tcPr>
            <w:tcW w:type="dxa" w:w="1968"/>
            <w:tcMar>
              <w:top w:w="50" w:type="dxa"/>
              <w:bottom w:w="50" w:type="dxa"/>
              <w:left w:w="90" w:type="dxa"/>
              <w:right w:w="90" w:type="dxa"/>
            </w:tcMar>
          </w:tcPr>
          <w:p>
            <w:pPr>
              <w:pStyle w:val="BDOITable"/>
            </w:pPr>
            <w:r>
              <w:rPr>
                <w:b/>
                <w:sz w:val="17"/>
              </w:rPr>
              <w:t>Quotations, proposals and accounts not proceeded, voided or cancelled</w:t>
            </w:r>
          </w:p>
        </w:tc>
        <w:tc>
          <w:tcPr>
            <w:tcW w:type="dxa" w:w="1968"/>
            <w:tcMar>
              <w:top w:w="50" w:type="dxa"/>
              <w:bottom w:w="50" w:type="dxa"/>
              <w:left w:w="90" w:type="dxa"/>
              <w:right w:w="90" w:type="dxa"/>
            </w:tcMar>
          </w:tcPr>
          <w:p>
            <w:pPr>
              <w:pStyle w:val="BDOITable"/>
            </w:pPr>
            <w:r>
              <w:rPr>
                <w:sz w:val="17"/>
              </w:rPr>
              <w:t>BDO policy; Data Privacy Act</w:t>
            </w:r>
          </w:p>
        </w:tc>
        <w:tc>
          <w:tcPr>
            <w:tcW w:type="dxa" w:w="984"/>
            <w:tcMar>
              <w:top w:w="50" w:type="dxa"/>
              <w:bottom w:w="50" w:type="dxa"/>
              <w:left w:w="90" w:type="dxa"/>
              <w:right w:w="90" w:type="dxa"/>
            </w:tcMar>
          </w:tcPr>
          <w:p>
            <w:pPr>
              <w:pStyle w:val="BDOITable"/>
            </w:pPr>
            <w:r>
              <w:rPr>
                <w:sz w:val="17"/>
              </w:rPr>
              <w:t>5 years</w:t>
            </w:r>
          </w:p>
        </w:tc>
        <w:tc>
          <w:tcPr>
            <w:tcW w:type="dxa" w:w="984"/>
            <w:tcMar>
              <w:top w:w="50" w:type="dxa"/>
              <w:bottom w:w="50" w:type="dxa"/>
              <w:left w:w="90" w:type="dxa"/>
              <w:right w:w="90" w:type="dxa"/>
            </w:tcMar>
          </w:tcPr>
          <w:p>
            <w:pPr>
              <w:pStyle w:val="BDOITable"/>
            </w:pPr>
            <w:r>
              <w:rPr>
                <w:sz w:val="17"/>
              </w:rPr>
              <w:t>10 years</w:t>
            </w:r>
          </w:p>
        </w:tc>
        <w:tc>
          <w:tcPr>
            <w:tcW w:type="dxa" w:w="1050"/>
            <w:tcMar>
              <w:top w:w="50" w:type="dxa"/>
              <w:bottom w:w="50" w:type="dxa"/>
              <w:left w:w="90" w:type="dxa"/>
              <w:right w:w="90" w:type="dxa"/>
            </w:tcMar>
          </w:tcPr>
          <w:p>
            <w:pPr>
              <w:pStyle w:val="BDOITable"/>
            </w:pPr>
            <w:r>
              <w:rPr>
                <w:sz w:val="17"/>
              </w:rPr>
              <w:t>15 years</w:t>
            </w:r>
          </w:p>
        </w:tc>
        <w:tc>
          <w:tcPr>
            <w:tcW w:type="dxa" w:w="3018"/>
            <w:tcMar>
              <w:top w:w="50" w:type="dxa"/>
              <w:bottom w:w="50" w:type="dxa"/>
              <w:left w:w="90" w:type="dxa"/>
              <w:right w:w="90" w:type="dxa"/>
            </w:tcMar>
          </w:tcPr>
          <w:p>
            <w:pPr>
              <w:pStyle w:val="BDOITable"/>
            </w:pPr>
            <w:r>
              <w:rPr>
                <w:sz w:val="17"/>
              </w:rPr>
              <w:t>Rules (5 + 15, ARCHIVE); propose 5 + 5 (RET-04)</w:t>
            </w:r>
          </w:p>
        </w:tc>
      </w:tr>
      <w:tr>
        <w:trPr>
          <w:cantSplit w:val="true"/>
        </w:trPr>
        <w:tc>
          <w:tcPr>
            <w:tcW w:type="dxa" w:w="1968"/>
            <w:tcMar>
              <w:top w:w="50" w:type="dxa"/>
              <w:bottom w:w="50" w:type="dxa"/>
              <w:left w:w="90" w:type="dxa"/>
              <w:right w:w="90" w:type="dxa"/>
            </w:tcMar>
            <w:shd w:val="clear" w:color="auto" w:fill="E5F5FF"/>
          </w:tcPr>
          <w:p>
            <w:pPr>
              <w:pStyle w:val="BDOITable"/>
            </w:pPr>
            <w:r>
              <w:rPr>
                <w:b/>
                <w:sz w:val="17"/>
              </w:rPr>
              <w:t>User access requests and access change log</w:t>
            </w:r>
          </w:p>
        </w:tc>
        <w:tc>
          <w:tcPr>
            <w:tcW w:type="dxa" w:w="1968"/>
            <w:tcMar>
              <w:top w:w="50" w:type="dxa"/>
              <w:bottom w:w="50" w:type="dxa"/>
              <w:left w:w="90" w:type="dxa"/>
              <w:right w:w="90" w:type="dxa"/>
            </w:tcMar>
            <w:shd w:val="clear" w:color="auto" w:fill="E5F5FF"/>
          </w:tcPr>
          <w:p>
            <w:pPr>
              <w:pStyle w:val="BDOITable"/>
            </w:pPr>
            <w:r>
              <w:rPr>
                <w:sz w:val="17"/>
              </w:rPr>
              <w:t>BSP MORB and Circular 808 (IT risk); BDO policy</w:t>
            </w:r>
          </w:p>
        </w:tc>
        <w:tc>
          <w:tcPr>
            <w:tcW w:type="dxa" w:w="984"/>
            <w:tcMar>
              <w:top w:w="50" w:type="dxa"/>
              <w:bottom w:w="50" w:type="dxa"/>
              <w:left w:w="90" w:type="dxa"/>
              <w:right w:w="90" w:type="dxa"/>
            </w:tcMar>
            <w:shd w:val="clear" w:color="auto" w:fill="E5F5FF"/>
          </w:tcPr>
          <w:p>
            <w:pPr>
              <w:pStyle w:val="BDOITable"/>
            </w:pPr>
            <w:r>
              <w:rPr>
                <w:sz w:val="17"/>
              </w:rPr>
              <w:t>5 years</w:t>
            </w:r>
          </w:p>
        </w:tc>
        <w:tc>
          <w:tcPr>
            <w:tcW w:type="dxa" w:w="984"/>
            <w:tcMar>
              <w:top w:w="50" w:type="dxa"/>
              <w:bottom w:w="50" w:type="dxa"/>
              <w:left w:w="90" w:type="dxa"/>
              <w:right w:w="90" w:type="dxa"/>
            </w:tcMar>
            <w:shd w:val="clear" w:color="auto" w:fill="E5F5FF"/>
          </w:tcPr>
          <w:p>
            <w:pPr>
              <w:pStyle w:val="BDOITable"/>
            </w:pPr>
            <w:r>
              <w:rPr>
                <w:sz w:val="17"/>
              </w:rPr>
              <w:t>10 years</w:t>
            </w:r>
          </w:p>
        </w:tc>
        <w:tc>
          <w:tcPr>
            <w:tcW w:type="dxa" w:w="1050"/>
            <w:tcMar>
              <w:top w:w="50" w:type="dxa"/>
              <w:bottom w:w="50" w:type="dxa"/>
              <w:left w:w="90" w:type="dxa"/>
              <w:right w:w="90" w:type="dxa"/>
            </w:tcMar>
            <w:shd w:val="clear" w:color="auto" w:fill="E5F5FF"/>
          </w:tcPr>
          <w:p>
            <w:pPr>
              <w:pStyle w:val="BDOITable"/>
            </w:pPr>
            <w:r>
              <w:rPr>
                <w:sz w:val="17"/>
              </w:rPr>
              <w:t>15 years</w:t>
            </w:r>
          </w:p>
        </w:tc>
        <w:tc>
          <w:tcPr>
            <w:tcW w:type="dxa" w:w="3018"/>
            <w:tcMar>
              <w:top w:w="50" w:type="dxa"/>
              <w:bottom w:w="50" w:type="dxa"/>
              <w:left w:w="90" w:type="dxa"/>
              <w:right w:w="90" w:type="dxa"/>
            </w:tcMar>
            <w:shd w:val="clear" w:color="auto" w:fill="E5F5FF"/>
          </w:tcPr>
          <w:p>
            <w:pPr>
              <w:pStyle w:val="BDOITable"/>
            </w:pPr>
            <w:r>
              <w:rPr>
                <w:sz w:val="17"/>
              </w:rPr>
              <w:t>Rule ACCESS_REQUEST (5 + 15); keep</w:t>
            </w:r>
          </w:p>
        </w:tc>
      </w:tr>
      <w:tr>
        <w:trPr>
          <w:cantSplit w:val="true"/>
        </w:trPr>
        <w:tc>
          <w:tcPr>
            <w:tcW w:type="dxa" w:w="1968"/>
            <w:tcMar>
              <w:top w:w="50" w:type="dxa"/>
              <w:bottom w:w="50" w:type="dxa"/>
              <w:left w:w="90" w:type="dxa"/>
              <w:right w:w="90" w:type="dxa"/>
            </w:tcMar>
          </w:tcPr>
          <w:p>
            <w:pPr>
              <w:pStyle w:val="BDOITable"/>
            </w:pPr>
            <w:r>
              <w:rPr>
                <w:b/>
                <w:sz w:val="17"/>
              </w:rPr>
              <w:t>Audit trail and sign-in audit</w:t>
            </w:r>
          </w:p>
        </w:tc>
        <w:tc>
          <w:tcPr>
            <w:tcW w:type="dxa" w:w="1968"/>
            <w:tcMar>
              <w:top w:w="50" w:type="dxa"/>
              <w:bottom w:w="50" w:type="dxa"/>
              <w:left w:w="90" w:type="dxa"/>
              <w:right w:w="90" w:type="dxa"/>
            </w:tcMar>
          </w:tcPr>
          <w:p>
            <w:pPr>
              <w:pStyle w:val="BDOITable"/>
            </w:pPr>
            <w:r>
              <w:rPr>
                <w:sz w:val="17"/>
              </w:rPr>
              <w:t>BSP Circular 808; BDO policy</w:t>
            </w:r>
          </w:p>
        </w:tc>
        <w:tc>
          <w:tcPr>
            <w:tcW w:type="dxa" w:w="984"/>
            <w:tcMar>
              <w:top w:w="50" w:type="dxa"/>
              <w:bottom w:w="50" w:type="dxa"/>
              <w:left w:w="90" w:type="dxa"/>
              <w:right w:w="90" w:type="dxa"/>
            </w:tcMar>
          </w:tcPr>
          <w:p>
            <w:pPr>
              <w:pStyle w:val="BDOITable"/>
            </w:pPr>
            <w:r>
              <w:rPr>
                <w:sz w:val="17"/>
              </w:rPr>
              <w:t>5 years</w:t>
            </w:r>
          </w:p>
        </w:tc>
        <w:tc>
          <w:tcPr>
            <w:tcW w:type="dxa" w:w="984"/>
            <w:tcMar>
              <w:top w:w="50" w:type="dxa"/>
              <w:bottom w:w="50" w:type="dxa"/>
              <w:left w:w="90" w:type="dxa"/>
              <w:right w:w="90" w:type="dxa"/>
            </w:tcMar>
          </w:tcPr>
          <w:p>
            <w:pPr>
              <w:pStyle w:val="BDOITable"/>
            </w:pPr>
            <w:r>
              <w:rPr>
                <w:sz w:val="17"/>
              </w:rPr>
              <w:t>5 years</w:t>
            </w:r>
          </w:p>
        </w:tc>
        <w:tc>
          <w:tcPr>
            <w:tcW w:type="dxa" w:w="1050"/>
            <w:tcMar>
              <w:top w:w="50" w:type="dxa"/>
              <w:bottom w:w="50" w:type="dxa"/>
              <w:left w:w="90" w:type="dxa"/>
              <w:right w:w="90" w:type="dxa"/>
            </w:tcMar>
          </w:tcPr>
          <w:p>
            <w:pPr>
              <w:pStyle w:val="BDOITable"/>
            </w:pPr>
            <w:r>
              <w:rPr>
                <w:sz w:val="17"/>
              </w:rPr>
              <w:t>10 years</w:t>
            </w:r>
          </w:p>
        </w:tc>
        <w:tc>
          <w:tcPr>
            <w:tcW w:type="dxa" w:w="3018"/>
            <w:tcMar>
              <w:top w:w="50" w:type="dxa"/>
              <w:bottom w:w="50" w:type="dxa"/>
              <w:left w:w="90" w:type="dxa"/>
              <w:right w:w="90" w:type="dxa"/>
            </w:tcMar>
          </w:tcPr>
          <w:p>
            <w:pPr>
              <w:pStyle w:val="BDOITable"/>
            </w:pPr>
            <w:r>
              <w:rPr>
                <w:sz w:val="17"/>
              </w:rPr>
              <w:t>No purge today; propose archive after 5 years (RET-04)</w:t>
            </w:r>
          </w:p>
        </w:tc>
      </w:tr>
      <w:tr>
        <w:trPr>
          <w:cantSplit w:val="true"/>
        </w:trPr>
        <w:tc>
          <w:tcPr>
            <w:tcW w:type="dxa" w:w="1968"/>
            <w:tcMar>
              <w:top w:w="50" w:type="dxa"/>
              <w:bottom w:w="50" w:type="dxa"/>
              <w:left w:w="90" w:type="dxa"/>
              <w:right w:w="90" w:type="dxa"/>
            </w:tcMar>
            <w:shd w:val="clear" w:color="auto" w:fill="E5F5FF"/>
          </w:tcPr>
          <w:p>
            <w:pPr>
              <w:pStyle w:val="BDOITable"/>
            </w:pPr>
            <w:r>
              <w:rPr>
                <w:b/>
                <w:sz w:val="17"/>
              </w:rPr>
              <w:t>Legacy archive and its access log (BRD-13)</w:t>
            </w:r>
          </w:p>
        </w:tc>
        <w:tc>
          <w:tcPr>
            <w:tcW w:type="dxa" w:w="1968"/>
            <w:tcMar>
              <w:top w:w="50" w:type="dxa"/>
              <w:bottom w:w="50" w:type="dxa"/>
              <w:left w:w="90" w:type="dxa"/>
              <w:right w:w="90" w:type="dxa"/>
            </w:tcMar>
            <w:shd w:val="clear" w:color="auto" w:fill="E5F5FF"/>
          </w:tcPr>
          <w:p>
            <w:pPr>
              <w:pStyle w:val="BDOITable"/>
            </w:pPr>
            <w:r>
              <w:rPr>
                <w:sz w:val="17"/>
              </w:rPr>
              <w:t>BIR and AMLA periods of the legacy records</w:t>
            </w:r>
          </w:p>
        </w:tc>
        <w:tc>
          <w:tcPr>
            <w:tcW w:type="dxa" w:w="984"/>
            <w:tcMar>
              <w:top w:w="50" w:type="dxa"/>
              <w:bottom w:w="50" w:type="dxa"/>
              <w:left w:w="90" w:type="dxa"/>
              <w:right w:w="90" w:type="dxa"/>
            </w:tcMar>
            <w:shd w:val="clear" w:color="auto" w:fill="E5F5FF"/>
          </w:tcPr>
          <w:p>
            <w:pPr>
              <w:pStyle w:val="BDOITable"/>
            </w:pPr>
            <w:r>
              <w:rPr>
                <w:sz w:val="17"/>
              </w:rPr>
              <w:t>5 years</w:t>
            </w:r>
          </w:p>
        </w:tc>
        <w:tc>
          <w:tcPr>
            <w:tcW w:type="dxa" w:w="984"/>
            <w:tcMar>
              <w:top w:w="50" w:type="dxa"/>
              <w:bottom w:w="50" w:type="dxa"/>
              <w:left w:w="90" w:type="dxa"/>
              <w:right w:w="90" w:type="dxa"/>
            </w:tcMar>
            <w:shd w:val="clear" w:color="auto" w:fill="E5F5FF"/>
          </w:tcPr>
          <w:p>
            <w:pPr>
              <w:pStyle w:val="BDOITable"/>
            </w:pPr>
            <w:r>
              <w:rPr>
                <w:sz w:val="17"/>
              </w:rPr>
              <w:t>10 years</w:t>
            </w:r>
          </w:p>
        </w:tc>
        <w:tc>
          <w:tcPr>
            <w:tcW w:type="dxa" w:w="1050"/>
            <w:tcMar>
              <w:top w:w="50" w:type="dxa"/>
              <w:bottom w:w="50" w:type="dxa"/>
              <w:left w:w="90" w:type="dxa"/>
              <w:right w:w="90" w:type="dxa"/>
            </w:tcMar>
            <w:shd w:val="clear" w:color="auto" w:fill="E5F5FF"/>
          </w:tcPr>
          <w:p>
            <w:pPr>
              <w:pStyle w:val="BDOITable"/>
            </w:pPr>
            <w:r>
              <w:rPr>
                <w:sz w:val="17"/>
              </w:rPr>
              <w:t>15 years after decommissioning</w:t>
            </w:r>
          </w:p>
        </w:tc>
        <w:tc>
          <w:tcPr>
            <w:tcW w:type="dxa" w:w="3018"/>
            <w:tcMar>
              <w:top w:w="50" w:type="dxa"/>
              <w:bottom w:w="50" w:type="dxa"/>
              <w:left w:w="90" w:type="dxa"/>
              <w:right w:w="90" w:type="dxa"/>
            </w:tcMar>
            <w:shd w:val="clear" w:color="auto" w:fill="E5F5FF"/>
          </w:tcPr>
          <w:p>
            <w:pPr>
              <w:pStyle w:val="BDOITable"/>
            </w:pPr>
            <w:r>
              <w:rPr>
                <w:sz w:val="17"/>
              </w:rPr>
              <w:t>Rules LEGACY_ARCHIVE and LEGACY_ACCESS_LOG; keep</w:t>
            </w:r>
          </w:p>
        </w:tc>
      </w:tr>
      <w:tr>
        <w:trPr>
          <w:cantSplit w:val="true"/>
        </w:trPr>
        <w:tc>
          <w:tcPr>
            <w:tcW w:type="dxa" w:w="1968"/>
            <w:tcMar>
              <w:top w:w="50" w:type="dxa"/>
              <w:bottom w:w="50" w:type="dxa"/>
              <w:left w:w="90" w:type="dxa"/>
              <w:right w:w="90" w:type="dxa"/>
            </w:tcMar>
          </w:tcPr>
          <w:p>
            <w:pPr>
              <w:pStyle w:val="BDOITable"/>
            </w:pPr>
            <w:r>
              <w:rPr>
                <w:b/>
                <w:sz w:val="17"/>
              </w:rPr>
              <w:t>Report outputs</w:t>
            </w:r>
          </w:p>
        </w:tc>
        <w:tc>
          <w:tcPr>
            <w:tcW w:type="dxa" w:w="1968"/>
            <w:tcMar>
              <w:top w:w="50" w:type="dxa"/>
              <w:bottom w:w="50" w:type="dxa"/>
              <w:left w:w="90" w:type="dxa"/>
              <w:right w:w="90" w:type="dxa"/>
            </w:tcMar>
          </w:tcPr>
          <w:p>
            <w:pPr>
              <w:pStyle w:val="BDOITable"/>
            </w:pPr>
            <w:r>
              <w:rPr>
                <w:sz w:val="17"/>
              </w:rPr>
              <w:t>Operational</w:t>
            </w:r>
          </w:p>
        </w:tc>
        <w:tc>
          <w:tcPr>
            <w:tcW w:type="dxa" w:w="984"/>
            <w:tcMar>
              <w:top w:w="50" w:type="dxa"/>
              <w:bottom w:w="50" w:type="dxa"/>
              <w:left w:w="90" w:type="dxa"/>
              <w:right w:w="90" w:type="dxa"/>
            </w:tcMar>
          </w:tcPr>
          <w:p>
            <w:pPr>
              <w:pStyle w:val="BDOITable"/>
            </w:pPr>
            <w:r>
              <w:rPr>
                <w:sz w:val="17"/>
              </w:rPr>
              <w:t>400 days</w:t>
            </w:r>
          </w:p>
        </w:tc>
        <w:tc>
          <w:tcPr>
            <w:tcW w:type="dxa" w:w="984"/>
            <w:tcMar>
              <w:top w:w="50" w:type="dxa"/>
              <w:bottom w:w="50" w:type="dxa"/>
              <w:left w:w="90" w:type="dxa"/>
              <w:right w:w="90" w:type="dxa"/>
            </w:tcMar>
          </w:tcPr>
          <w:p>
            <w:pPr>
              <w:pStyle w:val="BDOITable"/>
            </w:pPr>
            <w:r>
              <w:rPr>
                <w:sz w:val="17"/>
              </w:rPr>
              <w:t>-</w:t>
            </w:r>
          </w:p>
        </w:tc>
        <w:tc>
          <w:tcPr>
            <w:tcW w:type="dxa" w:w="1050"/>
            <w:tcMar>
              <w:top w:w="50" w:type="dxa"/>
              <w:bottom w:w="50" w:type="dxa"/>
              <w:left w:w="90" w:type="dxa"/>
              <w:right w:w="90" w:type="dxa"/>
            </w:tcMar>
          </w:tcPr>
          <w:p>
            <w:pPr>
              <w:pStyle w:val="BDOITable"/>
            </w:pPr>
            <w:r>
              <w:rPr>
                <w:sz w:val="17"/>
              </w:rPr>
              <w:t>400 days</w:t>
            </w:r>
          </w:p>
        </w:tc>
        <w:tc>
          <w:tcPr>
            <w:tcW w:type="dxa" w:w="3018"/>
            <w:tcMar>
              <w:top w:w="50" w:type="dxa"/>
              <w:bottom w:w="50" w:type="dxa"/>
              <w:left w:w="90" w:type="dxa"/>
              <w:right w:w="90" w:type="dxa"/>
            </w:tcMar>
          </w:tcPr>
          <w:p>
            <w:pPr>
              <w:pStyle w:val="BDOITable"/>
            </w:pPr>
            <w:r>
              <w:rPr>
                <w:sz w:val="17"/>
              </w:rPr>
              <w:t>Record class Report output; keep</w:t>
            </w:r>
          </w:p>
        </w:tc>
      </w:tr>
      <w:tr>
        <w:trPr>
          <w:cantSplit w:val="true"/>
        </w:trPr>
        <w:tc>
          <w:tcPr>
            <w:tcW w:type="dxa" w:w="1968"/>
            <w:tcMar>
              <w:top w:w="50" w:type="dxa"/>
              <w:bottom w:w="50" w:type="dxa"/>
              <w:left w:w="90" w:type="dxa"/>
              <w:right w:w="90" w:type="dxa"/>
            </w:tcMar>
            <w:shd w:val="clear" w:color="auto" w:fill="E5F5FF"/>
          </w:tcPr>
          <w:p>
            <w:pPr>
              <w:pStyle w:val="BDOITable"/>
            </w:pPr>
            <w:r>
              <w:rPr>
                <w:b/>
                <w:sz w:val="17"/>
              </w:rPr>
              <w:t>Inbound files (bank, insurer, watchlist, bulk)</w:t>
            </w:r>
          </w:p>
        </w:tc>
        <w:tc>
          <w:tcPr>
            <w:tcW w:type="dxa" w:w="1968"/>
            <w:tcMar>
              <w:top w:w="50" w:type="dxa"/>
              <w:bottom w:w="50" w:type="dxa"/>
              <w:left w:w="90" w:type="dxa"/>
              <w:right w:w="90" w:type="dxa"/>
            </w:tcMar>
            <w:shd w:val="clear" w:color="auto" w:fill="E5F5FF"/>
          </w:tcPr>
          <w:p>
            <w:pPr>
              <w:pStyle w:val="BDOITable"/>
            </w:pPr>
            <w:r>
              <w:rPr>
                <w:sz w:val="17"/>
              </w:rPr>
              <w:t>Operational; the loaded data is the record</w:t>
            </w:r>
          </w:p>
        </w:tc>
        <w:tc>
          <w:tcPr>
            <w:tcW w:type="dxa" w:w="984"/>
            <w:tcMar>
              <w:top w:w="50" w:type="dxa"/>
              <w:bottom w:w="50" w:type="dxa"/>
              <w:left w:w="90" w:type="dxa"/>
              <w:right w:w="90" w:type="dxa"/>
            </w:tcMar>
            <w:shd w:val="clear" w:color="auto" w:fill="E5F5FF"/>
          </w:tcPr>
          <w:p>
            <w:pPr>
              <w:pStyle w:val="BDOITable"/>
            </w:pPr>
            <w:r>
              <w:rPr>
                <w:sz w:val="17"/>
              </w:rPr>
              <w:t>90 days</w:t>
            </w:r>
          </w:p>
        </w:tc>
        <w:tc>
          <w:tcPr>
            <w:tcW w:type="dxa" w:w="984"/>
            <w:tcMar>
              <w:top w:w="50" w:type="dxa"/>
              <w:bottom w:w="50" w:type="dxa"/>
              <w:left w:w="90" w:type="dxa"/>
              <w:right w:w="90" w:type="dxa"/>
            </w:tcMar>
            <w:shd w:val="clear" w:color="auto" w:fill="E5F5FF"/>
          </w:tcPr>
          <w:p>
            <w:pPr>
              <w:pStyle w:val="BDOITable"/>
            </w:pPr>
            <w:r>
              <w:rPr>
                <w:sz w:val="17"/>
              </w:rPr>
              <w:t>-</w:t>
            </w:r>
          </w:p>
        </w:tc>
        <w:tc>
          <w:tcPr>
            <w:tcW w:type="dxa" w:w="1050"/>
            <w:tcMar>
              <w:top w:w="50" w:type="dxa"/>
              <w:bottom w:w="50" w:type="dxa"/>
              <w:left w:w="90" w:type="dxa"/>
              <w:right w:w="90" w:type="dxa"/>
            </w:tcMar>
            <w:shd w:val="clear" w:color="auto" w:fill="E5F5FF"/>
          </w:tcPr>
          <w:p>
            <w:pPr>
              <w:pStyle w:val="BDOITable"/>
            </w:pPr>
            <w:r>
              <w:rPr>
                <w:sz w:val="17"/>
              </w:rPr>
              <w:t>90 days</w:t>
            </w:r>
          </w:p>
        </w:tc>
        <w:tc>
          <w:tcPr>
            <w:tcW w:type="dxa" w:w="3018"/>
            <w:tcMar>
              <w:top w:w="50" w:type="dxa"/>
              <w:bottom w:w="50" w:type="dxa"/>
              <w:left w:w="90" w:type="dxa"/>
              <w:right w:w="90" w:type="dxa"/>
            </w:tcMar>
            <w:shd w:val="clear" w:color="auto" w:fill="E5F5FF"/>
          </w:tcPr>
          <w:p>
            <w:pPr>
              <w:pStyle w:val="BDOITable"/>
            </w:pPr>
            <w:r>
              <w:rPr>
                <w:sz w:val="17"/>
              </w:rPr>
              <w:t>Record class Inbound file; keep</w:t>
            </w:r>
          </w:p>
        </w:tc>
      </w:tr>
      <w:tr>
        <w:trPr>
          <w:cantSplit w:val="true"/>
        </w:trPr>
        <w:tc>
          <w:tcPr>
            <w:tcW w:type="dxa" w:w="1968"/>
            <w:tcMar>
              <w:top w:w="50" w:type="dxa"/>
              <w:bottom w:w="50" w:type="dxa"/>
              <w:left w:w="90" w:type="dxa"/>
              <w:right w:w="90" w:type="dxa"/>
            </w:tcMar>
          </w:tcPr>
          <w:p>
            <w:pPr>
              <w:pStyle w:val="BDOITable"/>
            </w:pPr>
            <w:r>
              <w:rPr>
                <w:b/>
                <w:sz w:val="17"/>
              </w:rPr>
              <w:t>Migration extracts and staging</w:t>
            </w:r>
          </w:p>
        </w:tc>
        <w:tc>
          <w:tcPr>
            <w:tcW w:type="dxa" w:w="1968"/>
            <w:tcMar>
              <w:top w:w="50" w:type="dxa"/>
              <w:bottom w:w="50" w:type="dxa"/>
              <w:left w:w="90" w:type="dxa"/>
              <w:right w:w="90" w:type="dxa"/>
            </w:tcMar>
          </w:tcPr>
          <w:p>
            <w:pPr>
              <w:pStyle w:val="BDOITable"/>
            </w:pPr>
            <w:r>
              <w:rPr>
                <w:sz w:val="17"/>
              </w:rPr>
              <w:t>Hosting appendix</w:t>
            </w:r>
          </w:p>
        </w:tc>
        <w:tc>
          <w:tcPr>
            <w:tcW w:type="dxa" w:w="984"/>
            <w:tcMar>
              <w:top w:w="50" w:type="dxa"/>
              <w:bottom w:w="50" w:type="dxa"/>
              <w:left w:w="90" w:type="dxa"/>
              <w:right w:w="90" w:type="dxa"/>
            </w:tcMar>
          </w:tcPr>
          <w:p>
            <w:pPr>
              <w:pStyle w:val="BDOITable"/>
            </w:pPr>
            <w:r>
              <w:rPr>
                <w:sz w:val="17"/>
              </w:rPr>
              <w:t>5 days after sign-off</w:t>
            </w:r>
          </w:p>
        </w:tc>
        <w:tc>
          <w:tcPr>
            <w:tcW w:type="dxa" w:w="984"/>
            <w:tcMar>
              <w:top w:w="50" w:type="dxa"/>
              <w:bottom w:w="50" w:type="dxa"/>
              <w:left w:w="90" w:type="dxa"/>
              <w:right w:w="90" w:type="dxa"/>
            </w:tcMar>
          </w:tcPr>
          <w:p>
            <w:pPr>
              <w:pStyle w:val="BDOITable"/>
            </w:pPr>
            <w:r>
              <w:rPr>
                <w:sz w:val="17"/>
              </w:rPr>
              <w:t>-</w:t>
            </w:r>
          </w:p>
        </w:tc>
        <w:tc>
          <w:tcPr>
            <w:tcW w:type="dxa" w:w="1050"/>
            <w:tcMar>
              <w:top w:w="50" w:type="dxa"/>
              <w:bottom w:w="50" w:type="dxa"/>
              <w:left w:w="90" w:type="dxa"/>
              <w:right w:w="90" w:type="dxa"/>
            </w:tcMar>
          </w:tcPr>
          <w:p>
            <w:pPr>
              <w:pStyle w:val="BDOITable"/>
            </w:pPr>
            <w:r>
              <w:rPr>
                <w:sz w:val="17"/>
              </w:rPr>
              <w:t>5 days</w:t>
            </w:r>
          </w:p>
        </w:tc>
        <w:tc>
          <w:tcPr>
            <w:tcW w:type="dxa" w:w="3018"/>
            <w:tcMar>
              <w:top w:w="50" w:type="dxa"/>
              <w:bottom w:w="50" w:type="dxa"/>
              <w:left w:w="90" w:type="dxa"/>
              <w:right w:w="90" w:type="dxa"/>
            </w:tcMar>
          </w:tcPr>
          <w:p>
            <w:pPr>
              <w:pStyle w:val="BDOITable"/>
            </w:pPr>
            <w:r>
              <w:rPr>
                <w:sz w:val="17"/>
              </w:rPr>
              <w:t>Record class Migration extract; staging purged within 5 days of sign-off; keep</w:t>
            </w:r>
          </w:p>
        </w:tc>
      </w:tr>
      <w:tr>
        <w:trPr>
          <w:cantSplit w:val="true"/>
        </w:trPr>
        <w:tc>
          <w:tcPr>
            <w:tcW w:type="dxa" w:w="1968"/>
            <w:tcMar>
              <w:top w:w="50" w:type="dxa"/>
              <w:bottom w:w="50" w:type="dxa"/>
              <w:left w:w="90" w:type="dxa"/>
              <w:right w:w="90" w:type="dxa"/>
            </w:tcMar>
            <w:shd w:val="clear" w:color="auto" w:fill="E5F5FF"/>
          </w:tcPr>
          <w:p>
            <w:pPr>
              <w:pStyle w:val="BDOITable"/>
            </w:pPr>
            <w:r>
              <w:rPr>
                <w:b/>
                <w:sz w:val="17"/>
              </w:rPr>
              <w:t>Working files and drafts</w:t>
            </w:r>
          </w:p>
        </w:tc>
        <w:tc>
          <w:tcPr>
            <w:tcW w:type="dxa" w:w="1968"/>
            <w:tcMar>
              <w:top w:w="50" w:type="dxa"/>
              <w:bottom w:w="50" w:type="dxa"/>
              <w:left w:w="90" w:type="dxa"/>
              <w:right w:w="90" w:type="dxa"/>
            </w:tcMar>
            <w:shd w:val="clear" w:color="auto" w:fill="E5F5FF"/>
          </w:tcPr>
          <w:p>
            <w:pPr>
              <w:pStyle w:val="BDOITable"/>
            </w:pPr>
            <w:r>
              <w:rPr>
                <w:sz w:val="17"/>
              </w:rPr>
              <w:t>BDO policy</w:t>
            </w:r>
          </w:p>
        </w:tc>
        <w:tc>
          <w:tcPr>
            <w:tcW w:type="dxa" w:w="984"/>
            <w:tcMar>
              <w:top w:w="50" w:type="dxa"/>
              <w:bottom w:w="50" w:type="dxa"/>
              <w:left w:w="90" w:type="dxa"/>
              <w:right w:w="90" w:type="dxa"/>
            </w:tcMar>
            <w:shd w:val="clear" w:color="auto" w:fill="E5F5FF"/>
          </w:tcPr>
          <w:p>
            <w:pPr>
              <w:pStyle w:val="BDOITable"/>
            </w:pPr>
            <w:r>
              <w:rPr>
                <w:sz w:val="17"/>
              </w:rPr>
              <w:t>5 years</w:t>
            </w:r>
          </w:p>
        </w:tc>
        <w:tc>
          <w:tcPr>
            <w:tcW w:type="dxa" w:w="984"/>
            <w:tcMar>
              <w:top w:w="50" w:type="dxa"/>
              <w:bottom w:w="50" w:type="dxa"/>
              <w:left w:w="90" w:type="dxa"/>
              <w:right w:w="90" w:type="dxa"/>
            </w:tcMar>
            <w:shd w:val="clear" w:color="auto" w:fill="E5F5FF"/>
          </w:tcPr>
          <w:p>
            <w:pPr>
              <w:pStyle w:val="BDOITable"/>
            </w:pPr>
            <w:r>
              <w:rPr>
                <w:sz w:val="17"/>
              </w:rPr>
              <w:t>-</w:t>
            </w:r>
          </w:p>
        </w:tc>
        <w:tc>
          <w:tcPr>
            <w:tcW w:type="dxa" w:w="1050"/>
            <w:tcMar>
              <w:top w:w="50" w:type="dxa"/>
              <w:bottom w:w="50" w:type="dxa"/>
              <w:left w:w="90" w:type="dxa"/>
              <w:right w:w="90" w:type="dxa"/>
            </w:tcMar>
            <w:shd w:val="clear" w:color="auto" w:fill="E5F5FF"/>
          </w:tcPr>
          <w:p>
            <w:pPr>
              <w:pStyle w:val="BDOITable"/>
            </w:pPr>
            <w:r>
              <w:rPr>
                <w:sz w:val="17"/>
              </w:rPr>
              <w:t>5 years</w:t>
            </w:r>
          </w:p>
        </w:tc>
        <w:tc>
          <w:tcPr>
            <w:tcW w:type="dxa" w:w="3018"/>
            <w:tcMar>
              <w:top w:w="50" w:type="dxa"/>
              <w:bottom w:w="50" w:type="dxa"/>
              <w:left w:w="90" w:type="dxa"/>
              <w:right w:w="90" w:type="dxa"/>
            </w:tcMar>
            <w:shd w:val="clear" w:color="auto" w:fill="E5F5FF"/>
          </w:tcPr>
          <w:p>
            <w:pPr>
              <w:pStyle w:val="BDOITable"/>
            </w:pPr>
            <w:r>
              <w:rPr>
                <w:sz w:val="17"/>
              </w:rPr>
              <w:t>Record class Working file; keep</w:t>
            </w:r>
          </w:p>
        </w:tc>
      </w:tr>
    </w:tbl>
    <w:p>
      <w:pPr>
        <w:pStyle w:val="BDOISpacer"/>
      </w:pPr>
    </w:p>
    <w:p>
      <w:r>
        <w:rPr>
          <w:b/>
        </w:rPr>
        <w:t>Legal hold</w:t>
      </w:r>
      <w:r>
        <w:rPr/>
        <w:t xml:space="preserve"> blocks archive and disposal for records under BIR audit, AMLA investigation or litigation; placing and releasing a hold follows the BDOI Delegation of Authority with approver and reason recorded. </w:t>
      </w:r>
      <w:r>
        <w:rPr>
          <w:b/>
        </w:rPr>
        <w:t>Disposal</w:t>
      </w:r>
      <w:r>
        <w:rPr/>
        <w:t xml:space="preserve"> is a purge or an anonymisation of personal data that keeps the financial figures, approved by the data owner, with a record of disposal kept for 10 years.</w:t>
      </w:r>
    </w:p>
    <w:p>
      <w:pPr>
        <w:pStyle w:val="Heading1"/>
        <w:pageBreakBefore/>
        <w:pBdr>
          <w:bottom w:val="single" w:sz="4" w:space="4" w:color="99C1E7"/>
        </w:pBdr>
      </w:pPr>
      <w:bookmarkStart w:id="119" w:name="_Toc000119"/>
      <w:r>
        <w:rPr/>
        <w:t>8 Metadata management and data catalogue</w:t>
      </w:r>
      <w:bookmarkEnd w:id="119"/>
    </w:p>
    <w:p>
      <w:pPr>
        <w:pStyle w:val="Caption"/>
        <w:keepNext/>
        <w:spacing w:after="60"/>
      </w:pPr>
      <w:r>
        <w:rPr>
          <w:b/>
          <w:i w:val="0"/>
        </w:rPr>
        <w:t xml:space="preserve">Table 13: </w:t>
      </w:r>
      <w:r>
        <w:rPr/>
        <w:t>Metadata of BIBS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34"/>
        <w:gridCol w:w="4021"/>
        <w:gridCol w:w="3217"/>
      </w:tblGrid>
      <w:tr>
        <w:trPr>
          <w:tblHeader w:val="true"/>
          <w:cantSplit w:val="true"/>
        </w:trPr>
        <w:tc>
          <w:tcPr>
            <w:tcW w:type="dxa" w:w="2734"/>
            <w:shd w:val="clear" w:color="auto" w:fill="004EA8"/>
            <w:tcMar>
              <w:top w:w="50" w:type="dxa"/>
              <w:bottom w:w="50" w:type="dxa"/>
              <w:left w:w="90" w:type="dxa"/>
              <w:right w:w="90" w:type="dxa"/>
            </w:tcMar>
            <w:vAlign w:val="center"/>
          </w:tcPr>
          <w:p>
            <w:pPr>
              <w:pStyle w:val="BDOITableHeader"/>
            </w:pPr>
            <w:r>
              <w:rPr>
                <w:b/>
                <w:color w:val="FFFFFF"/>
                <w:sz w:val="18"/>
              </w:rPr>
              <w:t>Metadata</w:t>
            </w:r>
          </w:p>
        </w:tc>
        <w:tc>
          <w:tcPr>
            <w:tcW w:type="dxa" w:w="4021"/>
            <w:shd w:val="clear" w:color="auto" w:fill="004EA8"/>
            <w:tcMar>
              <w:top w:w="50" w:type="dxa"/>
              <w:bottom w:w="50" w:type="dxa"/>
              <w:left w:w="90" w:type="dxa"/>
              <w:right w:w="90" w:type="dxa"/>
            </w:tcMar>
            <w:vAlign w:val="center"/>
          </w:tcPr>
          <w:p>
            <w:pPr>
              <w:pStyle w:val="BDOITableHeader"/>
            </w:pPr>
            <w:r>
              <w:rPr>
                <w:b/>
                <w:color w:val="FFFFFF"/>
                <w:sz w:val="18"/>
              </w:rPr>
              <w:t>Where it is kept</w:t>
            </w:r>
          </w:p>
        </w:tc>
        <w:tc>
          <w:tcPr>
            <w:tcW w:type="dxa" w:w="3217"/>
            <w:shd w:val="clear" w:color="auto" w:fill="004EA8"/>
            <w:tcMar>
              <w:top w:w="50" w:type="dxa"/>
              <w:bottom w:w="50" w:type="dxa"/>
              <w:left w:w="90" w:type="dxa"/>
              <w:right w:w="90" w:type="dxa"/>
            </w:tcMar>
            <w:vAlign w:val="center"/>
          </w:tcPr>
          <w:p>
            <w:pPr>
              <w:pStyle w:val="BDOITableHeader"/>
            </w:pPr>
            <w:r>
              <w:rPr>
                <w:b/>
                <w:color w:val="FFFFFF"/>
                <w:sz w:val="18"/>
              </w:rPr>
              <w:t>Use</w:t>
            </w:r>
          </w:p>
        </w:tc>
      </w:tr>
      <w:tr>
        <w:trPr>
          <w:cantSplit w:val="true"/>
        </w:trPr>
        <w:tc>
          <w:tcPr>
            <w:tcW w:type="dxa" w:w="2734"/>
            <w:tcMar>
              <w:top w:w="50" w:type="dxa"/>
              <w:bottom w:w="50" w:type="dxa"/>
              <w:left w:w="90" w:type="dxa"/>
              <w:right w:w="90" w:type="dxa"/>
            </w:tcMar>
          </w:tcPr>
          <w:p>
            <w:pPr>
              <w:pStyle w:val="BDOITable"/>
            </w:pPr>
            <w:r>
              <w:rPr>
                <w:b/>
                <w:sz w:val="18"/>
              </w:rPr>
              <w:t>Physical schema (tables, columns, types, keys, indexes, triggers)</w:t>
            </w:r>
          </w:p>
        </w:tc>
        <w:tc>
          <w:tcPr>
            <w:tcW w:type="dxa" w:w="4021"/>
            <w:tcMar>
              <w:top w:w="50" w:type="dxa"/>
              <w:bottom w:w="50" w:type="dxa"/>
              <w:left w:w="90" w:type="dxa"/>
              <w:right w:w="90" w:type="dxa"/>
            </w:tcMar>
          </w:tcPr>
          <w:p>
            <w:pPr>
              <w:pStyle w:val="BDOITable"/>
            </w:pPr>
            <w:r>
              <w:rPr>
                <w:sz w:val="18"/>
              </w:rPr>
              <w:t>PostgreSQL catalogue; Data Dictionary and Entity Relationship Diagrams regenerated from it at each release</w:t>
            </w:r>
          </w:p>
        </w:tc>
        <w:tc>
          <w:tcPr>
            <w:tcW w:type="dxa" w:w="3217"/>
            <w:tcMar>
              <w:top w:w="50" w:type="dxa"/>
              <w:bottom w:w="50" w:type="dxa"/>
              <w:left w:w="90" w:type="dxa"/>
              <w:right w:w="90" w:type="dxa"/>
            </w:tcMar>
          </w:tcPr>
          <w:p>
            <w:pPr>
              <w:pStyle w:val="BDOITable"/>
            </w:pPr>
            <w:r>
              <w:rPr>
                <w:sz w:val="18"/>
              </w:rPr>
              <w:t>DBA, extracts, migration targets</w:t>
            </w:r>
          </w:p>
        </w:tc>
      </w:tr>
      <w:tr>
        <w:trPr>
          <w:cantSplit w:val="true"/>
        </w:trPr>
        <w:tc>
          <w:tcPr>
            <w:tcW w:type="dxa" w:w="2734"/>
            <w:tcMar>
              <w:top w:w="50" w:type="dxa"/>
              <w:bottom w:w="50" w:type="dxa"/>
              <w:left w:w="90" w:type="dxa"/>
              <w:right w:w="90" w:type="dxa"/>
            </w:tcMar>
            <w:shd w:val="clear" w:color="auto" w:fill="E5F5FF"/>
          </w:tcPr>
          <w:p>
            <w:pPr>
              <w:pStyle w:val="BDOITable"/>
            </w:pPr>
            <w:r>
              <w:rPr>
                <w:b/>
                <w:sz w:val="18"/>
              </w:rPr>
              <w:t>Business meaning of tables</w:t>
            </w:r>
          </w:p>
        </w:tc>
        <w:tc>
          <w:tcPr>
            <w:tcW w:type="dxa" w:w="4021"/>
            <w:tcMar>
              <w:top w:w="50" w:type="dxa"/>
              <w:bottom w:w="50" w:type="dxa"/>
              <w:left w:w="90" w:type="dxa"/>
              <w:right w:w="90" w:type="dxa"/>
            </w:tcMar>
            <w:shd w:val="clear" w:color="auto" w:fill="E5F5FF"/>
          </w:tcPr>
          <w:p>
            <w:pPr>
              <w:pStyle w:val="BDOITable"/>
            </w:pPr>
            <w:r>
              <w:rPr>
                <w:sz w:val="18"/>
              </w:rPr>
              <w:t>Entity documentation, published in the Data Dictionary</w:t>
            </w:r>
          </w:p>
        </w:tc>
        <w:tc>
          <w:tcPr>
            <w:tcW w:type="dxa" w:w="3217"/>
            <w:tcMar>
              <w:top w:w="50" w:type="dxa"/>
              <w:bottom w:w="50" w:type="dxa"/>
              <w:left w:w="90" w:type="dxa"/>
              <w:right w:w="90" w:type="dxa"/>
            </w:tcMar>
            <w:shd w:val="clear" w:color="auto" w:fill="E5F5FF"/>
          </w:tcPr>
          <w:p>
            <w:pPr>
              <w:pStyle w:val="BDOITable"/>
            </w:pPr>
            <w:r>
              <w:rPr>
                <w:sz w:val="18"/>
              </w:rPr>
              <w:t>Report and extract designers</w:t>
            </w:r>
          </w:p>
        </w:tc>
      </w:tr>
      <w:tr>
        <w:trPr>
          <w:cantSplit w:val="true"/>
        </w:trPr>
        <w:tc>
          <w:tcPr>
            <w:tcW w:type="dxa" w:w="2734"/>
            <w:tcMar>
              <w:top w:w="50" w:type="dxa"/>
              <w:bottom w:w="50" w:type="dxa"/>
              <w:left w:w="90" w:type="dxa"/>
              <w:right w:w="90" w:type="dxa"/>
            </w:tcMar>
          </w:tcPr>
          <w:p>
            <w:pPr>
              <w:pStyle w:val="BDOITable"/>
            </w:pPr>
            <w:r>
              <w:rPr>
                <w:b/>
                <w:sz w:val="18"/>
              </w:rPr>
              <w:t>Schema versions</w:t>
            </w:r>
          </w:p>
        </w:tc>
        <w:tc>
          <w:tcPr>
            <w:tcW w:type="dxa" w:w="4021"/>
            <w:tcMar>
              <w:top w:w="50" w:type="dxa"/>
              <w:bottom w:w="50" w:type="dxa"/>
              <w:left w:w="90" w:type="dxa"/>
              <w:right w:w="90" w:type="dxa"/>
            </w:tcMar>
          </w:tcPr>
          <w:p>
            <w:pPr>
              <w:pStyle w:val="BDOITable"/>
            </w:pPr>
            <w:r>
              <w:rPr>
                <w:sz w:val="18"/>
              </w:rPr>
              <w:t>Versioned schema migrations applied at start-up with their history table</w:t>
            </w:r>
          </w:p>
        </w:tc>
        <w:tc>
          <w:tcPr>
            <w:tcW w:type="dxa" w:w="3217"/>
            <w:tcMar>
              <w:top w:w="50" w:type="dxa"/>
              <w:bottom w:w="50" w:type="dxa"/>
              <w:left w:w="90" w:type="dxa"/>
              <w:right w:w="90" w:type="dxa"/>
            </w:tcMar>
          </w:tcPr>
          <w:p>
            <w:pPr>
              <w:pStyle w:val="BDOITable"/>
            </w:pPr>
            <w:r>
              <w:rPr>
                <w:sz w:val="18"/>
              </w:rPr>
              <w:t>Change control, environment comparison</w:t>
            </w:r>
          </w:p>
        </w:tc>
      </w:tr>
      <w:tr>
        <w:trPr>
          <w:cantSplit w:val="true"/>
        </w:trPr>
        <w:tc>
          <w:tcPr>
            <w:tcW w:type="dxa" w:w="2734"/>
            <w:tcMar>
              <w:top w:w="50" w:type="dxa"/>
              <w:bottom w:w="50" w:type="dxa"/>
              <w:left w:w="90" w:type="dxa"/>
              <w:right w:w="90" w:type="dxa"/>
            </w:tcMar>
            <w:shd w:val="clear" w:color="auto" w:fill="E5F5FF"/>
          </w:tcPr>
          <w:p>
            <w:pPr>
              <w:pStyle w:val="BDOITable"/>
            </w:pPr>
            <w:r>
              <w:rPr>
                <w:b/>
                <w:sz w:val="18"/>
              </w:rPr>
              <w:t>Lists of values, parameters, screen labels</w:t>
            </w:r>
          </w:p>
        </w:tc>
        <w:tc>
          <w:tcPr>
            <w:tcW w:type="dxa" w:w="4021"/>
            <w:tcMar>
              <w:top w:w="50" w:type="dxa"/>
              <w:bottom w:w="50" w:type="dxa"/>
              <w:left w:w="90" w:type="dxa"/>
              <w:right w:w="90" w:type="dxa"/>
            </w:tcMar>
            <w:shd w:val="clear" w:color="auto" w:fill="E5F5FF"/>
          </w:tcPr>
          <w:p>
            <w:pPr>
              <w:pStyle w:val="BDOITable"/>
            </w:pPr>
            <w:r>
              <w:rPr>
                <w:sz w:val="18"/>
              </w:rPr>
              <w:t>Configuration tables with maker-checker; configuration input workbooks</w:t>
            </w:r>
          </w:p>
        </w:tc>
        <w:tc>
          <w:tcPr>
            <w:tcW w:type="dxa" w:w="3217"/>
            <w:tcMar>
              <w:top w:w="50" w:type="dxa"/>
              <w:bottom w:w="50" w:type="dxa"/>
              <w:left w:w="90" w:type="dxa"/>
              <w:right w:w="90" w:type="dxa"/>
            </w:tcMar>
            <w:shd w:val="clear" w:color="auto" w:fill="E5F5FF"/>
          </w:tcPr>
          <w:p>
            <w:pPr>
              <w:pStyle w:val="BDOITable"/>
            </w:pPr>
            <w:r>
              <w:rPr>
                <w:sz w:val="18"/>
              </w:rPr>
              <w:t>Business configuration</w:t>
            </w:r>
          </w:p>
        </w:tc>
      </w:tr>
      <w:tr>
        <w:trPr>
          <w:cantSplit w:val="true"/>
        </w:trPr>
        <w:tc>
          <w:tcPr>
            <w:tcW w:type="dxa" w:w="2734"/>
            <w:tcMar>
              <w:top w:w="50" w:type="dxa"/>
              <w:bottom w:w="50" w:type="dxa"/>
              <w:left w:w="90" w:type="dxa"/>
              <w:right w:w="90" w:type="dxa"/>
            </w:tcMar>
          </w:tcPr>
          <w:p>
            <w:pPr>
              <w:pStyle w:val="BDOITable"/>
            </w:pPr>
            <w:r>
              <w:rPr>
                <w:b/>
                <w:sz w:val="18"/>
              </w:rPr>
              <w:t>Accounting event catalogue and rules</w:t>
            </w:r>
          </w:p>
        </w:tc>
        <w:tc>
          <w:tcPr>
            <w:tcW w:type="dxa" w:w="4021"/>
            <w:tcMar>
              <w:top w:w="50" w:type="dxa"/>
              <w:bottom w:w="50" w:type="dxa"/>
              <w:left w:w="90" w:type="dxa"/>
              <w:right w:w="90" w:type="dxa"/>
            </w:tcMar>
          </w:tcPr>
          <w:p>
            <w:pPr>
              <w:pStyle w:val="BDOITable"/>
            </w:pPr>
            <w:r>
              <w:rPr>
                <w:sz w:val="18"/>
              </w:rPr>
              <w:t>Event register and rules (D09)</w:t>
            </w:r>
          </w:p>
        </w:tc>
        <w:tc>
          <w:tcPr>
            <w:tcW w:type="dxa" w:w="3217"/>
            <w:tcMar>
              <w:top w:w="50" w:type="dxa"/>
              <w:bottom w:w="50" w:type="dxa"/>
              <w:left w:w="90" w:type="dxa"/>
              <w:right w:w="90" w:type="dxa"/>
            </w:tcMar>
          </w:tcPr>
          <w:p>
            <w:pPr>
              <w:pStyle w:val="BDOITable"/>
            </w:pPr>
            <w:r>
              <w:rPr>
                <w:sz w:val="18"/>
              </w:rPr>
              <w:t>Lineage from business records to the GL</w:t>
            </w:r>
          </w:p>
        </w:tc>
      </w:tr>
      <w:tr>
        <w:trPr>
          <w:cantSplit w:val="true"/>
        </w:trPr>
        <w:tc>
          <w:tcPr>
            <w:tcW w:type="dxa" w:w="2734"/>
            <w:tcMar>
              <w:top w:w="50" w:type="dxa"/>
              <w:bottom w:w="50" w:type="dxa"/>
              <w:left w:w="90" w:type="dxa"/>
              <w:right w:w="90" w:type="dxa"/>
            </w:tcMar>
            <w:shd w:val="clear" w:color="auto" w:fill="E5F5FF"/>
          </w:tcPr>
          <w:p>
            <w:pPr>
              <w:pStyle w:val="BDOITable"/>
            </w:pPr>
            <w:r>
              <w:rPr>
                <w:b/>
                <w:sz w:val="18"/>
              </w:rPr>
              <w:t>Report catalogue</w:t>
            </w:r>
          </w:p>
        </w:tc>
        <w:tc>
          <w:tcPr>
            <w:tcW w:type="dxa" w:w="4021"/>
            <w:tcMar>
              <w:top w:w="50" w:type="dxa"/>
              <w:bottom w:w="50" w:type="dxa"/>
              <w:left w:w="90" w:type="dxa"/>
              <w:right w:w="90" w:type="dxa"/>
            </w:tcMar>
            <w:shd w:val="clear" w:color="auto" w:fill="E5F5FF"/>
          </w:tcPr>
          <w:p>
            <w:pPr>
              <w:pStyle w:val="BDOITable"/>
            </w:pPr>
            <w:r>
              <w:rPr>
                <w:sz w:val="18"/>
              </w:rPr>
              <w:t>Report definitions with category, permission, parameters, columns and source</w:t>
            </w:r>
          </w:p>
        </w:tc>
        <w:tc>
          <w:tcPr>
            <w:tcW w:type="dxa" w:w="3217"/>
            <w:tcMar>
              <w:top w:w="50" w:type="dxa"/>
              <w:bottom w:w="50" w:type="dxa"/>
              <w:left w:w="90" w:type="dxa"/>
              <w:right w:w="90" w:type="dxa"/>
            </w:tcMar>
            <w:shd w:val="clear" w:color="auto" w:fill="E5F5FF"/>
          </w:tcPr>
          <w:p>
            <w:pPr>
              <w:pStyle w:val="BDOITable"/>
            </w:pPr>
            <w:r>
              <w:rPr>
                <w:sz w:val="18"/>
              </w:rPr>
              <w:t>Report Centre; lineage of reports</w:t>
            </w:r>
          </w:p>
        </w:tc>
      </w:tr>
      <w:tr>
        <w:trPr>
          <w:cantSplit w:val="true"/>
        </w:trPr>
        <w:tc>
          <w:tcPr>
            <w:tcW w:type="dxa" w:w="2734"/>
            <w:tcMar>
              <w:top w:w="50" w:type="dxa"/>
              <w:bottom w:w="50" w:type="dxa"/>
              <w:left w:w="90" w:type="dxa"/>
              <w:right w:w="90" w:type="dxa"/>
            </w:tcMar>
          </w:tcPr>
          <w:p>
            <w:pPr>
              <w:pStyle w:val="BDOITable"/>
            </w:pPr>
            <w:r>
              <w:rPr>
                <w:b/>
                <w:sz w:val="18"/>
              </w:rPr>
              <w:t>Record classes and retention rules</w:t>
            </w:r>
          </w:p>
        </w:tc>
        <w:tc>
          <w:tcPr>
            <w:tcW w:type="dxa" w:w="4021"/>
            <w:tcMar>
              <w:top w:w="50" w:type="dxa"/>
              <w:bottom w:w="50" w:type="dxa"/>
              <w:left w:w="90" w:type="dxa"/>
              <w:right w:w="90" w:type="dxa"/>
            </w:tcMar>
          </w:tcPr>
          <w:p>
            <w:pPr>
              <w:pStyle w:val="BDOITable"/>
            </w:pPr>
            <w:r>
              <w:rPr>
                <w:sz w:val="18"/>
              </w:rPr>
              <w:t>Configuration tables (D01, D02)</w:t>
            </w:r>
          </w:p>
        </w:tc>
        <w:tc>
          <w:tcPr>
            <w:tcW w:type="dxa" w:w="3217"/>
            <w:tcMar>
              <w:top w:w="50" w:type="dxa"/>
              <w:bottom w:w="50" w:type="dxa"/>
              <w:left w:w="90" w:type="dxa"/>
              <w:right w:w="90" w:type="dxa"/>
            </w:tcMar>
          </w:tcPr>
          <w:p>
            <w:pPr>
              <w:pStyle w:val="BDOITable"/>
            </w:pPr>
            <w:r>
              <w:rPr>
                <w:sz w:val="18"/>
              </w:rPr>
              <w:t>Retention</w:t>
            </w:r>
          </w:p>
        </w:tc>
      </w:tr>
      <w:tr>
        <w:trPr>
          <w:cantSplit w:val="true"/>
        </w:trPr>
        <w:tc>
          <w:tcPr>
            <w:tcW w:type="dxa" w:w="2734"/>
            <w:tcMar>
              <w:top w:w="50" w:type="dxa"/>
              <w:bottom w:w="50" w:type="dxa"/>
              <w:left w:w="90" w:type="dxa"/>
              <w:right w:w="90" w:type="dxa"/>
            </w:tcMar>
            <w:shd w:val="clear" w:color="auto" w:fill="E5F5FF"/>
          </w:tcPr>
          <w:p>
            <w:pPr>
              <w:pStyle w:val="BDOITable"/>
            </w:pPr>
            <w:r>
              <w:rPr>
                <w:b/>
                <w:sz w:val="18"/>
              </w:rPr>
              <w:t>Integration event catalogue</w:t>
            </w:r>
          </w:p>
        </w:tc>
        <w:tc>
          <w:tcPr>
            <w:tcW w:type="dxa" w:w="4021"/>
            <w:tcMar>
              <w:top w:w="50" w:type="dxa"/>
              <w:bottom w:w="50" w:type="dxa"/>
              <w:left w:w="90" w:type="dxa"/>
              <w:right w:w="90" w:type="dxa"/>
            </w:tcMar>
            <w:shd w:val="clear" w:color="auto" w:fill="E5F5FF"/>
          </w:tcPr>
          <w:p>
            <w:pPr>
              <w:pStyle w:val="BDOITable"/>
            </w:pPr>
            <w:r>
              <w:rPr>
                <w:sz w:val="18"/>
              </w:rPr>
              <w:t>Topic list and event envelope (schema version 1)</w:t>
            </w:r>
          </w:p>
        </w:tc>
        <w:tc>
          <w:tcPr>
            <w:tcW w:type="dxa" w:w="3217"/>
            <w:tcMar>
              <w:top w:w="50" w:type="dxa"/>
              <w:bottom w:w="50" w:type="dxa"/>
              <w:left w:w="90" w:type="dxa"/>
              <w:right w:w="90" w:type="dxa"/>
            </w:tcMar>
            <w:shd w:val="clear" w:color="auto" w:fill="E5F5FF"/>
          </w:tcPr>
          <w:p>
            <w:pPr>
              <w:pStyle w:val="BDOITable"/>
            </w:pPr>
            <w:r>
              <w:rPr>
                <w:sz w:val="18"/>
              </w:rPr>
              <w:t>EDP and other consumers</w:t>
            </w:r>
          </w:p>
        </w:tc>
      </w:tr>
      <w:tr>
        <w:trPr>
          <w:cantSplit w:val="true"/>
        </w:trPr>
        <w:tc>
          <w:tcPr>
            <w:tcW w:type="dxa" w:w="2734"/>
            <w:tcMar>
              <w:top w:w="50" w:type="dxa"/>
              <w:bottom w:w="50" w:type="dxa"/>
              <w:left w:w="90" w:type="dxa"/>
              <w:right w:w="90" w:type="dxa"/>
            </w:tcMar>
          </w:tcPr>
          <w:p>
            <w:pPr>
              <w:pStyle w:val="BDOITable"/>
            </w:pPr>
            <w:r>
              <w:rPr>
                <w:b/>
                <w:sz w:val="18"/>
              </w:rPr>
              <w:t>Data classification</w:t>
            </w:r>
          </w:p>
        </w:tc>
        <w:tc>
          <w:tcPr>
            <w:tcW w:type="dxa" w:w="4021"/>
            <w:tcMar>
              <w:top w:w="50" w:type="dxa"/>
              <w:bottom w:w="50" w:type="dxa"/>
              <w:left w:w="90" w:type="dxa"/>
              <w:right w:w="90" w:type="dxa"/>
            </w:tcMar>
          </w:tcPr>
          <w:p>
            <w:pPr>
              <w:pStyle w:val="BDOITable"/>
            </w:pPr>
            <w:r>
              <w:rPr>
                <w:sz w:val="18"/>
              </w:rPr>
              <w:t>Data Architecture chapter 10, then column tags in the catalogue (proposal)</w:t>
            </w:r>
          </w:p>
        </w:tc>
        <w:tc>
          <w:tcPr>
            <w:tcW w:type="dxa" w:w="3217"/>
            <w:tcMar>
              <w:top w:w="50" w:type="dxa"/>
              <w:bottom w:w="50" w:type="dxa"/>
              <w:left w:w="90" w:type="dxa"/>
              <w:right w:w="90" w:type="dxa"/>
            </w:tcMar>
          </w:tcPr>
          <w:p>
            <w:pPr>
              <w:pStyle w:val="BDOITable"/>
            </w:pPr>
            <w:r>
              <w:rPr>
                <w:sz w:val="18"/>
              </w:rPr>
              <w:t>Access, masking, privacy</w:t>
            </w:r>
          </w:p>
        </w:tc>
      </w:tr>
    </w:tbl>
    <w:p>
      <w:pPr>
        <w:pStyle w:val="BDOISpacer"/>
      </w:pPr>
    </w:p>
    <w:p>
      <w:r>
        <w:rPr>
          <w:b/>
        </w:rPr>
        <w:t>Data catalogue (proposal).</w:t>
      </w:r>
      <w:r>
        <w:rPr/>
        <w:t xml:space="preserve"> BIBS publishes its metadata to BDO's enterprise data catalogue (tool to be named by BDOI IT, open point DAT-03): the schema and its comments, the classification tags, the owners of chapter 4, the report catalogue and the event catalogue, refreshed at each release. Until the catalogue is named, the Data Dictionary workbook is the catalogue of record. Table and column comments will be written into the database so that any catalogue tool reads them with the schema.</w:t>
      </w:r>
    </w:p>
    <w:p>
      <w:pPr>
        <w:pStyle w:val="Heading1"/>
        <w:pageBreakBefore/>
        <w:pBdr>
          <w:bottom w:val="single" w:sz="4" w:space="4" w:color="99C1E7"/>
        </w:pBdr>
      </w:pPr>
      <w:bookmarkStart w:id="120" w:name="_Toc000120"/>
      <w:r>
        <w:rPr/>
        <w:t>9 Reconciliation controls</w:t>
      </w:r>
      <w:bookmarkEnd w:id="120"/>
    </w:p>
    <w:p>
      <w:pPr>
        <w:pStyle w:val="Caption"/>
        <w:keepNext/>
        <w:spacing w:after="60"/>
      </w:pPr>
      <w:r>
        <w:rPr>
          <w:b/>
          <w:i w:val="0"/>
        </w:rPr>
        <w:t xml:space="preserve">Table 14: </w:t>
      </w:r>
      <w:r>
        <w:rPr/>
        <w:t>Reconciliation controls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530"/>
        <w:gridCol w:w="3870"/>
        <w:gridCol w:w="1637"/>
        <w:gridCol w:w="1935"/>
      </w:tblGrid>
      <w:tr>
        <w:trPr>
          <w:tblHeader w:val="true"/>
          <w:cantSplit w:val="true"/>
        </w:trPr>
        <w:tc>
          <w:tcPr>
            <w:tcW w:type="dxa" w:w="2530"/>
            <w:shd w:val="clear" w:color="auto" w:fill="004EA8"/>
            <w:tcMar>
              <w:top w:w="50" w:type="dxa"/>
              <w:bottom w:w="50" w:type="dxa"/>
              <w:left w:w="90" w:type="dxa"/>
              <w:right w:w="90" w:type="dxa"/>
            </w:tcMar>
            <w:vAlign w:val="center"/>
          </w:tcPr>
          <w:p>
            <w:pPr>
              <w:pStyle w:val="BDOITableHeader"/>
            </w:pPr>
            <w:r>
              <w:rPr>
                <w:b/>
                <w:color w:val="FFFFFF"/>
                <w:sz w:val="17"/>
              </w:rPr>
              <w:t>Control</w:t>
            </w:r>
          </w:p>
        </w:tc>
        <w:tc>
          <w:tcPr>
            <w:tcW w:type="dxa" w:w="3870"/>
            <w:shd w:val="clear" w:color="auto" w:fill="004EA8"/>
            <w:tcMar>
              <w:top w:w="50" w:type="dxa"/>
              <w:bottom w:w="50" w:type="dxa"/>
              <w:left w:w="90" w:type="dxa"/>
              <w:right w:w="90" w:type="dxa"/>
            </w:tcMar>
            <w:vAlign w:val="center"/>
          </w:tcPr>
          <w:p>
            <w:pPr>
              <w:pStyle w:val="BDOITableHeader"/>
            </w:pPr>
            <w:r>
              <w:rPr>
                <w:b/>
                <w:color w:val="FFFFFF"/>
                <w:sz w:val="17"/>
              </w:rPr>
              <w:t>What is compared</w:t>
            </w:r>
          </w:p>
        </w:tc>
        <w:tc>
          <w:tcPr>
            <w:tcW w:type="dxa" w:w="1637"/>
            <w:shd w:val="clear" w:color="auto" w:fill="004EA8"/>
            <w:tcMar>
              <w:top w:w="50" w:type="dxa"/>
              <w:bottom w:w="50" w:type="dxa"/>
              <w:left w:w="90" w:type="dxa"/>
              <w:right w:w="90" w:type="dxa"/>
            </w:tcMar>
            <w:vAlign w:val="center"/>
          </w:tcPr>
          <w:p>
            <w:pPr>
              <w:pStyle w:val="BDOITableHeader"/>
            </w:pPr>
            <w:r>
              <w:rPr>
                <w:b/>
                <w:color w:val="FFFFFF"/>
                <w:sz w:val="17"/>
              </w:rPr>
              <w:t>Frequency</w:t>
            </w:r>
          </w:p>
        </w:tc>
        <w:tc>
          <w:tcPr>
            <w:tcW w:type="dxa" w:w="1935"/>
            <w:shd w:val="clear" w:color="auto" w:fill="004EA8"/>
            <w:tcMar>
              <w:top w:w="50" w:type="dxa"/>
              <w:bottom w:w="50" w:type="dxa"/>
              <w:left w:w="90" w:type="dxa"/>
              <w:right w:w="90" w:type="dxa"/>
            </w:tcMar>
            <w:vAlign w:val="center"/>
          </w:tcPr>
          <w:p>
            <w:pPr>
              <w:pStyle w:val="BDOITableHeader"/>
            </w:pPr>
            <w:r>
              <w:rPr>
                <w:b/>
                <w:color w:val="FFFFFF"/>
                <w:sz w:val="17"/>
              </w:rPr>
              <w:t>Owner</w:t>
            </w:r>
          </w:p>
        </w:tc>
      </w:tr>
      <w:tr>
        <w:trPr>
          <w:cantSplit w:val="true"/>
        </w:trPr>
        <w:tc>
          <w:tcPr>
            <w:tcW w:type="dxa" w:w="2530"/>
            <w:tcMar>
              <w:top w:w="50" w:type="dxa"/>
              <w:bottom w:w="50" w:type="dxa"/>
              <w:left w:w="90" w:type="dxa"/>
              <w:right w:w="90" w:type="dxa"/>
            </w:tcMar>
          </w:tcPr>
          <w:p>
            <w:pPr>
              <w:pStyle w:val="BDOITable"/>
            </w:pPr>
            <w:r>
              <w:rPr>
                <w:b/>
                <w:sz w:val="17"/>
              </w:rPr>
              <w:t>Balanced journals</w:t>
            </w:r>
          </w:p>
        </w:tc>
        <w:tc>
          <w:tcPr>
            <w:tcW w:type="dxa" w:w="3870"/>
            <w:tcMar>
              <w:top w:w="50" w:type="dxa"/>
              <w:bottom w:w="50" w:type="dxa"/>
              <w:left w:w="90" w:type="dxa"/>
              <w:right w:w="90" w:type="dxa"/>
            </w:tcMar>
          </w:tcPr>
          <w:p>
            <w:pPr>
              <w:pStyle w:val="BDOITable"/>
            </w:pPr>
            <w:r>
              <w:rPr>
                <w:sz w:val="17"/>
              </w:rPr>
              <w:t>Debits equal credits per journal batch and currency; a batch that does not balance cannot post</w:t>
            </w:r>
          </w:p>
        </w:tc>
        <w:tc>
          <w:tcPr>
            <w:tcW w:type="dxa" w:w="1637"/>
            <w:tcMar>
              <w:top w:w="50" w:type="dxa"/>
              <w:bottom w:w="50" w:type="dxa"/>
              <w:left w:w="90" w:type="dxa"/>
              <w:right w:w="90" w:type="dxa"/>
            </w:tcMar>
          </w:tcPr>
          <w:p>
            <w:pPr>
              <w:pStyle w:val="BDOITable"/>
            </w:pPr>
            <w:r>
              <w:rPr>
                <w:sz w:val="17"/>
              </w:rPr>
              <w:t>Every posting</w:t>
            </w:r>
          </w:p>
        </w:tc>
        <w:tc>
          <w:tcPr>
            <w:tcW w:type="dxa" w:w="1935"/>
            <w:tcMar>
              <w:top w:w="50" w:type="dxa"/>
              <w:bottom w:w="50" w:type="dxa"/>
              <w:left w:w="90" w:type="dxa"/>
              <w:right w:w="90" w:type="dxa"/>
            </w:tcMar>
          </w:tcPr>
          <w:p>
            <w:pPr>
              <w:pStyle w:val="BDOITable"/>
            </w:pPr>
            <w:r>
              <w:rPr>
                <w:sz w:val="17"/>
              </w:rPr>
              <w:t>System (Comptrollership monitors)</w:t>
            </w:r>
          </w:p>
        </w:tc>
      </w:tr>
      <w:tr>
        <w:trPr>
          <w:cantSplit w:val="true"/>
        </w:trPr>
        <w:tc>
          <w:tcPr>
            <w:tcW w:type="dxa" w:w="2530"/>
            <w:tcMar>
              <w:top w:w="50" w:type="dxa"/>
              <w:bottom w:w="50" w:type="dxa"/>
              <w:left w:w="90" w:type="dxa"/>
              <w:right w:w="90" w:type="dxa"/>
            </w:tcMar>
            <w:shd w:val="clear" w:color="auto" w:fill="E5F5FF"/>
          </w:tcPr>
          <w:p>
            <w:pPr>
              <w:pStyle w:val="BDOITable"/>
            </w:pPr>
            <w:r>
              <w:rPr>
                <w:b/>
                <w:sz w:val="17"/>
              </w:rPr>
              <w:t>Ledger to daily balances</w:t>
            </w:r>
          </w:p>
        </w:tc>
        <w:tc>
          <w:tcPr>
            <w:tcW w:type="dxa" w:w="3870"/>
            <w:tcMar>
              <w:top w:w="50" w:type="dxa"/>
              <w:bottom w:w="50" w:type="dxa"/>
              <w:left w:w="90" w:type="dxa"/>
              <w:right w:w="90" w:type="dxa"/>
            </w:tcMar>
            <w:shd w:val="clear" w:color="auto" w:fill="E5F5FF"/>
          </w:tcPr>
          <w:p>
            <w:pPr>
              <w:pStyle w:val="BDOITable"/>
            </w:pPr>
            <w:r>
              <w:rPr>
                <w:sz w:val="17"/>
              </w:rPr>
              <w:t>Daily balances equal the sum of ledger entries per account, branch and currency</w:t>
            </w:r>
          </w:p>
        </w:tc>
        <w:tc>
          <w:tcPr>
            <w:tcW w:type="dxa" w:w="1637"/>
            <w:tcMar>
              <w:top w:w="50" w:type="dxa"/>
              <w:bottom w:w="50" w:type="dxa"/>
              <w:left w:w="90" w:type="dxa"/>
              <w:right w:w="90" w:type="dxa"/>
            </w:tcMar>
            <w:shd w:val="clear" w:color="auto" w:fill="E5F5FF"/>
          </w:tcPr>
          <w:p>
            <w:pPr>
              <w:pStyle w:val="BDOITable"/>
            </w:pPr>
            <w:r>
              <w:rPr>
                <w:sz w:val="17"/>
              </w:rPr>
              <w:t>Daily job; period close</w:t>
            </w:r>
          </w:p>
        </w:tc>
        <w:tc>
          <w:tcPr>
            <w:tcW w:type="dxa" w:w="1935"/>
            <w:tcMar>
              <w:top w:w="50" w:type="dxa"/>
              <w:bottom w:w="50" w:type="dxa"/>
              <w:left w:w="90" w:type="dxa"/>
              <w:right w:w="90" w:type="dxa"/>
            </w:tcMar>
            <w:shd w:val="clear" w:color="auto" w:fill="E5F5FF"/>
          </w:tcPr>
          <w:p>
            <w:pPr>
              <w:pStyle w:val="BDOITable"/>
            </w:pPr>
            <w:r>
              <w:rPr>
                <w:sz w:val="17"/>
              </w:rPr>
              <w:t>FRBS</w:t>
            </w:r>
          </w:p>
        </w:tc>
      </w:tr>
      <w:tr>
        <w:trPr>
          <w:cantSplit w:val="true"/>
        </w:trPr>
        <w:tc>
          <w:tcPr>
            <w:tcW w:type="dxa" w:w="2530"/>
            <w:tcMar>
              <w:top w:w="50" w:type="dxa"/>
              <w:bottom w:w="50" w:type="dxa"/>
              <w:left w:w="90" w:type="dxa"/>
              <w:right w:w="90" w:type="dxa"/>
            </w:tcMar>
          </w:tcPr>
          <w:p>
            <w:pPr>
              <w:pStyle w:val="BDOITable"/>
            </w:pPr>
            <w:r>
              <w:rPr>
                <w:b/>
                <w:sz w:val="17"/>
              </w:rPr>
              <w:t>GL to sub-ledger (ACSL)</w:t>
            </w:r>
          </w:p>
        </w:tc>
        <w:tc>
          <w:tcPr>
            <w:tcW w:type="dxa" w:w="3870"/>
            <w:tcMar>
              <w:top w:w="50" w:type="dxa"/>
              <w:bottom w:w="50" w:type="dxa"/>
              <w:left w:w="90" w:type="dxa"/>
              <w:right w:w="90" w:type="dxa"/>
            </w:tcMar>
          </w:tcPr>
          <w:p>
            <w:pPr>
              <w:pStyle w:val="BDOITable"/>
            </w:pPr>
            <w:r>
              <w:rPr>
                <w:sz w:val="17"/>
              </w:rPr>
              <w:t>GL control accounts against the open items of the sub-ledger; differences into investigation cases</w:t>
            </w:r>
          </w:p>
        </w:tc>
        <w:tc>
          <w:tcPr>
            <w:tcW w:type="dxa" w:w="1637"/>
            <w:tcMar>
              <w:top w:w="50" w:type="dxa"/>
              <w:bottom w:w="50" w:type="dxa"/>
              <w:left w:w="90" w:type="dxa"/>
              <w:right w:w="90" w:type="dxa"/>
            </w:tcMar>
          </w:tcPr>
          <w:p>
            <w:pPr>
              <w:pStyle w:val="BDOITable"/>
            </w:pPr>
            <w:r>
              <w:rPr>
                <w:sz w:val="17"/>
              </w:rPr>
              <w:t>Monthly and on demand</w:t>
            </w:r>
          </w:p>
        </w:tc>
        <w:tc>
          <w:tcPr>
            <w:tcW w:type="dxa" w:w="1935"/>
            <w:tcMar>
              <w:top w:w="50" w:type="dxa"/>
              <w:bottom w:w="50" w:type="dxa"/>
              <w:left w:w="90" w:type="dxa"/>
              <w:right w:w="90" w:type="dxa"/>
            </w:tcMar>
          </w:tcPr>
          <w:p>
            <w:pPr>
              <w:pStyle w:val="BDOITable"/>
            </w:pPr>
            <w:r>
              <w:rPr>
                <w:sz w:val="17"/>
              </w:rPr>
              <w:t>ACSL</w:t>
            </w:r>
          </w:p>
        </w:tc>
      </w:tr>
      <w:tr>
        <w:trPr>
          <w:cantSplit w:val="true"/>
        </w:trPr>
        <w:tc>
          <w:tcPr>
            <w:tcW w:type="dxa" w:w="2530"/>
            <w:tcMar>
              <w:top w:w="50" w:type="dxa"/>
              <w:bottom w:w="50" w:type="dxa"/>
              <w:left w:w="90" w:type="dxa"/>
              <w:right w:w="90" w:type="dxa"/>
            </w:tcMar>
            <w:shd w:val="clear" w:color="auto" w:fill="E5F5FF"/>
          </w:tcPr>
          <w:p>
            <w:pPr>
              <w:pStyle w:val="BDOITable"/>
            </w:pPr>
            <w:r>
              <w:rPr>
                <w:b/>
                <w:sz w:val="17"/>
              </w:rPr>
              <w:t>Insurer statement of account (ACSL)</w:t>
            </w:r>
          </w:p>
        </w:tc>
        <w:tc>
          <w:tcPr>
            <w:tcW w:type="dxa" w:w="3870"/>
            <w:tcMar>
              <w:top w:w="50" w:type="dxa"/>
              <w:bottom w:w="50" w:type="dxa"/>
              <w:left w:w="90" w:type="dxa"/>
              <w:right w:w="90" w:type="dxa"/>
            </w:tcMar>
            <w:shd w:val="clear" w:color="auto" w:fill="E5F5FF"/>
          </w:tcPr>
          <w:p>
            <w:pPr>
              <w:pStyle w:val="BDOITable"/>
            </w:pPr>
            <w:r>
              <w:rPr>
                <w:sz w:val="17"/>
              </w:rPr>
              <w:t>Insurer SOA lines against BIBS invoices: outstanding, for remittance, remitted, cancelled, direct billed, not found</w:t>
            </w:r>
          </w:p>
        </w:tc>
        <w:tc>
          <w:tcPr>
            <w:tcW w:type="dxa" w:w="1637"/>
            <w:tcMar>
              <w:top w:w="50" w:type="dxa"/>
              <w:bottom w:w="50" w:type="dxa"/>
              <w:left w:w="90" w:type="dxa"/>
              <w:right w:w="90" w:type="dxa"/>
            </w:tcMar>
            <w:shd w:val="clear" w:color="auto" w:fill="E5F5FF"/>
          </w:tcPr>
          <w:p>
            <w:pPr>
              <w:pStyle w:val="BDOITable"/>
            </w:pPr>
            <w:r>
              <w:rPr>
                <w:sz w:val="17"/>
              </w:rPr>
              <w:t>Per SOA received</w:t>
            </w:r>
          </w:p>
        </w:tc>
        <w:tc>
          <w:tcPr>
            <w:tcW w:type="dxa" w:w="1935"/>
            <w:tcMar>
              <w:top w:w="50" w:type="dxa"/>
              <w:bottom w:w="50" w:type="dxa"/>
              <w:left w:w="90" w:type="dxa"/>
              <w:right w:w="90" w:type="dxa"/>
            </w:tcMar>
            <w:shd w:val="clear" w:color="auto" w:fill="E5F5FF"/>
          </w:tcPr>
          <w:p>
            <w:pPr>
              <w:pStyle w:val="BDOITable"/>
            </w:pPr>
            <w:r>
              <w:rPr>
                <w:sz w:val="17"/>
              </w:rPr>
              <w:t>ACSL</w:t>
            </w:r>
          </w:p>
        </w:tc>
      </w:tr>
      <w:tr>
        <w:trPr>
          <w:cantSplit w:val="true"/>
        </w:trPr>
        <w:tc>
          <w:tcPr>
            <w:tcW w:type="dxa" w:w="2530"/>
            <w:tcMar>
              <w:top w:w="50" w:type="dxa"/>
              <w:bottom w:w="50" w:type="dxa"/>
              <w:left w:w="90" w:type="dxa"/>
              <w:right w:w="90" w:type="dxa"/>
            </w:tcMar>
          </w:tcPr>
          <w:p>
            <w:pPr>
              <w:pStyle w:val="BDOITable"/>
            </w:pPr>
            <w:r>
              <w:rPr>
                <w:b/>
                <w:sz w:val="17"/>
              </w:rPr>
              <w:t>Production reconciliation (Operations)</w:t>
            </w:r>
          </w:p>
        </w:tc>
        <w:tc>
          <w:tcPr>
            <w:tcW w:type="dxa" w:w="3870"/>
            <w:tcMar>
              <w:top w:w="50" w:type="dxa"/>
              <w:bottom w:w="50" w:type="dxa"/>
              <w:left w:w="90" w:type="dxa"/>
              <w:right w:w="90" w:type="dxa"/>
            </w:tcMar>
          </w:tcPr>
          <w:p>
            <w:pPr>
              <w:pStyle w:val="BDOITable"/>
            </w:pPr>
            <w:r>
              <w:rPr>
                <w:sz w:val="17"/>
              </w:rPr>
              <w:t>Production register per insurer against insurer feedback, with tolerance; unbooked repository</w:t>
            </w:r>
          </w:p>
        </w:tc>
        <w:tc>
          <w:tcPr>
            <w:tcW w:type="dxa" w:w="1637"/>
            <w:tcMar>
              <w:top w:w="50" w:type="dxa"/>
              <w:bottom w:w="50" w:type="dxa"/>
              <w:left w:w="90" w:type="dxa"/>
              <w:right w:w="90" w:type="dxa"/>
            </w:tcMar>
          </w:tcPr>
          <w:p>
            <w:pPr>
              <w:pStyle w:val="BDOITable"/>
            </w:pPr>
            <w:r>
              <w:rPr>
                <w:sz w:val="17"/>
              </w:rPr>
              <w:t>Monthly per insurer</w:t>
            </w:r>
          </w:p>
        </w:tc>
        <w:tc>
          <w:tcPr>
            <w:tcW w:type="dxa" w:w="1935"/>
            <w:tcMar>
              <w:top w:w="50" w:type="dxa"/>
              <w:bottom w:w="50" w:type="dxa"/>
              <w:left w:w="90" w:type="dxa"/>
              <w:right w:w="90" w:type="dxa"/>
            </w:tcMar>
          </w:tcPr>
          <w:p>
            <w:pPr>
              <w:pStyle w:val="BDOITable"/>
            </w:pPr>
            <w:r>
              <w:rPr>
                <w:sz w:val="17"/>
              </w:rPr>
              <w:t>Operations: Financial Transactions and Processing</w:t>
            </w:r>
          </w:p>
        </w:tc>
      </w:tr>
      <w:tr>
        <w:trPr>
          <w:cantSplit w:val="true"/>
        </w:trPr>
        <w:tc>
          <w:tcPr>
            <w:tcW w:type="dxa" w:w="2530"/>
            <w:tcMar>
              <w:top w:w="50" w:type="dxa"/>
              <w:bottom w:w="50" w:type="dxa"/>
              <w:left w:w="90" w:type="dxa"/>
              <w:right w:w="90" w:type="dxa"/>
            </w:tcMar>
            <w:shd w:val="clear" w:color="auto" w:fill="E5F5FF"/>
          </w:tcPr>
          <w:p>
            <w:pPr>
              <w:pStyle w:val="BDOITable"/>
            </w:pPr>
            <w:r>
              <w:rPr>
                <w:b/>
                <w:sz w:val="17"/>
              </w:rPr>
              <w:t>Bank reconciliation</w:t>
            </w:r>
          </w:p>
        </w:tc>
        <w:tc>
          <w:tcPr>
            <w:tcW w:type="dxa" w:w="3870"/>
            <w:tcMar>
              <w:top w:w="50" w:type="dxa"/>
              <w:bottom w:w="50" w:type="dxa"/>
              <w:left w:w="90" w:type="dxa"/>
              <w:right w:w="90" w:type="dxa"/>
            </w:tcMar>
            <w:shd w:val="clear" w:color="auto" w:fill="E5F5FF"/>
          </w:tcPr>
          <w:p>
            <w:pPr>
              <w:pStyle w:val="BDOITable"/>
            </w:pPr>
            <w:r>
              <w:rPr>
                <w:sz w:val="17"/>
              </w:rPr>
              <w:t>Bank statements against receipts and payments</w:t>
            </w:r>
          </w:p>
        </w:tc>
        <w:tc>
          <w:tcPr>
            <w:tcW w:type="dxa" w:w="1637"/>
            <w:tcMar>
              <w:top w:w="50" w:type="dxa"/>
              <w:bottom w:w="50" w:type="dxa"/>
              <w:left w:w="90" w:type="dxa"/>
              <w:right w:w="90" w:type="dxa"/>
            </w:tcMar>
            <w:shd w:val="clear" w:color="auto" w:fill="E5F5FF"/>
          </w:tcPr>
          <w:p>
            <w:pPr>
              <w:pStyle w:val="BDOITable"/>
            </w:pPr>
            <w:r>
              <w:rPr>
                <w:sz w:val="17"/>
              </w:rPr>
              <w:t>Monthly per bank account</w:t>
            </w:r>
          </w:p>
        </w:tc>
        <w:tc>
          <w:tcPr>
            <w:tcW w:type="dxa" w:w="1935"/>
            <w:tcMar>
              <w:top w:w="50" w:type="dxa"/>
              <w:bottom w:w="50" w:type="dxa"/>
              <w:left w:w="90" w:type="dxa"/>
              <w:right w:w="90" w:type="dxa"/>
            </w:tcMar>
            <w:shd w:val="clear" w:color="auto" w:fill="E5F5FF"/>
          </w:tcPr>
          <w:p>
            <w:pPr>
              <w:pStyle w:val="BDOITable"/>
            </w:pPr>
            <w:r>
              <w:rPr>
                <w:sz w:val="17"/>
              </w:rPr>
              <w:t>FRBS</w:t>
            </w:r>
          </w:p>
        </w:tc>
      </w:tr>
      <w:tr>
        <w:trPr>
          <w:cantSplit w:val="true"/>
        </w:trPr>
        <w:tc>
          <w:tcPr>
            <w:tcW w:type="dxa" w:w="2530"/>
            <w:tcMar>
              <w:top w:w="50" w:type="dxa"/>
              <w:bottom w:w="50" w:type="dxa"/>
              <w:left w:w="90" w:type="dxa"/>
              <w:right w:w="90" w:type="dxa"/>
            </w:tcMar>
          </w:tcPr>
          <w:p>
            <w:pPr>
              <w:pStyle w:val="BDOITable"/>
            </w:pPr>
            <w:r>
              <w:rPr>
                <w:b/>
                <w:sz w:val="17"/>
              </w:rPr>
              <w:t>Collections to remittance</w:t>
            </w:r>
          </w:p>
        </w:tc>
        <w:tc>
          <w:tcPr>
            <w:tcW w:type="dxa" w:w="3870"/>
            <w:tcMar>
              <w:top w:w="50" w:type="dxa"/>
              <w:bottom w:w="50" w:type="dxa"/>
              <w:left w:w="90" w:type="dxa"/>
              <w:right w:w="90" w:type="dxa"/>
            </w:tcMar>
          </w:tcPr>
          <w:p>
            <w:pPr>
              <w:pStyle w:val="BDOITable"/>
            </w:pPr>
            <w:r>
              <w:rPr>
                <w:sz w:val="17"/>
              </w:rPr>
              <w:t>Paid components of invoices against remittance batches; hold and exclusion lists</w:t>
            </w:r>
          </w:p>
        </w:tc>
        <w:tc>
          <w:tcPr>
            <w:tcW w:type="dxa" w:w="1637"/>
            <w:tcMar>
              <w:top w:w="50" w:type="dxa"/>
              <w:bottom w:w="50" w:type="dxa"/>
              <w:left w:w="90" w:type="dxa"/>
              <w:right w:w="90" w:type="dxa"/>
            </w:tcMar>
          </w:tcPr>
          <w:p>
            <w:pPr>
              <w:pStyle w:val="BDOITable"/>
            </w:pPr>
            <w:r>
              <w:rPr>
                <w:sz w:val="17"/>
              </w:rPr>
              <w:t>Per remittance batch</w:t>
            </w:r>
          </w:p>
        </w:tc>
        <w:tc>
          <w:tcPr>
            <w:tcW w:type="dxa" w:w="1935"/>
            <w:tcMar>
              <w:top w:w="50" w:type="dxa"/>
              <w:bottom w:w="50" w:type="dxa"/>
              <w:left w:w="90" w:type="dxa"/>
              <w:right w:w="90" w:type="dxa"/>
            </w:tcMar>
          </w:tcPr>
          <w:p>
            <w:pPr>
              <w:pStyle w:val="BDOITable"/>
            </w:pPr>
            <w:r>
              <w:rPr>
                <w:sz w:val="17"/>
              </w:rPr>
              <w:t>Operations</w:t>
            </w:r>
          </w:p>
        </w:tc>
      </w:tr>
      <w:tr>
        <w:trPr>
          <w:cantSplit w:val="true"/>
        </w:trPr>
        <w:tc>
          <w:tcPr>
            <w:tcW w:type="dxa" w:w="2530"/>
            <w:tcMar>
              <w:top w:w="50" w:type="dxa"/>
              <w:bottom w:w="50" w:type="dxa"/>
              <w:left w:w="90" w:type="dxa"/>
              <w:right w:w="90" w:type="dxa"/>
            </w:tcMar>
            <w:shd w:val="clear" w:color="auto" w:fill="E5F5FF"/>
          </w:tcPr>
          <w:p>
            <w:pPr>
              <w:pStyle w:val="BDOITable"/>
            </w:pPr>
            <w:r>
              <w:rPr>
                <w:b/>
                <w:sz w:val="17"/>
              </w:rPr>
              <w:t>Payments to bank confirmations</w:t>
            </w:r>
          </w:p>
        </w:tc>
        <w:tc>
          <w:tcPr>
            <w:tcW w:type="dxa" w:w="3870"/>
            <w:tcMar>
              <w:top w:w="50" w:type="dxa"/>
              <w:bottom w:w="50" w:type="dxa"/>
              <w:left w:w="90" w:type="dxa"/>
              <w:right w:w="90" w:type="dxa"/>
            </w:tcMar>
            <w:shd w:val="clear" w:color="auto" w:fill="E5F5FF"/>
          </w:tcPr>
          <w:p>
            <w:pPr>
              <w:pStyle w:val="BDOITable"/>
            </w:pPr>
            <w:r>
              <w:rPr>
                <w:sz w:val="17"/>
              </w:rPr>
              <w:t>DVs sent to CMS / New BOB against debit confirmations and status</w:t>
            </w:r>
          </w:p>
        </w:tc>
        <w:tc>
          <w:tcPr>
            <w:tcW w:type="dxa" w:w="1637"/>
            <w:tcMar>
              <w:top w:w="50" w:type="dxa"/>
              <w:bottom w:w="50" w:type="dxa"/>
              <w:left w:w="90" w:type="dxa"/>
              <w:right w:w="90" w:type="dxa"/>
            </w:tcMar>
            <w:shd w:val="clear" w:color="auto" w:fill="E5F5FF"/>
          </w:tcPr>
          <w:p>
            <w:pPr>
              <w:pStyle w:val="BDOITable"/>
            </w:pPr>
            <w:r>
              <w:rPr>
                <w:sz w:val="17"/>
              </w:rPr>
              <w:t>Daily</w:t>
            </w:r>
          </w:p>
        </w:tc>
        <w:tc>
          <w:tcPr>
            <w:tcW w:type="dxa" w:w="1935"/>
            <w:tcMar>
              <w:top w:w="50" w:type="dxa"/>
              <w:bottom w:w="50" w:type="dxa"/>
              <w:left w:w="90" w:type="dxa"/>
              <w:right w:w="90" w:type="dxa"/>
            </w:tcMar>
            <w:shd w:val="clear" w:color="auto" w:fill="E5F5FF"/>
          </w:tcPr>
          <w:p>
            <w:pPr>
              <w:pStyle w:val="BDOITable"/>
            </w:pPr>
            <w:r>
              <w:rPr>
                <w:sz w:val="17"/>
              </w:rPr>
              <w:t>Disbursement</w:t>
            </w:r>
          </w:p>
        </w:tc>
      </w:tr>
      <w:tr>
        <w:trPr>
          <w:cantSplit w:val="true"/>
        </w:trPr>
        <w:tc>
          <w:tcPr>
            <w:tcW w:type="dxa" w:w="2530"/>
            <w:tcMar>
              <w:top w:w="50" w:type="dxa"/>
              <w:bottom w:w="50" w:type="dxa"/>
              <w:left w:w="90" w:type="dxa"/>
              <w:right w:w="90" w:type="dxa"/>
            </w:tcMar>
          </w:tcPr>
          <w:p>
            <w:pPr>
              <w:pStyle w:val="BDOITable"/>
            </w:pPr>
            <w:r>
              <w:rPr>
                <w:b/>
                <w:sz w:val="17"/>
              </w:rPr>
              <w:t>Outbox to consumers</w:t>
            </w:r>
          </w:p>
        </w:tc>
        <w:tc>
          <w:tcPr>
            <w:tcW w:type="dxa" w:w="3870"/>
            <w:tcMar>
              <w:top w:w="50" w:type="dxa"/>
              <w:bottom w:w="50" w:type="dxa"/>
              <w:left w:w="90" w:type="dxa"/>
              <w:right w:w="90" w:type="dxa"/>
            </w:tcMar>
          </w:tcPr>
          <w:p>
            <w:pPr>
              <w:pStyle w:val="BDOITable"/>
            </w:pPr>
            <w:r>
              <w:rPr>
                <w:sz w:val="17"/>
              </w:rPr>
              <w:t>Outbox events published, failed and dead-lettered; replay</w:t>
            </w:r>
          </w:p>
        </w:tc>
        <w:tc>
          <w:tcPr>
            <w:tcW w:type="dxa" w:w="1637"/>
            <w:tcMar>
              <w:top w:w="50" w:type="dxa"/>
              <w:bottom w:w="50" w:type="dxa"/>
              <w:left w:w="90" w:type="dxa"/>
              <w:right w:w="90" w:type="dxa"/>
            </w:tcMar>
          </w:tcPr>
          <w:p>
            <w:pPr>
              <w:pStyle w:val="BDOITable"/>
            </w:pPr>
            <w:r>
              <w:rPr>
                <w:sz w:val="17"/>
              </w:rPr>
              <w:t>Continuous; daily review</w:t>
            </w:r>
          </w:p>
        </w:tc>
        <w:tc>
          <w:tcPr>
            <w:tcW w:type="dxa" w:w="1935"/>
            <w:tcMar>
              <w:top w:w="50" w:type="dxa"/>
              <w:bottom w:w="50" w:type="dxa"/>
              <w:left w:w="90" w:type="dxa"/>
              <w:right w:w="90" w:type="dxa"/>
            </w:tcMar>
          </w:tcPr>
          <w:p>
            <w:pPr>
              <w:pStyle w:val="BDOITable"/>
            </w:pPr>
            <w:r>
              <w:rPr>
                <w:sz w:val="17"/>
              </w:rPr>
              <w:t>BDOI IT</w:t>
            </w:r>
          </w:p>
        </w:tc>
      </w:tr>
      <w:tr>
        <w:trPr>
          <w:cantSplit w:val="true"/>
        </w:trPr>
        <w:tc>
          <w:tcPr>
            <w:tcW w:type="dxa" w:w="2530"/>
            <w:tcMar>
              <w:top w:w="50" w:type="dxa"/>
              <w:bottom w:w="50" w:type="dxa"/>
              <w:left w:w="90" w:type="dxa"/>
              <w:right w:w="90" w:type="dxa"/>
            </w:tcMar>
            <w:shd w:val="clear" w:color="auto" w:fill="E5F5FF"/>
          </w:tcPr>
          <w:p>
            <w:pPr>
              <w:pStyle w:val="BDOITable"/>
            </w:pPr>
            <w:r>
              <w:rPr>
                <w:b/>
                <w:sz w:val="17"/>
              </w:rPr>
              <w:t>File store</w:t>
            </w:r>
          </w:p>
        </w:tc>
        <w:tc>
          <w:tcPr>
            <w:tcW w:type="dxa" w:w="3870"/>
            <w:tcMar>
              <w:top w:w="50" w:type="dxa"/>
              <w:bottom w:w="50" w:type="dxa"/>
              <w:left w:w="90" w:type="dxa"/>
              <w:right w:w="90" w:type="dxa"/>
            </w:tcMar>
            <w:shd w:val="clear" w:color="auto" w:fill="E5F5FF"/>
          </w:tcPr>
          <w:p>
            <w:pPr>
              <w:pStyle w:val="BDOITable"/>
            </w:pPr>
            <w:r>
              <w:rPr>
                <w:sz w:val="17"/>
              </w:rPr>
              <w:t>Stored file rows against S3 objects (orphans, missing objects, checksum)</w:t>
            </w:r>
          </w:p>
        </w:tc>
        <w:tc>
          <w:tcPr>
            <w:tcW w:type="dxa" w:w="1637"/>
            <w:tcMar>
              <w:top w:w="50" w:type="dxa"/>
              <w:bottom w:w="50" w:type="dxa"/>
              <w:left w:w="90" w:type="dxa"/>
              <w:right w:w="90" w:type="dxa"/>
            </w:tcMar>
            <w:shd w:val="clear" w:color="auto" w:fill="E5F5FF"/>
          </w:tcPr>
          <w:p>
            <w:pPr>
              <w:pStyle w:val="BDOITable"/>
            </w:pPr>
            <w:r>
              <w:rPr>
                <w:sz w:val="17"/>
              </w:rPr>
              <w:t>Daily job</w:t>
            </w:r>
          </w:p>
        </w:tc>
        <w:tc>
          <w:tcPr>
            <w:tcW w:type="dxa" w:w="1935"/>
            <w:tcMar>
              <w:top w:w="50" w:type="dxa"/>
              <w:bottom w:w="50" w:type="dxa"/>
              <w:left w:w="90" w:type="dxa"/>
              <w:right w:w="90" w:type="dxa"/>
            </w:tcMar>
            <w:shd w:val="clear" w:color="auto" w:fill="E5F5FF"/>
          </w:tcPr>
          <w:p>
            <w:pPr>
              <w:pStyle w:val="BDOITable"/>
            </w:pPr>
            <w:r>
              <w:rPr>
                <w:sz w:val="17"/>
              </w:rPr>
              <w:t>BDOI IT</w:t>
            </w:r>
          </w:p>
        </w:tc>
      </w:tr>
      <w:tr>
        <w:trPr>
          <w:cantSplit w:val="true"/>
        </w:trPr>
        <w:tc>
          <w:tcPr>
            <w:tcW w:type="dxa" w:w="2530"/>
            <w:tcMar>
              <w:top w:w="50" w:type="dxa"/>
              <w:bottom w:w="50" w:type="dxa"/>
              <w:left w:w="90" w:type="dxa"/>
              <w:right w:w="90" w:type="dxa"/>
            </w:tcMar>
          </w:tcPr>
          <w:p>
            <w:pPr>
              <w:pStyle w:val="BDOITable"/>
            </w:pPr>
            <w:r>
              <w:rPr>
                <w:b/>
                <w:sz w:val="17"/>
              </w:rPr>
              <w:t>Data migration L1 to L5</w:t>
            </w:r>
          </w:p>
        </w:tc>
        <w:tc>
          <w:tcPr>
            <w:tcW w:type="dxa" w:w="3870"/>
            <w:tcMar>
              <w:top w:w="50" w:type="dxa"/>
              <w:bottom w:w="50" w:type="dxa"/>
              <w:left w:w="90" w:type="dxa"/>
              <w:right w:w="90" w:type="dxa"/>
            </w:tcMar>
          </w:tcPr>
          <w:p>
            <w:pPr>
              <w:pStyle w:val="BDOITable"/>
            </w:pPr>
            <w:r>
              <w:rPr>
                <w:sz w:val="17"/>
              </w:rPr>
              <w:t>Counts, amounts, hash totals, field values read back, and the migration clearing account per branch and currency at zero</w:t>
            </w:r>
          </w:p>
        </w:tc>
        <w:tc>
          <w:tcPr>
            <w:tcW w:type="dxa" w:w="1637"/>
            <w:tcMar>
              <w:top w:w="50" w:type="dxa"/>
              <w:bottom w:w="50" w:type="dxa"/>
              <w:left w:w="90" w:type="dxa"/>
              <w:right w:w="90" w:type="dxa"/>
            </w:tcMar>
          </w:tcPr>
          <w:p>
            <w:pPr>
              <w:pStyle w:val="BDOITable"/>
            </w:pPr>
            <w:r>
              <w:rPr>
                <w:sz w:val="17"/>
              </w:rPr>
              <w:t>After each load; gate G5</w:t>
            </w:r>
          </w:p>
        </w:tc>
        <w:tc>
          <w:tcPr>
            <w:tcW w:type="dxa" w:w="1935"/>
            <w:tcMar>
              <w:top w:w="50" w:type="dxa"/>
              <w:bottom w:w="50" w:type="dxa"/>
              <w:left w:w="90" w:type="dxa"/>
              <w:right w:w="90" w:type="dxa"/>
            </w:tcMar>
          </w:tcPr>
          <w:p>
            <w:pPr>
              <w:pStyle w:val="BDOITable"/>
            </w:pPr>
            <w:r>
              <w:rPr>
                <w:sz w:val="17"/>
              </w:rPr>
              <w:t>Data Migration Lead; Comptrollership for financial objects</w:t>
            </w:r>
          </w:p>
        </w:tc>
      </w:tr>
      <w:tr>
        <w:trPr>
          <w:cantSplit w:val="true"/>
        </w:trPr>
        <w:tc>
          <w:tcPr>
            <w:tcW w:type="dxa" w:w="2530"/>
            <w:tcMar>
              <w:top w:w="50" w:type="dxa"/>
              <w:bottom w:w="50" w:type="dxa"/>
              <w:left w:w="90" w:type="dxa"/>
              <w:right w:w="90" w:type="dxa"/>
            </w:tcMar>
            <w:shd w:val="clear" w:color="auto" w:fill="E5F5FF"/>
          </w:tcPr>
          <w:p>
            <w:pPr>
              <w:pStyle w:val="BDOITable"/>
            </w:pPr>
            <w:r>
              <w:rPr>
                <w:b/>
                <w:sz w:val="17"/>
              </w:rPr>
              <w:t>EGL extract</w:t>
            </w:r>
          </w:p>
        </w:tc>
        <w:tc>
          <w:tcPr>
            <w:tcW w:type="dxa" w:w="3870"/>
            <w:tcMar>
              <w:top w:w="50" w:type="dxa"/>
              <w:bottom w:w="50" w:type="dxa"/>
              <w:left w:w="90" w:type="dxa"/>
              <w:right w:w="90" w:type="dxa"/>
            </w:tcMar>
            <w:shd w:val="clear" w:color="auto" w:fill="E5F5FF"/>
          </w:tcPr>
          <w:p>
            <w:pPr>
              <w:pStyle w:val="BDOITable"/>
            </w:pPr>
            <w:r>
              <w:rPr>
                <w:sz w:val="17"/>
              </w:rPr>
              <w:t>Trial balance sent against the BIBS trial balance per account, branch, cost centre and currency</w:t>
            </w:r>
          </w:p>
        </w:tc>
        <w:tc>
          <w:tcPr>
            <w:tcW w:type="dxa" w:w="1637"/>
            <w:tcMar>
              <w:top w:w="50" w:type="dxa"/>
              <w:bottom w:w="50" w:type="dxa"/>
              <w:left w:w="90" w:type="dxa"/>
              <w:right w:w="90" w:type="dxa"/>
            </w:tcMar>
            <w:shd w:val="clear" w:color="auto" w:fill="E5F5FF"/>
          </w:tcPr>
          <w:p>
            <w:pPr>
              <w:pStyle w:val="BDOITable"/>
            </w:pPr>
            <w:r>
              <w:rPr>
                <w:sz w:val="17"/>
              </w:rPr>
              <w:t>Per extract (daily or monthly, to agree)</w:t>
            </w:r>
          </w:p>
        </w:tc>
        <w:tc>
          <w:tcPr>
            <w:tcW w:type="dxa" w:w="1935"/>
            <w:tcMar>
              <w:top w:w="50" w:type="dxa"/>
              <w:bottom w:w="50" w:type="dxa"/>
              <w:left w:w="90" w:type="dxa"/>
              <w:right w:w="90" w:type="dxa"/>
            </w:tcMar>
            <w:shd w:val="clear" w:color="auto" w:fill="E5F5FF"/>
          </w:tcPr>
          <w:p>
            <w:pPr>
              <w:pStyle w:val="BDOITable"/>
            </w:pPr>
            <w:r>
              <w:rPr>
                <w:sz w:val="17"/>
              </w:rPr>
              <w:t>FRBS; EGL team</w:t>
            </w:r>
          </w:p>
        </w:tc>
      </w:tr>
    </w:tbl>
    <w:p>
      <w:pPr>
        <w:pStyle w:val="BDOISpacer"/>
      </w:pPr>
    </w:p>
    <w:p>
      <w:pPr>
        <w:pStyle w:val="Heading1"/>
        <w:pageBreakBefore/>
        <w:pBdr>
          <w:bottom w:val="single" w:sz="4" w:space="4" w:color="99C1E7"/>
        </w:pBdr>
      </w:pPr>
      <w:bookmarkStart w:id="121" w:name="_Toc000121"/>
      <w:r>
        <w:rPr/>
        <w:t>10 Data classification and privacy</w:t>
      </w:r>
      <w:bookmarkEnd w:id="121"/>
    </w:p>
    <w:p>
      <w:pPr>
        <w:pStyle w:val="Caption"/>
        <w:keepNext/>
        <w:spacing w:after="60"/>
      </w:pPr>
      <w:r>
        <w:rPr>
          <w:b/>
          <w:i w:val="0"/>
        </w:rPr>
        <w:t xml:space="preserve">Table 15: </w:t>
      </w:r>
      <w:r>
        <w:rPr/>
        <w:t>Data classes (proposal)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94"/>
        <w:gridCol w:w="3656"/>
        <w:gridCol w:w="4321"/>
      </w:tblGrid>
      <w:tr>
        <w:trPr>
          <w:tblHeader w:val="true"/>
          <w:cantSplit w:val="true"/>
        </w:trPr>
        <w:tc>
          <w:tcPr>
            <w:tcW w:type="dxa" w:w="1994"/>
            <w:shd w:val="clear" w:color="auto" w:fill="004EA8"/>
            <w:tcMar>
              <w:top w:w="50" w:type="dxa"/>
              <w:bottom w:w="50" w:type="dxa"/>
              <w:left w:w="90" w:type="dxa"/>
              <w:right w:w="90" w:type="dxa"/>
            </w:tcMar>
            <w:vAlign w:val="center"/>
          </w:tcPr>
          <w:p>
            <w:pPr>
              <w:pStyle w:val="BDOITableHeader"/>
            </w:pPr>
            <w:r>
              <w:rPr>
                <w:b/>
                <w:color w:val="FFFFFF"/>
                <w:sz w:val="18"/>
              </w:rPr>
              <w:t>Class</w:t>
            </w:r>
          </w:p>
        </w:tc>
        <w:tc>
          <w:tcPr>
            <w:tcW w:type="dxa" w:w="3656"/>
            <w:shd w:val="clear" w:color="auto" w:fill="004EA8"/>
            <w:tcMar>
              <w:top w:w="50" w:type="dxa"/>
              <w:bottom w:w="50" w:type="dxa"/>
              <w:left w:w="90" w:type="dxa"/>
              <w:right w:w="90" w:type="dxa"/>
            </w:tcMar>
            <w:vAlign w:val="center"/>
          </w:tcPr>
          <w:p>
            <w:pPr>
              <w:pStyle w:val="BDOITableHeader"/>
            </w:pPr>
            <w:r>
              <w:rPr>
                <w:b/>
                <w:color w:val="FFFFFF"/>
                <w:sz w:val="18"/>
              </w:rPr>
              <w:t>Data in BIBS</w:t>
            </w:r>
          </w:p>
        </w:tc>
        <w:tc>
          <w:tcPr>
            <w:tcW w:type="dxa" w:w="4321"/>
            <w:shd w:val="clear" w:color="auto" w:fill="004EA8"/>
            <w:tcMar>
              <w:top w:w="50" w:type="dxa"/>
              <w:bottom w:w="50" w:type="dxa"/>
              <w:left w:w="90" w:type="dxa"/>
              <w:right w:w="90" w:type="dxa"/>
            </w:tcMar>
            <w:vAlign w:val="center"/>
          </w:tcPr>
          <w:p>
            <w:pPr>
              <w:pStyle w:val="BDOITableHeader"/>
            </w:pPr>
            <w:r>
              <w:rPr>
                <w:b/>
                <w:color w:val="FFFFFF"/>
                <w:sz w:val="18"/>
              </w:rPr>
              <w:t>Controls</w:t>
            </w:r>
          </w:p>
        </w:tc>
      </w:tr>
      <w:tr>
        <w:trPr>
          <w:cantSplit w:val="true"/>
        </w:trPr>
        <w:tc>
          <w:tcPr>
            <w:tcW w:type="dxa" w:w="1994"/>
            <w:tcMar>
              <w:top w:w="50" w:type="dxa"/>
              <w:bottom w:w="50" w:type="dxa"/>
              <w:left w:w="90" w:type="dxa"/>
              <w:right w:w="90" w:type="dxa"/>
            </w:tcMar>
          </w:tcPr>
          <w:p>
            <w:pPr>
              <w:pStyle w:val="BDOITable"/>
            </w:pPr>
            <w:r>
              <w:rPr>
                <w:b/>
                <w:sz w:val="18"/>
              </w:rPr>
              <w:t>Restricted</w:t>
            </w:r>
          </w:p>
        </w:tc>
        <w:tc>
          <w:tcPr>
            <w:tcW w:type="dxa" w:w="3656"/>
            <w:tcMar>
              <w:top w:w="50" w:type="dxa"/>
              <w:bottom w:w="50" w:type="dxa"/>
              <w:left w:w="90" w:type="dxa"/>
              <w:right w:w="90" w:type="dxa"/>
            </w:tcMar>
          </w:tcPr>
          <w:p>
            <w:pPr>
              <w:pStyle w:val="BDOITable"/>
            </w:pPr>
            <w:r>
              <w:rPr>
                <w:sz w:val="18"/>
              </w:rPr>
              <w:t>Government identity numbers and documents, TIN, birth dates, health-related employee-benefit reports, STRs and screening cases, payee bank accounts, credentials and keys</w:t>
            </w:r>
          </w:p>
        </w:tc>
        <w:tc>
          <w:tcPr>
            <w:tcW w:type="dxa" w:w="4321"/>
            <w:tcMar>
              <w:top w:w="50" w:type="dxa"/>
              <w:bottom w:w="50" w:type="dxa"/>
              <w:left w:w="90" w:type="dxa"/>
              <w:right w:w="90" w:type="dxa"/>
            </w:tcMar>
          </w:tcPr>
          <w:p>
            <w:pPr>
              <w:pStyle w:val="BDOITable"/>
            </w:pPr>
            <w:r>
              <w:rPr>
                <w:sz w:val="18"/>
              </w:rPr>
              <w:t>Need-to-know permissions and data scope; encryption at rest and in transit; download audit; masked outside production; legal hold for STRs</w:t>
            </w:r>
          </w:p>
        </w:tc>
      </w:tr>
      <w:tr>
        <w:trPr>
          <w:cantSplit w:val="true"/>
        </w:trPr>
        <w:tc>
          <w:tcPr>
            <w:tcW w:type="dxa" w:w="1994"/>
            <w:tcMar>
              <w:top w:w="50" w:type="dxa"/>
              <w:bottom w:w="50" w:type="dxa"/>
              <w:left w:w="90" w:type="dxa"/>
              <w:right w:w="90" w:type="dxa"/>
            </w:tcMar>
            <w:shd w:val="clear" w:color="auto" w:fill="E5F5FF"/>
          </w:tcPr>
          <w:p>
            <w:pPr>
              <w:pStyle w:val="BDOITable"/>
            </w:pPr>
            <w:r>
              <w:rPr>
                <w:b/>
                <w:sz w:val="18"/>
              </w:rPr>
              <w:t>Confidential</w:t>
            </w:r>
          </w:p>
        </w:tc>
        <w:tc>
          <w:tcPr>
            <w:tcW w:type="dxa" w:w="3656"/>
            <w:tcMar>
              <w:top w:w="50" w:type="dxa"/>
              <w:bottom w:w="50" w:type="dxa"/>
              <w:left w:w="90" w:type="dxa"/>
              <w:right w:w="90" w:type="dxa"/>
            </w:tcMar>
            <w:shd w:val="clear" w:color="auto" w:fill="E5F5FF"/>
          </w:tcPr>
          <w:p>
            <w:pPr>
              <w:pStyle w:val="BDOITable"/>
            </w:pPr>
            <w:r>
              <w:rPr>
                <w:sz w:val="18"/>
              </w:rPr>
              <w:t>Client names, addresses and contacts, policies, premiums, commissions, claims, journals and balances</w:t>
            </w:r>
          </w:p>
        </w:tc>
        <w:tc>
          <w:tcPr>
            <w:tcW w:type="dxa" w:w="4321"/>
            <w:tcMar>
              <w:top w:w="50" w:type="dxa"/>
              <w:bottom w:w="50" w:type="dxa"/>
              <w:left w:w="90" w:type="dxa"/>
              <w:right w:w="90" w:type="dxa"/>
            </w:tcMar>
            <w:shd w:val="clear" w:color="auto" w:fill="E5F5FF"/>
          </w:tcPr>
          <w:p>
            <w:pPr>
              <w:pStyle w:val="BDOITable"/>
            </w:pPr>
            <w:r>
              <w:rPr>
                <w:sz w:val="18"/>
              </w:rPr>
              <w:t>Permissions and data scope; encryption; audit</w:t>
            </w:r>
          </w:p>
        </w:tc>
      </w:tr>
      <w:tr>
        <w:trPr>
          <w:cantSplit w:val="true"/>
        </w:trPr>
        <w:tc>
          <w:tcPr>
            <w:tcW w:type="dxa" w:w="1994"/>
            <w:tcMar>
              <w:top w:w="50" w:type="dxa"/>
              <w:bottom w:w="50" w:type="dxa"/>
              <w:left w:w="90" w:type="dxa"/>
              <w:right w:w="90" w:type="dxa"/>
            </w:tcMar>
          </w:tcPr>
          <w:p>
            <w:pPr>
              <w:pStyle w:val="BDOITable"/>
            </w:pPr>
            <w:r>
              <w:rPr>
                <w:b/>
                <w:sz w:val="18"/>
              </w:rPr>
              <w:t>Internal</w:t>
            </w:r>
          </w:p>
        </w:tc>
        <w:tc>
          <w:tcPr>
            <w:tcW w:type="dxa" w:w="3656"/>
            <w:tcMar>
              <w:top w:w="50" w:type="dxa"/>
              <w:bottom w:w="50" w:type="dxa"/>
              <w:left w:w="90" w:type="dxa"/>
              <w:right w:w="90" w:type="dxa"/>
            </w:tcMar>
          </w:tcPr>
          <w:p>
            <w:pPr>
              <w:pStyle w:val="BDOITable"/>
            </w:pPr>
            <w:r>
              <w:rPr>
                <w:sz w:val="18"/>
              </w:rPr>
              <w:t>Products, packages, insurers, branches, lists of values, parameters</w:t>
            </w:r>
          </w:p>
        </w:tc>
        <w:tc>
          <w:tcPr>
            <w:tcW w:type="dxa" w:w="4321"/>
            <w:tcMar>
              <w:top w:w="50" w:type="dxa"/>
              <w:bottom w:w="50" w:type="dxa"/>
              <w:left w:w="90" w:type="dxa"/>
              <w:right w:w="90" w:type="dxa"/>
            </w:tcMar>
          </w:tcPr>
          <w:p>
            <w:pPr>
              <w:pStyle w:val="BDOITable"/>
            </w:pPr>
            <w:r>
              <w:rPr>
                <w:sz w:val="18"/>
              </w:rPr>
              <w:t>Maker-checker for change; read by staff</w:t>
            </w:r>
          </w:p>
        </w:tc>
      </w:tr>
      <w:tr>
        <w:trPr>
          <w:cantSplit w:val="true"/>
        </w:trPr>
        <w:tc>
          <w:tcPr>
            <w:tcW w:type="dxa" w:w="1994"/>
            <w:tcMar>
              <w:top w:w="50" w:type="dxa"/>
              <w:bottom w:w="50" w:type="dxa"/>
              <w:left w:w="90" w:type="dxa"/>
              <w:right w:w="90" w:type="dxa"/>
            </w:tcMar>
            <w:shd w:val="clear" w:color="auto" w:fill="E5F5FF"/>
          </w:tcPr>
          <w:p>
            <w:pPr>
              <w:pStyle w:val="BDOITable"/>
            </w:pPr>
            <w:r>
              <w:rPr>
                <w:b/>
                <w:sz w:val="18"/>
              </w:rPr>
              <w:t>Public</w:t>
            </w:r>
          </w:p>
        </w:tc>
        <w:tc>
          <w:tcPr>
            <w:tcW w:type="dxa" w:w="3656"/>
            <w:tcMar>
              <w:top w:w="50" w:type="dxa"/>
              <w:bottom w:w="50" w:type="dxa"/>
              <w:left w:w="90" w:type="dxa"/>
              <w:right w:w="90" w:type="dxa"/>
            </w:tcMar>
            <w:shd w:val="clear" w:color="auto" w:fill="E5F5FF"/>
          </w:tcPr>
          <w:p>
            <w:pPr>
              <w:pStyle w:val="BDOITable"/>
            </w:pPr>
            <w:r>
              <w:rPr>
                <w:sz w:val="18"/>
              </w:rPr>
              <w:t>None</w:t>
            </w:r>
          </w:p>
        </w:tc>
        <w:tc>
          <w:tcPr>
            <w:tcW w:type="dxa" w:w="4321"/>
            <w:tcMar>
              <w:top w:w="50" w:type="dxa"/>
              <w:bottom w:w="50" w:type="dxa"/>
              <w:left w:w="90" w:type="dxa"/>
              <w:right w:w="90" w:type="dxa"/>
            </w:tcMar>
            <w:shd w:val="clear" w:color="auto" w:fill="E5F5FF"/>
          </w:tcPr>
          <w:p>
            <w:pPr>
              <w:pStyle w:val="BDOITable"/>
            </w:pPr>
            <w:r>
              <w:rPr>
                <w:sz w:val="18"/>
              </w:rPr>
              <w:t>-</w:t>
            </w:r>
          </w:p>
        </w:tc>
      </w:tr>
    </w:tbl>
    <w:p>
      <w:pPr>
        <w:pStyle w:val="BDOISpacer"/>
      </w:pPr>
    </w:p>
    <w:p>
      <w:r>
        <w:rPr/>
        <w:t>Personal data appears in D04, D06, D07, D10, D12, D13, D14, D15, D16 and D17. Non-production environments receive masked data only: names and addresses are replaced, identity numbers and contacts are keyed hashes and birth dates are shifted by up to 30 days; amounts, codes and transaction dates are kept. The privacy controls (Data Privacy Act 2012) are in chapter 12 of the Security Architecture; the classification is open point SEC-09 there.</w:t>
      </w:r>
    </w:p>
    <w:p>
      <w:pPr>
        <w:pStyle w:val="Heading1"/>
        <w:pageBreakBefore/>
        <w:pBdr>
          <w:bottom w:val="single" w:sz="4" w:space="4" w:color="99C1E7"/>
        </w:pBdr>
      </w:pPr>
      <w:bookmarkStart w:id="122" w:name="_Toc000122"/>
      <w:r>
        <w:rPr/>
        <w:t>11 Data quality rules and monitoring</w:t>
      </w:r>
      <w:bookmarkEnd w:id="122"/>
    </w:p>
    <w:p>
      <w:pPr>
        <w:pStyle w:val="Caption"/>
        <w:keepNext/>
        <w:spacing w:after="60"/>
      </w:pPr>
      <w:r>
        <w:rPr>
          <w:b/>
          <w:i w:val="0"/>
        </w:rPr>
        <w:t xml:space="preserve">Table 16: </w:t>
      </w:r>
      <w:r>
        <w:rPr/>
        <w:t>Data quality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30"/>
        <w:gridCol w:w="4825"/>
        <w:gridCol w:w="3217"/>
      </w:tblGrid>
      <w:tr>
        <w:trPr>
          <w:tblHeader w:val="true"/>
          <w:cantSplit w:val="true"/>
        </w:trPr>
        <w:tc>
          <w:tcPr>
            <w:tcW w:type="dxa" w:w="1930"/>
            <w:shd w:val="clear" w:color="auto" w:fill="004EA8"/>
            <w:tcMar>
              <w:top w:w="50" w:type="dxa"/>
              <w:bottom w:w="50" w:type="dxa"/>
              <w:left w:w="90" w:type="dxa"/>
              <w:right w:w="90" w:type="dxa"/>
            </w:tcMar>
            <w:vAlign w:val="center"/>
          </w:tcPr>
          <w:p>
            <w:pPr>
              <w:pStyle w:val="BDOITableHeader"/>
            </w:pPr>
            <w:r>
              <w:rPr>
                <w:b/>
                <w:color w:val="FFFFFF"/>
                <w:sz w:val="17"/>
              </w:rPr>
              <w:t>Dimension</w:t>
            </w:r>
          </w:p>
        </w:tc>
        <w:tc>
          <w:tcPr>
            <w:tcW w:type="dxa" w:w="4825"/>
            <w:shd w:val="clear" w:color="auto" w:fill="004EA8"/>
            <w:tcMar>
              <w:top w:w="50" w:type="dxa"/>
              <w:bottom w:w="50" w:type="dxa"/>
              <w:left w:w="90" w:type="dxa"/>
              <w:right w:w="90" w:type="dxa"/>
            </w:tcMar>
            <w:vAlign w:val="center"/>
          </w:tcPr>
          <w:p>
            <w:pPr>
              <w:pStyle w:val="BDOITableHeader"/>
            </w:pPr>
            <w:r>
              <w:rPr>
                <w:b/>
                <w:color w:val="FFFFFF"/>
                <w:sz w:val="17"/>
              </w:rPr>
              <w:t>Rules in BIBS</w:t>
            </w:r>
          </w:p>
        </w:tc>
        <w:tc>
          <w:tcPr>
            <w:tcW w:type="dxa" w:w="3217"/>
            <w:shd w:val="clear" w:color="auto" w:fill="004EA8"/>
            <w:tcMar>
              <w:top w:w="50" w:type="dxa"/>
              <w:bottom w:w="50" w:type="dxa"/>
              <w:left w:w="90" w:type="dxa"/>
              <w:right w:w="90" w:type="dxa"/>
            </w:tcMar>
            <w:vAlign w:val="center"/>
          </w:tcPr>
          <w:p>
            <w:pPr>
              <w:pStyle w:val="BDOITableHeader"/>
            </w:pPr>
            <w:r>
              <w:rPr>
                <w:b/>
                <w:color w:val="FFFFFF"/>
                <w:sz w:val="17"/>
              </w:rPr>
              <w:t>Monitoring</w:t>
            </w:r>
          </w:p>
        </w:tc>
      </w:tr>
      <w:tr>
        <w:trPr>
          <w:cantSplit w:val="true"/>
        </w:trPr>
        <w:tc>
          <w:tcPr>
            <w:tcW w:type="dxa" w:w="1930"/>
            <w:tcMar>
              <w:top w:w="50" w:type="dxa"/>
              <w:bottom w:w="50" w:type="dxa"/>
              <w:left w:w="90" w:type="dxa"/>
              <w:right w:w="90" w:type="dxa"/>
            </w:tcMar>
          </w:tcPr>
          <w:p>
            <w:pPr>
              <w:pStyle w:val="BDOITable"/>
            </w:pPr>
            <w:r>
              <w:rPr>
                <w:b/>
                <w:sz w:val="17"/>
              </w:rPr>
              <w:t>Validity</w:t>
            </w:r>
          </w:p>
        </w:tc>
        <w:tc>
          <w:tcPr>
            <w:tcW w:type="dxa" w:w="4825"/>
            <w:tcMar>
              <w:top w:w="50" w:type="dxa"/>
              <w:bottom w:w="50" w:type="dxa"/>
              <w:left w:w="90" w:type="dxa"/>
              <w:right w:w="90" w:type="dxa"/>
            </w:tcMar>
          </w:tcPr>
          <w:p>
            <w:pPr>
              <w:pStyle w:val="BDOITable"/>
            </w:pPr>
            <w:r>
              <w:rPr>
                <w:sz w:val="17"/>
              </w:rPr>
              <w:t>Types, lengths, formats (TIN, mobile, e-mail, dates), lists of values on every screen and upload; database check constraints (887 in the schema)</w:t>
            </w:r>
          </w:p>
        </w:tc>
        <w:tc>
          <w:tcPr>
            <w:tcW w:type="dxa" w:w="3217"/>
            <w:tcMar>
              <w:top w:w="50" w:type="dxa"/>
              <w:bottom w:w="50" w:type="dxa"/>
              <w:left w:w="90" w:type="dxa"/>
              <w:right w:w="90" w:type="dxa"/>
            </w:tcMar>
          </w:tcPr>
          <w:p>
            <w:pPr>
              <w:pStyle w:val="BDOITable"/>
            </w:pPr>
            <w:r>
              <w:rPr>
                <w:sz w:val="17"/>
              </w:rPr>
              <w:t>Rejected uploads with reasons; migration quality results</w:t>
            </w:r>
          </w:p>
        </w:tc>
      </w:tr>
      <w:tr>
        <w:trPr>
          <w:cantSplit w:val="true"/>
        </w:trPr>
        <w:tc>
          <w:tcPr>
            <w:tcW w:type="dxa" w:w="1930"/>
            <w:tcMar>
              <w:top w:w="50" w:type="dxa"/>
              <w:bottom w:w="50" w:type="dxa"/>
              <w:left w:w="90" w:type="dxa"/>
              <w:right w:w="90" w:type="dxa"/>
            </w:tcMar>
            <w:shd w:val="clear" w:color="auto" w:fill="E5F5FF"/>
          </w:tcPr>
          <w:p>
            <w:pPr>
              <w:pStyle w:val="BDOITable"/>
            </w:pPr>
            <w:r>
              <w:rPr>
                <w:b/>
                <w:sz w:val="17"/>
              </w:rPr>
              <w:t>Completeness</w:t>
            </w:r>
          </w:p>
        </w:tc>
        <w:tc>
          <w:tcPr>
            <w:tcW w:type="dxa" w:w="4825"/>
            <w:tcMar>
              <w:top w:w="50" w:type="dxa"/>
              <w:bottom w:w="50" w:type="dxa"/>
              <w:left w:w="90" w:type="dxa"/>
              <w:right w:w="90" w:type="dxa"/>
            </w:tcMar>
            <w:shd w:val="clear" w:color="auto" w:fill="E5F5FF"/>
          </w:tcPr>
          <w:p>
            <w:pPr>
              <w:pStyle w:val="BDOITable"/>
            </w:pPr>
            <w:r>
              <w:rPr>
                <w:sz w:val="17"/>
              </w:rPr>
              <w:t>Minimum fields per client type; mandatory fields per FRS; KYC documents per client type; package version checks before activation</w:t>
            </w:r>
          </w:p>
        </w:tc>
        <w:tc>
          <w:tcPr>
            <w:tcW w:type="dxa" w:w="3217"/>
            <w:tcMar>
              <w:top w:w="50" w:type="dxa"/>
              <w:bottom w:w="50" w:type="dxa"/>
              <w:left w:w="90" w:type="dxa"/>
              <w:right w:w="90" w:type="dxa"/>
            </w:tcMar>
            <w:shd w:val="clear" w:color="auto" w:fill="E5F5FF"/>
          </w:tcPr>
          <w:p>
            <w:pPr>
              <w:pStyle w:val="BDOITable"/>
            </w:pPr>
            <w:r>
              <w:rPr>
                <w:sz w:val="17"/>
              </w:rPr>
              <w:t>Client 360 warnings; incomplete-client and KYC-due reports</w:t>
            </w:r>
          </w:p>
        </w:tc>
      </w:tr>
      <w:tr>
        <w:trPr>
          <w:cantSplit w:val="true"/>
        </w:trPr>
        <w:tc>
          <w:tcPr>
            <w:tcW w:type="dxa" w:w="1930"/>
            <w:tcMar>
              <w:top w:w="50" w:type="dxa"/>
              <w:bottom w:w="50" w:type="dxa"/>
              <w:left w:w="90" w:type="dxa"/>
              <w:right w:w="90" w:type="dxa"/>
            </w:tcMar>
          </w:tcPr>
          <w:p>
            <w:pPr>
              <w:pStyle w:val="BDOITable"/>
            </w:pPr>
            <w:r>
              <w:rPr>
                <w:b/>
                <w:sz w:val="17"/>
              </w:rPr>
              <w:t>Uniqueness</w:t>
            </w:r>
          </w:p>
        </w:tc>
        <w:tc>
          <w:tcPr>
            <w:tcW w:type="dxa" w:w="4825"/>
            <w:tcMar>
              <w:top w:w="50" w:type="dxa"/>
              <w:bottom w:w="50" w:type="dxa"/>
              <w:left w:w="90" w:type="dxa"/>
              <w:right w:w="90" w:type="dxa"/>
            </w:tcMar>
          </w:tcPr>
          <w:p>
            <w:pPr>
              <w:pStyle w:val="BDOITable"/>
            </w:pPr>
            <w:r>
              <w:rPr>
                <w:sz w:val="17"/>
              </w:rPr>
              <w:t>Hard duplicate keys of clients; unique constraints and unique indexes on codes and numbers</w:t>
            </w:r>
          </w:p>
        </w:tc>
        <w:tc>
          <w:tcPr>
            <w:tcW w:type="dxa" w:w="3217"/>
            <w:tcMar>
              <w:top w:w="50" w:type="dxa"/>
              <w:bottom w:w="50" w:type="dxa"/>
              <w:left w:w="90" w:type="dxa"/>
              <w:right w:w="90" w:type="dxa"/>
            </w:tcMar>
          </w:tcPr>
          <w:p>
            <w:pPr>
              <w:pStyle w:val="BDOITable"/>
            </w:pPr>
            <w:r>
              <w:rPr>
                <w:sz w:val="17"/>
              </w:rPr>
              <w:t>Duplicate check log; migration cross-reference</w:t>
            </w:r>
          </w:p>
        </w:tc>
      </w:tr>
      <w:tr>
        <w:trPr>
          <w:cantSplit w:val="true"/>
        </w:trPr>
        <w:tc>
          <w:tcPr>
            <w:tcW w:type="dxa" w:w="1930"/>
            <w:tcMar>
              <w:top w:w="50" w:type="dxa"/>
              <w:bottom w:w="50" w:type="dxa"/>
              <w:left w:w="90" w:type="dxa"/>
              <w:right w:w="90" w:type="dxa"/>
            </w:tcMar>
            <w:shd w:val="clear" w:color="auto" w:fill="E5F5FF"/>
          </w:tcPr>
          <w:p>
            <w:pPr>
              <w:pStyle w:val="BDOITable"/>
            </w:pPr>
            <w:r>
              <w:rPr>
                <w:b/>
                <w:sz w:val="17"/>
              </w:rPr>
              <w:t>Consistency</w:t>
            </w:r>
          </w:p>
        </w:tc>
        <w:tc>
          <w:tcPr>
            <w:tcW w:type="dxa" w:w="4825"/>
            <w:tcMar>
              <w:top w:w="50" w:type="dxa"/>
              <w:bottom w:w="50" w:type="dxa"/>
              <w:left w:w="90" w:type="dxa"/>
              <w:right w:w="90" w:type="dxa"/>
            </w:tcMar>
            <w:shd w:val="clear" w:color="auto" w:fill="E5F5FF"/>
          </w:tcPr>
          <w:p>
            <w:pPr>
              <w:pStyle w:val="BDOITable"/>
            </w:pPr>
            <w:r>
              <w:rPr>
                <w:sz w:val="17"/>
              </w:rPr>
              <w:t>Foreign keys (843 in the schema); invoice family (root invoice number); balanced journals; one active package version per date</w:t>
            </w:r>
          </w:p>
        </w:tc>
        <w:tc>
          <w:tcPr>
            <w:tcW w:type="dxa" w:w="3217"/>
            <w:tcMar>
              <w:top w:w="50" w:type="dxa"/>
              <w:bottom w:w="50" w:type="dxa"/>
              <w:left w:w="90" w:type="dxa"/>
              <w:right w:w="90" w:type="dxa"/>
            </w:tcMar>
            <w:shd w:val="clear" w:color="auto" w:fill="E5F5FF"/>
          </w:tcPr>
          <w:p>
            <w:pPr>
              <w:pStyle w:val="BDOITable"/>
            </w:pPr>
            <w:r>
              <w:rPr>
                <w:sz w:val="17"/>
              </w:rPr>
              <w:t>Reconciliation controls (chapter 9)</w:t>
            </w:r>
          </w:p>
        </w:tc>
      </w:tr>
      <w:tr>
        <w:trPr>
          <w:cantSplit w:val="true"/>
        </w:trPr>
        <w:tc>
          <w:tcPr>
            <w:tcW w:type="dxa" w:w="1930"/>
            <w:tcMar>
              <w:top w:w="50" w:type="dxa"/>
              <w:bottom w:w="50" w:type="dxa"/>
              <w:left w:w="90" w:type="dxa"/>
              <w:right w:w="90" w:type="dxa"/>
            </w:tcMar>
          </w:tcPr>
          <w:p>
            <w:pPr>
              <w:pStyle w:val="BDOITable"/>
            </w:pPr>
            <w:r>
              <w:rPr>
                <w:b/>
                <w:sz w:val="17"/>
              </w:rPr>
              <w:t>Accuracy</w:t>
            </w:r>
          </w:p>
        </w:tc>
        <w:tc>
          <w:tcPr>
            <w:tcW w:type="dxa" w:w="4825"/>
            <w:tcMar>
              <w:top w:w="50" w:type="dxa"/>
              <w:bottom w:w="50" w:type="dxa"/>
              <w:left w:w="90" w:type="dxa"/>
              <w:right w:w="90" w:type="dxa"/>
            </w:tcMar>
          </w:tcPr>
          <w:p>
            <w:pPr>
              <w:pStyle w:val="BDOITable"/>
            </w:pPr>
            <w:r>
              <w:rPr>
                <w:sz w:val="17"/>
              </w:rPr>
              <w:t>Maker-checker on masters and money; insurer feedback in production reconciliation; bank confirmations</w:t>
            </w:r>
          </w:p>
        </w:tc>
        <w:tc>
          <w:tcPr>
            <w:tcW w:type="dxa" w:w="3217"/>
            <w:tcMar>
              <w:top w:w="50" w:type="dxa"/>
              <w:bottom w:w="50" w:type="dxa"/>
              <w:left w:w="90" w:type="dxa"/>
              <w:right w:w="90" w:type="dxa"/>
            </w:tcMar>
          </w:tcPr>
          <w:p>
            <w:pPr>
              <w:pStyle w:val="BDOITable"/>
            </w:pPr>
            <w:r>
              <w:rPr>
                <w:sz w:val="17"/>
              </w:rPr>
              <w:t>Reconciliation exceptions; ACSL cases</w:t>
            </w:r>
          </w:p>
        </w:tc>
      </w:tr>
      <w:tr>
        <w:trPr>
          <w:cantSplit w:val="true"/>
        </w:trPr>
        <w:tc>
          <w:tcPr>
            <w:tcW w:type="dxa" w:w="1930"/>
            <w:tcMar>
              <w:top w:w="50" w:type="dxa"/>
              <w:bottom w:w="50" w:type="dxa"/>
              <w:left w:w="90" w:type="dxa"/>
              <w:right w:w="90" w:type="dxa"/>
            </w:tcMar>
            <w:shd w:val="clear" w:color="auto" w:fill="E5F5FF"/>
          </w:tcPr>
          <w:p>
            <w:pPr>
              <w:pStyle w:val="BDOITable"/>
            </w:pPr>
            <w:r>
              <w:rPr>
                <w:b/>
                <w:sz w:val="17"/>
              </w:rPr>
              <w:t>Timeliness</w:t>
            </w:r>
          </w:p>
        </w:tc>
        <w:tc>
          <w:tcPr>
            <w:tcW w:type="dxa" w:w="4825"/>
            <w:tcMar>
              <w:top w:w="50" w:type="dxa"/>
              <w:bottom w:w="50" w:type="dxa"/>
              <w:left w:w="90" w:type="dxa"/>
              <w:right w:w="90" w:type="dxa"/>
            </w:tcMar>
            <w:shd w:val="clear" w:color="auto" w:fill="E5F5FF"/>
          </w:tcPr>
          <w:p>
            <w:pPr>
              <w:pStyle w:val="BDOITable"/>
            </w:pPr>
            <w:r>
              <w:rPr>
                <w:sz w:val="17"/>
              </w:rPr>
              <w:t>SLA of workflows; KYC review dates; renewal extraction windows; ageing of collections</w:t>
            </w:r>
          </w:p>
        </w:tc>
        <w:tc>
          <w:tcPr>
            <w:tcW w:type="dxa" w:w="3217"/>
            <w:tcMar>
              <w:top w:w="50" w:type="dxa"/>
              <w:bottom w:w="50" w:type="dxa"/>
              <w:left w:w="90" w:type="dxa"/>
              <w:right w:w="90" w:type="dxa"/>
            </w:tcMar>
            <w:shd w:val="clear" w:color="auto" w:fill="E5F5FF"/>
          </w:tcPr>
          <w:p>
            <w:pPr>
              <w:pStyle w:val="BDOITable"/>
            </w:pPr>
            <w:r>
              <w:rPr>
                <w:sz w:val="17"/>
              </w:rPr>
              <w:t>Dashboards and alerts (SLA breaches, ageing)</w:t>
            </w:r>
          </w:p>
        </w:tc>
      </w:tr>
    </w:tbl>
    <w:p>
      <w:pPr>
        <w:pStyle w:val="BDOISpacer"/>
      </w:pPr>
    </w:p>
    <w:p>
      <w:r>
        <w:rPr>
          <w:b/>
        </w:rPr>
        <w:t>Monitoring (proposal).</w:t>
      </w:r>
      <w:r>
        <w:rPr/>
        <w:t xml:space="preserve"> A monthly data quality report per domain gives each data owner the measures of section 4.3 and the open exceptions of chapter 9, with a target and a trend; exceptions above target are raised to the data owner and tracked to closure. During migration the quality rules of BRD-13 run on every load, and gate G3 (quality) must pass before a load is signed off.</w:t>
      </w:r>
    </w:p>
    <w:p>
      <w:pPr>
        <w:pStyle w:val="Heading1"/>
        <w:pageBreakBefore/>
        <w:pBdr>
          <w:bottom w:val="single" w:sz="4" w:space="4" w:color="99C1E7"/>
        </w:pBdr>
      </w:pPr>
      <w:bookmarkStart w:id="123" w:name="_Toc000123"/>
      <w:r>
        <w:rPr/>
        <w:t>12 Automated decision and model governance</w:t>
      </w:r>
      <w:bookmarkEnd w:id="123"/>
    </w:p>
    <w:p>
      <w:pPr>
        <w:pStyle w:val="Heading2"/>
      </w:pPr>
      <w:bookmarkStart w:id="124" w:name="_Toc000124"/>
      <w:r>
        <w:rPr/>
        <w:t>12.1 Automated decisions in BIBS</w:t>
      </w:r>
      <w:bookmarkEnd w:id="124"/>
    </w:p>
    <w:p>
      <w:r>
        <w:rPr/>
        <w:t>BIBS takes no decision with a statistical or learning model. It does use rules and scores that decide or prioritise work automatically; each is governed as below.</w:t>
      </w:r>
    </w:p>
    <w:p>
      <w:pPr>
        <w:pStyle w:val="Caption"/>
        <w:keepNext/>
        <w:spacing w:after="60"/>
      </w:pPr>
      <w:r>
        <w:rPr>
          <w:b/>
          <w:i w:val="0"/>
        </w:rPr>
        <w:t xml:space="preserve">Table 17: </w:t>
      </w:r>
      <w:r>
        <w:rPr/>
        <w:t>Automated decisions and their controls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452"/>
        <w:gridCol w:w="3760"/>
        <w:gridCol w:w="3760"/>
      </w:tblGrid>
      <w:tr>
        <w:trPr>
          <w:tblHeader w:val="true"/>
          <w:cantSplit w:val="true"/>
        </w:trPr>
        <w:tc>
          <w:tcPr>
            <w:tcW w:type="dxa" w:w="2452"/>
            <w:shd w:val="clear" w:color="auto" w:fill="004EA8"/>
            <w:tcMar>
              <w:top w:w="50" w:type="dxa"/>
              <w:bottom w:w="50" w:type="dxa"/>
              <w:left w:w="90" w:type="dxa"/>
              <w:right w:w="90" w:type="dxa"/>
            </w:tcMar>
            <w:vAlign w:val="center"/>
          </w:tcPr>
          <w:p>
            <w:pPr>
              <w:pStyle w:val="BDOITableHeader"/>
            </w:pPr>
            <w:r>
              <w:rPr>
                <w:b/>
                <w:color w:val="FFFFFF"/>
                <w:sz w:val="17"/>
              </w:rPr>
              <w:t>Decision</w:t>
            </w:r>
          </w:p>
        </w:tc>
        <w:tc>
          <w:tcPr>
            <w:tcW w:type="dxa" w:w="3760"/>
            <w:shd w:val="clear" w:color="auto" w:fill="004EA8"/>
            <w:tcMar>
              <w:top w:w="50" w:type="dxa"/>
              <w:bottom w:w="50" w:type="dxa"/>
              <w:left w:w="90" w:type="dxa"/>
              <w:right w:w="90" w:type="dxa"/>
            </w:tcMar>
            <w:vAlign w:val="center"/>
          </w:tcPr>
          <w:p>
            <w:pPr>
              <w:pStyle w:val="BDOITableHeader"/>
            </w:pPr>
            <w:r>
              <w:rPr>
                <w:b/>
                <w:color w:val="FFFFFF"/>
                <w:sz w:val="17"/>
              </w:rPr>
              <w:t>Logic</w:t>
            </w:r>
          </w:p>
        </w:tc>
        <w:tc>
          <w:tcPr>
            <w:tcW w:type="dxa" w:w="3760"/>
            <w:shd w:val="clear" w:color="auto" w:fill="004EA8"/>
            <w:tcMar>
              <w:top w:w="50" w:type="dxa"/>
              <w:bottom w:w="50" w:type="dxa"/>
              <w:left w:w="90" w:type="dxa"/>
              <w:right w:w="90" w:type="dxa"/>
            </w:tcMar>
            <w:vAlign w:val="center"/>
          </w:tcPr>
          <w:p>
            <w:pPr>
              <w:pStyle w:val="BDOITableHeader"/>
            </w:pPr>
            <w:r>
              <w:rPr>
                <w:b/>
                <w:color w:val="FFFFFF"/>
                <w:sz w:val="17"/>
              </w:rPr>
              <w:t>Governance</w:t>
            </w:r>
          </w:p>
        </w:tc>
      </w:tr>
      <w:tr>
        <w:trPr>
          <w:cantSplit w:val="true"/>
        </w:trPr>
        <w:tc>
          <w:tcPr>
            <w:tcW w:type="dxa" w:w="2452"/>
            <w:tcMar>
              <w:top w:w="50" w:type="dxa"/>
              <w:bottom w:w="50" w:type="dxa"/>
              <w:left w:w="90" w:type="dxa"/>
              <w:right w:w="90" w:type="dxa"/>
            </w:tcMar>
          </w:tcPr>
          <w:p>
            <w:pPr>
              <w:pStyle w:val="BDOITable"/>
            </w:pPr>
            <w:r>
              <w:rPr>
                <w:b/>
                <w:sz w:val="17"/>
              </w:rPr>
              <w:t>Sanction screening name match (BRD-10)</w:t>
            </w:r>
          </w:p>
        </w:tc>
        <w:tc>
          <w:tcPr>
            <w:tcW w:type="dxa" w:w="3760"/>
            <w:tcMar>
              <w:top w:w="50" w:type="dxa"/>
              <w:bottom w:w="50" w:type="dxa"/>
              <w:left w:w="90" w:type="dxa"/>
              <w:right w:w="90" w:type="dxa"/>
            </w:tcMar>
          </w:tcPr>
          <w:p>
            <w:pPr>
              <w:pStyle w:val="BDOITable"/>
            </w:pPr>
            <w:r>
              <w:rPr>
                <w:sz w:val="17"/>
              </w:rPr>
              <w:t>Exact, phonetic (Double Metaphone) and similarity (Jaro-Winkler) scores against watchlists with thresholds per list and subject type</w:t>
            </w:r>
          </w:p>
        </w:tc>
        <w:tc>
          <w:tcPr>
            <w:tcW w:type="dxa" w:w="3760"/>
            <w:tcMar>
              <w:top w:w="50" w:type="dxa"/>
              <w:bottom w:w="50" w:type="dxa"/>
              <w:left w:w="90" w:type="dxa"/>
              <w:right w:w="90" w:type="dxa"/>
            </w:tcMar>
          </w:tcPr>
          <w:p>
            <w:pPr>
              <w:pStyle w:val="BDOITable"/>
            </w:pPr>
            <w:r>
              <w:rPr>
                <w:sz w:val="17"/>
              </w:rPr>
              <w:t>Thresholds in a configuration version approved by Compliance before use; every match decided by a person (true match or false positive), insert-only; monthly false-positive and hit-rate review</w:t>
            </w:r>
          </w:p>
        </w:tc>
      </w:tr>
      <w:tr>
        <w:trPr>
          <w:cantSplit w:val="true"/>
        </w:trPr>
        <w:tc>
          <w:tcPr>
            <w:tcW w:type="dxa" w:w="2452"/>
            <w:tcMar>
              <w:top w:w="50" w:type="dxa"/>
              <w:bottom w:w="50" w:type="dxa"/>
              <w:left w:w="90" w:type="dxa"/>
              <w:right w:w="90" w:type="dxa"/>
            </w:tcMar>
            <w:shd w:val="clear" w:color="auto" w:fill="E5F5FF"/>
          </w:tcPr>
          <w:p>
            <w:pPr>
              <w:pStyle w:val="BDOITable"/>
            </w:pPr>
            <w:r>
              <w:rPr>
                <w:b/>
                <w:sz w:val="17"/>
              </w:rPr>
              <w:t>Client risk profiling (BRD-10)</w:t>
            </w:r>
          </w:p>
        </w:tc>
        <w:tc>
          <w:tcPr>
            <w:tcW w:type="dxa" w:w="3760"/>
            <w:tcMar>
              <w:top w:w="50" w:type="dxa"/>
              <w:bottom w:w="50" w:type="dxa"/>
              <w:left w:w="90" w:type="dxa"/>
              <w:right w:w="90" w:type="dxa"/>
            </w:tcMar>
            <w:shd w:val="clear" w:color="auto" w:fill="E5F5FF"/>
          </w:tcPr>
          <w:p>
            <w:pPr>
              <w:pStyle w:val="BDOITable"/>
            </w:pPr>
            <w:r>
              <w:rPr>
                <w:sz w:val="17"/>
              </w:rPr>
              <w:t>Risk matrices and categories configured by Compliance</w:t>
            </w:r>
          </w:p>
        </w:tc>
        <w:tc>
          <w:tcPr>
            <w:tcW w:type="dxa" w:w="3760"/>
            <w:tcMar>
              <w:top w:w="50" w:type="dxa"/>
              <w:bottom w:w="50" w:type="dxa"/>
              <w:left w:w="90" w:type="dxa"/>
              <w:right w:w="90" w:type="dxa"/>
            </w:tcMar>
            <w:shd w:val="clear" w:color="auto" w:fill="E5F5FF"/>
          </w:tcPr>
          <w:p>
            <w:pPr>
              <w:pStyle w:val="BDOITable"/>
            </w:pPr>
            <w:r>
              <w:rPr>
                <w:sz w:val="17"/>
              </w:rPr>
              <w:t>Versioned, approved configuration; profiles insert-only with the version used; periodic review dates</w:t>
            </w:r>
          </w:p>
        </w:tc>
      </w:tr>
      <w:tr>
        <w:trPr>
          <w:cantSplit w:val="true"/>
        </w:trPr>
        <w:tc>
          <w:tcPr>
            <w:tcW w:type="dxa" w:w="2452"/>
            <w:tcMar>
              <w:top w:w="50" w:type="dxa"/>
              <w:bottom w:w="50" w:type="dxa"/>
              <w:left w:w="90" w:type="dxa"/>
              <w:right w:w="90" w:type="dxa"/>
            </w:tcMar>
          </w:tcPr>
          <w:p>
            <w:pPr>
              <w:pStyle w:val="BDOITable"/>
            </w:pPr>
            <w:r>
              <w:rPr>
                <w:b/>
                <w:sz w:val="17"/>
              </w:rPr>
              <w:t>Payment matching and application (BRD-02)</w:t>
            </w:r>
          </w:p>
        </w:tc>
        <w:tc>
          <w:tcPr>
            <w:tcW w:type="dxa" w:w="3760"/>
            <w:tcMar>
              <w:top w:w="50" w:type="dxa"/>
              <w:bottom w:w="50" w:type="dxa"/>
              <w:left w:w="90" w:type="dxa"/>
              <w:right w:w="90" w:type="dxa"/>
            </w:tcMar>
          </w:tcPr>
          <w:p>
            <w:pPr>
              <w:pStyle w:val="BDOITable"/>
            </w:pPr>
            <w:r>
              <w:rPr>
                <w:sz w:val="17"/>
              </w:rPr>
              <w:t>Matching engine on references and amounts with tolerances</w:t>
            </w:r>
          </w:p>
        </w:tc>
        <w:tc>
          <w:tcPr>
            <w:tcW w:type="dxa" w:w="3760"/>
            <w:tcMar>
              <w:top w:w="50" w:type="dxa"/>
              <w:bottom w:w="50" w:type="dxa"/>
              <w:left w:w="90" w:type="dxa"/>
              <w:right w:w="90" w:type="dxa"/>
            </w:tcMar>
          </w:tcPr>
          <w:p>
            <w:pPr>
              <w:pStyle w:val="BDOITable"/>
            </w:pPr>
            <w:r>
              <w:rPr>
                <w:sz w:val="17"/>
              </w:rPr>
              <w:t>Tolerances as parameters under maker-checker; unmatched items to people; audit of each application</w:t>
            </w:r>
          </w:p>
        </w:tc>
      </w:tr>
      <w:tr>
        <w:trPr>
          <w:cantSplit w:val="true"/>
        </w:trPr>
        <w:tc>
          <w:tcPr>
            <w:tcW w:type="dxa" w:w="2452"/>
            <w:tcMar>
              <w:top w:w="50" w:type="dxa"/>
              <w:bottom w:w="50" w:type="dxa"/>
              <w:left w:w="90" w:type="dxa"/>
              <w:right w:w="90" w:type="dxa"/>
            </w:tcMar>
            <w:shd w:val="clear" w:color="auto" w:fill="E5F5FF"/>
          </w:tcPr>
          <w:p>
            <w:pPr>
              <w:pStyle w:val="BDOITable"/>
            </w:pPr>
            <w:r>
              <w:rPr>
                <w:b/>
                <w:sz w:val="17"/>
              </w:rPr>
              <w:t>Production reconciliation matching (BRD-02)</w:t>
            </w:r>
          </w:p>
        </w:tc>
        <w:tc>
          <w:tcPr>
            <w:tcW w:type="dxa" w:w="3760"/>
            <w:tcMar>
              <w:top w:w="50" w:type="dxa"/>
              <w:bottom w:w="50" w:type="dxa"/>
              <w:left w:w="90" w:type="dxa"/>
              <w:right w:w="90" w:type="dxa"/>
            </w:tcMar>
            <w:shd w:val="clear" w:color="auto" w:fill="E5F5FF"/>
          </w:tcPr>
          <w:p>
            <w:pPr>
              <w:pStyle w:val="BDOITable"/>
            </w:pPr>
            <w:r>
              <w:rPr>
                <w:sz w:val="17"/>
              </w:rPr>
              <w:t>Matching with tolerance per insurer</w:t>
            </w:r>
          </w:p>
        </w:tc>
        <w:tc>
          <w:tcPr>
            <w:tcW w:type="dxa" w:w="3760"/>
            <w:tcMar>
              <w:top w:w="50" w:type="dxa"/>
              <w:bottom w:w="50" w:type="dxa"/>
              <w:left w:w="90" w:type="dxa"/>
              <w:right w:w="90" w:type="dxa"/>
            </w:tcMar>
            <w:shd w:val="clear" w:color="auto" w:fill="E5F5FF"/>
          </w:tcPr>
          <w:p>
            <w:pPr>
              <w:pStyle w:val="BDOITable"/>
            </w:pPr>
            <w:r>
              <w:rPr>
                <w:sz w:val="17"/>
              </w:rPr>
              <w:t>Parameters under maker-checker; buckets reviewed by Operations</w:t>
            </w:r>
          </w:p>
        </w:tc>
      </w:tr>
      <w:tr>
        <w:trPr>
          <w:cantSplit w:val="true"/>
        </w:trPr>
        <w:tc>
          <w:tcPr>
            <w:tcW w:type="dxa" w:w="2452"/>
            <w:tcMar>
              <w:top w:w="50" w:type="dxa"/>
              <w:bottom w:w="50" w:type="dxa"/>
              <w:left w:w="90" w:type="dxa"/>
              <w:right w:w="90" w:type="dxa"/>
            </w:tcMar>
          </w:tcPr>
          <w:p>
            <w:pPr>
              <w:pStyle w:val="BDOITable"/>
            </w:pPr>
            <w:r>
              <w:rPr>
                <w:b/>
                <w:sz w:val="17"/>
              </w:rPr>
              <w:t>Collection prioritisation and escalation (BRD-04)</w:t>
            </w:r>
          </w:p>
        </w:tc>
        <w:tc>
          <w:tcPr>
            <w:tcW w:type="dxa" w:w="3760"/>
            <w:tcMar>
              <w:top w:w="50" w:type="dxa"/>
              <w:bottom w:w="50" w:type="dxa"/>
              <w:left w:w="90" w:type="dxa"/>
              <w:right w:w="90" w:type="dxa"/>
            </w:tcMar>
          </w:tcPr>
          <w:p>
            <w:pPr>
              <w:pStyle w:val="BDOITable"/>
            </w:pPr>
            <w:r>
              <w:rPr>
                <w:sz w:val="17"/>
              </w:rPr>
              <w:t>Rules on ageing, amounts and dispositions</w:t>
            </w:r>
          </w:p>
        </w:tc>
        <w:tc>
          <w:tcPr>
            <w:tcW w:type="dxa" w:w="3760"/>
            <w:tcMar>
              <w:top w:w="50" w:type="dxa"/>
              <w:bottom w:w="50" w:type="dxa"/>
              <w:left w:w="90" w:type="dxa"/>
              <w:right w:w="90" w:type="dxa"/>
            </w:tcMar>
          </w:tcPr>
          <w:p>
            <w:pPr>
              <w:pStyle w:val="BDOITable"/>
            </w:pPr>
            <w:r>
              <w:rPr>
                <w:sz w:val="17"/>
              </w:rPr>
              <w:t>Rules maintained under maker-checker; escalations worked by people</w:t>
            </w:r>
          </w:p>
        </w:tc>
      </w:tr>
      <w:tr>
        <w:trPr>
          <w:cantSplit w:val="true"/>
        </w:trPr>
        <w:tc>
          <w:tcPr>
            <w:tcW w:type="dxa" w:w="2452"/>
            <w:tcMar>
              <w:top w:w="50" w:type="dxa"/>
              <w:bottom w:w="50" w:type="dxa"/>
              <w:left w:w="90" w:type="dxa"/>
              <w:right w:w="90" w:type="dxa"/>
            </w:tcMar>
            <w:shd w:val="clear" w:color="auto" w:fill="E5F5FF"/>
          </w:tcPr>
          <w:p>
            <w:pPr>
              <w:pStyle w:val="BDOITable"/>
            </w:pPr>
            <w:r>
              <w:rPr>
                <w:b/>
                <w:sz w:val="17"/>
              </w:rPr>
              <w:t>Renewal candidate selection and checks (BRD-06)</w:t>
            </w:r>
          </w:p>
        </w:tc>
        <w:tc>
          <w:tcPr>
            <w:tcW w:type="dxa" w:w="3760"/>
            <w:tcMar>
              <w:top w:w="50" w:type="dxa"/>
              <w:bottom w:w="50" w:type="dxa"/>
              <w:left w:w="90" w:type="dxa"/>
              <w:right w:w="90" w:type="dxa"/>
            </w:tcMar>
            <w:shd w:val="clear" w:color="auto" w:fill="E5F5FF"/>
          </w:tcPr>
          <w:p>
            <w:pPr>
              <w:pStyle w:val="BDOITable"/>
            </w:pPr>
            <w:r>
              <w:rPr>
                <w:sz w:val="17"/>
              </w:rPr>
              <w:t>Rules on expiry windows, packages and checks</w:t>
            </w:r>
          </w:p>
        </w:tc>
        <w:tc>
          <w:tcPr>
            <w:tcW w:type="dxa" w:w="3760"/>
            <w:tcMar>
              <w:top w:w="50" w:type="dxa"/>
              <w:bottom w:w="50" w:type="dxa"/>
              <w:left w:w="90" w:type="dxa"/>
              <w:right w:w="90" w:type="dxa"/>
            </w:tcMar>
            <w:shd w:val="clear" w:color="auto" w:fill="E5F5FF"/>
          </w:tcPr>
          <w:p>
            <w:pPr>
              <w:pStyle w:val="BDOITable"/>
            </w:pPr>
            <w:r>
              <w:rPr>
                <w:sz w:val="17"/>
              </w:rPr>
              <w:t>Configured rules; dispositions by people</w:t>
            </w:r>
          </w:p>
        </w:tc>
      </w:tr>
      <w:tr>
        <w:trPr>
          <w:cantSplit w:val="true"/>
        </w:trPr>
        <w:tc>
          <w:tcPr>
            <w:tcW w:type="dxa" w:w="2452"/>
            <w:tcMar>
              <w:top w:w="50" w:type="dxa"/>
              <w:bottom w:w="50" w:type="dxa"/>
              <w:left w:w="90" w:type="dxa"/>
              <w:right w:w="90" w:type="dxa"/>
            </w:tcMar>
          </w:tcPr>
          <w:p>
            <w:pPr>
              <w:pStyle w:val="BDOITable"/>
            </w:pPr>
            <w:r>
              <w:rPr>
                <w:b/>
                <w:sz w:val="17"/>
              </w:rPr>
              <w:t>Accounting rules (BRD-05)</w:t>
            </w:r>
          </w:p>
        </w:tc>
        <w:tc>
          <w:tcPr>
            <w:tcW w:type="dxa" w:w="3760"/>
            <w:tcMar>
              <w:top w:w="50" w:type="dxa"/>
              <w:bottom w:w="50" w:type="dxa"/>
              <w:left w:w="90" w:type="dxa"/>
              <w:right w:w="90" w:type="dxa"/>
            </w:tcMar>
          </w:tcPr>
          <w:p>
            <w:pPr>
              <w:pStyle w:val="BDOITable"/>
            </w:pPr>
            <w:r>
              <w:rPr>
                <w:sz w:val="17"/>
              </w:rPr>
              <w:t>Event to journal rules</w:t>
            </w:r>
          </w:p>
        </w:tc>
        <w:tc>
          <w:tcPr>
            <w:tcW w:type="dxa" w:w="3760"/>
            <w:tcMar>
              <w:top w:w="50" w:type="dxa"/>
              <w:bottom w:w="50" w:type="dxa"/>
              <w:left w:w="90" w:type="dxa"/>
              <w:right w:w="90" w:type="dxa"/>
            </w:tcMar>
          </w:tcPr>
          <w:p>
            <w:pPr>
              <w:pStyle w:val="BDOITable"/>
            </w:pPr>
            <w:r>
              <w:rPr>
                <w:sz w:val="17"/>
              </w:rPr>
              <w:t>Rules authorised by Comptrollership after simulation</w:t>
            </w:r>
          </w:p>
        </w:tc>
      </w:tr>
    </w:tbl>
    <w:p>
      <w:pPr>
        <w:pStyle w:val="BDOISpacer"/>
      </w:pPr>
    </w:p>
    <w:p>
      <w:r>
        <w:rPr/>
        <w:t>Principles for every automated decision: the logic is documented and versioned; a change is approved under maker-checker by the business owner; the version used is recorded with each result; a person decides every outcome that affects a client, a payment or a regulatory report; and the results are monitored with measures that the owner reviews.</w:t>
      </w:r>
    </w:p>
    <w:p>
      <w:pPr>
        <w:pStyle w:val="Heading2"/>
      </w:pPr>
      <w:bookmarkStart w:id="125" w:name="_Toc000125"/>
      <w:r>
        <w:rPr/>
        <w:t>12.2 Governance of a generative tool, should BDOI introduce one</w:t>
      </w:r>
      <w:bookmarkEnd w:id="125"/>
    </w:p>
    <w:p>
      <w:r>
        <w:rPr/>
        <w:t>BIBS contains no generative text or decision tool. Should BDOI introduce one (for example to draft letters or summarise cases), we propose these controls before any use with BIBS data:</w:t>
      </w:r>
    </w:p>
    <w:p>
      <w:pPr>
        <w:pStyle w:val="Caption"/>
        <w:keepNext/>
        <w:spacing w:after="60"/>
      </w:pPr>
      <w:r>
        <w:rPr>
          <w:b/>
          <w:i w:val="0"/>
        </w:rPr>
        <w:t xml:space="preserve">Table 18: </w:t>
      </w:r>
      <w:r>
        <w:rPr/>
        <w:t>Controls for a generative tool (proposal)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493"/>
        <w:gridCol w:w="7479"/>
      </w:tblGrid>
      <w:tr>
        <w:trPr>
          <w:tblHeader w:val="true"/>
          <w:cantSplit w:val="true"/>
        </w:trPr>
        <w:tc>
          <w:tcPr>
            <w:tcW w:type="dxa" w:w="2493"/>
            <w:shd w:val="clear" w:color="auto" w:fill="004EA8"/>
            <w:tcMar>
              <w:top w:w="50" w:type="dxa"/>
              <w:bottom w:w="50" w:type="dxa"/>
              <w:left w:w="90" w:type="dxa"/>
              <w:right w:w="90" w:type="dxa"/>
            </w:tcMar>
            <w:vAlign w:val="center"/>
          </w:tcPr>
          <w:p>
            <w:pPr>
              <w:pStyle w:val="BDOITableHeader"/>
            </w:pPr>
            <w:r>
              <w:rPr>
                <w:b/>
                <w:color w:val="FFFFFF"/>
                <w:sz w:val="18"/>
              </w:rPr>
              <w:t>Area</w:t>
            </w:r>
          </w:p>
        </w:tc>
        <w:tc>
          <w:tcPr>
            <w:tcW w:type="dxa" w:w="7479"/>
            <w:shd w:val="clear" w:color="auto" w:fill="004EA8"/>
            <w:tcMar>
              <w:top w:w="50" w:type="dxa"/>
              <w:bottom w:w="50" w:type="dxa"/>
              <w:left w:w="90" w:type="dxa"/>
              <w:right w:w="90" w:type="dxa"/>
            </w:tcMar>
            <w:vAlign w:val="center"/>
          </w:tcPr>
          <w:p>
            <w:pPr>
              <w:pStyle w:val="BDOITableHeader"/>
            </w:pPr>
            <w:r>
              <w:rPr>
                <w:b/>
                <w:color w:val="FFFFFF"/>
                <w:sz w:val="18"/>
              </w:rPr>
              <w:t>Control</w:t>
            </w:r>
          </w:p>
        </w:tc>
      </w:tr>
      <w:tr>
        <w:trPr>
          <w:cantSplit w:val="true"/>
        </w:trPr>
        <w:tc>
          <w:tcPr>
            <w:tcW w:type="dxa" w:w="2493"/>
            <w:tcMar>
              <w:top w:w="50" w:type="dxa"/>
              <w:bottom w:w="50" w:type="dxa"/>
              <w:left w:w="90" w:type="dxa"/>
              <w:right w:w="90" w:type="dxa"/>
            </w:tcMar>
          </w:tcPr>
          <w:p>
            <w:pPr>
              <w:pStyle w:val="BDOITable"/>
            </w:pPr>
            <w:r>
              <w:rPr>
                <w:b/>
                <w:sz w:val="18"/>
              </w:rPr>
              <w:t>Approval</w:t>
            </w:r>
          </w:p>
        </w:tc>
        <w:tc>
          <w:tcPr>
            <w:tcW w:type="dxa" w:w="7479"/>
            <w:tcMar>
              <w:top w:w="50" w:type="dxa"/>
              <w:bottom w:w="50" w:type="dxa"/>
              <w:left w:w="90" w:type="dxa"/>
              <w:right w:w="90" w:type="dxa"/>
            </w:tcMar>
          </w:tcPr>
          <w:p>
            <w:pPr>
              <w:pStyle w:val="BDOITable"/>
            </w:pPr>
            <w:r>
              <w:rPr>
                <w:sz w:val="18"/>
              </w:rPr>
              <w:t>Use case approved by the business owner, BDOI Information Security, the Data Protection Officer and Compliance; privacy impact assessment; vendor and hosting reviewed against BDO's cloud and cross-border rules</w:t>
            </w:r>
          </w:p>
        </w:tc>
      </w:tr>
      <w:tr>
        <w:trPr>
          <w:cantSplit w:val="true"/>
        </w:trPr>
        <w:tc>
          <w:tcPr>
            <w:tcW w:type="dxa" w:w="2493"/>
            <w:tcMar>
              <w:top w:w="50" w:type="dxa"/>
              <w:bottom w:w="50" w:type="dxa"/>
              <w:left w:w="90" w:type="dxa"/>
              <w:right w:w="90" w:type="dxa"/>
            </w:tcMar>
            <w:shd w:val="clear" w:color="auto" w:fill="E5F5FF"/>
          </w:tcPr>
          <w:p>
            <w:pPr>
              <w:pStyle w:val="BDOITable"/>
            </w:pPr>
            <w:r>
              <w:rPr>
                <w:b/>
                <w:sz w:val="18"/>
              </w:rPr>
              <w:t>Data</w:t>
            </w:r>
          </w:p>
        </w:tc>
        <w:tc>
          <w:tcPr>
            <w:tcW w:type="dxa" w:w="7479"/>
            <w:tcMar>
              <w:top w:w="50" w:type="dxa"/>
              <w:bottom w:w="50" w:type="dxa"/>
              <w:left w:w="90" w:type="dxa"/>
              <w:right w:w="90" w:type="dxa"/>
            </w:tcMar>
            <w:shd w:val="clear" w:color="auto" w:fill="E5F5FF"/>
          </w:tcPr>
          <w:p>
            <w:pPr>
              <w:pStyle w:val="BDOITable"/>
            </w:pPr>
            <w:r>
              <w:rPr>
                <w:sz w:val="18"/>
              </w:rPr>
              <w:t>No Restricted data sent to the tool unless approved; masking of personal data; data scope of the requesting user applied; no use of BIBS data to train a third-party model</w:t>
            </w:r>
          </w:p>
        </w:tc>
      </w:tr>
      <w:tr>
        <w:trPr>
          <w:cantSplit w:val="true"/>
        </w:trPr>
        <w:tc>
          <w:tcPr>
            <w:tcW w:type="dxa" w:w="2493"/>
            <w:tcMar>
              <w:top w:w="50" w:type="dxa"/>
              <w:bottom w:w="50" w:type="dxa"/>
              <w:left w:w="90" w:type="dxa"/>
              <w:right w:w="90" w:type="dxa"/>
            </w:tcMar>
          </w:tcPr>
          <w:p>
            <w:pPr>
              <w:pStyle w:val="BDOITable"/>
            </w:pPr>
            <w:r>
              <w:rPr>
                <w:b/>
                <w:sz w:val="18"/>
              </w:rPr>
              <w:t>Prompt controls</w:t>
            </w:r>
          </w:p>
        </w:tc>
        <w:tc>
          <w:tcPr>
            <w:tcW w:type="dxa" w:w="7479"/>
            <w:tcMar>
              <w:top w:w="50" w:type="dxa"/>
              <w:bottom w:w="50" w:type="dxa"/>
              <w:left w:w="90" w:type="dxa"/>
              <w:right w:w="90" w:type="dxa"/>
            </w:tcMar>
          </w:tcPr>
          <w:p>
            <w:pPr>
              <w:pStyle w:val="BDOITable"/>
            </w:pPr>
            <w:r>
              <w:rPr>
                <w:sz w:val="18"/>
              </w:rPr>
              <w:t>Approved prompt templates under version control; user input inserted as data, never as instructions; blocked topics and output limits</w:t>
            </w:r>
          </w:p>
        </w:tc>
      </w:tr>
      <w:tr>
        <w:trPr>
          <w:cantSplit w:val="true"/>
        </w:trPr>
        <w:tc>
          <w:tcPr>
            <w:tcW w:type="dxa" w:w="2493"/>
            <w:tcMar>
              <w:top w:w="50" w:type="dxa"/>
              <w:bottom w:w="50" w:type="dxa"/>
              <w:left w:w="90" w:type="dxa"/>
              <w:right w:w="90" w:type="dxa"/>
            </w:tcMar>
            <w:shd w:val="clear" w:color="auto" w:fill="E5F5FF"/>
          </w:tcPr>
          <w:p>
            <w:pPr>
              <w:pStyle w:val="BDOITable"/>
            </w:pPr>
            <w:r>
              <w:rPr>
                <w:b/>
                <w:sz w:val="18"/>
              </w:rPr>
              <w:t>Output controls</w:t>
            </w:r>
          </w:p>
        </w:tc>
        <w:tc>
          <w:tcPr>
            <w:tcW w:type="dxa" w:w="7479"/>
            <w:tcMar>
              <w:top w:w="50" w:type="dxa"/>
              <w:bottom w:w="50" w:type="dxa"/>
              <w:left w:w="90" w:type="dxa"/>
              <w:right w:w="90" w:type="dxa"/>
            </w:tcMar>
            <w:shd w:val="clear" w:color="auto" w:fill="E5F5FF"/>
          </w:tcPr>
          <w:p>
            <w:pPr>
              <w:pStyle w:val="BDOITable"/>
            </w:pPr>
            <w:r>
              <w:rPr>
                <w:sz w:val="18"/>
              </w:rPr>
              <w:t>Output is a draft that a person reviews and approves; labelled as generated; never posted, sent or filed without approval; checks against the source record (amounts, names, dates)</w:t>
            </w:r>
          </w:p>
        </w:tc>
      </w:tr>
      <w:tr>
        <w:trPr>
          <w:cantSplit w:val="true"/>
        </w:trPr>
        <w:tc>
          <w:tcPr>
            <w:tcW w:type="dxa" w:w="2493"/>
            <w:tcMar>
              <w:top w:w="50" w:type="dxa"/>
              <w:bottom w:w="50" w:type="dxa"/>
              <w:left w:w="90" w:type="dxa"/>
              <w:right w:w="90" w:type="dxa"/>
            </w:tcMar>
          </w:tcPr>
          <w:p>
            <w:pPr>
              <w:pStyle w:val="BDOITable"/>
            </w:pPr>
            <w:r>
              <w:rPr>
                <w:b/>
                <w:sz w:val="18"/>
              </w:rPr>
              <w:t>Access and audit</w:t>
            </w:r>
          </w:p>
        </w:tc>
        <w:tc>
          <w:tcPr>
            <w:tcW w:type="dxa" w:w="7479"/>
            <w:tcMar>
              <w:top w:w="50" w:type="dxa"/>
              <w:bottom w:w="50" w:type="dxa"/>
              <w:left w:w="90" w:type="dxa"/>
              <w:right w:w="90" w:type="dxa"/>
            </w:tcMar>
          </w:tcPr>
          <w:p>
            <w:pPr>
              <w:pStyle w:val="BDOITable"/>
            </w:pPr>
            <w:r>
              <w:rPr>
                <w:sz w:val="18"/>
              </w:rPr>
              <w:t>Same permissions and data scope as BIBS; every prompt and output logged with user, time, template version and record id, kept as the audit trail</w:t>
            </w:r>
          </w:p>
        </w:tc>
      </w:tr>
      <w:tr>
        <w:trPr>
          <w:cantSplit w:val="true"/>
        </w:trPr>
        <w:tc>
          <w:tcPr>
            <w:tcW w:type="dxa" w:w="2493"/>
            <w:tcMar>
              <w:top w:w="50" w:type="dxa"/>
              <w:bottom w:w="50" w:type="dxa"/>
              <w:left w:w="90" w:type="dxa"/>
              <w:right w:w="90" w:type="dxa"/>
            </w:tcMar>
            <w:shd w:val="clear" w:color="auto" w:fill="E5F5FF"/>
          </w:tcPr>
          <w:p>
            <w:pPr>
              <w:pStyle w:val="BDOITable"/>
            </w:pPr>
            <w:r>
              <w:rPr>
                <w:b/>
                <w:sz w:val="18"/>
              </w:rPr>
              <w:t>Monitoring</w:t>
            </w:r>
          </w:p>
        </w:tc>
        <w:tc>
          <w:tcPr>
            <w:tcW w:type="dxa" w:w="7479"/>
            <w:tcMar>
              <w:top w:w="50" w:type="dxa"/>
              <w:bottom w:w="50" w:type="dxa"/>
              <w:left w:w="90" w:type="dxa"/>
              <w:right w:w="90" w:type="dxa"/>
            </w:tcMar>
            <w:shd w:val="clear" w:color="auto" w:fill="E5F5FF"/>
          </w:tcPr>
          <w:p>
            <w:pPr>
              <w:pStyle w:val="BDOITable"/>
            </w:pPr>
            <w:r>
              <w:rPr>
                <w:sz w:val="18"/>
              </w:rPr>
              <w:t>Monthly review of usage, rejected outputs, errors and complaints by the owner; re-approval at each change of tool, version or template</w:t>
            </w:r>
          </w:p>
        </w:tc>
      </w:tr>
    </w:tbl>
    <w:p>
      <w:pPr>
        <w:pStyle w:val="BDOISpacer"/>
      </w:pPr>
    </w:p>
    <w:p>
      <w:pPr>
        <w:pStyle w:val="Heading1"/>
        <w:pageBreakBefore/>
        <w:pBdr>
          <w:bottom w:val="single" w:sz="4" w:space="4" w:color="99C1E7"/>
        </w:pBdr>
      </w:pPr>
      <w:bookmarkStart w:id="126" w:name="_Toc000126"/>
      <w:r>
        <w:rPr/>
        <w:t>13 Roles and responsibilities</w:t>
      </w:r>
      <w:bookmarkEnd w:id="126"/>
    </w:p>
    <w:p>
      <w:pPr>
        <w:pStyle w:val="Caption"/>
        <w:keepNext/>
        <w:spacing w:after="60"/>
      </w:pPr>
      <w:r>
        <w:rPr>
          <w:b/>
          <w:i w:val="0"/>
        </w:rPr>
        <w:t xml:space="preserve">Table 19: </w:t>
      </w:r>
      <w:r>
        <w:rPr/>
        <w:t>RACI for data (R responsible, A accountable, C consulted, I informed)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274"/>
        <w:gridCol w:w="1339"/>
        <w:gridCol w:w="1339"/>
        <w:gridCol w:w="1339"/>
        <w:gridCol w:w="1339"/>
        <w:gridCol w:w="1339"/>
      </w:tblGrid>
      <w:tr>
        <w:trPr>
          <w:tblHeader w:val="true"/>
          <w:cantSplit w:val="true"/>
        </w:trPr>
        <w:tc>
          <w:tcPr>
            <w:tcW w:type="dxa" w:w="3274"/>
            <w:shd w:val="clear" w:color="auto" w:fill="004EA8"/>
            <w:tcMar>
              <w:top w:w="50" w:type="dxa"/>
              <w:bottom w:w="50" w:type="dxa"/>
              <w:left w:w="90" w:type="dxa"/>
              <w:right w:w="90" w:type="dxa"/>
            </w:tcMar>
            <w:vAlign w:val="center"/>
          </w:tcPr>
          <w:p>
            <w:pPr>
              <w:pStyle w:val="BDOITableHeader"/>
            </w:pPr>
            <w:r>
              <w:rPr>
                <w:b/>
                <w:color w:val="FFFFFF"/>
                <w:sz w:val="18"/>
              </w:rPr>
              <w:t>Activity</w:t>
            </w:r>
          </w:p>
        </w:tc>
        <w:tc>
          <w:tcPr>
            <w:tcW w:type="dxa" w:w="1340"/>
            <w:shd w:val="clear" w:color="auto" w:fill="004EA8"/>
            <w:tcMar>
              <w:top w:w="50" w:type="dxa"/>
              <w:bottom w:w="50" w:type="dxa"/>
              <w:left w:w="90" w:type="dxa"/>
              <w:right w:w="90" w:type="dxa"/>
            </w:tcMar>
            <w:vAlign w:val="center"/>
          </w:tcPr>
          <w:p>
            <w:pPr>
              <w:pStyle w:val="BDOITableHeader"/>
            </w:pPr>
            <w:r>
              <w:rPr>
                <w:b/>
                <w:color w:val="FFFFFF"/>
                <w:sz w:val="18"/>
              </w:rPr>
              <w:t>Data owner (BDOI)</w:t>
            </w:r>
          </w:p>
        </w:tc>
        <w:tc>
          <w:tcPr>
            <w:tcW w:type="dxa" w:w="1340"/>
            <w:shd w:val="clear" w:color="auto" w:fill="004EA8"/>
            <w:tcMar>
              <w:top w:w="50" w:type="dxa"/>
              <w:bottom w:w="50" w:type="dxa"/>
              <w:left w:w="90" w:type="dxa"/>
              <w:right w:w="90" w:type="dxa"/>
            </w:tcMar>
            <w:vAlign w:val="center"/>
          </w:tcPr>
          <w:p>
            <w:pPr>
              <w:pStyle w:val="BDOITableHeader"/>
            </w:pPr>
            <w:r>
              <w:rPr>
                <w:b/>
                <w:color w:val="FFFFFF"/>
                <w:sz w:val="18"/>
              </w:rPr>
              <w:t>BDOI IT</w:t>
            </w:r>
          </w:p>
        </w:tc>
        <w:tc>
          <w:tcPr>
            <w:tcW w:type="dxa" w:w="1340"/>
            <w:shd w:val="clear" w:color="auto" w:fill="004EA8"/>
            <w:tcMar>
              <w:top w:w="50" w:type="dxa"/>
              <w:bottom w:w="50" w:type="dxa"/>
              <w:left w:w="90" w:type="dxa"/>
              <w:right w:w="90" w:type="dxa"/>
            </w:tcMar>
            <w:vAlign w:val="center"/>
          </w:tcPr>
          <w:p>
            <w:pPr>
              <w:pStyle w:val="BDOITableHeader"/>
            </w:pPr>
            <w:r>
              <w:rPr>
                <w:b/>
                <w:color w:val="FFFFFF"/>
                <w:sz w:val="18"/>
              </w:rPr>
              <w:t>Comptrollership</w:t>
            </w:r>
          </w:p>
        </w:tc>
        <w:tc>
          <w:tcPr>
            <w:tcW w:type="dxa" w:w="1340"/>
            <w:shd w:val="clear" w:color="auto" w:fill="004EA8"/>
            <w:tcMar>
              <w:top w:w="50" w:type="dxa"/>
              <w:bottom w:w="50" w:type="dxa"/>
              <w:left w:w="90" w:type="dxa"/>
              <w:right w:w="90" w:type="dxa"/>
            </w:tcMar>
            <w:vAlign w:val="center"/>
          </w:tcPr>
          <w:p>
            <w:pPr>
              <w:pStyle w:val="BDOITableHeader"/>
            </w:pPr>
            <w:r>
              <w:rPr>
                <w:b/>
                <w:color w:val="FFFFFF"/>
                <w:sz w:val="18"/>
              </w:rPr>
              <w:t>Compliance and DPO</w:t>
            </w:r>
          </w:p>
        </w:tc>
        <w:tc>
          <w:tcPr>
            <w:tcW w:type="dxa" w:w="1340"/>
            <w:shd w:val="clear" w:color="auto" w:fill="004EA8"/>
            <w:tcMar>
              <w:top w:w="50" w:type="dxa"/>
              <w:bottom w:w="50" w:type="dxa"/>
              <w:left w:w="90" w:type="dxa"/>
              <w:right w:w="90" w:type="dxa"/>
            </w:tcMar>
            <w:vAlign w:val="center"/>
          </w:tcPr>
          <w:p>
            <w:pPr>
              <w:pStyle w:val="BDOITableHeader"/>
            </w:pPr>
            <w:r>
              <w:rPr>
                <w:b/>
                <w:color w:val="FFFFFF"/>
                <w:sz w:val="18"/>
              </w:rPr>
              <w:t>iorta TechNXT</w:t>
            </w:r>
          </w:p>
        </w:tc>
      </w:tr>
      <w:tr>
        <w:trPr>
          <w:cantSplit w:val="true"/>
        </w:trPr>
        <w:tc>
          <w:tcPr>
            <w:tcW w:type="dxa" w:w="3274"/>
            <w:tcMar>
              <w:top w:w="50" w:type="dxa"/>
              <w:bottom w:w="50" w:type="dxa"/>
              <w:left w:w="90" w:type="dxa"/>
              <w:right w:w="90" w:type="dxa"/>
            </w:tcMar>
          </w:tcPr>
          <w:p>
            <w:pPr>
              <w:pStyle w:val="BDOITable"/>
            </w:pPr>
            <w:r>
              <w:rPr>
                <w:b/>
                <w:sz w:val="18"/>
              </w:rPr>
              <w:t>Master data content and golden-record rules</w:t>
            </w:r>
          </w:p>
        </w:tc>
        <w:tc>
          <w:tcPr>
            <w:tcW w:type="dxa" w:w="1340"/>
            <w:tcMar>
              <w:top w:w="50" w:type="dxa"/>
              <w:bottom w:w="50" w:type="dxa"/>
              <w:left w:w="90" w:type="dxa"/>
              <w:right w:w="90" w:type="dxa"/>
            </w:tcMar>
          </w:tcPr>
          <w:p>
            <w:pPr>
              <w:pStyle w:val="BDOITable"/>
            </w:pPr>
            <w:r>
              <w:rPr>
                <w:sz w:val="18"/>
              </w:rPr>
              <w:t>A</w:t>
            </w:r>
          </w:p>
        </w:tc>
        <w:tc>
          <w:tcPr>
            <w:tcW w:type="dxa" w:w="1340"/>
            <w:tcMar>
              <w:top w:w="50" w:type="dxa"/>
              <w:bottom w:w="50" w:type="dxa"/>
              <w:left w:w="90" w:type="dxa"/>
              <w:right w:w="90" w:type="dxa"/>
            </w:tcMar>
          </w:tcPr>
          <w:p>
            <w:pPr>
              <w:pStyle w:val="BDOITable"/>
            </w:pPr>
            <w:r>
              <w:rPr>
                <w:sz w:val="18"/>
              </w:rPr>
              <w:t>I</w:t>
            </w:r>
          </w:p>
        </w:tc>
        <w:tc>
          <w:tcPr>
            <w:tcW w:type="dxa" w:w="1340"/>
            <w:tcMar>
              <w:top w:w="50" w:type="dxa"/>
              <w:bottom w:w="50" w:type="dxa"/>
              <w:left w:w="90" w:type="dxa"/>
              <w:right w:w="90" w:type="dxa"/>
            </w:tcMar>
          </w:tcPr>
          <w:p>
            <w:pPr>
              <w:pStyle w:val="BDOITable"/>
            </w:pPr>
            <w:r>
              <w:rPr>
                <w:sz w:val="18"/>
              </w:rPr>
              <w:t>C</w:t>
            </w:r>
          </w:p>
        </w:tc>
        <w:tc>
          <w:tcPr>
            <w:tcW w:type="dxa" w:w="1340"/>
            <w:tcMar>
              <w:top w:w="50" w:type="dxa"/>
              <w:bottom w:w="50" w:type="dxa"/>
              <w:left w:w="90" w:type="dxa"/>
              <w:right w:w="90" w:type="dxa"/>
            </w:tcMar>
          </w:tcPr>
          <w:p>
            <w:pPr>
              <w:pStyle w:val="BDOITable"/>
            </w:pPr>
            <w:r>
              <w:rPr>
                <w:sz w:val="18"/>
              </w:rPr>
              <w:t>C</w:t>
            </w:r>
          </w:p>
        </w:tc>
        <w:tc>
          <w:tcPr>
            <w:tcW w:type="dxa" w:w="1340"/>
            <w:tcMar>
              <w:top w:w="50" w:type="dxa"/>
              <w:bottom w:w="50" w:type="dxa"/>
              <w:left w:w="90" w:type="dxa"/>
              <w:right w:w="90" w:type="dxa"/>
            </w:tcMar>
          </w:tcPr>
          <w:p>
            <w:pPr>
              <w:pStyle w:val="BDOITable"/>
            </w:pPr>
            <w:r>
              <w:rPr>
                <w:sz w:val="18"/>
              </w:rPr>
              <w:t>R (system rules)</w:t>
            </w:r>
          </w:p>
        </w:tc>
      </w:tr>
      <w:tr>
        <w:trPr>
          <w:cantSplit w:val="true"/>
        </w:trPr>
        <w:tc>
          <w:tcPr>
            <w:tcW w:type="dxa" w:w="3274"/>
            <w:tcMar>
              <w:top w:w="50" w:type="dxa"/>
              <w:bottom w:w="50" w:type="dxa"/>
              <w:left w:w="90" w:type="dxa"/>
              <w:right w:w="90" w:type="dxa"/>
            </w:tcMar>
            <w:shd w:val="clear" w:color="auto" w:fill="E5F5FF"/>
          </w:tcPr>
          <w:p>
            <w:pPr>
              <w:pStyle w:val="BDOITable"/>
            </w:pPr>
            <w:r>
              <w:rPr>
                <w:b/>
                <w:sz w:val="18"/>
              </w:rPr>
              <w:t>Data model and dictionary</w:t>
            </w:r>
          </w:p>
        </w:tc>
        <w:tc>
          <w:tcPr>
            <w:tcW w:type="dxa" w:w="1340"/>
            <w:tcMar>
              <w:top w:w="50" w:type="dxa"/>
              <w:bottom w:w="50" w:type="dxa"/>
              <w:left w:w="90" w:type="dxa"/>
              <w:right w:w="90" w:type="dxa"/>
            </w:tcMar>
            <w:shd w:val="clear" w:color="auto" w:fill="E5F5FF"/>
          </w:tcPr>
          <w:p>
            <w:pPr>
              <w:pStyle w:val="BDOITable"/>
            </w:pPr>
            <w:r>
              <w:rPr>
                <w:sz w:val="18"/>
              </w:rPr>
              <w:t>C</w:t>
            </w:r>
          </w:p>
        </w:tc>
        <w:tc>
          <w:tcPr>
            <w:tcW w:type="dxa" w:w="1340"/>
            <w:tcMar>
              <w:top w:w="50" w:type="dxa"/>
              <w:bottom w:w="50" w:type="dxa"/>
              <w:left w:w="90" w:type="dxa"/>
              <w:right w:w="90" w:type="dxa"/>
            </w:tcMar>
            <w:shd w:val="clear" w:color="auto" w:fill="E5F5FF"/>
          </w:tcPr>
          <w:p>
            <w:pPr>
              <w:pStyle w:val="BDOITable"/>
            </w:pPr>
            <w:r>
              <w:rPr>
                <w:sz w:val="18"/>
              </w:rPr>
              <w:t>A</w:t>
            </w:r>
          </w:p>
        </w:tc>
        <w:tc>
          <w:tcPr>
            <w:tcW w:type="dxa" w:w="1340"/>
            <w:tcMar>
              <w:top w:w="50" w:type="dxa"/>
              <w:bottom w:w="50" w:type="dxa"/>
              <w:left w:w="90" w:type="dxa"/>
              <w:right w:w="90" w:type="dxa"/>
            </w:tcMar>
            <w:shd w:val="clear" w:color="auto" w:fill="E5F5FF"/>
          </w:tcPr>
          <w:p>
            <w:pPr>
              <w:pStyle w:val="BDOITable"/>
            </w:pPr>
            <w:r>
              <w:rPr>
                <w:sz w:val="18"/>
              </w:rPr>
              <w:t>C</w:t>
            </w:r>
          </w:p>
        </w:tc>
        <w:tc>
          <w:tcPr>
            <w:tcW w:type="dxa" w:w="1340"/>
            <w:tcMar>
              <w:top w:w="50" w:type="dxa"/>
              <w:bottom w:w="50" w:type="dxa"/>
              <w:left w:w="90" w:type="dxa"/>
              <w:right w:w="90" w:type="dxa"/>
            </w:tcMar>
            <w:shd w:val="clear" w:color="auto" w:fill="E5F5FF"/>
          </w:tcPr>
          <w:p>
            <w:pPr>
              <w:pStyle w:val="BDOITable"/>
            </w:pPr>
            <w:r>
              <w:rPr>
                <w:sz w:val="18"/>
              </w:rPr>
              <w:t>I</w:t>
            </w:r>
          </w:p>
        </w:tc>
        <w:tc>
          <w:tcPr>
            <w:tcW w:type="dxa" w:w="1340"/>
            <w:tcMar>
              <w:top w:w="50" w:type="dxa"/>
              <w:bottom w:w="50" w:type="dxa"/>
              <w:left w:w="90" w:type="dxa"/>
              <w:right w:w="90" w:type="dxa"/>
            </w:tcMar>
            <w:shd w:val="clear" w:color="auto" w:fill="E5F5FF"/>
          </w:tcPr>
          <w:p>
            <w:pPr>
              <w:pStyle w:val="BDOITable"/>
            </w:pPr>
            <w:r>
              <w:rPr>
                <w:sz w:val="18"/>
              </w:rPr>
              <w:t>R</w:t>
            </w:r>
          </w:p>
        </w:tc>
      </w:tr>
      <w:tr>
        <w:trPr>
          <w:cantSplit w:val="true"/>
        </w:trPr>
        <w:tc>
          <w:tcPr>
            <w:tcW w:type="dxa" w:w="3274"/>
            <w:tcMar>
              <w:top w:w="50" w:type="dxa"/>
              <w:bottom w:w="50" w:type="dxa"/>
              <w:left w:w="90" w:type="dxa"/>
              <w:right w:w="90" w:type="dxa"/>
            </w:tcMar>
          </w:tcPr>
          <w:p>
            <w:pPr>
              <w:pStyle w:val="BDOITable"/>
            </w:pPr>
            <w:r>
              <w:rPr>
                <w:b/>
                <w:sz w:val="18"/>
              </w:rPr>
              <w:t>Accounting events and rules (lineage to GL)</w:t>
            </w:r>
          </w:p>
        </w:tc>
        <w:tc>
          <w:tcPr>
            <w:tcW w:type="dxa" w:w="1340"/>
            <w:tcMar>
              <w:top w:w="50" w:type="dxa"/>
              <w:bottom w:w="50" w:type="dxa"/>
              <w:left w:w="90" w:type="dxa"/>
              <w:right w:w="90" w:type="dxa"/>
            </w:tcMar>
          </w:tcPr>
          <w:p>
            <w:pPr>
              <w:pStyle w:val="BDOITable"/>
            </w:pPr>
            <w:r>
              <w:rPr>
                <w:sz w:val="18"/>
              </w:rPr>
              <w:t>C</w:t>
            </w:r>
          </w:p>
        </w:tc>
        <w:tc>
          <w:tcPr>
            <w:tcW w:type="dxa" w:w="1340"/>
            <w:tcMar>
              <w:top w:w="50" w:type="dxa"/>
              <w:bottom w:w="50" w:type="dxa"/>
              <w:left w:w="90" w:type="dxa"/>
              <w:right w:w="90" w:type="dxa"/>
            </w:tcMar>
          </w:tcPr>
          <w:p>
            <w:pPr>
              <w:pStyle w:val="BDOITable"/>
            </w:pPr>
            <w:r>
              <w:rPr>
                <w:sz w:val="18"/>
              </w:rPr>
              <w:t>I</w:t>
            </w:r>
          </w:p>
        </w:tc>
        <w:tc>
          <w:tcPr>
            <w:tcW w:type="dxa" w:w="1340"/>
            <w:tcMar>
              <w:top w:w="50" w:type="dxa"/>
              <w:bottom w:w="50" w:type="dxa"/>
              <w:left w:w="90" w:type="dxa"/>
              <w:right w:w="90" w:type="dxa"/>
            </w:tcMar>
          </w:tcPr>
          <w:p>
            <w:pPr>
              <w:pStyle w:val="BDOITable"/>
            </w:pPr>
            <w:r>
              <w:rPr>
                <w:sz w:val="18"/>
              </w:rPr>
              <w:t>A, R</w:t>
            </w:r>
          </w:p>
        </w:tc>
        <w:tc>
          <w:tcPr>
            <w:tcW w:type="dxa" w:w="1340"/>
            <w:tcMar>
              <w:top w:w="50" w:type="dxa"/>
              <w:bottom w:w="50" w:type="dxa"/>
              <w:left w:w="90" w:type="dxa"/>
              <w:right w:w="90" w:type="dxa"/>
            </w:tcMar>
          </w:tcPr>
          <w:p>
            <w:pPr>
              <w:pStyle w:val="BDOITable"/>
            </w:pPr>
            <w:r>
              <w:rPr>
                <w:sz w:val="18"/>
              </w:rPr>
              <w:t>I</w:t>
            </w:r>
          </w:p>
        </w:tc>
        <w:tc>
          <w:tcPr>
            <w:tcW w:type="dxa" w:w="1340"/>
            <w:tcMar>
              <w:top w:w="50" w:type="dxa"/>
              <w:bottom w:w="50" w:type="dxa"/>
              <w:left w:w="90" w:type="dxa"/>
              <w:right w:w="90" w:type="dxa"/>
            </w:tcMar>
          </w:tcPr>
          <w:p>
            <w:pPr>
              <w:pStyle w:val="BDOITable"/>
            </w:pPr>
            <w:r>
              <w:rPr>
                <w:sz w:val="18"/>
              </w:rPr>
              <w:t>C</w:t>
            </w:r>
          </w:p>
        </w:tc>
      </w:tr>
      <w:tr>
        <w:trPr>
          <w:cantSplit w:val="true"/>
        </w:trPr>
        <w:tc>
          <w:tcPr>
            <w:tcW w:type="dxa" w:w="3274"/>
            <w:tcMar>
              <w:top w:w="50" w:type="dxa"/>
              <w:bottom w:w="50" w:type="dxa"/>
              <w:left w:w="90" w:type="dxa"/>
              <w:right w:w="90" w:type="dxa"/>
            </w:tcMar>
            <w:shd w:val="clear" w:color="auto" w:fill="E5F5FF"/>
          </w:tcPr>
          <w:p>
            <w:pPr>
              <w:pStyle w:val="BDOITable"/>
            </w:pPr>
            <w:r>
              <w:rPr>
                <w:b/>
                <w:sz w:val="18"/>
              </w:rPr>
              <w:t>Retention schedule and disposal</w:t>
            </w:r>
          </w:p>
        </w:tc>
        <w:tc>
          <w:tcPr>
            <w:tcW w:type="dxa" w:w="1340"/>
            <w:tcMar>
              <w:top w:w="50" w:type="dxa"/>
              <w:bottom w:w="50" w:type="dxa"/>
              <w:left w:w="90" w:type="dxa"/>
              <w:right w:w="90" w:type="dxa"/>
            </w:tcMar>
            <w:shd w:val="clear" w:color="auto" w:fill="E5F5FF"/>
          </w:tcPr>
          <w:p>
            <w:pPr>
              <w:pStyle w:val="BDOITable"/>
            </w:pPr>
            <w:r>
              <w:rPr>
                <w:sz w:val="18"/>
              </w:rPr>
              <w:t>A</w:t>
            </w:r>
          </w:p>
        </w:tc>
        <w:tc>
          <w:tcPr>
            <w:tcW w:type="dxa" w:w="1340"/>
            <w:tcMar>
              <w:top w:w="50" w:type="dxa"/>
              <w:bottom w:w="50" w:type="dxa"/>
              <w:left w:w="90" w:type="dxa"/>
              <w:right w:w="90" w:type="dxa"/>
            </w:tcMar>
            <w:shd w:val="clear" w:color="auto" w:fill="E5F5FF"/>
          </w:tcPr>
          <w:p>
            <w:pPr>
              <w:pStyle w:val="BDOITable"/>
            </w:pPr>
            <w:r>
              <w:rPr>
                <w:sz w:val="18"/>
              </w:rPr>
              <w:t>R (execution)</w:t>
            </w:r>
          </w:p>
        </w:tc>
        <w:tc>
          <w:tcPr>
            <w:tcW w:type="dxa" w:w="1340"/>
            <w:tcMar>
              <w:top w:w="50" w:type="dxa"/>
              <w:bottom w:w="50" w:type="dxa"/>
              <w:left w:w="90" w:type="dxa"/>
              <w:right w:w="90" w:type="dxa"/>
            </w:tcMar>
            <w:shd w:val="clear" w:color="auto" w:fill="E5F5FF"/>
          </w:tcPr>
          <w:p>
            <w:pPr>
              <w:pStyle w:val="BDOITable"/>
            </w:pPr>
            <w:r>
              <w:rPr>
                <w:sz w:val="18"/>
              </w:rPr>
              <w:t>C</w:t>
            </w:r>
          </w:p>
        </w:tc>
        <w:tc>
          <w:tcPr>
            <w:tcW w:type="dxa" w:w="1340"/>
            <w:tcMar>
              <w:top w:w="50" w:type="dxa"/>
              <w:bottom w:w="50" w:type="dxa"/>
              <w:left w:w="90" w:type="dxa"/>
              <w:right w:w="90" w:type="dxa"/>
            </w:tcMar>
            <w:shd w:val="clear" w:color="auto" w:fill="E5F5FF"/>
          </w:tcPr>
          <w:p>
            <w:pPr>
              <w:pStyle w:val="BDOITable"/>
            </w:pPr>
            <w:r>
              <w:rPr>
                <w:sz w:val="18"/>
              </w:rPr>
              <w:t>C</w:t>
            </w:r>
          </w:p>
        </w:tc>
        <w:tc>
          <w:tcPr>
            <w:tcW w:type="dxa" w:w="1340"/>
            <w:tcMar>
              <w:top w:w="50" w:type="dxa"/>
              <w:bottom w:w="50" w:type="dxa"/>
              <w:left w:w="90" w:type="dxa"/>
              <w:right w:w="90" w:type="dxa"/>
            </w:tcMar>
            <w:shd w:val="clear" w:color="auto" w:fill="E5F5FF"/>
          </w:tcPr>
          <w:p>
            <w:pPr>
              <w:pStyle w:val="BDOITable"/>
            </w:pPr>
            <w:r>
              <w:rPr>
                <w:sz w:val="18"/>
              </w:rPr>
              <w:t>C</w:t>
            </w:r>
          </w:p>
        </w:tc>
      </w:tr>
      <w:tr>
        <w:trPr>
          <w:cantSplit w:val="true"/>
        </w:trPr>
        <w:tc>
          <w:tcPr>
            <w:tcW w:type="dxa" w:w="3274"/>
            <w:tcMar>
              <w:top w:w="50" w:type="dxa"/>
              <w:bottom w:w="50" w:type="dxa"/>
              <w:left w:w="90" w:type="dxa"/>
              <w:right w:w="90" w:type="dxa"/>
            </w:tcMar>
          </w:tcPr>
          <w:p>
            <w:pPr>
              <w:pStyle w:val="BDOITable"/>
            </w:pPr>
            <w:r>
              <w:rPr>
                <w:b/>
                <w:sz w:val="18"/>
              </w:rPr>
              <w:t>Legal hold</w:t>
            </w:r>
          </w:p>
        </w:tc>
        <w:tc>
          <w:tcPr>
            <w:tcW w:type="dxa" w:w="1340"/>
            <w:tcMar>
              <w:top w:w="50" w:type="dxa"/>
              <w:bottom w:w="50" w:type="dxa"/>
              <w:left w:w="90" w:type="dxa"/>
              <w:right w:w="90" w:type="dxa"/>
            </w:tcMar>
          </w:tcPr>
          <w:p>
            <w:pPr>
              <w:pStyle w:val="BDOITable"/>
            </w:pPr>
            <w:r>
              <w:rPr>
                <w:sz w:val="18"/>
              </w:rPr>
              <w:t>C</w:t>
            </w:r>
          </w:p>
        </w:tc>
        <w:tc>
          <w:tcPr>
            <w:tcW w:type="dxa" w:w="1340"/>
            <w:tcMar>
              <w:top w:w="50" w:type="dxa"/>
              <w:bottom w:w="50" w:type="dxa"/>
              <w:left w:w="90" w:type="dxa"/>
              <w:right w:w="90" w:type="dxa"/>
            </w:tcMar>
          </w:tcPr>
          <w:p>
            <w:pPr>
              <w:pStyle w:val="BDOITable"/>
            </w:pPr>
            <w:r>
              <w:rPr>
                <w:sz w:val="18"/>
              </w:rPr>
              <w:t>R</w:t>
            </w:r>
          </w:p>
        </w:tc>
        <w:tc>
          <w:tcPr>
            <w:tcW w:type="dxa" w:w="1340"/>
            <w:tcMar>
              <w:top w:w="50" w:type="dxa"/>
              <w:bottom w:w="50" w:type="dxa"/>
              <w:left w:w="90" w:type="dxa"/>
              <w:right w:w="90" w:type="dxa"/>
            </w:tcMar>
          </w:tcPr>
          <w:p>
            <w:pPr>
              <w:pStyle w:val="BDOITable"/>
            </w:pPr>
            <w:r>
              <w:rPr>
                <w:sz w:val="18"/>
              </w:rPr>
              <w:t>C</w:t>
            </w:r>
          </w:p>
        </w:tc>
        <w:tc>
          <w:tcPr>
            <w:tcW w:type="dxa" w:w="1340"/>
            <w:tcMar>
              <w:top w:w="50" w:type="dxa"/>
              <w:bottom w:w="50" w:type="dxa"/>
              <w:left w:w="90" w:type="dxa"/>
              <w:right w:w="90" w:type="dxa"/>
            </w:tcMar>
          </w:tcPr>
          <w:p>
            <w:pPr>
              <w:pStyle w:val="BDOITable"/>
            </w:pPr>
            <w:r>
              <w:rPr>
                <w:sz w:val="18"/>
              </w:rPr>
              <w:t>A</w:t>
            </w:r>
          </w:p>
        </w:tc>
        <w:tc>
          <w:tcPr>
            <w:tcW w:type="dxa" w:w="1340"/>
            <w:tcMar>
              <w:top w:w="50" w:type="dxa"/>
              <w:bottom w:w="50" w:type="dxa"/>
              <w:left w:w="90" w:type="dxa"/>
              <w:right w:w="90" w:type="dxa"/>
            </w:tcMar>
          </w:tcPr>
          <w:p>
            <w:pPr>
              <w:pStyle w:val="BDOITable"/>
            </w:pPr>
            <w:r>
              <w:rPr>
                <w:sz w:val="18"/>
              </w:rPr>
              <w:t>I</w:t>
            </w:r>
          </w:p>
        </w:tc>
      </w:tr>
      <w:tr>
        <w:trPr>
          <w:cantSplit w:val="true"/>
        </w:trPr>
        <w:tc>
          <w:tcPr>
            <w:tcW w:type="dxa" w:w="3274"/>
            <w:tcMar>
              <w:top w:w="50" w:type="dxa"/>
              <w:bottom w:w="50" w:type="dxa"/>
              <w:left w:w="90" w:type="dxa"/>
              <w:right w:w="90" w:type="dxa"/>
            </w:tcMar>
            <w:shd w:val="clear" w:color="auto" w:fill="E5F5FF"/>
          </w:tcPr>
          <w:p>
            <w:pPr>
              <w:pStyle w:val="BDOITable"/>
            </w:pPr>
            <w:r>
              <w:rPr>
                <w:b/>
                <w:sz w:val="18"/>
              </w:rPr>
              <w:t>Reconciliation controls</w:t>
            </w:r>
          </w:p>
        </w:tc>
        <w:tc>
          <w:tcPr>
            <w:tcW w:type="dxa" w:w="1340"/>
            <w:tcMar>
              <w:top w:w="50" w:type="dxa"/>
              <w:bottom w:w="50" w:type="dxa"/>
              <w:left w:w="90" w:type="dxa"/>
              <w:right w:w="90" w:type="dxa"/>
            </w:tcMar>
            <w:shd w:val="clear" w:color="auto" w:fill="E5F5FF"/>
          </w:tcPr>
          <w:p>
            <w:pPr>
              <w:pStyle w:val="BDOITable"/>
            </w:pPr>
            <w:r>
              <w:rPr>
                <w:sz w:val="18"/>
              </w:rPr>
              <w:t>C</w:t>
            </w:r>
          </w:p>
        </w:tc>
        <w:tc>
          <w:tcPr>
            <w:tcW w:type="dxa" w:w="1340"/>
            <w:tcMar>
              <w:top w:w="50" w:type="dxa"/>
              <w:bottom w:w="50" w:type="dxa"/>
              <w:left w:w="90" w:type="dxa"/>
              <w:right w:w="90" w:type="dxa"/>
            </w:tcMar>
            <w:shd w:val="clear" w:color="auto" w:fill="E5F5FF"/>
          </w:tcPr>
          <w:p>
            <w:pPr>
              <w:pStyle w:val="BDOITable"/>
            </w:pPr>
            <w:r>
              <w:rPr>
                <w:sz w:val="18"/>
              </w:rPr>
              <w:t>C</w:t>
            </w:r>
          </w:p>
        </w:tc>
        <w:tc>
          <w:tcPr>
            <w:tcW w:type="dxa" w:w="1340"/>
            <w:tcMar>
              <w:top w:w="50" w:type="dxa"/>
              <w:bottom w:w="50" w:type="dxa"/>
              <w:left w:w="90" w:type="dxa"/>
              <w:right w:w="90" w:type="dxa"/>
            </w:tcMar>
            <w:shd w:val="clear" w:color="auto" w:fill="E5F5FF"/>
          </w:tcPr>
          <w:p>
            <w:pPr>
              <w:pStyle w:val="BDOITable"/>
            </w:pPr>
            <w:r>
              <w:rPr>
                <w:sz w:val="18"/>
              </w:rPr>
              <w:t>A, R</w:t>
            </w:r>
          </w:p>
        </w:tc>
        <w:tc>
          <w:tcPr>
            <w:tcW w:type="dxa" w:w="1340"/>
            <w:tcMar>
              <w:top w:w="50" w:type="dxa"/>
              <w:bottom w:w="50" w:type="dxa"/>
              <w:left w:w="90" w:type="dxa"/>
              <w:right w:w="90" w:type="dxa"/>
            </w:tcMar>
            <w:shd w:val="clear" w:color="auto" w:fill="E5F5FF"/>
          </w:tcPr>
          <w:p>
            <w:pPr>
              <w:pStyle w:val="BDOITable"/>
            </w:pPr>
            <w:r>
              <w:rPr>
                <w:sz w:val="18"/>
              </w:rPr>
              <w:t>I</w:t>
            </w:r>
          </w:p>
        </w:tc>
        <w:tc>
          <w:tcPr>
            <w:tcW w:type="dxa" w:w="1340"/>
            <w:tcMar>
              <w:top w:w="50" w:type="dxa"/>
              <w:bottom w:w="50" w:type="dxa"/>
              <w:left w:w="90" w:type="dxa"/>
              <w:right w:w="90" w:type="dxa"/>
            </w:tcMar>
            <w:shd w:val="clear" w:color="auto" w:fill="E5F5FF"/>
          </w:tcPr>
          <w:p>
            <w:pPr>
              <w:pStyle w:val="BDOITable"/>
            </w:pPr>
            <w:r>
              <w:rPr>
                <w:sz w:val="18"/>
              </w:rPr>
              <w:t>C</w:t>
            </w:r>
          </w:p>
        </w:tc>
      </w:tr>
      <w:tr>
        <w:trPr>
          <w:cantSplit w:val="true"/>
        </w:trPr>
        <w:tc>
          <w:tcPr>
            <w:tcW w:type="dxa" w:w="3274"/>
            <w:tcMar>
              <w:top w:w="50" w:type="dxa"/>
              <w:bottom w:w="50" w:type="dxa"/>
              <w:left w:w="90" w:type="dxa"/>
              <w:right w:w="90" w:type="dxa"/>
            </w:tcMar>
          </w:tcPr>
          <w:p>
            <w:pPr>
              <w:pStyle w:val="BDOITable"/>
            </w:pPr>
            <w:r>
              <w:rPr>
                <w:b/>
                <w:sz w:val="18"/>
              </w:rPr>
              <w:t>Data quality monitoring</w:t>
            </w:r>
          </w:p>
        </w:tc>
        <w:tc>
          <w:tcPr>
            <w:tcW w:type="dxa" w:w="1340"/>
            <w:tcMar>
              <w:top w:w="50" w:type="dxa"/>
              <w:bottom w:w="50" w:type="dxa"/>
              <w:left w:w="90" w:type="dxa"/>
              <w:right w:w="90" w:type="dxa"/>
            </w:tcMar>
          </w:tcPr>
          <w:p>
            <w:pPr>
              <w:pStyle w:val="BDOITable"/>
            </w:pPr>
            <w:r>
              <w:rPr>
                <w:sz w:val="18"/>
              </w:rPr>
              <w:t>A, R</w:t>
            </w:r>
          </w:p>
        </w:tc>
        <w:tc>
          <w:tcPr>
            <w:tcW w:type="dxa" w:w="1340"/>
            <w:tcMar>
              <w:top w:w="50" w:type="dxa"/>
              <w:bottom w:w="50" w:type="dxa"/>
              <w:left w:w="90" w:type="dxa"/>
              <w:right w:w="90" w:type="dxa"/>
            </w:tcMar>
          </w:tcPr>
          <w:p>
            <w:pPr>
              <w:pStyle w:val="BDOITable"/>
            </w:pPr>
            <w:r>
              <w:rPr>
                <w:sz w:val="18"/>
              </w:rPr>
              <w:t>C</w:t>
            </w:r>
          </w:p>
        </w:tc>
        <w:tc>
          <w:tcPr>
            <w:tcW w:type="dxa" w:w="1340"/>
            <w:tcMar>
              <w:top w:w="50" w:type="dxa"/>
              <w:bottom w:w="50" w:type="dxa"/>
              <w:left w:w="90" w:type="dxa"/>
              <w:right w:w="90" w:type="dxa"/>
            </w:tcMar>
          </w:tcPr>
          <w:p>
            <w:pPr>
              <w:pStyle w:val="BDOITable"/>
            </w:pPr>
            <w:r>
              <w:rPr>
                <w:sz w:val="18"/>
              </w:rPr>
              <w:t>C</w:t>
            </w:r>
          </w:p>
        </w:tc>
        <w:tc>
          <w:tcPr>
            <w:tcW w:type="dxa" w:w="1340"/>
            <w:tcMar>
              <w:top w:w="50" w:type="dxa"/>
              <w:bottom w:w="50" w:type="dxa"/>
              <w:left w:w="90" w:type="dxa"/>
              <w:right w:w="90" w:type="dxa"/>
            </w:tcMar>
          </w:tcPr>
          <w:p>
            <w:pPr>
              <w:pStyle w:val="BDOITable"/>
            </w:pPr>
            <w:r>
              <w:rPr>
                <w:sz w:val="18"/>
              </w:rPr>
              <w:t>I</w:t>
            </w:r>
          </w:p>
        </w:tc>
        <w:tc>
          <w:tcPr>
            <w:tcW w:type="dxa" w:w="1340"/>
            <w:tcMar>
              <w:top w:w="50" w:type="dxa"/>
              <w:bottom w:w="50" w:type="dxa"/>
              <w:left w:w="90" w:type="dxa"/>
              <w:right w:w="90" w:type="dxa"/>
            </w:tcMar>
          </w:tcPr>
          <w:p>
            <w:pPr>
              <w:pStyle w:val="BDOITable"/>
            </w:pPr>
            <w:r>
              <w:rPr>
                <w:sz w:val="18"/>
              </w:rPr>
              <w:t>C</w:t>
            </w:r>
          </w:p>
        </w:tc>
      </w:tr>
      <w:tr>
        <w:trPr>
          <w:cantSplit w:val="true"/>
        </w:trPr>
        <w:tc>
          <w:tcPr>
            <w:tcW w:type="dxa" w:w="3274"/>
            <w:tcMar>
              <w:top w:w="50" w:type="dxa"/>
              <w:bottom w:w="50" w:type="dxa"/>
              <w:left w:w="90" w:type="dxa"/>
              <w:right w:w="90" w:type="dxa"/>
            </w:tcMar>
            <w:shd w:val="clear" w:color="auto" w:fill="E5F5FF"/>
          </w:tcPr>
          <w:p>
            <w:pPr>
              <w:pStyle w:val="BDOITable"/>
            </w:pPr>
            <w:r>
              <w:rPr>
                <w:b/>
                <w:sz w:val="18"/>
              </w:rPr>
              <w:t>Data classification and privacy</w:t>
            </w:r>
          </w:p>
        </w:tc>
        <w:tc>
          <w:tcPr>
            <w:tcW w:type="dxa" w:w="1340"/>
            <w:tcMar>
              <w:top w:w="50" w:type="dxa"/>
              <w:bottom w:w="50" w:type="dxa"/>
              <w:left w:w="90" w:type="dxa"/>
              <w:right w:w="90" w:type="dxa"/>
            </w:tcMar>
            <w:shd w:val="clear" w:color="auto" w:fill="E5F5FF"/>
          </w:tcPr>
          <w:p>
            <w:pPr>
              <w:pStyle w:val="BDOITable"/>
            </w:pPr>
            <w:r>
              <w:rPr>
                <w:sz w:val="18"/>
              </w:rPr>
              <w:t>C</w:t>
            </w:r>
          </w:p>
        </w:tc>
        <w:tc>
          <w:tcPr>
            <w:tcW w:type="dxa" w:w="1340"/>
            <w:tcMar>
              <w:top w:w="50" w:type="dxa"/>
              <w:bottom w:w="50" w:type="dxa"/>
              <w:left w:w="90" w:type="dxa"/>
              <w:right w:w="90" w:type="dxa"/>
            </w:tcMar>
            <w:shd w:val="clear" w:color="auto" w:fill="E5F5FF"/>
          </w:tcPr>
          <w:p>
            <w:pPr>
              <w:pStyle w:val="BDOITable"/>
            </w:pPr>
            <w:r>
              <w:rPr>
                <w:sz w:val="18"/>
              </w:rPr>
              <w:t>C</w:t>
            </w:r>
          </w:p>
        </w:tc>
        <w:tc>
          <w:tcPr>
            <w:tcW w:type="dxa" w:w="1340"/>
            <w:tcMar>
              <w:top w:w="50" w:type="dxa"/>
              <w:bottom w:w="50" w:type="dxa"/>
              <w:left w:w="90" w:type="dxa"/>
              <w:right w:w="90" w:type="dxa"/>
            </w:tcMar>
            <w:shd w:val="clear" w:color="auto" w:fill="E5F5FF"/>
          </w:tcPr>
          <w:p>
            <w:pPr>
              <w:pStyle w:val="BDOITable"/>
            </w:pPr>
            <w:r>
              <w:rPr>
                <w:sz w:val="18"/>
              </w:rPr>
              <w:t>I</w:t>
            </w:r>
          </w:p>
        </w:tc>
        <w:tc>
          <w:tcPr>
            <w:tcW w:type="dxa" w:w="1340"/>
            <w:tcMar>
              <w:top w:w="50" w:type="dxa"/>
              <w:bottom w:w="50" w:type="dxa"/>
              <w:left w:w="90" w:type="dxa"/>
              <w:right w:w="90" w:type="dxa"/>
            </w:tcMar>
            <w:shd w:val="clear" w:color="auto" w:fill="E5F5FF"/>
          </w:tcPr>
          <w:p>
            <w:pPr>
              <w:pStyle w:val="BDOITable"/>
            </w:pPr>
            <w:r>
              <w:rPr>
                <w:sz w:val="18"/>
              </w:rPr>
              <w:t>A</w:t>
            </w:r>
          </w:p>
        </w:tc>
        <w:tc>
          <w:tcPr>
            <w:tcW w:type="dxa" w:w="1340"/>
            <w:tcMar>
              <w:top w:w="50" w:type="dxa"/>
              <w:bottom w:w="50" w:type="dxa"/>
              <w:left w:w="90" w:type="dxa"/>
              <w:right w:w="90" w:type="dxa"/>
            </w:tcMar>
            <w:shd w:val="clear" w:color="auto" w:fill="E5F5FF"/>
          </w:tcPr>
          <w:p>
            <w:pPr>
              <w:pStyle w:val="BDOITable"/>
            </w:pPr>
            <w:r>
              <w:rPr>
                <w:sz w:val="18"/>
              </w:rPr>
              <w:t>R (controls)</w:t>
            </w:r>
          </w:p>
        </w:tc>
      </w:tr>
      <w:tr>
        <w:trPr>
          <w:cantSplit w:val="true"/>
        </w:trPr>
        <w:tc>
          <w:tcPr>
            <w:tcW w:type="dxa" w:w="3274"/>
            <w:tcMar>
              <w:top w:w="50" w:type="dxa"/>
              <w:bottom w:w="50" w:type="dxa"/>
              <w:left w:w="90" w:type="dxa"/>
              <w:right w:w="90" w:type="dxa"/>
            </w:tcMar>
          </w:tcPr>
          <w:p>
            <w:pPr>
              <w:pStyle w:val="BDOITable"/>
            </w:pPr>
            <w:r>
              <w:rPr>
                <w:b/>
                <w:sz w:val="18"/>
              </w:rPr>
              <w:t>Automated decision governance</w:t>
            </w:r>
          </w:p>
        </w:tc>
        <w:tc>
          <w:tcPr>
            <w:tcW w:type="dxa" w:w="1340"/>
            <w:tcMar>
              <w:top w:w="50" w:type="dxa"/>
              <w:bottom w:w="50" w:type="dxa"/>
              <w:left w:w="90" w:type="dxa"/>
              <w:right w:w="90" w:type="dxa"/>
            </w:tcMar>
          </w:tcPr>
          <w:p>
            <w:pPr>
              <w:pStyle w:val="BDOITable"/>
            </w:pPr>
            <w:r>
              <w:rPr>
                <w:sz w:val="18"/>
              </w:rPr>
              <w:t>A</w:t>
            </w:r>
          </w:p>
        </w:tc>
        <w:tc>
          <w:tcPr>
            <w:tcW w:type="dxa" w:w="1340"/>
            <w:tcMar>
              <w:top w:w="50" w:type="dxa"/>
              <w:bottom w:w="50" w:type="dxa"/>
              <w:left w:w="90" w:type="dxa"/>
              <w:right w:w="90" w:type="dxa"/>
            </w:tcMar>
          </w:tcPr>
          <w:p>
            <w:pPr>
              <w:pStyle w:val="BDOITable"/>
            </w:pPr>
            <w:r>
              <w:rPr>
                <w:sz w:val="18"/>
              </w:rPr>
              <w:t>C</w:t>
            </w:r>
          </w:p>
        </w:tc>
        <w:tc>
          <w:tcPr>
            <w:tcW w:type="dxa" w:w="1340"/>
            <w:tcMar>
              <w:top w:w="50" w:type="dxa"/>
              <w:bottom w:w="50" w:type="dxa"/>
              <w:left w:w="90" w:type="dxa"/>
              <w:right w:w="90" w:type="dxa"/>
            </w:tcMar>
          </w:tcPr>
          <w:p>
            <w:pPr>
              <w:pStyle w:val="BDOITable"/>
            </w:pPr>
            <w:r>
              <w:rPr>
                <w:sz w:val="18"/>
              </w:rPr>
              <w:t>C</w:t>
            </w:r>
          </w:p>
        </w:tc>
        <w:tc>
          <w:tcPr>
            <w:tcW w:type="dxa" w:w="1340"/>
            <w:tcMar>
              <w:top w:w="50" w:type="dxa"/>
              <w:bottom w:w="50" w:type="dxa"/>
              <w:left w:w="90" w:type="dxa"/>
              <w:right w:w="90" w:type="dxa"/>
            </w:tcMar>
          </w:tcPr>
          <w:p>
            <w:pPr>
              <w:pStyle w:val="BDOITable"/>
            </w:pPr>
            <w:r>
              <w:rPr>
                <w:sz w:val="18"/>
              </w:rPr>
              <w:t>C</w:t>
            </w:r>
          </w:p>
        </w:tc>
        <w:tc>
          <w:tcPr>
            <w:tcW w:type="dxa" w:w="1340"/>
            <w:tcMar>
              <w:top w:w="50" w:type="dxa"/>
              <w:bottom w:w="50" w:type="dxa"/>
              <w:left w:w="90" w:type="dxa"/>
              <w:right w:w="90" w:type="dxa"/>
            </w:tcMar>
          </w:tcPr>
          <w:p>
            <w:pPr>
              <w:pStyle w:val="BDOITable"/>
            </w:pPr>
            <w:r>
              <w:rPr>
                <w:sz w:val="18"/>
              </w:rPr>
              <w:t>R</w:t>
            </w:r>
          </w:p>
        </w:tc>
      </w:tr>
      <w:tr>
        <w:trPr>
          <w:cantSplit w:val="true"/>
        </w:trPr>
        <w:tc>
          <w:tcPr>
            <w:tcW w:type="dxa" w:w="3274"/>
            <w:tcMar>
              <w:top w:w="50" w:type="dxa"/>
              <w:bottom w:w="50" w:type="dxa"/>
              <w:left w:w="90" w:type="dxa"/>
              <w:right w:w="90" w:type="dxa"/>
            </w:tcMar>
            <w:shd w:val="clear" w:color="auto" w:fill="E5F5FF"/>
          </w:tcPr>
          <w:p>
            <w:pPr>
              <w:pStyle w:val="BDOITable"/>
            </w:pPr>
            <w:r>
              <w:rPr>
                <w:b/>
                <w:sz w:val="18"/>
              </w:rPr>
              <w:t>Data catalogue</w:t>
            </w:r>
          </w:p>
        </w:tc>
        <w:tc>
          <w:tcPr>
            <w:tcW w:type="dxa" w:w="1340"/>
            <w:tcMar>
              <w:top w:w="50" w:type="dxa"/>
              <w:bottom w:w="50" w:type="dxa"/>
              <w:left w:w="90" w:type="dxa"/>
              <w:right w:w="90" w:type="dxa"/>
            </w:tcMar>
            <w:shd w:val="clear" w:color="auto" w:fill="E5F5FF"/>
          </w:tcPr>
          <w:p>
            <w:pPr>
              <w:pStyle w:val="BDOITable"/>
            </w:pPr>
            <w:r>
              <w:rPr>
                <w:sz w:val="18"/>
              </w:rPr>
              <w:t>C</w:t>
            </w:r>
          </w:p>
        </w:tc>
        <w:tc>
          <w:tcPr>
            <w:tcW w:type="dxa" w:w="1340"/>
            <w:tcMar>
              <w:top w:w="50" w:type="dxa"/>
              <w:bottom w:w="50" w:type="dxa"/>
              <w:left w:w="90" w:type="dxa"/>
              <w:right w:w="90" w:type="dxa"/>
            </w:tcMar>
            <w:shd w:val="clear" w:color="auto" w:fill="E5F5FF"/>
          </w:tcPr>
          <w:p>
            <w:pPr>
              <w:pStyle w:val="BDOITable"/>
            </w:pPr>
            <w:r>
              <w:rPr>
                <w:sz w:val="18"/>
              </w:rPr>
              <w:t>A, R</w:t>
            </w:r>
          </w:p>
        </w:tc>
        <w:tc>
          <w:tcPr>
            <w:tcW w:type="dxa" w:w="1340"/>
            <w:tcMar>
              <w:top w:w="50" w:type="dxa"/>
              <w:bottom w:w="50" w:type="dxa"/>
              <w:left w:w="90" w:type="dxa"/>
              <w:right w:w="90" w:type="dxa"/>
            </w:tcMar>
            <w:shd w:val="clear" w:color="auto" w:fill="E5F5FF"/>
          </w:tcPr>
          <w:p>
            <w:pPr>
              <w:pStyle w:val="BDOITable"/>
            </w:pPr>
            <w:r>
              <w:rPr>
                <w:sz w:val="18"/>
              </w:rPr>
              <w:t>I</w:t>
            </w:r>
          </w:p>
        </w:tc>
        <w:tc>
          <w:tcPr>
            <w:tcW w:type="dxa" w:w="1340"/>
            <w:tcMar>
              <w:top w:w="50" w:type="dxa"/>
              <w:bottom w:w="50" w:type="dxa"/>
              <w:left w:w="90" w:type="dxa"/>
              <w:right w:w="90" w:type="dxa"/>
            </w:tcMar>
            <w:shd w:val="clear" w:color="auto" w:fill="E5F5FF"/>
          </w:tcPr>
          <w:p>
            <w:pPr>
              <w:pStyle w:val="BDOITable"/>
            </w:pPr>
            <w:r>
              <w:rPr>
                <w:sz w:val="18"/>
              </w:rPr>
              <w:t>I</w:t>
            </w:r>
          </w:p>
        </w:tc>
        <w:tc>
          <w:tcPr>
            <w:tcW w:type="dxa" w:w="1340"/>
            <w:tcMar>
              <w:top w:w="50" w:type="dxa"/>
              <w:bottom w:w="50" w:type="dxa"/>
              <w:left w:w="90" w:type="dxa"/>
              <w:right w:w="90" w:type="dxa"/>
            </w:tcMar>
            <w:shd w:val="clear" w:color="auto" w:fill="E5F5FF"/>
          </w:tcPr>
          <w:p>
            <w:pPr>
              <w:pStyle w:val="BDOITable"/>
            </w:pPr>
            <w:r>
              <w:rPr>
                <w:sz w:val="18"/>
              </w:rPr>
              <w:t>C</w:t>
            </w:r>
          </w:p>
        </w:tc>
      </w:tr>
      <w:tr>
        <w:trPr>
          <w:cantSplit w:val="true"/>
        </w:trPr>
        <w:tc>
          <w:tcPr>
            <w:tcW w:type="dxa" w:w="3274"/>
            <w:tcMar>
              <w:top w:w="50" w:type="dxa"/>
              <w:bottom w:w="50" w:type="dxa"/>
              <w:left w:w="90" w:type="dxa"/>
              <w:right w:w="90" w:type="dxa"/>
            </w:tcMar>
          </w:tcPr>
          <w:p>
            <w:pPr>
              <w:pStyle w:val="BDOITable"/>
            </w:pPr>
            <w:r>
              <w:rPr>
                <w:b/>
                <w:sz w:val="18"/>
              </w:rPr>
              <w:t>Interfaces to EGL and EDP</w:t>
            </w:r>
          </w:p>
        </w:tc>
        <w:tc>
          <w:tcPr>
            <w:tcW w:type="dxa" w:w="1340"/>
            <w:tcMar>
              <w:top w:w="50" w:type="dxa"/>
              <w:bottom w:w="50" w:type="dxa"/>
              <w:left w:w="90" w:type="dxa"/>
              <w:right w:w="90" w:type="dxa"/>
            </w:tcMar>
          </w:tcPr>
          <w:p>
            <w:pPr>
              <w:pStyle w:val="BDOITable"/>
            </w:pPr>
            <w:r>
              <w:rPr>
                <w:sz w:val="18"/>
              </w:rPr>
              <w:t>C</w:t>
            </w:r>
          </w:p>
        </w:tc>
        <w:tc>
          <w:tcPr>
            <w:tcW w:type="dxa" w:w="1340"/>
            <w:tcMar>
              <w:top w:w="50" w:type="dxa"/>
              <w:bottom w:w="50" w:type="dxa"/>
              <w:left w:w="90" w:type="dxa"/>
              <w:right w:w="90" w:type="dxa"/>
            </w:tcMar>
          </w:tcPr>
          <w:p>
            <w:pPr>
              <w:pStyle w:val="BDOITable"/>
            </w:pPr>
            <w:r>
              <w:rPr>
                <w:sz w:val="18"/>
              </w:rPr>
              <w:t>A</w:t>
            </w:r>
          </w:p>
        </w:tc>
        <w:tc>
          <w:tcPr>
            <w:tcW w:type="dxa" w:w="1340"/>
            <w:tcMar>
              <w:top w:w="50" w:type="dxa"/>
              <w:bottom w:w="50" w:type="dxa"/>
              <w:left w:w="90" w:type="dxa"/>
              <w:right w:w="90" w:type="dxa"/>
            </w:tcMar>
          </w:tcPr>
          <w:p>
            <w:pPr>
              <w:pStyle w:val="BDOITable"/>
            </w:pPr>
            <w:r>
              <w:rPr>
                <w:sz w:val="18"/>
              </w:rPr>
              <w:t>C</w:t>
            </w:r>
          </w:p>
        </w:tc>
        <w:tc>
          <w:tcPr>
            <w:tcW w:type="dxa" w:w="1340"/>
            <w:tcMar>
              <w:top w:w="50" w:type="dxa"/>
              <w:bottom w:w="50" w:type="dxa"/>
              <w:left w:w="90" w:type="dxa"/>
              <w:right w:w="90" w:type="dxa"/>
            </w:tcMar>
          </w:tcPr>
          <w:p>
            <w:pPr>
              <w:pStyle w:val="BDOITable"/>
            </w:pPr>
            <w:r>
              <w:rPr>
                <w:sz w:val="18"/>
              </w:rPr>
              <w:t>I</w:t>
            </w:r>
          </w:p>
        </w:tc>
        <w:tc>
          <w:tcPr>
            <w:tcW w:type="dxa" w:w="1340"/>
            <w:tcMar>
              <w:top w:w="50" w:type="dxa"/>
              <w:bottom w:w="50" w:type="dxa"/>
              <w:left w:w="90" w:type="dxa"/>
              <w:right w:w="90" w:type="dxa"/>
            </w:tcMar>
          </w:tcPr>
          <w:p>
            <w:pPr>
              <w:pStyle w:val="BDOITable"/>
            </w:pPr>
            <w:r>
              <w:rPr>
                <w:sz w:val="18"/>
              </w:rPr>
              <w:t>R</w:t>
            </w:r>
          </w:p>
        </w:tc>
      </w:tr>
    </w:tbl>
    <w:p>
      <w:pPr>
        <w:pStyle w:val="BDOISpacer"/>
      </w:pPr>
    </w:p>
    <w:p>
      <w:pPr>
        <w:pStyle w:val="Heading1"/>
        <w:pageBreakBefore/>
        <w:pBdr>
          <w:bottom w:val="single" w:sz="4" w:space="4" w:color="99C1E7"/>
        </w:pBdr>
      </w:pPr>
      <w:bookmarkStart w:id="127" w:name="_Toc000127"/>
      <w:r>
        <w:rPr/>
        <w:t>14 Decisions and open points for BDOI</w:t>
      </w:r>
      <w:bookmarkEnd w:id="127"/>
    </w:p>
    <w:p>
      <w:pPr>
        <w:pStyle w:val="Caption"/>
        <w:keepNext/>
        <w:spacing w:after="60"/>
      </w:pPr>
      <w:r>
        <w:rPr>
          <w:b/>
          <w:i w:val="0"/>
        </w:rPr>
        <w:t xml:space="preserve">Table 20: </w:t>
      </w:r>
      <w:r>
        <w:rPr/>
        <w:t>Open points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83"/>
        <w:gridCol w:w="2422"/>
        <w:gridCol w:w="3989"/>
        <w:gridCol w:w="1567"/>
        <w:gridCol w:w="1211"/>
      </w:tblGrid>
      <w:tr>
        <w:trPr>
          <w:tblHeader w:val="true"/>
          <w:cantSplit w:val="true"/>
        </w:trPr>
        <w:tc>
          <w:tcPr>
            <w:tcW w:type="dxa" w:w="784"/>
            <w:shd w:val="clear" w:color="auto" w:fill="004EA8"/>
            <w:tcMar>
              <w:top w:w="50" w:type="dxa"/>
              <w:bottom w:w="50" w:type="dxa"/>
              <w:left w:w="90" w:type="dxa"/>
              <w:right w:w="90" w:type="dxa"/>
            </w:tcMar>
            <w:vAlign w:val="center"/>
          </w:tcPr>
          <w:p>
            <w:pPr>
              <w:pStyle w:val="BDOITableHeader"/>
            </w:pPr>
            <w:r>
              <w:rPr>
                <w:b/>
                <w:color w:val="FFFFFF"/>
                <w:sz w:val="17"/>
              </w:rPr>
              <w:t>Ref</w:t>
            </w:r>
          </w:p>
        </w:tc>
        <w:tc>
          <w:tcPr>
            <w:tcW w:type="dxa" w:w="2422"/>
            <w:shd w:val="clear" w:color="auto" w:fill="004EA8"/>
            <w:tcMar>
              <w:top w:w="50" w:type="dxa"/>
              <w:bottom w:w="50" w:type="dxa"/>
              <w:left w:w="90" w:type="dxa"/>
              <w:right w:w="90" w:type="dxa"/>
            </w:tcMar>
            <w:vAlign w:val="center"/>
          </w:tcPr>
          <w:p>
            <w:pPr>
              <w:pStyle w:val="BDOITableHeader"/>
            </w:pPr>
            <w:r>
              <w:rPr>
                <w:b/>
                <w:color w:val="FFFFFF"/>
                <w:sz w:val="17"/>
              </w:rPr>
              <w:t>Point</w:t>
            </w:r>
          </w:p>
        </w:tc>
        <w:tc>
          <w:tcPr>
            <w:tcW w:type="dxa" w:w="3989"/>
            <w:shd w:val="clear" w:color="auto" w:fill="004EA8"/>
            <w:tcMar>
              <w:top w:w="50" w:type="dxa"/>
              <w:bottom w:w="50" w:type="dxa"/>
              <w:left w:w="90" w:type="dxa"/>
              <w:right w:w="90" w:type="dxa"/>
            </w:tcMar>
            <w:vAlign w:val="center"/>
          </w:tcPr>
          <w:p>
            <w:pPr>
              <w:pStyle w:val="BDOITableHeader"/>
            </w:pPr>
            <w:r>
              <w:rPr>
                <w:b/>
                <w:color w:val="FFFFFF"/>
                <w:sz w:val="17"/>
              </w:rPr>
              <w:t>Our proposal</w:t>
            </w:r>
          </w:p>
        </w:tc>
        <w:tc>
          <w:tcPr>
            <w:tcW w:type="dxa" w:w="1567"/>
            <w:shd w:val="clear" w:color="auto" w:fill="004EA8"/>
            <w:tcMar>
              <w:top w:w="50" w:type="dxa"/>
              <w:bottom w:w="50" w:type="dxa"/>
              <w:left w:w="90" w:type="dxa"/>
              <w:right w:w="90" w:type="dxa"/>
            </w:tcMar>
            <w:vAlign w:val="center"/>
          </w:tcPr>
          <w:p>
            <w:pPr>
              <w:pStyle w:val="BDOITableHeader"/>
            </w:pPr>
            <w:r>
              <w:rPr>
                <w:b/>
                <w:color w:val="FFFFFF"/>
                <w:sz w:val="17"/>
              </w:rPr>
              <w:t>Owner</w:t>
            </w:r>
          </w:p>
        </w:tc>
        <w:tc>
          <w:tcPr>
            <w:tcW w:type="dxa" w:w="1211"/>
            <w:shd w:val="clear" w:color="auto" w:fill="004EA8"/>
            <w:tcMar>
              <w:top w:w="50" w:type="dxa"/>
              <w:bottom w:w="50" w:type="dxa"/>
              <w:left w:w="90" w:type="dxa"/>
              <w:right w:w="90" w:type="dxa"/>
            </w:tcMar>
            <w:vAlign w:val="center"/>
          </w:tcPr>
          <w:p>
            <w:pPr>
              <w:pStyle w:val="BDOITableHeader"/>
            </w:pPr>
            <w:r>
              <w:rPr>
                <w:b/>
                <w:color w:val="FFFFFF"/>
                <w:sz w:val="17"/>
              </w:rPr>
              <w:t>Needed by</w:t>
            </w:r>
          </w:p>
        </w:tc>
      </w:tr>
      <w:tr>
        <w:trPr>
          <w:cantSplit w:val="true"/>
        </w:trPr>
        <w:tc>
          <w:tcPr>
            <w:tcW w:type="dxa" w:w="784"/>
            <w:tcMar>
              <w:top w:w="50" w:type="dxa"/>
              <w:bottom w:w="50" w:type="dxa"/>
              <w:left w:w="90" w:type="dxa"/>
              <w:right w:w="90" w:type="dxa"/>
            </w:tcMar>
          </w:tcPr>
          <w:p>
            <w:pPr>
              <w:pStyle w:val="BDOITable"/>
            </w:pPr>
            <w:r>
              <w:rPr>
                <w:b/>
                <w:sz w:val="17"/>
              </w:rPr>
              <w:t>RET-01</w:t>
            </w:r>
          </w:p>
        </w:tc>
        <w:tc>
          <w:tcPr>
            <w:tcW w:type="dxa" w:w="2422"/>
            <w:tcMar>
              <w:top w:w="50" w:type="dxa"/>
              <w:bottom w:w="50" w:type="dxa"/>
              <w:left w:w="90" w:type="dxa"/>
              <w:right w:w="90" w:type="dxa"/>
            </w:tcMar>
          </w:tcPr>
          <w:p>
            <w:pPr>
              <w:pStyle w:val="BDOITable"/>
            </w:pPr>
            <w:r>
              <w:rPr>
                <w:sz w:val="17"/>
              </w:rPr>
              <w:t>Retention of books, accounting records and tax documents</w:t>
            </w:r>
          </w:p>
        </w:tc>
        <w:tc>
          <w:tcPr>
            <w:tcW w:type="dxa" w:w="3989"/>
            <w:tcMar>
              <w:top w:w="50" w:type="dxa"/>
              <w:bottom w:w="50" w:type="dxa"/>
              <w:left w:w="90" w:type="dxa"/>
              <w:right w:w="90" w:type="dxa"/>
            </w:tcMar>
          </w:tcPr>
          <w:p>
            <w:pPr>
              <w:pStyle w:val="BDOITable"/>
            </w:pPr>
            <w:r>
              <w:rPr>
                <w:sz w:val="17"/>
              </w:rPr>
              <w:t>10 years after the taxable year (5 online, 5 archive), then disposal after BIR clearance; replaces the 20 years configured for receipts and BIR forms</w:t>
            </w:r>
          </w:p>
        </w:tc>
        <w:tc>
          <w:tcPr>
            <w:tcW w:type="dxa" w:w="1567"/>
            <w:tcMar>
              <w:top w:w="50" w:type="dxa"/>
              <w:bottom w:w="50" w:type="dxa"/>
              <w:left w:w="90" w:type="dxa"/>
              <w:right w:w="90" w:type="dxa"/>
            </w:tcMar>
          </w:tcPr>
          <w:p>
            <w:pPr>
              <w:pStyle w:val="BDOITable"/>
            </w:pPr>
            <w:r>
              <w:rPr>
                <w:sz w:val="17"/>
              </w:rPr>
              <w:t>Head - Comptrollership; BDOI Tax</w:t>
            </w:r>
          </w:p>
        </w:tc>
        <w:tc>
          <w:tcPr>
            <w:tcW w:type="dxa" w:w="1211"/>
            <w:tcMar>
              <w:top w:w="50" w:type="dxa"/>
              <w:bottom w:w="50" w:type="dxa"/>
              <w:left w:w="90" w:type="dxa"/>
              <w:right w:w="90" w:type="dxa"/>
            </w:tcMar>
          </w:tcPr>
          <w:p>
            <w:pPr>
              <w:pStyle w:val="BDOITable"/>
            </w:pPr>
            <w:r>
              <w:rPr>
                <w:sz w:val="17"/>
              </w:rPr>
              <w:t>31 Jan 2027</w:t>
            </w:r>
          </w:p>
        </w:tc>
      </w:tr>
      <w:tr>
        <w:trPr>
          <w:cantSplit w:val="true"/>
        </w:trPr>
        <w:tc>
          <w:tcPr>
            <w:tcW w:type="dxa" w:w="784"/>
            <w:tcMar>
              <w:top w:w="50" w:type="dxa"/>
              <w:bottom w:w="50" w:type="dxa"/>
              <w:left w:w="90" w:type="dxa"/>
              <w:right w:w="90" w:type="dxa"/>
            </w:tcMar>
            <w:shd w:val="clear" w:color="auto" w:fill="E5F5FF"/>
          </w:tcPr>
          <w:p>
            <w:pPr>
              <w:pStyle w:val="BDOITable"/>
            </w:pPr>
            <w:r>
              <w:rPr>
                <w:b/>
                <w:sz w:val="17"/>
              </w:rPr>
              <w:t>RET-02</w:t>
            </w:r>
          </w:p>
        </w:tc>
        <w:tc>
          <w:tcPr>
            <w:tcW w:type="dxa" w:w="2422"/>
            <w:tcMar>
              <w:top w:w="50" w:type="dxa"/>
              <w:bottom w:w="50" w:type="dxa"/>
              <w:left w:w="90" w:type="dxa"/>
              <w:right w:w="90" w:type="dxa"/>
            </w:tcMar>
            <w:shd w:val="clear" w:color="auto" w:fill="E5F5FF"/>
          </w:tcPr>
          <w:p>
            <w:pPr>
              <w:pStyle w:val="BDOITable"/>
            </w:pPr>
            <w:r>
              <w:rPr>
                <w:sz w:val="17"/>
              </w:rPr>
              <w:t>Insurance Commission record requirements for a broker</w:t>
            </w:r>
          </w:p>
        </w:tc>
        <w:tc>
          <w:tcPr>
            <w:tcW w:type="dxa" w:w="3989"/>
            <w:tcMar>
              <w:top w:w="50" w:type="dxa"/>
              <w:bottom w:w="50" w:type="dxa"/>
              <w:left w:w="90" w:type="dxa"/>
              <w:right w:w="90" w:type="dxa"/>
            </w:tcMar>
            <w:shd w:val="clear" w:color="auto" w:fill="E5F5FF"/>
          </w:tcPr>
          <w:p>
            <w:pPr>
              <w:pStyle w:val="BDOITable"/>
            </w:pPr>
            <w:r>
              <w:rPr>
                <w:sz w:val="17"/>
              </w:rPr>
              <w:t>10 years after policy expiry for policies, slips and SOAs, unless the Insurance Commission requires more</w:t>
            </w:r>
          </w:p>
        </w:tc>
        <w:tc>
          <w:tcPr>
            <w:tcW w:type="dxa" w:w="1567"/>
            <w:tcMar>
              <w:top w:w="50" w:type="dxa"/>
              <w:bottom w:w="50" w:type="dxa"/>
              <w:left w:w="90" w:type="dxa"/>
              <w:right w:w="90" w:type="dxa"/>
            </w:tcMar>
            <w:shd w:val="clear" w:color="auto" w:fill="E5F5FF"/>
          </w:tcPr>
          <w:p>
            <w:pPr>
              <w:pStyle w:val="BDOITable"/>
            </w:pPr>
            <w:r>
              <w:rPr>
                <w:sz w:val="17"/>
              </w:rPr>
              <w:t>Compliance Officer</w:t>
            </w:r>
          </w:p>
        </w:tc>
        <w:tc>
          <w:tcPr>
            <w:tcW w:type="dxa" w:w="1211"/>
            <w:tcMar>
              <w:top w:w="50" w:type="dxa"/>
              <w:bottom w:w="50" w:type="dxa"/>
              <w:left w:w="90" w:type="dxa"/>
              <w:right w:w="90" w:type="dxa"/>
            </w:tcMar>
            <w:shd w:val="clear" w:color="auto" w:fill="E5F5FF"/>
          </w:tcPr>
          <w:p>
            <w:pPr>
              <w:pStyle w:val="BDOITable"/>
            </w:pPr>
            <w:r>
              <w:rPr>
                <w:sz w:val="17"/>
              </w:rPr>
              <w:t>31 Jan 2027</w:t>
            </w:r>
          </w:p>
        </w:tc>
      </w:tr>
      <w:tr>
        <w:trPr>
          <w:cantSplit w:val="true"/>
        </w:trPr>
        <w:tc>
          <w:tcPr>
            <w:tcW w:type="dxa" w:w="784"/>
            <w:tcMar>
              <w:top w:w="50" w:type="dxa"/>
              <w:bottom w:w="50" w:type="dxa"/>
              <w:left w:w="90" w:type="dxa"/>
              <w:right w:w="90" w:type="dxa"/>
            </w:tcMar>
          </w:tcPr>
          <w:p>
            <w:pPr>
              <w:pStyle w:val="BDOITable"/>
            </w:pPr>
            <w:r>
              <w:rPr>
                <w:b/>
                <w:sz w:val="17"/>
              </w:rPr>
              <w:t>RET-03</w:t>
            </w:r>
          </w:p>
        </w:tc>
        <w:tc>
          <w:tcPr>
            <w:tcW w:type="dxa" w:w="2422"/>
            <w:tcMar>
              <w:top w:w="50" w:type="dxa"/>
              <w:bottom w:w="50" w:type="dxa"/>
              <w:left w:w="90" w:type="dxa"/>
              <w:right w:w="90" w:type="dxa"/>
            </w:tcMar>
          </w:tcPr>
          <w:p>
            <w:pPr>
              <w:pStyle w:val="BDOITable"/>
            </w:pPr>
            <w:r>
              <w:rPr>
                <w:sz w:val="17"/>
              </w:rPr>
              <w:t>AMLA retention</w:t>
            </w:r>
          </w:p>
        </w:tc>
        <w:tc>
          <w:tcPr>
            <w:tcW w:type="dxa" w:w="3989"/>
            <w:tcMar>
              <w:top w:w="50" w:type="dxa"/>
              <w:bottom w:w="50" w:type="dxa"/>
              <w:left w:w="90" w:type="dxa"/>
              <w:right w:w="90" w:type="dxa"/>
            </w:tcMar>
          </w:tcPr>
          <w:p>
            <w:pPr>
              <w:pStyle w:val="BDOITable"/>
            </w:pPr>
            <w:r>
              <w:rPr>
                <w:sz w:val="17"/>
              </w:rPr>
              <w:t>5 years after the end of the client relationship or the transaction for KYC, screening and STR records; longer while a case is open; legal hold for STRs</w:t>
            </w:r>
          </w:p>
        </w:tc>
        <w:tc>
          <w:tcPr>
            <w:tcW w:type="dxa" w:w="1567"/>
            <w:tcMar>
              <w:top w:w="50" w:type="dxa"/>
              <w:bottom w:w="50" w:type="dxa"/>
              <w:left w:w="90" w:type="dxa"/>
              <w:right w:w="90" w:type="dxa"/>
            </w:tcMar>
          </w:tcPr>
          <w:p>
            <w:pPr>
              <w:pStyle w:val="BDOITable"/>
            </w:pPr>
            <w:r>
              <w:rPr>
                <w:sz w:val="17"/>
              </w:rPr>
              <w:t>Compliance Officer</w:t>
            </w:r>
          </w:p>
        </w:tc>
        <w:tc>
          <w:tcPr>
            <w:tcW w:type="dxa" w:w="1211"/>
            <w:tcMar>
              <w:top w:w="50" w:type="dxa"/>
              <w:bottom w:w="50" w:type="dxa"/>
              <w:left w:w="90" w:type="dxa"/>
              <w:right w:w="90" w:type="dxa"/>
            </w:tcMar>
          </w:tcPr>
          <w:p>
            <w:pPr>
              <w:pStyle w:val="BDOITable"/>
            </w:pPr>
            <w:r>
              <w:rPr>
                <w:sz w:val="17"/>
              </w:rPr>
              <w:t>31 Jan 2027</w:t>
            </w:r>
          </w:p>
        </w:tc>
      </w:tr>
      <w:tr>
        <w:trPr>
          <w:cantSplit w:val="true"/>
        </w:trPr>
        <w:tc>
          <w:tcPr>
            <w:tcW w:type="dxa" w:w="784"/>
            <w:tcMar>
              <w:top w:w="50" w:type="dxa"/>
              <w:bottom w:w="50" w:type="dxa"/>
              <w:left w:w="90" w:type="dxa"/>
              <w:right w:w="90" w:type="dxa"/>
            </w:tcMar>
            <w:shd w:val="clear" w:color="auto" w:fill="E5F5FF"/>
          </w:tcPr>
          <w:p>
            <w:pPr>
              <w:pStyle w:val="BDOITable"/>
            </w:pPr>
            <w:r>
              <w:rPr>
                <w:b/>
                <w:sz w:val="17"/>
              </w:rPr>
              <w:t>RET-04</w:t>
            </w:r>
          </w:p>
        </w:tc>
        <w:tc>
          <w:tcPr>
            <w:tcW w:type="dxa" w:w="2422"/>
            <w:tcMar>
              <w:top w:w="50" w:type="dxa"/>
              <w:bottom w:w="50" w:type="dxa"/>
              <w:left w:w="90" w:type="dxa"/>
              <w:right w:w="90" w:type="dxa"/>
            </w:tcMar>
            <w:shd w:val="clear" w:color="auto" w:fill="E5F5FF"/>
          </w:tcPr>
          <w:p>
            <w:pPr>
              <w:pStyle w:val="BDOITable"/>
            </w:pPr>
            <w:r>
              <w:rPr>
                <w:sz w:val="17"/>
              </w:rPr>
              <w:t>BDO records retention policy</w:t>
            </w:r>
          </w:p>
        </w:tc>
        <w:tc>
          <w:tcPr>
            <w:tcW w:type="dxa" w:w="3989"/>
            <w:tcMar>
              <w:top w:w="50" w:type="dxa"/>
              <w:bottom w:w="50" w:type="dxa"/>
              <w:left w:w="90" w:type="dxa"/>
              <w:right w:w="90" w:type="dxa"/>
            </w:tcMar>
            <w:shd w:val="clear" w:color="auto" w:fill="E5F5FF"/>
          </w:tcPr>
          <w:p>
            <w:pPr>
              <w:pStyle w:val="BDOITable"/>
            </w:pPr>
            <w:r>
              <w:rPr>
                <w:sz w:val="17"/>
              </w:rPr>
              <w:t>Apply the values of chapter 7 for the records without a legal period; archive the audit trail after 5 years; dispose of prospects never confirmed after 5 years</w:t>
            </w:r>
          </w:p>
        </w:tc>
        <w:tc>
          <w:tcPr>
            <w:tcW w:type="dxa" w:w="1567"/>
            <w:tcMar>
              <w:top w:w="50" w:type="dxa"/>
              <w:bottom w:w="50" w:type="dxa"/>
              <w:left w:w="90" w:type="dxa"/>
              <w:right w:w="90" w:type="dxa"/>
            </w:tcMar>
            <w:shd w:val="clear" w:color="auto" w:fill="E5F5FF"/>
          </w:tcPr>
          <w:p>
            <w:pPr>
              <w:pStyle w:val="BDOITable"/>
            </w:pPr>
            <w:r>
              <w:rPr>
                <w:sz w:val="17"/>
              </w:rPr>
              <w:t>BDOI IT; Compliance Officer</w:t>
            </w:r>
          </w:p>
        </w:tc>
        <w:tc>
          <w:tcPr>
            <w:tcW w:type="dxa" w:w="1211"/>
            <w:tcMar>
              <w:top w:w="50" w:type="dxa"/>
              <w:bottom w:w="50" w:type="dxa"/>
              <w:left w:w="90" w:type="dxa"/>
              <w:right w:w="90" w:type="dxa"/>
            </w:tcMar>
            <w:shd w:val="clear" w:color="auto" w:fill="E5F5FF"/>
          </w:tcPr>
          <w:p>
            <w:pPr>
              <w:pStyle w:val="BDOITable"/>
            </w:pPr>
            <w:r>
              <w:rPr>
                <w:sz w:val="17"/>
              </w:rPr>
              <w:t>31 Mar 2027</w:t>
            </w:r>
          </w:p>
        </w:tc>
      </w:tr>
      <w:tr>
        <w:trPr>
          <w:cantSplit w:val="true"/>
        </w:trPr>
        <w:tc>
          <w:tcPr>
            <w:tcW w:type="dxa" w:w="784"/>
            <w:tcMar>
              <w:top w:w="50" w:type="dxa"/>
              <w:bottom w:w="50" w:type="dxa"/>
              <w:left w:w="90" w:type="dxa"/>
              <w:right w:w="90" w:type="dxa"/>
            </w:tcMar>
          </w:tcPr>
          <w:p>
            <w:pPr>
              <w:pStyle w:val="BDOITable"/>
            </w:pPr>
            <w:r>
              <w:rPr>
                <w:b/>
                <w:sz w:val="17"/>
              </w:rPr>
              <w:t>RET-05</w:t>
            </w:r>
          </w:p>
        </w:tc>
        <w:tc>
          <w:tcPr>
            <w:tcW w:type="dxa" w:w="2422"/>
            <w:tcMar>
              <w:top w:w="50" w:type="dxa"/>
              <w:bottom w:w="50" w:type="dxa"/>
              <w:left w:w="90" w:type="dxa"/>
              <w:right w:w="90" w:type="dxa"/>
            </w:tcMar>
          </w:tcPr>
          <w:p>
            <w:pPr>
              <w:pStyle w:val="BDOITable"/>
            </w:pPr>
            <w:r>
              <w:rPr>
                <w:sz w:val="17"/>
              </w:rPr>
              <w:t>Archive store</w:t>
            </w:r>
          </w:p>
        </w:tc>
        <w:tc>
          <w:tcPr>
            <w:tcW w:type="dxa" w:w="3989"/>
            <w:tcMar>
              <w:top w:w="50" w:type="dxa"/>
              <w:bottom w:w="50" w:type="dxa"/>
              <w:left w:w="90" w:type="dxa"/>
              <w:right w:w="90" w:type="dxa"/>
            </w:tcMar>
          </w:tcPr>
          <w:p>
            <w:pPr>
              <w:pStyle w:val="BDOITable"/>
            </w:pPr>
            <w:r>
              <w:rPr>
                <w:sz w:val="17"/>
              </w:rPr>
              <w:t>Archive to an S3 archive tier with ECM for final records; BIBS keeps a searchable index of archived records</w:t>
            </w:r>
          </w:p>
        </w:tc>
        <w:tc>
          <w:tcPr>
            <w:tcW w:type="dxa" w:w="1567"/>
            <w:tcMar>
              <w:top w:w="50" w:type="dxa"/>
              <w:bottom w:w="50" w:type="dxa"/>
              <w:left w:w="90" w:type="dxa"/>
              <w:right w:w="90" w:type="dxa"/>
            </w:tcMar>
          </w:tcPr>
          <w:p>
            <w:pPr>
              <w:pStyle w:val="BDOITable"/>
            </w:pPr>
            <w:r>
              <w:rPr>
                <w:sz w:val="17"/>
              </w:rPr>
              <w:t>BDOI IT</w:t>
            </w:r>
          </w:p>
        </w:tc>
        <w:tc>
          <w:tcPr>
            <w:tcW w:type="dxa" w:w="1211"/>
            <w:tcMar>
              <w:top w:w="50" w:type="dxa"/>
              <w:bottom w:w="50" w:type="dxa"/>
              <w:left w:w="90" w:type="dxa"/>
              <w:right w:w="90" w:type="dxa"/>
            </w:tcMar>
          </w:tcPr>
          <w:p>
            <w:pPr>
              <w:pStyle w:val="BDOITable"/>
            </w:pPr>
            <w:r>
              <w:rPr>
                <w:sz w:val="17"/>
              </w:rPr>
              <w:t>31 Mar 2027</w:t>
            </w:r>
          </w:p>
        </w:tc>
      </w:tr>
      <w:tr>
        <w:trPr>
          <w:cantSplit w:val="true"/>
        </w:trPr>
        <w:tc>
          <w:tcPr>
            <w:tcW w:type="dxa" w:w="784"/>
            <w:tcMar>
              <w:top w:w="50" w:type="dxa"/>
              <w:bottom w:w="50" w:type="dxa"/>
              <w:left w:w="90" w:type="dxa"/>
              <w:right w:w="90" w:type="dxa"/>
            </w:tcMar>
            <w:shd w:val="clear" w:color="auto" w:fill="E5F5FF"/>
          </w:tcPr>
          <w:p>
            <w:pPr>
              <w:pStyle w:val="BDOITable"/>
            </w:pPr>
            <w:r>
              <w:rPr>
                <w:b/>
                <w:sz w:val="17"/>
              </w:rPr>
              <w:t>DAT-01</w:t>
            </w:r>
          </w:p>
        </w:tc>
        <w:tc>
          <w:tcPr>
            <w:tcW w:type="dxa" w:w="2422"/>
            <w:tcMar>
              <w:top w:w="50" w:type="dxa"/>
              <w:bottom w:w="50" w:type="dxa"/>
              <w:left w:w="90" w:type="dxa"/>
              <w:right w:w="90" w:type="dxa"/>
            </w:tcMar>
            <w:shd w:val="clear" w:color="auto" w:fill="E5F5FF"/>
          </w:tcPr>
          <w:p>
            <w:pPr>
              <w:pStyle w:val="BDOITable"/>
            </w:pPr>
            <w:r>
              <w:rPr>
                <w:sz w:val="17"/>
              </w:rPr>
              <w:t>Data owners</w:t>
            </w:r>
          </w:p>
        </w:tc>
        <w:tc>
          <w:tcPr>
            <w:tcW w:type="dxa" w:w="3989"/>
            <w:tcMar>
              <w:top w:w="50" w:type="dxa"/>
              <w:bottom w:w="50" w:type="dxa"/>
              <w:left w:w="90" w:type="dxa"/>
              <w:right w:w="90" w:type="dxa"/>
            </w:tcMar>
            <w:shd w:val="clear" w:color="auto" w:fill="E5F5FF"/>
          </w:tcPr>
          <w:p>
            <w:pPr>
              <w:pStyle w:val="BDOITable"/>
            </w:pPr>
            <w:r>
              <w:rPr>
                <w:sz w:val="17"/>
              </w:rPr>
              <w:t>Confirm the owners of chapter 4 by name</w:t>
            </w:r>
          </w:p>
        </w:tc>
        <w:tc>
          <w:tcPr>
            <w:tcW w:type="dxa" w:w="1567"/>
            <w:tcMar>
              <w:top w:w="50" w:type="dxa"/>
              <w:bottom w:w="50" w:type="dxa"/>
              <w:left w:w="90" w:type="dxa"/>
              <w:right w:w="90" w:type="dxa"/>
            </w:tcMar>
            <w:shd w:val="clear" w:color="auto" w:fill="E5F5FF"/>
          </w:tcPr>
          <w:p>
            <w:pPr>
              <w:pStyle w:val="BDOITable"/>
            </w:pPr>
            <w:r>
              <w:rPr>
                <w:sz w:val="17"/>
              </w:rPr>
              <w:t>BDOI Program Manager</w:t>
            </w:r>
          </w:p>
        </w:tc>
        <w:tc>
          <w:tcPr>
            <w:tcW w:type="dxa" w:w="1211"/>
            <w:tcMar>
              <w:top w:w="50" w:type="dxa"/>
              <w:bottom w:w="50" w:type="dxa"/>
              <w:left w:w="90" w:type="dxa"/>
              <w:right w:w="90" w:type="dxa"/>
            </w:tcMar>
            <w:shd w:val="clear" w:color="auto" w:fill="E5F5FF"/>
          </w:tcPr>
          <w:p>
            <w:pPr>
              <w:pStyle w:val="BDOITable"/>
            </w:pPr>
            <w:r>
              <w:rPr>
                <w:sz w:val="17"/>
              </w:rPr>
              <w:t>30 Nov 2026</w:t>
            </w:r>
          </w:p>
        </w:tc>
      </w:tr>
      <w:tr>
        <w:trPr>
          <w:cantSplit w:val="true"/>
        </w:trPr>
        <w:tc>
          <w:tcPr>
            <w:tcW w:type="dxa" w:w="784"/>
            <w:tcMar>
              <w:top w:w="50" w:type="dxa"/>
              <w:bottom w:w="50" w:type="dxa"/>
              <w:left w:w="90" w:type="dxa"/>
              <w:right w:w="90" w:type="dxa"/>
            </w:tcMar>
          </w:tcPr>
          <w:p>
            <w:pPr>
              <w:pStyle w:val="BDOITable"/>
            </w:pPr>
            <w:r>
              <w:rPr>
                <w:b/>
                <w:sz w:val="17"/>
              </w:rPr>
              <w:t>DAT-02</w:t>
            </w:r>
          </w:p>
        </w:tc>
        <w:tc>
          <w:tcPr>
            <w:tcW w:type="dxa" w:w="2422"/>
            <w:tcMar>
              <w:top w:w="50" w:type="dxa"/>
              <w:bottom w:w="50" w:type="dxa"/>
              <w:left w:w="90" w:type="dxa"/>
              <w:right w:w="90" w:type="dxa"/>
            </w:tcMar>
          </w:tcPr>
          <w:p>
            <w:pPr>
              <w:pStyle w:val="BDOITable"/>
            </w:pPr>
            <w:r>
              <w:rPr>
                <w:sz w:val="17"/>
              </w:rPr>
              <w:t>Data quality targets</w:t>
            </w:r>
          </w:p>
        </w:tc>
        <w:tc>
          <w:tcPr>
            <w:tcW w:type="dxa" w:w="3989"/>
            <w:tcMar>
              <w:top w:w="50" w:type="dxa"/>
              <w:bottom w:w="50" w:type="dxa"/>
              <w:left w:w="90" w:type="dxa"/>
              <w:right w:w="90" w:type="dxa"/>
            </w:tcMar>
          </w:tcPr>
          <w:p>
            <w:pPr>
              <w:pStyle w:val="BDOITable"/>
            </w:pPr>
            <w:r>
              <w:rPr>
                <w:sz w:val="17"/>
              </w:rPr>
              <w:t>Accept the targets of section 4.3 and the monthly report of chapter 11</w:t>
            </w:r>
          </w:p>
        </w:tc>
        <w:tc>
          <w:tcPr>
            <w:tcW w:type="dxa" w:w="1567"/>
            <w:tcMar>
              <w:top w:w="50" w:type="dxa"/>
              <w:bottom w:w="50" w:type="dxa"/>
              <w:left w:w="90" w:type="dxa"/>
              <w:right w:w="90" w:type="dxa"/>
            </w:tcMar>
          </w:tcPr>
          <w:p>
            <w:pPr>
              <w:pStyle w:val="BDOITable"/>
            </w:pPr>
            <w:r>
              <w:rPr>
                <w:sz w:val="17"/>
              </w:rPr>
              <w:t>Data owners</w:t>
            </w:r>
          </w:p>
        </w:tc>
        <w:tc>
          <w:tcPr>
            <w:tcW w:type="dxa" w:w="1211"/>
            <w:tcMar>
              <w:top w:w="50" w:type="dxa"/>
              <w:bottom w:w="50" w:type="dxa"/>
              <w:left w:w="90" w:type="dxa"/>
              <w:right w:w="90" w:type="dxa"/>
            </w:tcMar>
          </w:tcPr>
          <w:p>
            <w:pPr>
              <w:pStyle w:val="BDOITable"/>
            </w:pPr>
            <w:r>
              <w:rPr>
                <w:sz w:val="17"/>
              </w:rPr>
              <w:t>31 Jan 2027</w:t>
            </w:r>
          </w:p>
        </w:tc>
      </w:tr>
      <w:tr>
        <w:trPr>
          <w:cantSplit w:val="true"/>
        </w:trPr>
        <w:tc>
          <w:tcPr>
            <w:tcW w:type="dxa" w:w="784"/>
            <w:tcMar>
              <w:top w:w="50" w:type="dxa"/>
              <w:bottom w:w="50" w:type="dxa"/>
              <w:left w:w="90" w:type="dxa"/>
              <w:right w:w="90" w:type="dxa"/>
            </w:tcMar>
            <w:shd w:val="clear" w:color="auto" w:fill="E5F5FF"/>
          </w:tcPr>
          <w:p>
            <w:pPr>
              <w:pStyle w:val="BDOITable"/>
            </w:pPr>
            <w:r>
              <w:rPr>
                <w:b/>
                <w:sz w:val="17"/>
              </w:rPr>
              <w:t>DAT-03</w:t>
            </w:r>
          </w:p>
        </w:tc>
        <w:tc>
          <w:tcPr>
            <w:tcW w:type="dxa" w:w="2422"/>
            <w:tcMar>
              <w:top w:w="50" w:type="dxa"/>
              <w:bottom w:w="50" w:type="dxa"/>
              <w:left w:w="90" w:type="dxa"/>
              <w:right w:w="90" w:type="dxa"/>
            </w:tcMar>
            <w:shd w:val="clear" w:color="auto" w:fill="E5F5FF"/>
          </w:tcPr>
          <w:p>
            <w:pPr>
              <w:pStyle w:val="BDOITable"/>
            </w:pPr>
            <w:r>
              <w:rPr>
                <w:sz w:val="17"/>
              </w:rPr>
              <w:t>Enterprise data catalogue</w:t>
            </w:r>
          </w:p>
        </w:tc>
        <w:tc>
          <w:tcPr>
            <w:tcW w:type="dxa" w:w="3989"/>
            <w:tcMar>
              <w:top w:w="50" w:type="dxa"/>
              <w:bottom w:w="50" w:type="dxa"/>
              <w:left w:w="90" w:type="dxa"/>
              <w:right w:w="90" w:type="dxa"/>
            </w:tcMar>
            <w:shd w:val="clear" w:color="auto" w:fill="E5F5FF"/>
          </w:tcPr>
          <w:p>
            <w:pPr>
              <w:pStyle w:val="BDOITable"/>
            </w:pPr>
            <w:r>
              <w:rPr>
                <w:sz w:val="17"/>
              </w:rPr>
              <w:t>Name the catalogue tool; BIBS publishes schema, comments, classification tags and owners at each release</w:t>
            </w:r>
          </w:p>
        </w:tc>
        <w:tc>
          <w:tcPr>
            <w:tcW w:type="dxa" w:w="1567"/>
            <w:tcMar>
              <w:top w:w="50" w:type="dxa"/>
              <w:bottom w:w="50" w:type="dxa"/>
              <w:left w:w="90" w:type="dxa"/>
              <w:right w:w="90" w:type="dxa"/>
            </w:tcMar>
            <w:shd w:val="clear" w:color="auto" w:fill="E5F5FF"/>
          </w:tcPr>
          <w:p>
            <w:pPr>
              <w:pStyle w:val="BDOITable"/>
            </w:pPr>
            <w:r>
              <w:rPr>
                <w:sz w:val="17"/>
              </w:rPr>
              <w:t>BDOI IT</w:t>
            </w:r>
          </w:p>
        </w:tc>
        <w:tc>
          <w:tcPr>
            <w:tcW w:type="dxa" w:w="1211"/>
            <w:tcMar>
              <w:top w:w="50" w:type="dxa"/>
              <w:bottom w:w="50" w:type="dxa"/>
              <w:left w:w="90" w:type="dxa"/>
              <w:right w:w="90" w:type="dxa"/>
            </w:tcMar>
            <w:shd w:val="clear" w:color="auto" w:fill="E5F5FF"/>
          </w:tcPr>
          <w:p>
            <w:pPr>
              <w:pStyle w:val="BDOITable"/>
            </w:pPr>
            <w:r>
              <w:rPr>
                <w:sz w:val="17"/>
              </w:rPr>
              <w:t>31 Mar 2027</w:t>
            </w:r>
          </w:p>
        </w:tc>
      </w:tr>
      <w:tr>
        <w:trPr>
          <w:cantSplit w:val="true"/>
        </w:trPr>
        <w:tc>
          <w:tcPr>
            <w:tcW w:type="dxa" w:w="784"/>
            <w:tcMar>
              <w:top w:w="50" w:type="dxa"/>
              <w:bottom w:w="50" w:type="dxa"/>
              <w:left w:w="90" w:type="dxa"/>
              <w:right w:w="90" w:type="dxa"/>
            </w:tcMar>
          </w:tcPr>
          <w:p>
            <w:pPr>
              <w:pStyle w:val="BDOITable"/>
            </w:pPr>
            <w:r>
              <w:rPr>
                <w:b/>
                <w:sz w:val="17"/>
              </w:rPr>
              <w:t>DAT-04</w:t>
            </w:r>
          </w:p>
        </w:tc>
        <w:tc>
          <w:tcPr>
            <w:tcW w:type="dxa" w:w="2422"/>
            <w:tcMar>
              <w:top w:w="50" w:type="dxa"/>
              <w:bottom w:w="50" w:type="dxa"/>
              <w:left w:w="90" w:type="dxa"/>
              <w:right w:w="90" w:type="dxa"/>
            </w:tcMar>
          </w:tcPr>
          <w:p>
            <w:pPr>
              <w:pStyle w:val="BDOITable"/>
            </w:pPr>
            <w:r>
              <w:rPr>
                <w:sz w:val="17"/>
              </w:rPr>
              <w:t>EGL and EDP extracts</w:t>
            </w:r>
          </w:p>
        </w:tc>
        <w:tc>
          <w:tcPr>
            <w:tcW w:type="dxa" w:w="3989"/>
            <w:tcMar>
              <w:top w:w="50" w:type="dxa"/>
              <w:bottom w:w="50" w:type="dxa"/>
              <w:left w:w="90" w:type="dxa"/>
              <w:right w:w="90" w:type="dxa"/>
            </w:tcMar>
          </w:tcPr>
          <w:p>
            <w:pPr>
              <w:pStyle w:val="BDOITable"/>
            </w:pPr>
            <w:r>
              <w:rPr>
                <w:sz w:val="17"/>
              </w:rPr>
              <w:t>Content, frequency and reconciliation of the EGL extract (journals or trial balance) and the EDP data ingestion (SD 11)</w:t>
            </w:r>
          </w:p>
        </w:tc>
        <w:tc>
          <w:tcPr>
            <w:tcW w:type="dxa" w:w="1567"/>
            <w:tcMar>
              <w:top w:w="50" w:type="dxa"/>
              <w:bottom w:w="50" w:type="dxa"/>
              <w:left w:w="90" w:type="dxa"/>
              <w:right w:w="90" w:type="dxa"/>
            </w:tcMar>
          </w:tcPr>
          <w:p>
            <w:pPr>
              <w:pStyle w:val="BDOITable"/>
            </w:pPr>
            <w:r>
              <w:rPr>
                <w:sz w:val="17"/>
              </w:rPr>
              <w:t>BDOI IT; EGL and EDP teams</w:t>
            </w:r>
          </w:p>
        </w:tc>
        <w:tc>
          <w:tcPr>
            <w:tcW w:type="dxa" w:w="1211"/>
            <w:tcMar>
              <w:top w:w="50" w:type="dxa"/>
              <w:bottom w:w="50" w:type="dxa"/>
              <w:left w:w="90" w:type="dxa"/>
              <w:right w:w="90" w:type="dxa"/>
            </w:tcMar>
          </w:tcPr>
          <w:p>
            <w:pPr>
              <w:pStyle w:val="BDOITable"/>
            </w:pPr>
            <w:r>
              <w:rPr>
                <w:sz w:val="17"/>
              </w:rPr>
              <w:t>31 Mar 2027</w:t>
            </w:r>
          </w:p>
        </w:tc>
      </w:tr>
      <w:tr>
        <w:trPr>
          <w:cantSplit w:val="true"/>
        </w:trPr>
        <w:tc>
          <w:tcPr>
            <w:tcW w:type="dxa" w:w="784"/>
            <w:tcMar>
              <w:top w:w="50" w:type="dxa"/>
              <w:bottom w:w="50" w:type="dxa"/>
              <w:left w:w="90" w:type="dxa"/>
              <w:right w:w="90" w:type="dxa"/>
            </w:tcMar>
            <w:shd w:val="clear" w:color="auto" w:fill="E5F5FF"/>
          </w:tcPr>
          <w:p>
            <w:pPr>
              <w:pStyle w:val="BDOITable"/>
            </w:pPr>
            <w:r>
              <w:rPr>
                <w:b/>
                <w:sz w:val="17"/>
              </w:rPr>
              <w:t>DAT-05</w:t>
            </w:r>
          </w:p>
        </w:tc>
        <w:tc>
          <w:tcPr>
            <w:tcW w:type="dxa" w:w="2422"/>
            <w:tcMar>
              <w:top w:w="50" w:type="dxa"/>
              <w:bottom w:w="50" w:type="dxa"/>
              <w:left w:w="90" w:type="dxa"/>
              <w:right w:w="90" w:type="dxa"/>
            </w:tcMar>
            <w:shd w:val="clear" w:color="auto" w:fill="E5F5FF"/>
          </w:tcPr>
          <w:p>
            <w:pPr>
              <w:pStyle w:val="BDOITable"/>
            </w:pPr>
            <w:r>
              <w:rPr>
                <w:sz w:val="17"/>
              </w:rPr>
              <w:t>Client consent record</w:t>
            </w:r>
          </w:p>
        </w:tc>
        <w:tc>
          <w:tcPr>
            <w:tcW w:type="dxa" w:w="3989"/>
            <w:tcMar>
              <w:top w:w="50" w:type="dxa"/>
              <w:bottom w:w="50" w:type="dxa"/>
              <w:left w:w="90" w:type="dxa"/>
              <w:right w:w="90" w:type="dxa"/>
            </w:tcMar>
            <w:shd w:val="clear" w:color="auto" w:fill="E5F5FF"/>
          </w:tcPr>
          <w:p>
            <w:pPr>
              <w:pStyle w:val="BDOITable"/>
            </w:pPr>
            <w:r>
              <w:rPr>
                <w:sz w:val="17"/>
              </w:rPr>
              <w:t>Where consent is captured and whether BIBS stores it (Security Architecture PRV-01)</w:t>
            </w:r>
          </w:p>
        </w:tc>
        <w:tc>
          <w:tcPr>
            <w:tcW w:type="dxa" w:w="1567"/>
            <w:tcMar>
              <w:top w:w="50" w:type="dxa"/>
              <w:bottom w:w="50" w:type="dxa"/>
              <w:left w:w="90" w:type="dxa"/>
              <w:right w:w="90" w:type="dxa"/>
            </w:tcMar>
            <w:shd w:val="clear" w:color="auto" w:fill="E5F5FF"/>
          </w:tcPr>
          <w:p>
            <w:pPr>
              <w:pStyle w:val="BDOITable"/>
            </w:pPr>
            <w:r>
              <w:rPr>
                <w:sz w:val="17"/>
              </w:rPr>
              <w:t>BDOI Data Protection Officer</w:t>
            </w:r>
          </w:p>
        </w:tc>
        <w:tc>
          <w:tcPr>
            <w:tcW w:type="dxa" w:w="1211"/>
            <w:tcMar>
              <w:top w:w="50" w:type="dxa"/>
              <w:bottom w:w="50" w:type="dxa"/>
              <w:left w:w="90" w:type="dxa"/>
              <w:right w:w="90" w:type="dxa"/>
            </w:tcMar>
            <w:shd w:val="clear" w:color="auto" w:fill="E5F5FF"/>
          </w:tcPr>
          <w:p>
            <w:pPr>
              <w:pStyle w:val="BDOITable"/>
            </w:pPr>
            <w:r>
              <w:rPr>
                <w:sz w:val="17"/>
              </w:rPr>
              <w:t>31 Jan 2027</w:t>
            </w:r>
          </w:p>
        </w:tc>
      </w:tr>
      <w:tr>
        <w:trPr>
          <w:cantSplit w:val="true"/>
        </w:trPr>
        <w:tc>
          <w:tcPr>
            <w:tcW w:type="dxa" w:w="784"/>
            <w:tcMar>
              <w:top w:w="50" w:type="dxa"/>
              <w:bottom w:w="50" w:type="dxa"/>
              <w:left w:w="90" w:type="dxa"/>
              <w:right w:w="90" w:type="dxa"/>
            </w:tcMar>
          </w:tcPr>
          <w:p>
            <w:pPr>
              <w:pStyle w:val="BDOITable"/>
            </w:pPr>
            <w:r>
              <w:rPr>
                <w:b/>
                <w:sz w:val="17"/>
              </w:rPr>
              <w:t>DAT-06</w:t>
            </w:r>
          </w:p>
        </w:tc>
        <w:tc>
          <w:tcPr>
            <w:tcW w:type="dxa" w:w="2422"/>
            <w:tcMar>
              <w:top w:w="50" w:type="dxa"/>
              <w:bottom w:w="50" w:type="dxa"/>
              <w:left w:w="90" w:type="dxa"/>
              <w:right w:w="90" w:type="dxa"/>
            </w:tcMar>
          </w:tcPr>
          <w:p>
            <w:pPr>
              <w:pStyle w:val="BDOITable"/>
            </w:pPr>
            <w:r>
              <w:rPr>
                <w:sz w:val="17"/>
              </w:rPr>
              <w:t>Screening model review</w:t>
            </w:r>
          </w:p>
        </w:tc>
        <w:tc>
          <w:tcPr>
            <w:tcW w:type="dxa" w:w="3989"/>
            <w:tcMar>
              <w:top w:w="50" w:type="dxa"/>
              <w:bottom w:w="50" w:type="dxa"/>
              <w:left w:w="90" w:type="dxa"/>
              <w:right w:w="90" w:type="dxa"/>
            </w:tcMar>
          </w:tcPr>
          <w:p>
            <w:pPr>
              <w:pStyle w:val="BDOITable"/>
            </w:pPr>
            <w:r>
              <w:rPr>
                <w:sz w:val="17"/>
              </w:rPr>
              <w:t>Compliance reviews thresholds and false-positive rates each quarter and approves changes as new configuration versions</w:t>
            </w:r>
          </w:p>
        </w:tc>
        <w:tc>
          <w:tcPr>
            <w:tcW w:type="dxa" w:w="1567"/>
            <w:tcMar>
              <w:top w:w="50" w:type="dxa"/>
              <w:bottom w:w="50" w:type="dxa"/>
              <w:left w:w="90" w:type="dxa"/>
              <w:right w:w="90" w:type="dxa"/>
            </w:tcMar>
          </w:tcPr>
          <w:p>
            <w:pPr>
              <w:pStyle w:val="BDOITable"/>
            </w:pPr>
            <w:r>
              <w:rPr>
                <w:sz w:val="17"/>
              </w:rPr>
              <w:t>Compliance Officer</w:t>
            </w:r>
          </w:p>
        </w:tc>
        <w:tc>
          <w:tcPr>
            <w:tcW w:type="dxa" w:w="1211"/>
            <w:tcMar>
              <w:top w:w="50" w:type="dxa"/>
              <w:bottom w:w="50" w:type="dxa"/>
              <w:left w:w="90" w:type="dxa"/>
              <w:right w:w="90" w:type="dxa"/>
            </w:tcMar>
          </w:tcPr>
          <w:p>
            <w:pPr>
              <w:pStyle w:val="BDOITable"/>
            </w:pPr>
            <w:r>
              <w:rPr>
                <w:sz w:val="17"/>
              </w:rPr>
              <w:t>31 Mar 2027</w:t>
            </w:r>
          </w:p>
        </w:tc>
      </w:tr>
      <w:tr>
        <w:trPr>
          <w:cantSplit w:val="true"/>
        </w:trPr>
        <w:tc>
          <w:tcPr>
            <w:tcW w:type="dxa" w:w="784"/>
            <w:tcMar>
              <w:top w:w="50" w:type="dxa"/>
              <w:bottom w:w="50" w:type="dxa"/>
              <w:left w:w="90" w:type="dxa"/>
              <w:right w:w="90" w:type="dxa"/>
            </w:tcMar>
            <w:shd w:val="clear" w:color="auto" w:fill="E5F5FF"/>
          </w:tcPr>
          <w:p>
            <w:pPr>
              <w:pStyle w:val="BDOITable"/>
            </w:pPr>
            <w:r>
              <w:rPr>
                <w:b/>
                <w:sz w:val="17"/>
              </w:rPr>
              <w:t>DAT-07</w:t>
            </w:r>
          </w:p>
        </w:tc>
        <w:tc>
          <w:tcPr>
            <w:tcW w:type="dxa" w:w="2422"/>
            <w:tcMar>
              <w:top w:w="50" w:type="dxa"/>
              <w:bottom w:w="50" w:type="dxa"/>
              <w:left w:w="90" w:type="dxa"/>
              <w:right w:w="90" w:type="dxa"/>
            </w:tcMar>
            <w:shd w:val="clear" w:color="auto" w:fill="E5F5FF"/>
          </w:tcPr>
          <w:p>
            <w:pPr>
              <w:pStyle w:val="BDOITable"/>
            </w:pPr>
            <w:r>
              <w:rPr>
                <w:sz w:val="17"/>
              </w:rPr>
              <w:t>Generative tools</w:t>
            </w:r>
          </w:p>
        </w:tc>
        <w:tc>
          <w:tcPr>
            <w:tcW w:type="dxa" w:w="3989"/>
            <w:tcMar>
              <w:top w:w="50" w:type="dxa"/>
              <w:bottom w:w="50" w:type="dxa"/>
              <w:left w:w="90" w:type="dxa"/>
              <w:right w:w="90" w:type="dxa"/>
            </w:tcMar>
            <w:shd w:val="clear" w:color="auto" w:fill="E5F5FF"/>
          </w:tcPr>
          <w:p>
            <w:pPr>
              <w:pStyle w:val="BDOITable"/>
            </w:pPr>
            <w:r>
              <w:rPr>
                <w:sz w:val="17"/>
              </w:rPr>
              <w:t>Adopt the controls of section 12.2 as BDOI policy before any such tool is used with BIBS data</w:t>
            </w:r>
          </w:p>
        </w:tc>
        <w:tc>
          <w:tcPr>
            <w:tcW w:type="dxa" w:w="1567"/>
            <w:tcMar>
              <w:top w:w="50" w:type="dxa"/>
              <w:bottom w:w="50" w:type="dxa"/>
              <w:left w:w="90" w:type="dxa"/>
              <w:right w:w="90" w:type="dxa"/>
            </w:tcMar>
            <w:shd w:val="clear" w:color="auto" w:fill="E5F5FF"/>
          </w:tcPr>
          <w:p>
            <w:pPr>
              <w:pStyle w:val="BDOITable"/>
            </w:pPr>
            <w:r>
              <w:rPr>
                <w:sz w:val="17"/>
              </w:rPr>
              <w:t>BDOI Information Security; Data Protection Officer</w:t>
            </w:r>
          </w:p>
        </w:tc>
        <w:tc>
          <w:tcPr>
            <w:tcW w:type="dxa" w:w="1211"/>
            <w:tcMar>
              <w:top w:w="50" w:type="dxa"/>
              <w:bottom w:w="50" w:type="dxa"/>
              <w:left w:w="90" w:type="dxa"/>
              <w:right w:w="90" w:type="dxa"/>
            </w:tcMar>
            <w:shd w:val="clear" w:color="auto" w:fill="E5F5FF"/>
          </w:tcPr>
          <w:p>
            <w:pPr>
              <w:pStyle w:val="BDOITable"/>
            </w:pPr>
            <w:r>
              <w:rPr>
                <w:sz w:val="17"/>
              </w:rPr>
              <w:t>30 Jun 2027</w:t>
            </w:r>
          </w:p>
        </w:tc>
      </w:tr>
    </w:tbl>
    <w:p>
      <w:pPr>
        <w:pStyle w:val="BDOISpacer"/>
      </w:pPr>
    </w:p>
    <w:p>
      <w:pPr>
        <w:pStyle w:val="Heading1"/>
        <w:pageBreakBefore/>
        <w:pBdr>
          <w:bottom w:val="single" w:sz="4" w:space="4" w:color="99C1E7"/>
        </w:pBdr>
      </w:pPr>
      <w:bookmarkStart w:id="128" w:name="_Toc000128"/>
      <w:r>
        <w:rPr/>
        <w:t>References</w:t>
      </w:r>
      <w:bookmarkEnd w:id="128"/>
    </w:p>
    <w:p>
      <w:pPr>
        <w:pStyle w:val="Caption"/>
        <w:keepNext/>
        <w:spacing w:after="60"/>
      </w:pPr>
      <w:r>
        <w:rPr>
          <w:b/>
          <w:i w:val="0"/>
        </w:rPr>
        <w:t xml:space="preserve">Table 21: </w:t>
      </w:r>
      <w:r>
        <w:rPr/>
        <w:t>References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835"/>
        <w:gridCol w:w="6137"/>
      </w:tblGrid>
      <w:tr>
        <w:trPr>
          <w:tblHeader w:val="true"/>
          <w:cantSplit w:val="true"/>
        </w:trPr>
        <w:tc>
          <w:tcPr>
            <w:tcW w:type="dxa" w:w="3835"/>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6137"/>
            <w:shd w:val="clear" w:color="auto" w:fill="004EA8"/>
            <w:tcMar>
              <w:top w:w="50" w:type="dxa"/>
              <w:bottom w:w="50" w:type="dxa"/>
              <w:left w:w="90" w:type="dxa"/>
              <w:right w:w="90" w:type="dxa"/>
            </w:tcMar>
            <w:vAlign w:val="center"/>
          </w:tcPr>
          <w:p>
            <w:pPr>
              <w:pStyle w:val="BDOITableHeader"/>
            </w:pPr>
            <w:r>
              <w:rPr>
                <w:b/>
                <w:color w:val="FFFFFF"/>
                <w:sz w:val="18"/>
              </w:rPr>
              <w:t>Use</w:t>
            </w:r>
          </w:p>
        </w:tc>
      </w:tr>
      <w:tr>
        <w:trPr>
          <w:cantSplit w:val="true"/>
        </w:trPr>
        <w:tc>
          <w:tcPr>
            <w:tcW w:type="dxa" w:w="3835"/>
            <w:tcMar>
              <w:top w:w="50" w:type="dxa"/>
              <w:bottom w:w="50" w:type="dxa"/>
              <w:left w:w="90" w:type="dxa"/>
              <w:right w:w="90" w:type="dxa"/>
            </w:tcMar>
          </w:tcPr>
          <w:p>
            <w:pPr>
              <w:pStyle w:val="BDOITable"/>
            </w:pPr>
            <w:r>
              <w:rPr>
                <w:b/>
                <w:sz w:val="18"/>
              </w:rPr>
              <w:t>BIBS Entity Relationship Diagrams v1.0 and Data Dictionary v1.0</w:t>
            </w:r>
          </w:p>
        </w:tc>
        <w:tc>
          <w:tcPr>
            <w:tcW w:type="dxa" w:w="6137"/>
            <w:tcMar>
              <w:top w:w="50" w:type="dxa"/>
              <w:bottom w:w="50" w:type="dxa"/>
              <w:left w:w="90" w:type="dxa"/>
              <w:right w:w="90" w:type="dxa"/>
            </w:tcMar>
          </w:tcPr>
          <w:p>
            <w:pPr>
              <w:pStyle w:val="BDOITable"/>
            </w:pPr>
            <w:r>
              <w:rPr>
                <w:sz w:val="18"/>
              </w:rPr>
              <w:t>Physical model of every domain</w:t>
            </w:r>
          </w:p>
        </w:tc>
      </w:tr>
      <w:tr>
        <w:trPr>
          <w:cantSplit w:val="true"/>
        </w:trPr>
        <w:tc>
          <w:tcPr>
            <w:tcW w:type="dxa" w:w="3835"/>
            <w:tcMar>
              <w:top w:w="50" w:type="dxa"/>
              <w:bottom w:w="50" w:type="dxa"/>
              <w:left w:w="90" w:type="dxa"/>
              <w:right w:w="90" w:type="dxa"/>
            </w:tcMar>
            <w:shd w:val="clear" w:color="auto" w:fill="E5F5FF"/>
          </w:tcPr>
          <w:p>
            <w:pPr>
              <w:pStyle w:val="BDOITable"/>
            </w:pPr>
            <w:r>
              <w:rPr>
                <w:b/>
                <w:sz w:val="18"/>
              </w:rPr>
              <w:t>BIBS Security Architecture v1.0 and ASVS L2 Control Mapping v1.0</w:t>
            </w:r>
          </w:p>
        </w:tc>
        <w:tc>
          <w:tcPr>
            <w:tcW w:type="dxa" w:w="6137"/>
            <w:tcMar>
              <w:top w:w="50" w:type="dxa"/>
              <w:bottom w:w="50" w:type="dxa"/>
              <w:left w:w="90" w:type="dxa"/>
              <w:right w:w="90" w:type="dxa"/>
            </w:tcMar>
            <w:shd w:val="clear" w:color="auto" w:fill="E5F5FF"/>
          </w:tcPr>
          <w:p>
            <w:pPr>
              <w:pStyle w:val="BDOITable"/>
            </w:pPr>
            <w:r>
              <w:rPr>
                <w:sz w:val="18"/>
              </w:rPr>
              <w:t>Access control, encryption, privacy, audit protection</w:t>
            </w:r>
          </w:p>
        </w:tc>
      </w:tr>
      <w:tr>
        <w:trPr>
          <w:cantSplit w:val="true"/>
        </w:trPr>
        <w:tc>
          <w:tcPr>
            <w:tcW w:type="dxa" w:w="3835"/>
            <w:tcMar>
              <w:top w:w="50" w:type="dxa"/>
              <w:bottom w:w="50" w:type="dxa"/>
              <w:left w:w="90" w:type="dxa"/>
              <w:right w:w="90" w:type="dxa"/>
            </w:tcMar>
          </w:tcPr>
          <w:p>
            <w:pPr>
              <w:pStyle w:val="BDOITable"/>
            </w:pPr>
            <w:r>
              <w:rPr>
                <w:b/>
                <w:sz w:val="18"/>
              </w:rPr>
              <w:t>Programme Alignment - Drops, Integrations and Infrastructure v1.0; Integration Inventory v1.0</w:t>
            </w:r>
          </w:p>
        </w:tc>
        <w:tc>
          <w:tcPr>
            <w:tcW w:type="dxa" w:w="6137"/>
            <w:tcMar>
              <w:top w:w="50" w:type="dxa"/>
              <w:bottom w:w="50" w:type="dxa"/>
              <w:left w:w="90" w:type="dxa"/>
              <w:right w:w="90" w:type="dxa"/>
            </w:tcMar>
          </w:tcPr>
          <w:p>
            <w:pPr>
              <w:pStyle w:val="BDOITable"/>
            </w:pPr>
            <w:r>
              <w:rPr>
                <w:sz w:val="18"/>
              </w:rPr>
              <w:t>Interfaces and infrastructure</w:t>
            </w:r>
          </w:p>
        </w:tc>
      </w:tr>
      <w:tr>
        <w:trPr>
          <w:cantSplit w:val="true"/>
        </w:trPr>
        <w:tc>
          <w:tcPr>
            <w:tcW w:type="dxa" w:w="3835"/>
            <w:tcMar>
              <w:top w:w="50" w:type="dxa"/>
              <w:bottom w:w="50" w:type="dxa"/>
              <w:left w:w="90" w:type="dxa"/>
              <w:right w:w="90" w:type="dxa"/>
            </w:tcMar>
            <w:shd w:val="clear" w:color="auto" w:fill="E5F5FF"/>
          </w:tcPr>
          <w:p>
            <w:pPr>
              <w:pStyle w:val="BDOITable"/>
            </w:pPr>
            <w:r>
              <w:rPr>
                <w:b/>
                <w:sz w:val="18"/>
              </w:rPr>
              <w:t>BRD-13 Data Migration Handbook and Migration Workbook</w:t>
            </w:r>
          </w:p>
        </w:tc>
        <w:tc>
          <w:tcPr>
            <w:tcW w:type="dxa" w:w="6137"/>
            <w:tcMar>
              <w:top w:w="50" w:type="dxa"/>
              <w:bottom w:w="50" w:type="dxa"/>
              <w:left w:w="90" w:type="dxa"/>
              <w:right w:w="90" w:type="dxa"/>
            </w:tcMar>
            <w:shd w:val="clear" w:color="auto" w:fill="E5F5FF"/>
          </w:tcPr>
          <w:p>
            <w:pPr>
              <w:pStyle w:val="BDOITable"/>
            </w:pPr>
            <w:r>
              <w:rPr>
                <w:sz w:val="18"/>
              </w:rPr>
              <w:t>Migration objects, quality gates, reconciliation L1 to L5</w:t>
            </w:r>
          </w:p>
        </w:tc>
      </w:tr>
      <w:tr>
        <w:trPr>
          <w:cantSplit w:val="true"/>
        </w:trPr>
        <w:tc>
          <w:tcPr>
            <w:tcW w:type="dxa" w:w="3835"/>
            <w:tcMar>
              <w:top w:w="50" w:type="dxa"/>
              <w:bottom w:w="50" w:type="dxa"/>
              <w:left w:w="90" w:type="dxa"/>
              <w:right w:w="90" w:type="dxa"/>
            </w:tcMar>
          </w:tcPr>
          <w:p>
            <w:pPr>
              <w:pStyle w:val="BDOITable"/>
            </w:pPr>
            <w:r>
              <w:rPr>
                <w:b/>
                <w:sz w:val="18"/>
              </w:rPr>
              <w:t>FRS of BRD-01 to BRD-13</w:t>
            </w:r>
          </w:p>
        </w:tc>
        <w:tc>
          <w:tcPr>
            <w:tcW w:type="dxa" w:w="6137"/>
            <w:tcMar>
              <w:top w:w="50" w:type="dxa"/>
              <w:bottom w:w="50" w:type="dxa"/>
              <w:left w:w="90" w:type="dxa"/>
              <w:right w:w="90" w:type="dxa"/>
            </w:tcMar>
          </w:tcPr>
          <w:p>
            <w:pPr>
              <w:pStyle w:val="BDOITable"/>
            </w:pPr>
            <w:r>
              <w:rPr>
                <w:sz w:val="18"/>
              </w:rPr>
              <w:t>Business rules, retention and audit requirements per domain</w:t>
            </w:r>
          </w:p>
        </w:tc>
      </w:tr>
      <w:tr>
        <w:trPr>
          <w:cantSplit w:val="true"/>
        </w:trPr>
        <w:tc>
          <w:tcPr>
            <w:tcW w:type="dxa" w:w="3835"/>
            <w:tcMar>
              <w:top w:w="50" w:type="dxa"/>
              <w:bottom w:w="50" w:type="dxa"/>
              <w:left w:w="90" w:type="dxa"/>
              <w:right w:w="90" w:type="dxa"/>
            </w:tcMar>
            <w:shd w:val="clear" w:color="auto" w:fill="E5F5FF"/>
          </w:tcPr>
          <w:p>
            <w:pPr>
              <w:pStyle w:val="BDOITable"/>
            </w:pPr>
            <w:r>
              <w:rPr>
                <w:b/>
                <w:sz w:val="18"/>
              </w:rPr>
              <w:t>NIRC Section 235 and RR 17-2013 (as amended by RR 5-2014); RA 9160 (AMLA) as amended and its 2018 IRR; RA 10173 (Data Privacy Act 2012); BSP Circular 808</w:t>
            </w:r>
          </w:p>
        </w:tc>
        <w:tc>
          <w:tcPr>
            <w:tcW w:type="dxa" w:w="6137"/>
            <w:tcMar>
              <w:top w:w="50" w:type="dxa"/>
              <w:bottom w:w="50" w:type="dxa"/>
              <w:left w:w="90" w:type="dxa"/>
              <w:right w:w="90" w:type="dxa"/>
            </w:tcMar>
            <w:shd w:val="clear" w:color="auto" w:fill="E5F5FF"/>
          </w:tcPr>
          <w:p>
            <w:pPr>
              <w:pStyle w:val="BDOITable"/>
            </w:pPr>
            <w:r>
              <w:rPr>
                <w:sz w:val="18"/>
              </w:rPr>
              <w:t>Legal bases of the retention schedule</w:t>
            </w:r>
          </w:p>
        </w:tc>
      </w:tr>
    </w:tbl>
    <w:p>
      <w:pPr>
        <w:pStyle w:val="BDOISpacer"/>
      </w:pP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Data Architecture</w:t>
    </w:r>
    <w:r>
      <w:rPr>
        <w:color w:val="656565"/>
        <w:sz w:val="16"/>
      </w:rPr>
      <w:t xml:space="preserve">   Data Architecture</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BIBS Architecture BRD-00 Data Architecture v1.0</dc:title>
  <dc:subject>BDO Insure Brokering System (BIBS)</dc:subject>
  <dc:creator>iorta TechNXT</dc:creator>
  <cp:lastModifiedBy>iorta TechNXT</cp:lastModifiedBy>
  <cp:revision>1</cp:revision>
  <dcterms:created xsi:type="dcterms:W3CDTF">2013-12-23T23:15:00Z</dcterms:created>
  <dcterms:modified xsi:type="dcterms:W3CDTF">2013-12-23T23:15:00Z</dcterms:modified>
</cp:coreProperties>
</file>