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header16.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4.xml" ContentType="application/vnd.openxmlformats-officedocument.wordprocessingml.footer+xml"/>
  <Override PartName="/word/header42.xml" ContentType="application/vnd.openxmlformats-officedocument.wordprocessingml.header+xml"/>
  <Override PartName="/word/footer12.xml" ContentType="application/vnd.openxmlformats-officedocument.wordprocessingml.foot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header45.xml" ContentType="application/vnd.openxmlformats-officedocument.wordprocessingml.header+xml"/>
  <Override PartName="/word/footer32.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ntTable.xml" ContentType="application/vnd.openxmlformats-officedocument.wordprocessingml.fontTable+xml"/>
  <Override PartName="/word/header44.xml" ContentType="application/vnd.openxmlformats-officedocument.wordprocessingml.header+xml"/>
  <Override PartName="/word/footer36.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45.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02 of 11</w:t>
            </w:r>
          </w:p>
          <w:p>
            <w:pPr>
              <w:pStyle w:val="Normal"/>
              <w:widowControl/>
              <w:bidi w:val="0"/>
              <w:spacing w:lineRule="auto" w:line="264" w:before="0" w:after="100"/>
              <w:jc w:val="left"/>
              <w:rPr/>
            </w:pPr>
            <w:r>
              <w:rPr>
                <w:rFonts w:eastAsia="Nunito" w:cs="Nunito"/>
                <w:b/>
                <w:color w:val="FFFFFF"/>
                <w:sz w:val="50"/>
              </w:rPr>
              <w:t>Database Design</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02  Database Design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02 Database Design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CI 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7129_1872304043">
            <w:r>
              <w:rPr>
                <w:webHidden/>
                <w:rStyle w:val="IndexLink"/>
              </w:rPr>
              <w:t>1 Introduction</w:t>
              <w:tab/>
              <w:t>6</w:t>
            </w:r>
          </w:hyperlink>
        </w:p>
        <w:p>
          <w:pPr>
            <w:pStyle w:val="TOC2"/>
            <w:tabs>
              <w:tab w:val="clear" w:pos="9355"/>
              <w:tab w:val="right" w:pos="9637" w:leader="dot"/>
            </w:tabs>
            <w:rPr/>
          </w:pPr>
          <w:hyperlink w:anchor="__RefHeading___Toc7131_1872304043">
            <w:r>
              <w:rPr>
                <w:webHidden/>
                <w:rStyle w:val="IndexLink"/>
              </w:rPr>
              <w:t>1.1 Purpose and scope</w:t>
              <w:tab/>
              <w:t>6</w:t>
            </w:r>
          </w:hyperlink>
        </w:p>
        <w:p>
          <w:pPr>
            <w:pStyle w:val="TOC2"/>
            <w:tabs>
              <w:tab w:val="clear" w:pos="9355"/>
              <w:tab w:val="right" w:pos="9637" w:leader="dot"/>
            </w:tabs>
            <w:rPr/>
          </w:pPr>
          <w:hyperlink w:anchor="__RefHeading___Toc7133_1872304043">
            <w:r>
              <w:rPr>
                <w:webHidden/>
                <w:rStyle w:val="IndexLink"/>
              </w:rPr>
              <w:t>1.2 Database platform</w:t>
              <w:tab/>
              <w:t>6</w:t>
            </w:r>
          </w:hyperlink>
        </w:p>
        <w:p>
          <w:pPr>
            <w:pStyle w:val="TOC1"/>
            <w:tabs>
              <w:tab w:val="clear" w:pos="9638"/>
              <w:tab w:val="right" w:pos="9637" w:leader="dot"/>
            </w:tabs>
            <w:rPr/>
          </w:pPr>
          <w:hyperlink w:anchor="__RefHeading___Toc7135_1872304043">
            <w:r>
              <w:rPr>
                <w:webHidden/>
                <w:rStyle w:val="IndexLink"/>
              </w:rPr>
              <w:t>2 Schema overview by domain</w:t>
              <w:tab/>
              <w:t>8</w:t>
            </w:r>
          </w:hyperlink>
        </w:p>
        <w:p>
          <w:pPr>
            <w:pStyle w:val="TOC1"/>
            <w:tabs>
              <w:tab w:val="clear" w:pos="9638"/>
              <w:tab w:val="right" w:pos="9637" w:leader="dot"/>
            </w:tabs>
            <w:rPr/>
          </w:pPr>
          <w:hyperlink w:anchor="__RefHeading___Toc7137_1872304043">
            <w:r>
              <w:rPr>
                <w:webHidden/>
                <w:rStyle w:val="IndexLink"/>
              </w:rPr>
              <w:t>3 Design conventions</w:t>
              <w:tab/>
              <w:t>10</w:t>
            </w:r>
          </w:hyperlink>
        </w:p>
        <w:p>
          <w:pPr>
            <w:pStyle w:val="TOC2"/>
            <w:tabs>
              <w:tab w:val="clear" w:pos="9355"/>
              <w:tab w:val="right" w:pos="9637" w:leader="dot"/>
            </w:tabs>
            <w:rPr/>
          </w:pPr>
          <w:hyperlink w:anchor="__RefHeading___Toc7139_1872304043">
            <w:r>
              <w:rPr>
                <w:webHidden/>
                <w:rStyle w:val="IndexLink"/>
              </w:rPr>
              <w:t>3.1 Keys</w:t>
              <w:tab/>
              <w:t>10</w:t>
            </w:r>
          </w:hyperlink>
        </w:p>
        <w:p>
          <w:pPr>
            <w:pStyle w:val="TOC2"/>
            <w:tabs>
              <w:tab w:val="clear" w:pos="9355"/>
              <w:tab w:val="right" w:pos="9637" w:leader="dot"/>
            </w:tabs>
            <w:rPr/>
          </w:pPr>
          <w:hyperlink w:anchor="__RefHeading___Toc7141_1872304043">
            <w:r>
              <w:rPr>
                <w:webHidden/>
                <w:rStyle w:val="IndexLink"/>
              </w:rPr>
              <w:t>3.2 Column types</w:t>
              <w:tab/>
              <w:t>10</w:t>
            </w:r>
          </w:hyperlink>
        </w:p>
        <w:p>
          <w:pPr>
            <w:pStyle w:val="TOC2"/>
            <w:tabs>
              <w:tab w:val="clear" w:pos="9355"/>
              <w:tab w:val="right" w:pos="9637" w:leader="dot"/>
            </w:tabs>
            <w:rPr/>
          </w:pPr>
          <w:hyperlink w:anchor="__RefHeading___Toc7143_1872304043">
            <w:r>
              <w:rPr>
                <w:webHidden/>
                <w:rStyle w:val="IndexLink"/>
              </w:rPr>
              <w:t>3.3 JSONB document columns</w:t>
              <w:tab/>
              <w:t>11</w:t>
            </w:r>
          </w:hyperlink>
        </w:p>
        <w:p>
          <w:pPr>
            <w:pStyle w:val="TOC2"/>
            <w:tabs>
              <w:tab w:val="clear" w:pos="9355"/>
              <w:tab w:val="right" w:pos="9637" w:leader="dot"/>
            </w:tabs>
            <w:rPr/>
          </w:pPr>
          <w:hyperlink w:anchor="__RefHeading___Toc7145_1872304043">
            <w:r>
              <w:rPr>
                <w:webHidden/>
                <w:rStyle w:val="IndexLink"/>
              </w:rPr>
              <w:t>3.4 Document numbering</w:t>
              <w:tab/>
              <w:t>11</w:t>
            </w:r>
          </w:hyperlink>
        </w:p>
        <w:p>
          <w:pPr>
            <w:pStyle w:val="TOC2"/>
            <w:tabs>
              <w:tab w:val="clear" w:pos="9355"/>
              <w:tab w:val="right" w:pos="9637" w:leader="dot"/>
            </w:tabs>
            <w:rPr/>
          </w:pPr>
          <w:hyperlink w:anchor="__RefHeading___Toc7147_1872304043">
            <w:r>
              <w:rPr>
                <w:webHidden/>
                <w:rStyle w:val="IndexLink"/>
              </w:rPr>
              <w:t>3.5 Audit, history and soft delete</w:t>
              <w:tab/>
              <w:t>13</w:t>
            </w:r>
          </w:hyperlink>
        </w:p>
        <w:p>
          <w:pPr>
            <w:pStyle w:val="TOC2"/>
            <w:tabs>
              <w:tab w:val="clear" w:pos="9355"/>
              <w:tab w:val="right" w:pos="9637" w:leader="dot"/>
            </w:tabs>
            <w:rPr/>
          </w:pPr>
          <w:hyperlink w:anchor="__RefHeading___Toc7149_1872304043">
            <w:r>
              <w:rPr>
                <w:webHidden/>
                <w:rStyle w:val="IndexLink"/>
              </w:rPr>
              <w:t>3.6 Ledger integrity</w:t>
              <w:tab/>
              <w:t>13</w:t>
            </w:r>
          </w:hyperlink>
        </w:p>
        <w:p>
          <w:pPr>
            <w:pStyle w:val="TOC2"/>
            <w:tabs>
              <w:tab w:val="clear" w:pos="9355"/>
              <w:tab w:val="right" w:pos="9637" w:leader="dot"/>
            </w:tabs>
            <w:rPr/>
          </w:pPr>
          <w:hyperlink w:anchor="__RefHeading___Toc7151_1872304043">
            <w:r>
              <w:rPr>
                <w:webHidden/>
                <w:rStyle w:val="IndexLink"/>
              </w:rPr>
              <w:t>3.7 Constraints and indexes</w:t>
              <w:tab/>
              <w:t>13</w:t>
            </w:r>
          </w:hyperlink>
        </w:p>
        <w:p>
          <w:pPr>
            <w:pStyle w:val="TOC1"/>
            <w:tabs>
              <w:tab w:val="clear" w:pos="9638"/>
              <w:tab w:val="right" w:pos="9637" w:leader="dot"/>
            </w:tabs>
            <w:rPr/>
          </w:pPr>
          <w:hyperlink w:anchor="__RefHeading___Toc7153_1872304043">
            <w:r>
              <w:rPr>
                <w:webHidden/>
                <w:rStyle w:val="IndexLink"/>
              </w:rPr>
              <w:t>4 Entity-relationship diagrams</w:t>
              <w:tab/>
              <w:t>15</w:t>
            </w:r>
          </w:hyperlink>
        </w:p>
        <w:p>
          <w:pPr>
            <w:pStyle w:val="TOC2"/>
            <w:tabs>
              <w:tab w:val="clear" w:pos="9355"/>
              <w:tab w:val="right" w:pos="9637" w:leader="dot"/>
            </w:tabs>
            <w:rPr/>
          </w:pPr>
          <w:hyperlink w:anchor="__RefHeading___Toc7155_1872304043">
            <w:r>
              <w:rPr>
                <w:webHidden/>
                <w:rStyle w:val="IndexLink"/>
              </w:rPr>
              <w:t>4.1 Sales and policy</w:t>
              <w:tab/>
              <w:t>16</w:t>
            </w:r>
          </w:hyperlink>
        </w:p>
        <w:p>
          <w:pPr>
            <w:pStyle w:val="TOC2"/>
            <w:tabs>
              <w:tab w:val="clear" w:pos="9355"/>
              <w:tab w:val="right" w:pos="9637" w:leader="dot"/>
            </w:tabs>
            <w:rPr/>
          </w:pPr>
          <w:hyperlink w:anchor="__RefHeading___Toc7157_1872304043">
            <w:r>
              <w:rPr>
                <w:webHidden/>
                <w:rStyle w:val="IndexLink"/>
              </w:rPr>
              <w:t>4.2 Placement and co-insurance</w:t>
              <w:tab/>
              <w:t>17</w:t>
            </w:r>
          </w:hyperlink>
        </w:p>
        <w:p>
          <w:pPr>
            <w:pStyle w:val="TOC2"/>
            <w:tabs>
              <w:tab w:val="clear" w:pos="9355"/>
              <w:tab w:val="right" w:pos="9637" w:leader="dot"/>
            </w:tabs>
            <w:rPr/>
          </w:pPr>
          <w:hyperlink w:anchor="__RefHeading___Toc7159_1872304043">
            <w:r>
              <w:rPr>
                <w:webHidden/>
                <w:rStyle w:val="IndexLink"/>
              </w:rPr>
              <w:t>4.3 Renewals</w:t>
              <w:tab/>
              <w:t>18</w:t>
            </w:r>
          </w:hyperlink>
        </w:p>
        <w:p>
          <w:pPr>
            <w:pStyle w:val="TOC2"/>
            <w:tabs>
              <w:tab w:val="clear" w:pos="9355"/>
              <w:tab w:val="right" w:pos="9637" w:leader="dot"/>
            </w:tabs>
            <w:rPr/>
          </w:pPr>
          <w:hyperlink w:anchor="__RefHeading___Toc7161_1872304043">
            <w:r>
              <w:rPr>
                <w:webHidden/>
                <w:rStyle w:val="IndexLink"/>
              </w:rPr>
              <w:t>4.4 Billing, receipts and collections</w:t>
              <w:tab/>
              <w:t>19</w:t>
            </w:r>
          </w:hyperlink>
        </w:p>
        <w:p>
          <w:pPr>
            <w:pStyle w:val="TOC2"/>
            <w:tabs>
              <w:tab w:val="clear" w:pos="9355"/>
              <w:tab w:val="right" w:pos="9637" w:leader="dot"/>
            </w:tabs>
            <w:rPr/>
          </w:pPr>
          <w:hyperlink w:anchor="__RefHeading___Toc7163_1872304043">
            <w:r>
              <w:rPr>
                <w:webHidden/>
                <w:rStyle w:val="IndexLink"/>
              </w:rPr>
              <w:t>4.5 General ledger and posting rules</w:t>
              <w:tab/>
              <w:t>20</w:t>
            </w:r>
          </w:hyperlink>
        </w:p>
        <w:p>
          <w:pPr>
            <w:pStyle w:val="TOC2"/>
            <w:tabs>
              <w:tab w:val="clear" w:pos="9355"/>
              <w:tab w:val="right" w:pos="9637" w:leader="dot"/>
            </w:tabs>
            <w:rPr/>
          </w:pPr>
          <w:hyperlink w:anchor="__RefHeading___Toc7165_1872304043">
            <w:r>
              <w:rPr>
                <w:webHidden/>
                <w:rStyle w:val="IndexLink"/>
              </w:rPr>
              <w:t>4.6 Period end and tax</w:t>
              <w:tab/>
              <w:t>21</w:t>
            </w:r>
          </w:hyperlink>
        </w:p>
        <w:p>
          <w:pPr>
            <w:pStyle w:val="TOC2"/>
            <w:tabs>
              <w:tab w:val="clear" w:pos="9355"/>
              <w:tab w:val="right" w:pos="9637" w:leader="dot"/>
            </w:tabs>
            <w:rPr/>
          </w:pPr>
          <w:hyperlink w:anchor="__RefHeading___Toc7167_1872304043">
            <w:r>
              <w:rPr>
                <w:webHidden/>
                <w:rStyle w:val="IndexLink"/>
              </w:rPr>
              <w:t>4.7 Bank reconciliation</w:t>
              <w:tab/>
              <w:t>22</w:t>
            </w:r>
          </w:hyperlink>
        </w:p>
        <w:p>
          <w:pPr>
            <w:pStyle w:val="TOC2"/>
            <w:tabs>
              <w:tab w:val="clear" w:pos="9355"/>
              <w:tab w:val="right" w:pos="9637" w:leader="dot"/>
            </w:tabs>
            <w:rPr/>
          </w:pPr>
          <w:hyperlink w:anchor="__RefHeading___Toc7169_1872304043">
            <w:r>
              <w:rPr>
                <w:webHidden/>
                <w:rStyle w:val="IndexLink"/>
              </w:rPr>
              <w:t>4.8 Disbursements and petty cash</w:t>
              <w:tab/>
              <w:t>23</w:t>
            </w:r>
          </w:hyperlink>
        </w:p>
        <w:p>
          <w:pPr>
            <w:pStyle w:val="TOC2"/>
            <w:tabs>
              <w:tab w:val="clear" w:pos="9355"/>
              <w:tab w:val="right" w:pos="9637" w:leader="dot"/>
            </w:tabs>
            <w:rPr/>
          </w:pPr>
          <w:hyperlink w:anchor="__RefHeading___Toc7171_1872304043">
            <w:r>
              <w:rPr>
                <w:webHidden/>
                <w:rStyle w:val="IndexLink"/>
              </w:rPr>
              <w:t>4.9 Commission and incentive</w:t>
              <w:tab/>
              <w:t>24</w:t>
            </w:r>
          </w:hyperlink>
        </w:p>
        <w:p>
          <w:pPr>
            <w:pStyle w:val="TOC2"/>
            <w:tabs>
              <w:tab w:val="clear" w:pos="9355"/>
              <w:tab w:val="right" w:pos="9637" w:leader="dot"/>
            </w:tabs>
            <w:rPr/>
          </w:pPr>
          <w:hyperlink w:anchor="__RefHeading___Toc7173_1872304043">
            <w:r>
              <w:rPr>
                <w:webHidden/>
                <w:rStyle w:val="IndexLink"/>
              </w:rPr>
              <w:t>4.10 Claims</w:t>
              <w:tab/>
              <w:t>25</w:t>
            </w:r>
          </w:hyperlink>
        </w:p>
        <w:p>
          <w:pPr>
            <w:pStyle w:val="TOC2"/>
            <w:tabs>
              <w:tab w:val="clear" w:pos="9355"/>
              <w:tab w:val="right" w:pos="9637" w:leader="dot"/>
            </w:tabs>
            <w:rPr/>
          </w:pPr>
          <w:hyperlink w:anchor="__RefHeading___Toc7175_1872304043">
            <w:r>
              <w:rPr>
                <w:webHidden/>
                <w:rStyle w:val="IndexLink"/>
              </w:rPr>
              <w:t>4.11 Remittance and direct bill</w:t>
              <w:tab/>
              <w:t>26</w:t>
            </w:r>
          </w:hyperlink>
        </w:p>
        <w:p>
          <w:pPr>
            <w:pStyle w:val="TOC2"/>
            <w:tabs>
              <w:tab w:val="clear" w:pos="9355"/>
              <w:tab w:val="right" w:pos="9637" w:leader="dot"/>
            </w:tabs>
            <w:rPr/>
          </w:pPr>
          <w:hyperlink w:anchor="__RefHeading___Toc7177_1872304043">
            <w:r>
              <w:rPr>
                <w:webHidden/>
                <w:rStyle w:val="IndexLink"/>
              </w:rPr>
              <w:t>4.12 Reinsurance</w:t>
              <w:tab/>
              <w:t>27</w:t>
            </w:r>
          </w:hyperlink>
        </w:p>
        <w:p>
          <w:pPr>
            <w:pStyle w:val="TOC2"/>
            <w:tabs>
              <w:tab w:val="clear" w:pos="9355"/>
              <w:tab w:val="right" w:pos="9637" w:leader="dot"/>
            </w:tabs>
            <w:rPr/>
          </w:pPr>
          <w:hyperlink w:anchor="__RefHeading___Toc7179_1872304043">
            <w:r>
              <w:rPr>
                <w:webHidden/>
                <w:rStyle w:val="IndexLink"/>
              </w:rPr>
              <w:t>4.13 Configuration, security and platform</w:t>
              <w:tab/>
              <w:t>28</w:t>
            </w:r>
          </w:hyperlink>
        </w:p>
        <w:p>
          <w:pPr>
            <w:pStyle w:val="TOC2"/>
            <w:tabs>
              <w:tab w:val="clear" w:pos="9355"/>
              <w:tab w:val="right" w:pos="9637" w:leader="dot"/>
            </w:tabs>
            <w:rPr/>
          </w:pPr>
          <w:hyperlink w:anchor="__RefHeading___Toc7181_1872304043">
            <w:r>
              <w:rPr>
                <w:webHidden/>
                <w:rStyle w:val="IndexLink"/>
              </w:rPr>
              <w:t>4.14 Reference masters and product configurator</w:t>
              <w:tab/>
              <w:t>30</w:t>
            </w:r>
          </w:hyperlink>
        </w:p>
        <w:p>
          <w:pPr>
            <w:pStyle w:val="TOC2"/>
            <w:tabs>
              <w:tab w:val="clear" w:pos="9355"/>
              <w:tab w:val="right" w:pos="9637" w:leader="dot"/>
            </w:tabs>
            <w:rPr/>
          </w:pPr>
          <w:hyperlink w:anchor="__RefHeading___Toc7183_1872304043">
            <w:r>
              <w:rPr>
                <w:webHidden/>
                <w:rStyle w:val="IndexLink"/>
              </w:rPr>
              <w:t>4.15 Distribution and marketing</w:t>
              <w:tab/>
              <w:t>32</w:t>
            </w:r>
          </w:hyperlink>
        </w:p>
        <w:p>
          <w:pPr>
            <w:pStyle w:val="TOC2"/>
            <w:tabs>
              <w:tab w:val="clear" w:pos="9355"/>
              <w:tab w:val="right" w:pos="9637" w:leader="dot"/>
            </w:tabs>
            <w:rPr/>
          </w:pPr>
          <w:hyperlink w:anchor="__RefHeading___Toc7185_1872304043">
            <w:r>
              <w:rPr>
                <w:webHidden/>
                <w:rStyle w:val="IndexLink"/>
              </w:rPr>
              <w:t>4.16 Fleet, marine open cover, claim documents and motor repairs</w:t>
              <w:tab/>
              <w:t>33</w:t>
            </w:r>
          </w:hyperlink>
        </w:p>
        <w:p>
          <w:pPr>
            <w:pStyle w:val="TOC2"/>
            <w:tabs>
              <w:tab w:val="clear" w:pos="9355"/>
              <w:tab w:val="right" w:pos="9637" w:leader="dot"/>
            </w:tabs>
            <w:rPr/>
          </w:pPr>
          <w:hyperlink w:anchor="__RefHeading___Toc7187_1872304043">
            <w:r>
              <w:rPr>
                <w:webHidden/>
                <w:rStyle w:val="IndexLink"/>
              </w:rPr>
              <w:t>4.17 Payables, fixed assets, BIR and override commission</w:t>
              <w:tab/>
              <w:t>34</w:t>
            </w:r>
          </w:hyperlink>
        </w:p>
        <w:p>
          <w:pPr>
            <w:pStyle w:val="TOC2"/>
            <w:tabs>
              <w:tab w:val="clear" w:pos="9355"/>
              <w:tab w:val="right" w:pos="9637" w:leader="dot"/>
            </w:tabs>
            <w:rPr/>
          </w:pPr>
          <w:hyperlink w:anchor="__RefHeading___Toc7189_1872304043">
            <w:r>
              <w:rPr>
                <w:webHidden/>
                <w:rStyle w:val="IndexLink"/>
              </w:rPr>
              <w:t>4.18 Compliance</w:t>
              <w:tab/>
              <w:t>35</w:t>
            </w:r>
          </w:hyperlink>
        </w:p>
        <w:p>
          <w:pPr>
            <w:pStyle w:val="TOC2"/>
            <w:tabs>
              <w:tab w:val="clear" w:pos="9355"/>
              <w:tab w:val="right" w:pos="9637" w:leader="dot"/>
            </w:tabs>
            <w:rPr/>
          </w:pPr>
          <w:hyperlink w:anchor="__RefHeading___Toc7191_1872304043">
            <w:r>
              <w:rPr>
                <w:webHidden/>
                <w:rStyle w:val="IndexLink"/>
              </w:rPr>
              <w:t>4.19 Integrations</w:t>
              <w:tab/>
              <w:t>36</w:t>
            </w:r>
          </w:hyperlink>
        </w:p>
        <w:p>
          <w:pPr>
            <w:pStyle w:val="TOC1"/>
            <w:tabs>
              <w:tab w:val="clear" w:pos="9638"/>
              <w:tab w:val="right" w:pos="9637" w:leader="dot"/>
            </w:tabs>
            <w:rPr/>
          </w:pPr>
          <w:hyperlink w:anchor="__RefHeading___Toc7193_1872304043">
            <w:r>
              <w:rPr>
                <w:webHidden/>
                <w:rStyle w:val="IndexLink"/>
              </w:rPr>
              <w:t>5 Migrations</w:t>
              <w:tab/>
              <w:t>37</w:t>
            </w:r>
          </w:hyperlink>
        </w:p>
        <w:p>
          <w:pPr>
            <w:pStyle w:val="TOC1"/>
            <w:tabs>
              <w:tab w:val="clear" w:pos="9638"/>
              <w:tab w:val="right" w:pos="9637" w:leader="dot"/>
            </w:tabs>
            <w:rPr/>
          </w:pPr>
          <w:hyperlink w:anchor="__RefHeading___Toc7195_1872304043">
            <w:r>
              <w:rPr>
                <w:webHidden/>
                <w:rStyle w:val="IndexLink"/>
              </w:rPr>
              <w:t>6 Seed data</w:t>
              <w:tab/>
              <w:t>38</w:t>
            </w:r>
          </w:hyperlink>
        </w:p>
        <w:p>
          <w:pPr>
            <w:pStyle w:val="TOC1"/>
            <w:tabs>
              <w:tab w:val="clear" w:pos="9638"/>
              <w:tab w:val="right" w:pos="9637" w:leader="dot"/>
            </w:tabs>
            <w:rPr/>
          </w:pPr>
          <w:hyperlink w:anchor="__RefHeading___Toc7197_1872304043">
            <w:r>
              <w:rPr>
                <w:webHidden/>
                <w:rStyle w:val="IndexLink"/>
              </w:rPr>
              <w:t>7 Time zone, date and amount handling</w:t>
              <w:tab/>
              <w:t>39</w:t>
            </w:r>
          </w:hyperlink>
        </w:p>
        <w:p>
          <w:pPr>
            <w:pStyle w:val="TOC1"/>
            <w:tabs>
              <w:tab w:val="clear" w:pos="9638"/>
              <w:tab w:val="right" w:pos="9637" w:leader="dot"/>
            </w:tabs>
            <w:rPr/>
          </w:pPr>
          <w:hyperlink w:anchor="__RefHeading___Toc7199_1872304043">
            <w:r>
              <w:rPr>
                <w:webHidden/>
                <w:rStyle w:val="IndexLink"/>
              </w:rPr>
              <w:t>8 Related documents</w:t>
              <w:tab/>
              <w:t>40</w:t>
            </w:r>
          </w:hyperlink>
        </w:p>
        <w:p>
          <w:pPr>
            <w:pStyle w:val="TOC1"/>
            <w:tabs>
              <w:tab w:val="clear" w:pos="9638"/>
              <w:tab w:val="right" w:pos="9637" w:leader="dot"/>
            </w:tabs>
            <w:rPr/>
          </w:pPr>
          <w:hyperlink w:anchor="__RefHeading___Toc7201_1872304043">
            <w:r>
              <w:rPr>
                <w:webHidden/>
                <w:rStyle w:val="IndexLink"/>
              </w:rPr>
              <w:t>9 Glossary</w:t>
              <w:tab/>
              <w:t>41</w:t>
            </w:r>
          </w:hyperlink>
          <w:r>
            <w:rPr>
              <w:rStyle w:val="IndexLink"/>
            </w:rPr>
            <w:fldChar w:fldCharType="end"/>
          </w:r>
        </w:p>
      </w:sdtContent>
    </w:sdt>
    <w:p>
      <w:pPr>
        <w:pStyle w:val="Heading1"/>
        <w:pBdr>
          <w:bottom w:val="single" w:sz="12" w:space="6" w:color="00ACF1"/>
        </w:pBdr>
        <w:rPr/>
      </w:pPr>
      <w:r>
        <w:br w:type="page"/>
      </w:r>
      <w:bookmarkStart w:id="0" w:name="__RefHeading___Toc7129_1872304043"/>
      <w:bookmarkEnd w:id="0"/>
      <w:r>
        <w:rPr>
          <w:rFonts w:eastAsia="Nunito" w:cs="Nunito" w:ascii="Nunito" w:hAnsi="Nunito"/>
        </w:rPr>
        <w:t>1  Introduction</w:t>
      </w:r>
    </w:p>
    <w:p>
      <w:pPr>
        <w:pStyle w:val="Heading2"/>
        <w:rPr/>
      </w:pPr>
      <w:bookmarkStart w:id="1" w:name="__RefHeading___Toc7131_1872304043"/>
      <w:bookmarkEnd w:id="1"/>
      <w:r>
        <w:rPr>
          <w:rFonts w:eastAsia="Nunito" w:cs="Nunito" w:ascii="Nunito" w:hAnsi="Nunito"/>
        </w:rPr>
        <w:t>1.1  Purpose and scope</w:t>
      </w:r>
    </w:p>
    <w:p>
      <w:pPr>
        <w:pStyle w:val="Normal"/>
        <w:rPr/>
      </w:pPr>
      <w:r>
        <w:rPr>
          <w:rFonts w:eastAsia="Nunito" w:cs="Nunito"/>
        </w:rPr>
        <w:t>This document describes the logical and physical design of the BrokerVerse OOTB database: the schema by business domain, the entity-relationship structure of each domain, the keys, the JSONB document columns, document numbering, audit and soft-delete conventions, the posting rules and period controls that protect the ledger, the migration and seed approach, and the handling of time zones, dates and amounts. The table-by-table inventory with sizes, row counts and retention classes is document 03.</w:t>
      </w:r>
    </w:p>
    <w:p>
      <w:pPr>
        <w:pStyle w:val="Normal"/>
        <w:rPr/>
      </w:pPr>
      <w:r>
        <w:rPr>
          <w:rFonts w:eastAsia="Nunito" w:cs="Nunito"/>
        </w:rPr>
        <w:t xml:space="preserve">Sources: </w:t>
      </w:r>
      <w:r>
        <w:rPr>
          <w:rFonts w:eastAsia="Liberation Mono" w:cs="Liberation Mono" w:ascii="Liberation Mono" w:hAnsi="Liberation Mono"/>
          <w:color w:val="0B3D7A"/>
          <w:sz w:val="18"/>
        </w:rPr>
        <w:t>backend/src/db/migrations/*.sql</w:t>
      </w:r>
      <w:r>
        <w:rPr>
          <w:rFonts w:eastAsia="Nunito" w:cs="Nunito"/>
        </w:rPr>
        <w:t xml:space="preserve"> (139 files, 8,360 lines, plus the 10 migrations of packages B and G being merged), </w:t>
      </w:r>
      <w:r>
        <w:rPr>
          <w:rFonts w:eastAsia="Liberation Mono" w:cs="Liberation Mono" w:ascii="Liberation Mono" w:hAnsi="Liberation Mono"/>
          <w:color w:val="0B3D7A"/>
          <w:sz w:val="18"/>
        </w:rPr>
        <w:t>backend/src/db/seeds</w:t>
      </w:r>
      <w:r>
        <w:rPr>
          <w:rFonts w:eastAsia="Nunito" w:cs="Nunito"/>
        </w:rPr>
        <w:t xml:space="preserve">, </w:t>
      </w:r>
      <w:r>
        <w:rPr>
          <w:rFonts w:eastAsia="Liberation Mono" w:cs="Liberation Mono" w:ascii="Liberation Mono" w:hAnsi="Liberation Mono"/>
          <w:color w:val="0B3D7A"/>
          <w:sz w:val="18"/>
        </w:rPr>
        <w:t>backend/src/db/pool.js</w:t>
      </w:r>
      <w:r>
        <w:rPr>
          <w:rFonts w:eastAsia="Nunito" w:cs="Nunito"/>
        </w:rPr>
        <w:t xml:space="preserve">, </w:t>
      </w:r>
      <w:r>
        <w:rPr>
          <w:rFonts w:eastAsia="Liberation Mono" w:cs="Liberation Mono" w:ascii="Liberation Mono" w:hAnsi="Liberation Mono"/>
          <w:color w:val="0B3D7A"/>
          <w:sz w:val="18"/>
        </w:rPr>
        <w:t>migrate.js</w:t>
      </w:r>
      <w:r>
        <w:rPr>
          <w:rFonts w:eastAsia="Nunito" w:cs="Nunito"/>
        </w:rPr>
        <w:t xml:space="preserve">, </w:t>
      </w:r>
      <w:r>
        <w:rPr>
          <w:rFonts w:eastAsia="Liberation Mono" w:cs="Liberation Mono" w:ascii="Liberation Mono" w:hAnsi="Liberation Mono"/>
          <w:color w:val="0B3D7A"/>
          <w:sz w:val="18"/>
        </w:rPr>
        <w:t>seed.js</w:t>
      </w:r>
      <w:r>
        <w:rPr>
          <w:rFonts w:eastAsia="Nunito" w:cs="Nunito"/>
        </w:rPr>
        <w:t xml:space="preserve">, </w:t>
      </w:r>
      <w:r>
        <w:rPr>
          <w:rFonts w:eastAsia="Liberation Mono" w:cs="Liberation Mono" w:ascii="Liberation Mono" w:hAnsi="Liberation Mono"/>
          <w:color w:val="0B3D7A"/>
          <w:sz w:val="18"/>
        </w:rPr>
        <w:t>backend/src/lib/dates.js</w:t>
      </w:r>
      <w:r>
        <w:rPr>
          <w:rFonts w:eastAsia="Nunito" w:cs="Nunito"/>
        </w:rPr>
        <w:t xml:space="preserve">, </w:t>
      </w:r>
      <w:r>
        <w:rPr>
          <w:rFonts w:eastAsia="Liberation Mono" w:cs="Liberation Mono" w:ascii="Liberation Mono" w:hAnsi="Liberation Mono"/>
          <w:color w:val="0B3D7A"/>
          <w:sz w:val="18"/>
        </w:rPr>
        <w:t>money.js</w:t>
      </w:r>
      <w:r>
        <w:rPr>
          <w:rFonts w:eastAsia="Nunito" w:cs="Nunito"/>
        </w:rPr>
        <w:t xml:space="preserve">, </w:t>
      </w:r>
      <w:r>
        <w:rPr>
          <w:rFonts w:eastAsia="Liberation Mono" w:cs="Liberation Mono" w:ascii="Liberation Mono" w:hAnsi="Liberation Mono"/>
          <w:color w:val="0B3D7A"/>
          <w:sz w:val="18"/>
        </w:rPr>
        <w:t>numbering.js</w:t>
      </w:r>
      <w:r>
        <w:rPr>
          <w:rFonts w:eastAsia="Nunito" w:cs="Nunito"/>
        </w:rPr>
        <w:t xml:space="preserve">, and the catalogue of a PostgreSQL 16 database created for this issue on 04 October 2026: migrated with the migrations of the branch and of packages B and G and seeded with the reference data only (snapshot in </w:t>
      </w:r>
      <w:r>
        <w:rPr>
          <w:rFonts w:eastAsia="Liberation Mono" w:cs="Liberation Mono" w:ascii="Liberation Mono" w:hAnsi="Liberation Mono"/>
          <w:color w:val="0B3D7A"/>
          <w:sz w:val="18"/>
        </w:rPr>
        <w:t>docs/architecture/tools/data/db_snapshot.json</w:t>
      </w:r>
      <w:r>
        <w:rPr>
          <w:rFonts w:eastAsia="Nunito" w:cs="Nunito"/>
        </w:rPr>
        <w:t>).</w:t>
      </w:r>
    </w:p>
    <w:p>
      <w:pPr>
        <w:pStyle w:val="Heading2"/>
        <w:rPr/>
      </w:pPr>
      <w:bookmarkStart w:id="2" w:name="__RefHeading___Toc7133_1872304043"/>
      <w:bookmarkEnd w:id="2"/>
      <w:r>
        <w:rPr>
          <w:rFonts w:eastAsia="Nunito" w:cs="Nunito" w:ascii="Nunito" w:hAnsi="Nunito"/>
        </w:rPr>
        <w:t>1.2  Database platform</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6553"/>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65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 (local test database)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version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16.13 (Ubuntu 16.13-0ubuntu0.24.04.1)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size</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28.6 MB (test data)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Server time zone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Asia/Manila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Tables (schema public)</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260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Columns by type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text 2595, timestamp with time zone 590, numeric 493, integer 293, date 220, jsonb 166, bigint 116, boolean 93, ARRAY 22, time without time zone 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Indexes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901 (440 unique incl. 260 primary keys, 71 partial, 1 GIN)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468 (60 without a supporting index)</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Identity sequences (serial / identity columns)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Document-number counters (table sequences)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 counters for -</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Extensions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pgcrypto 1.3, plpgsql 1.0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functions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accounting_period_lock_guard, backfill_risk_participants, cities_default_region, document_numbering_mirror_prefix, format_document_number, gl_accounts_defaults, jv_check_posting, next_document_number, next_number, numbering_business_date, numbering_fiscal_year, numbering_optional_token, numbering_period_key, numbering_prefix, numbering_start_number, pe_balance_before, ph_place_key, pii_blind_index, pii_decrypt, pii_encrypt, pii_json_key, pii_jsonb_needs, pii_protect_columns, pii_protect_jsonb, pii_setting, pii_store, policies_channel_inherit, quotes_channel_inherit, quotes_link_product, receipt_applications_collected_on, rp_insurer_id, rp_parts_from_doc, rp_share, rp_write_split, rpt_age_bucket, set_updated_at, user_effective_roles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Triggers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accounting_period_lock_guard_trg (accounting_periods), audit_log_pii (audit_log), bir_2307_certificates_pii (bir_2307_certificates), cities_region (cities), clients_pii (clients), commission_rates_updated (commission_rates), commission_referrers_pii (commission_referrers), document_numbering_mirror (document_numbering), document_numbering_updated (document_numbering), gl_accounts_defaults_trg (gl_accounts), insurer_rate_tables_updated (insurer_rate_tables), jv_check_posting_trg (journal_vouchers), leads_pii (leads), lgu_tax_rates_updated (lgu_tax_rates), package_bundles_updated (package_bundles), package_quotes_updated (package_quotes), package_sections_updated (package_sections), payment_gateways_updated (payment_gateways), payment_links_updated (payment_links), placements_pii (placements), policies_channel_inherit (policies), policies_pii (policies), premium_charge_rules_updated (premium_charge_rules), quotes_channel_inherit (quotes), quotes_link_product (quotes), quotes_pii (quotes), receipt_applications_collected_on (receipt_applications), regions_updated (regions), roles_updated (roles), users_updated (users)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Views / materialised views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bank_account_links, bank_book_lines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Migrations applied</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149 (0001_core.sql to 0322_quote_covers_and_risk_fields.sql)</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settings (app_settings)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659 keys in 64 groups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Scheduled jobs (scheduled_jobs)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Snapshot taken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2026-10-04T09:13:21+00:00</w:t>
            </w:r>
          </w:p>
        </w:tc>
      </w:tr>
    </w:tbl>
    <w:p>
      <w:pPr>
        <w:pStyle w:val="Normal"/>
        <w:spacing w:before="0" w:after="40"/>
        <w:rPr/>
      </w:pPr>
      <w:r>
        <w:rPr/>
      </w:r>
    </w:p>
    <w:p>
      <w:pPr>
        <w:pStyle w:val="Normal"/>
        <w:rPr/>
      </w:pPr>
      <w:r>
        <w:rPr>
          <w:rFonts w:eastAsia="Nunito" w:cs="Nunito"/>
        </w:rPr>
        <w:t>One database and one schema (</w:t>
      </w:r>
      <w:r>
        <w:rPr>
          <w:rFonts w:eastAsia="Liberation Mono" w:cs="Liberation Mono" w:ascii="Liberation Mono" w:hAnsi="Liberation Mono"/>
          <w:color w:val="0B3D7A"/>
          <w:sz w:val="18"/>
        </w:rPr>
        <w:t>public</w:t>
      </w:r>
      <w:r>
        <w:rPr>
          <w:rFonts w:eastAsia="Nunito" w:cs="Nunito"/>
        </w:rPr>
        <w:t xml:space="preserve">) hold all data. The application connects with a single login through </w:t>
      </w:r>
      <w:r>
        <w:rPr>
          <w:rFonts w:eastAsia="Liberation Mono" w:cs="Liberation Mono" w:ascii="Liberation Mono" w:hAnsi="Liberation Mono"/>
          <w:color w:val="0B3D7A"/>
          <w:sz w:val="18"/>
        </w:rPr>
        <w:t>DATABASE_URL</w:t>
      </w:r>
      <w:r>
        <w:rPr>
          <w:rFonts w:eastAsia="Nunito" w:cs="Nunito"/>
        </w:rPr>
        <w:t xml:space="preserve"> (node-postgres pool, maximum 10 connections per API process). The login needs the right to create tables because the API applies its own migrations on start. The database time zone is set to </w:t>
      </w:r>
      <w:r>
        <w:rPr>
          <w:rFonts w:eastAsia="Liberation Mono" w:cs="Liberation Mono" w:ascii="Liberation Mono" w:hAnsi="Liberation Mono"/>
          <w:color w:val="0B3D7A"/>
          <w:sz w:val="18"/>
        </w:rPr>
        <w:t>Asia/Manila</w:t>
      </w:r>
      <w:r>
        <w:rPr>
          <w:rFonts w:eastAsia="Nunito" w:cs="Nunito"/>
        </w:rPr>
        <w:t xml:space="preserve"> (</w:t>
      </w:r>
      <w:r>
        <w:rPr>
          <w:rFonts w:eastAsia="Liberation Mono" w:cs="Liberation Mono" w:ascii="Liberation Mono" w:hAnsi="Liberation Mono"/>
          <w:color w:val="0B3D7A"/>
          <w:sz w:val="18"/>
        </w:rPr>
        <w:t>ALTER DATABASE ... SET timezone</w:t>
      </w:r>
      <w:r>
        <w:rPr>
          <w:rFonts w:eastAsia="Nunito" w:cs="Nunito"/>
        </w:rPr>
        <w:t xml:space="preserve">, or the RDS parameter group), as </w:t>
      </w:r>
      <w:r>
        <w:rPr>
          <w:rFonts w:eastAsia="Liberation Mono" w:cs="Liberation Mono" w:ascii="Liberation Mono" w:hAnsi="Liberation Mono"/>
          <w:color w:val="0B3D7A"/>
          <w:sz w:val="18"/>
        </w:rPr>
        <w:t>deploy/README.md</w:t>
      </w:r>
      <w:r>
        <w:rPr>
          <w:rFonts w:eastAsia="Nunito" w:cs="Nunito"/>
        </w:rPr>
        <w:t xml:space="preserve"> requires. Only the </w:t>
      </w:r>
      <w:r>
        <w:rPr>
          <w:rFonts w:eastAsia="Liberation Mono" w:cs="Liberation Mono" w:ascii="Liberation Mono" w:hAnsi="Liberation Mono"/>
          <w:color w:val="0B3D7A"/>
          <w:sz w:val="18"/>
        </w:rPr>
        <w:t>pgcrypto</w:t>
      </w:r>
      <w:r>
        <w:rPr>
          <w:rFonts w:eastAsia="Nunito" w:cs="Nunito"/>
        </w:rPr>
        <w:t xml:space="preserve"> extension is used, for </w:t>
      </w:r>
      <w:r>
        <w:rPr>
          <w:rFonts w:eastAsia="Liberation Mono" w:cs="Liberation Mono" w:ascii="Liberation Mono" w:hAnsi="Liberation Mono"/>
          <w:color w:val="0B3D7A"/>
          <w:sz w:val="18"/>
        </w:rPr>
        <w:t>gen_random_bytes()</w:t>
      </w:r>
      <w:r>
        <w:rPr>
          <w:rFonts w:eastAsia="Nunito" w:cs="Nunito"/>
        </w:rPr>
        <w:t xml:space="preserve"> in primary-key defaults.</w:t>
      </w:r>
      <w:r>
        <w:br w:type="page"/>
      </w:r>
    </w:p>
    <w:p>
      <w:pPr>
        <w:pStyle w:val="Heading1"/>
        <w:pBdr>
          <w:bottom w:val="single" w:sz="12" w:space="6" w:color="00ACF1"/>
        </w:pBdr>
        <w:rPr/>
      </w:pPr>
      <w:bookmarkStart w:id="3" w:name="__RefHeading___Toc7135_1872304043"/>
      <w:bookmarkEnd w:id="3"/>
      <w:r>
        <w:rPr>
          <w:rFonts w:eastAsia="Nunito" w:cs="Nunito" w:ascii="Nunito" w:hAnsi="Nunito"/>
        </w:rPr>
        <w:t>2  Schema overview by domain</w:t>
      </w:r>
    </w:p>
    <w:p>
      <w:pPr>
        <w:pStyle w:val="Normal"/>
        <w:rPr/>
      </w:pPr>
      <w:r>
        <w:rPr>
          <w:rFonts w:eastAsia="Nunito" w:cs="Nunito"/>
        </w:rPr>
        <w:t>The 260 tables fall into 25 domains (250 tables without packages B and G). Row counts and sizes are those of the reference data a new database starts with; transaction tables are empty.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638"/>
        <w:gridCol w:w="674"/>
        <w:gridCol w:w="963"/>
        <w:gridCol w:w="964"/>
        <w:gridCol w:w="5398"/>
      </w:tblGrid>
      <w:tr>
        <w:trPr>
          <w:tblHeader w:val="true"/>
          <w:cantSplit w:val="true"/>
        </w:trPr>
        <w:tc>
          <w:tcPr>
            <w:tcW w:w="16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Domain</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Rows (reference data)</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Size KB</w:t>
            </w:r>
          </w:p>
        </w:tc>
        <w:tc>
          <w:tcPr>
            <w:tcW w:w="53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Security and identity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434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access_review_items, access_reviews, authority_limits, authority_transaction_types, login_history, password_history, password_resets, permissions, refresh_tokens, role_permissions, roles, sod_rules, user_delegations, user_roles, users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Platform services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agent_events, app_settings, audit_log, document_numbering, document_signature_slots, documents, e_signatures, email_outbox, job_queue, job_runs, master_records, master_types, notifications, scheduled_jobs, schema_migrations, sequences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Reference masters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5,475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2,136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banks, branches, cities, countries, coverages, currencies, districts, insurance_companies, policy_types, postal_codes, products, regions, signatories, states, vehicle_brands, vehicle_models, vehicle_variants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 configurator</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496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insurer_rate_tables, lgu_tax_rates, package_bundle_sections, package_bundles, premium_charge_rules, product_components, product_risk_mappings, product_risk_sections, product_templates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Sales and policy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clients, cover_notes, endorsements, leads, package_endorsements, package_quotes, package_sections, payment_events, payment_gateways, payment_links, policies, policy_payments, quote_customer_responses, quotes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Placement and co-insurance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264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broker_slips, insurer_offers, placements, risk_participants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claim_document_items, claim_document_reminders, claim_field_changes, claim_history, claim_settlement_movements, claims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renewal_activities, renewal_batch_policies, renewal_batches, renewal_notices, renewal_quotes, renewals, winback_campaigns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Billing, receipts and collections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client_credit_exceptions, collection_actions, collection_items, post_dated_cheques, premium_instalment_plans, premium_instalments, premium_warranty_actions, premium_warranty_extensions, receipt_applications, receipt_lines, receipts, receivable_credits, receivable_participants, receivables, write_off_reasons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General ledger and posting rules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512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accounting_config_changes, accounting_periods, entry_matches, gl_accounts, journal_lines, journal_vouchers, posting_rule_lines, posting_rules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Period end and tax</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bir_2307_certificates, fiscal_years, opening_balances, period_close_checklist, period_close_entries, period_close_run_checks, period_close_runs, period_status_history, recurring_journal_runs, recurring_journals, tax_codes, year_end_runs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 reconciliation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17</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304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bank_match_rules, bank_rec_match_items, bank_rec_matches, bank_reconciliation_history, bank_reconciliations, bank_statement_formats, bank_statement_lines, bank_statements, bank_transaction_types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Disbursements and petty cash</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408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checkbooks, disbursements, invoice_lists, petty_cash_disbursements, petty_cash_funds, petty_cash_receipts, petty_cash_replenishments, petty_cash_request_lines, petty_cash_requests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272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commission_adjustments, commission_rates, commission_referrers, commissions, override_agreement_tiers, override_agreements, override_computations, override_settlements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 and direct bill</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commission_debit_note_collections, commission_debit_note_lines, commission_debit_notes, direct_bill_client_payments, direct_bill_items, insurer_refund_credits, insurer_statement_formats, insurer_statement_lines, insurer_statement_resolutions, insurer_statements, remittance_allocations, remittance_approvals, remittance_delegations, remittance_items, remittance_lines, remittances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376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cessions, fac_placement_shares, fac_placements, fac_settlements, reinsurance_bordereaux, reinsurance_exceptions, reinsurance_reconciliations, reinsurance_recoveries, reinsurance_treaties, reinsurers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incentive_calculations, incentive_programs, incentive_results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Reporting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bi_extract_runs, generated_reports, report_builder_reports, report_definitions, report_schedules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Distribution and marketing</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520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campaign_recipients, campaign_segments, campaign_templates, campaigns, channel_billing_accounts, comparison_reports, dealer_sales, dealer_sales_batches, distribution_channels, lead_assignment_history, lead_assignment_rules, motor_programmes, sales_activities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Fleet, marine and motor claims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344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claim_loas, claim_repair_estimates, claim_vehicle_releases, fleet_schedules, fleet_vehicles, open_cover_certificates, open_cover_declarations, open_covers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Payables and fixed assets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fixed_asset_depreciation, fixed_asset_disposals, fixed_assets, supplier_invoice_lines, supplier_invoices, supplier_payment_allocations, supplier_payments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 returns and invoicing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184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bir_return_filings, cas_book_prints, eis_submissions, sales_invoice_lines, sales_invoice_payments, sales_invoices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Compliance: AML, Insurance Commission and data privacy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1,040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aml_alerts, aml_cases, aml_edd_reviews, aml_list_entries, aml_list_versions, aml_provider_requests, aml_report_items, aml_reports, aml_risk_assessments, aml_risk_factors, aml_rules, aml_screening_hits, aml_screening_lists, aml_screenings, client_beneficial_owners, client_kyc_documents, client_signatories, complaint_reminders, complaints, compliance_fit_proper, compliance_licence_reminders, compliance_licences, data_subject_requests, ic_statement_lines, personal_data_breach_reminders, personal_data_breaches, privacy_consents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Integrations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416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bank_file_layouts, bank_payment_batch_lines, bank_payment_batches, coc_series, ctpl_authentications, insurer_api_mappings, integration_attempts, integration_connectors, integration_inbox, integration_outbox, message_templates, payee_bank_accounts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Go-live data load and work management</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data_load_batches, data_load_comparisons, data_load_rows, work_tasks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Total</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260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8,025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13,240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0" w:after="40"/>
        <w:rPr/>
      </w:pPr>
      <w:r>
        <w:rPr/>
      </w:r>
      <w:r>
        <w:br w:type="page"/>
      </w:r>
    </w:p>
    <w:p>
      <w:pPr>
        <w:pStyle w:val="Heading1"/>
        <w:pBdr>
          <w:bottom w:val="single" w:sz="12" w:space="6" w:color="00ACF1"/>
        </w:pBdr>
        <w:rPr/>
      </w:pPr>
      <w:bookmarkStart w:id="4" w:name="__RefHeading___Toc7137_1872304043"/>
      <w:bookmarkEnd w:id="4"/>
      <w:r>
        <w:rPr>
          <w:rFonts w:eastAsia="Nunito" w:cs="Nunito" w:ascii="Nunito" w:hAnsi="Nunito"/>
        </w:rPr>
        <w:t>3  Design conventions</w:t>
      </w:r>
    </w:p>
    <w:p>
      <w:pPr>
        <w:pStyle w:val="Heading2"/>
        <w:rPr/>
      </w:pPr>
      <w:bookmarkStart w:id="5" w:name="__RefHeading___Toc7139_1872304043"/>
      <w:bookmarkEnd w:id="5"/>
      <w:r>
        <w:rPr>
          <w:rFonts w:eastAsia="Nunito" w:cs="Nunito" w:ascii="Nunito" w:hAnsi="Nunito"/>
        </w:rPr>
        <w:t>3.1  Keys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Convention</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Business records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103 tables use a text primary key made of a readable prefix and random hexadecimal characters generated by the database, for example </w:t>
            </w:r>
            <w:r>
              <w:rPr>
                <w:rFonts w:eastAsia="Liberation Mono" w:cs="Liberation Mono" w:ascii="Liberation Mono" w:hAnsi="Liberation Mono"/>
                <w:color w:val="0B3D7A"/>
                <w:sz w:val="15"/>
              </w:rPr>
              <w:t>policies.id DEFAULT 'pol_' || encode(gen_random_bytes(8), 'hex')</w:t>
            </w:r>
            <w:r>
              <w:rPr>
                <w:rFonts w:eastAsia="Nunito" w:cs="Nunito"/>
                <w:sz w:val="17"/>
              </w:rPr>
              <w:t xml:space="preserve">. Prefixes include </w:t>
            </w:r>
            <w:r>
              <w:rPr>
                <w:rFonts w:eastAsia="Liberation Mono" w:cs="Liberation Mono" w:ascii="Liberation Mono" w:hAnsi="Liberation Mono"/>
                <w:color w:val="0B3D7A"/>
                <w:sz w:val="15"/>
              </w:rPr>
              <w:t>ld_</w:t>
            </w:r>
            <w:r>
              <w:rPr>
                <w:rFonts w:eastAsia="Nunito" w:cs="Nunito"/>
                <w:sz w:val="17"/>
              </w:rPr>
              <w:t xml:space="preserve"> lead, </w:t>
            </w:r>
            <w:r>
              <w:rPr>
                <w:rFonts w:eastAsia="Liberation Mono" w:cs="Liberation Mono" w:ascii="Liberation Mono" w:hAnsi="Liberation Mono"/>
                <w:color w:val="0B3D7A"/>
                <w:sz w:val="15"/>
              </w:rPr>
              <w:t>cl_</w:t>
            </w:r>
            <w:r>
              <w:rPr>
                <w:rFonts w:eastAsia="Nunito" w:cs="Nunito"/>
                <w:sz w:val="17"/>
              </w:rPr>
              <w:t xml:space="preserve"> client, </w:t>
            </w:r>
            <w:r>
              <w:rPr>
                <w:rFonts w:eastAsia="Liberation Mono" w:cs="Liberation Mono" w:ascii="Liberation Mono" w:hAnsi="Liberation Mono"/>
                <w:color w:val="0B3D7A"/>
                <w:sz w:val="15"/>
              </w:rPr>
              <w:t>qt_</w:t>
            </w:r>
            <w:r>
              <w:rPr>
                <w:rFonts w:eastAsia="Nunito" w:cs="Nunito"/>
                <w:sz w:val="17"/>
              </w:rPr>
              <w:t xml:space="preserve"> quotation, </w:t>
            </w:r>
            <w:r>
              <w:rPr>
                <w:rFonts w:eastAsia="Liberation Mono" w:cs="Liberation Mono" w:ascii="Liberation Mono" w:hAnsi="Liberation Mono"/>
                <w:color w:val="0B3D7A"/>
                <w:sz w:val="15"/>
              </w:rPr>
              <w:t>bs_</w:t>
            </w:r>
            <w:r>
              <w:rPr>
                <w:rFonts w:eastAsia="Nunito" w:cs="Nunito"/>
                <w:sz w:val="17"/>
              </w:rPr>
              <w:t xml:space="preserve"> broker slip, </w:t>
            </w:r>
            <w:r>
              <w:rPr>
                <w:rFonts w:eastAsia="Liberation Mono" w:cs="Liberation Mono" w:ascii="Liberation Mono" w:hAnsi="Liberation Mono"/>
                <w:color w:val="0B3D7A"/>
                <w:sz w:val="15"/>
              </w:rPr>
              <w:t>ofr_</w:t>
            </w:r>
            <w:r>
              <w:rPr>
                <w:rFonts w:eastAsia="Nunito" w:cs="Nunito"/>
                <w:sz w:val="17"/>
              </w:rPr>
              <w:t xml:space="preserve"> insurer offer, </w:t>
            </w:r>
            <w:r>
              <w:rPr>
                <w:rFonts w:eastAsia="Liberation Mono" w:cs="Liberation Mono" w:ascii="Liberation Mono" w:hAnsi="Liberation Mono"/>
                <w:color w:val="0B3D7A"/>
                <w:sz w:val="15"/>
              </w:rPr>
              <w:t>plc_</w:t>
            </w:r>
            <w:r>
              <w:rPr>
                <w:rFonts w:eastAsia="Nunito" w:cs="Nunito"/>
                <w:sz w:val="17"/>
              </w:rPr>
              <w:t xml:space="preserve"> placement, </w:t>
            </w:r>
            <w:r>
              <w:rPr>
                <w:rFonts w:eastAsia="Liberation Mono" w:cs="Liberation Mono" w:ascii="Liberation Mono" w:hAnsi="Liberation Mono"/>
                <w:color w:val="0B3D7A"/>
                <w:sz w:val="15"/>
              </w:rPr>
              <w:t>pol_</w:t>
            </w:r>
            <w:r>
              <w:rPr>
                <w:rFonts w:eastAsia="Nunito" w:cs="Nunito"/>
                <w:sz w:val="17"/>
              </w:rPr>
              <w:t xml:space="preserve"> policy, </w:t>
            </w:r>
            <w:r>
              <w:rPr>
                <w:rFonts w:eastAsia="Liberation Mono" w:cs="Liberation Mono" w:ascii="Liberation Mono" w:hAnsi="Liberation Mono"/>
                <w:color w:val="0B3D7A"/>
                <w:sz w:val="15"/>
              </w:rPr>
              <w:t>end_</w:t>
            </w:r>
            <w:r>
              <w:rPr>
                <w:rFonts w:eastAsia="Nunito" w:cs="Nunito"/>
                <w:sz w:val="17"/>
              </w:rPr>
              <w:t xml:space="preserve"> endorsement, </w:t>
            </w:r>
            <w:r>
              <w:rPr>
                <w:rFonts w:eastAsia="Liberation Mono" w:cs="Liberation Mono" w:ascii="Liberation Mono" w:hAnsi="Liberation Mono"/>
                <w:color w:val="0B3D7A"/>
                <w:sz w:val="15"/>
              </w:rPr>
              <w:t>clm_</w:t>
            </w:r>
            <w:r>
              <w:rPr>
                <w:rFonts w:eastAsia="Nunito" w:cs="Nunito"/>
                <w:sz w:val="17"/>
              </w:rPr>
              <w:t xml:space="preserve"> claim, </w:t>
            </w:r>
            <w:r>
              <w:rPr>
                <w:rFonts w:eastAsia="Liberation Mono" w:cs="Liberation Mono" w:ascii="Liberation Mono" w:hAnsi="Liberation Mono"/>
                <w:color w:val="0B3D7A"/>
                <w:sz w:val="15"/>
              </w:rPr>
              <w:t>rnw_</w:t>
            </w:r>
            <w:r>
              <w:rPr>
                <w:rFonts w:eastAsia="Nunito" w:cs="Nunito"/>
                <w:sz w:val="17"/>
              </w:rPr>
              <w:t xml:space="preserve"> renewal, </w:t>
            </w:r>
            <w:r>
              <w:rPr>
                <w:rFonts w:eastAsia="Liberation Mono" w:cs="Liberation Mono" w:ascii="Liberation Mono" w:hAnsi="Liberation Mono"/>
                <w:color w:val="0B3D7A"/>
                <w:sz w:val="15"/>
              </w:rPr>
              <w:t>or_</w:t>
            </w:r>
            <w:r>
              <w:rPr>
                <w:rFonts w:eastAsia="Nunito" w:cs="Nunito"/>
                <w:sz w:val="17"/>
              </w:rPr>
              <w:t xml:space="preserve"> receipt, </w:t>
            </w:r>
            <w:r>
              <w:rPr>
                <w:rFonts w:eastAsia="Liberation Mono" w:cs="Liberation Mono" w:ascii="Liberation Mono" w:hAnsi="Liberation Mono"/>
                <w:color w:val="0B3D7A"/>
                <w:sz w:val="15"/>
              </w:rPr>
              <w:t>jv_</w:t>
            </w:r>
            <w:r>
              <w:rPr>
                <w:rFonts w:eastAsia="Nunito" w:cs="Nunito"/>
                <w:sz w:val="17"/>
              </w:rPr>
              <w:t xml:space="preserve"> journal voucher, </w:t>
            </w:r>
            <w:r>
              <w:rPr>
                <w:rFonts w:eastAsia="Liberation Mono" w:cs="Liberation Mono" w:ascii="Liberation Mono" w:hAnsi="Liberation Mono"/>
                <w:color w:val="0B3D7A"/>
                <w:sz w:val="15"/>
              </w:rPr>
              <w:t>pv_</w:t>
            </w:r>
            <w:r>
              <w:rPr>
                <w:rFonts w:eastAsia="Nunito" w:cs="Nunito"/>
                <w:sz w:val="17"/>
              </w:rPr>
              <w:t xml:space="preserve"> payment voucher, </w:t>
            </w:r>
            <w:r>
              <w:rPr>
                <w:rFonts w:eastAsia="Liberation Mono" w:cs="Liberation Mono" w:ascii="Liberation Mono" w:hAnsi="Liberation Mono"/>
                <w:color w:val="0B3D7A"/>
                <w:sz w:val="15"/>
              </w:rPr>
              <w:t>rm_</w:t>
            </w:r>
            <w:r>
              <w:rPr>
                <w:rFonts w:eastAsia="Nunito" w:cs="Nunito"/>
                <w:sz w:val="17"/>
              </w:rPr>
              <w:t xml:space="preserve"> remittance, </w:t>
            </w:r>
            <w:r>
              <w:rPr>
                <w:rFonts w:eastAsia="Liberation Mono" w:cs="Liberation Mono" w:ascii="Liberation Mono" w:hAnsi="Liberation Mono"/>
                <w:color w:val="0B3D7A"/>
                <w:sz w:val="15"/>
              </w:rPr>
              <w:t>dn_</w:t>
            </w:r>
            <w:r>
              <w:rPr>
                <w:rFonts w:eastAsia="Nunito" w:cs="Nunito"/>
                <w:sz w:val="17"/>
              </w:rPr>
              <w:t xml:space="preserve"> debit note, </w:t>
            </w:r>
            <w:r>
              <w:rPr>
                <w:rFonts w:eastAsia="Liberation Mono" w:cs="Liberation Mono" w:ascii="Liberation Mono" w:hAnsi="Liberation Mono"/>
                <w:color w:val="0B3D7A"/>
                <w:sz w:val="15"/>
              </w:rPr>
              <w:t>brc_</w:t>
            </w:r>
            <w:r>
              <w:rPr>
                <w:rFonts w:eastAsia="Nunito" w:cs="Nunito"/>
                <w:sz w:val="17"/>
              </w:rPr>
              <w:t xml:space="preserve"> bank reconciliation, </w:t>
            </w:r>
            <w:r>
              <w:rPr>
                <w:rFonts w:eastAsia="Liberation Mono" w:cs="Liberation Mono" w:ascii="Liberation Mono" w:hAnsi="Liberation Mono"/>
                <w:color w:val="0B3D7A"/>
                <w:sz w:val="15"/>
              </w:rPr>
              <w:t>yec_</w:t>
            </w:r>
            <w:r>
              <w:rPr>
                <w:rFonts w:eastAsia="Nunito" w:cs="Nunito"/>
                <w:sz w:val="17"/>
              </w:rPr>
              <w:t xml:space="preserve"> year-end run, </w:t>
            </w:r>
            <w:r>
              <w:rPr>
                <w:rFonts w:eastAsia="Liberation Mono" w:cs="Liberation Mono" w:ascii="Liberation Mono" w:hAnsi="Liberation Mono"/>
                <w:color w:val="0B3D7A"/>
                <w:sz w:val="15"/>
              </w:rPr>
              <w:t>usr_</w:t>
            </w:r>
            <w:r>
              <w:rPr>
                <w:rFonts w:eastAsia="Nunito" w:cs="Nunito"/>
                <w:sz w:val="17"/>
              </w:rPr>
              <w:t xml:space="preserve"> user and </w:t>
            </w:r>
            <w:r>
              <w:rPr>
                <w:rFonts w:eastAsia="Liberation Mono" w:cs="Liberation Mono" w:ascii="Liberation Mono" w:hAnsi="Liberation Mono"/>
                <w:color w:val="0B3D7A"/>
                <w:sz w:val="15"/>
              </w:rPr>
              <w:t>doc_</w:t>
            </w:r>
            <w:r>
              <w:rPr>
                <w:rFonts w:eastAsia="Nunito" w:cs="Nunito"/>
                <w:sz w:val="17"/>
              </w:rPr>
              <w:t xml:space="preserve"> document. The ids cannot be guessed and do not collide across tables.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 line and log tables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125 tables use integer or bigint serial keys: masters (countries, banks, insurers, products), lines and logs that grow fast (</w:t>
            </w:r>
            <w:r>
              <w:rPr>
                <w:rFonts w:eastAsia="Liberation Mono" w:cs="Liberation Mono" w:ascii="Liberation Mono" w:hAnsi="Liberation Mono"/>
                <w:color w:val="0B3D7A"/>
                <w:sz w:val="15"/>
              </w:rPr>
              <w:t>journal_lines</w:t>
            </w:r>
            <w:r>
              <w:rPr>
                <w:rFonts w:eastAsia="Nunito" w:cs="Nunito"/>
                <w:sz w:val="17"/>
              </w:rPr>
              <w:t xml:space="preserve">, </w:t>
            </w:r>
            <w:r>
              <w:rPr>
                <w:rFonts w:eastAsia="Liberation Mono" w:cs="Liberation Mono" w:ascii="Liberation Mono" w:hAnsi="Liberation Mono"/>
                <w:color w:val="0B3D7A"/>
                <w:sz w:val="15"/>
              </w:rPr>
              <w:t>audit_log</w:t>
            </w:r>
            <w:r>
              <w:rPr>
                <w:rFonts w:eastAsia="Nunito" w:cs="Nunito"/>
                <w:sz w:val="17"/>
              </w:rPr>
              <w:t xml:space="preserve">, </w:t>
            </w:r>
            <w:r>
              <w:rPr>
                <w:rFonts w:eastAsia="Liberation Mono" w:cs="Liberation Mono" w:ascii="Liberation Mono" w:hAnsi="Liberation Mono"/>
                <w:color w:val="0B3D7A"/>
                <w:sz w:val="15"/>
              </w:rPr>
              <w:t>login_history</w:t>
            </w:r>
            <w:r>
              <w:rPr>
                <w:rFonts w:eastAsia="Nunito" w:cs="Nunito"/>
                <w:sz w:val="17"/>
              </w:rPr>
              <w:t xml:space="preserve">, </w:t>
            </w:r>
            <w:r>
              <w:rPr>
                <w:rFonts w:eastAsia="Liberation Mono" w:cs="Liberation Mono" w:ascii="Liberation Mono" w:hAnsi="Liberation Mono"/>
                <w:color w:val="0B3D7A"/>
                <w:sz w:val="15"/>
              </w:rPr>
              <w:t>job_runs</w:t>
            </w:r>
            <w:r>
              <w:rPr>
                <w:rFonts w:eastAsia="Nunito" w:cs="Nunito"/>
                <w:sz w:val="17"/>
              </w:rPr>
              <w:t xml:space="preserve">, </w:t>
            </w:r>
            <w:r>
              <w:rPr>
                <w:rFonts w:eastAsia="Liberation Mono" w:cs="Liberation Mono" w:ascii="Liberation Mono" w:hAnsi="Liberation Mono"/>
                <w:color w:val="0B3D7A"/>
                <w:sz w:val="15"/>
              </w:rPr>
              <w:t>claim_history</w:t>
            </w:r>
            <w:r>
              <w:rPr>
                <w:rFonts w:eastAsia="Nunito" w:cs="Nunito"/>
                <w:sz w:val="17"/>
              </w:rPr>
              <w:t xml:space="preserve">, </w:t>
            </w:r>
            <w:r>
              <w:rPr>
                <w:rFonts w:eastAsia="Liberation Mono" w:cs="Liberation Mono" w:ascii="Liberation Mono" w:hAnsi="Liberation Mono"/>
                <w:color w:val="0B3D7A"/>
                <w:sz w:val="15"/>
              </w:rPr>
              <w:t>risk_participants</w:t>
            </w:r>
            <w:r>
              <w:rPr>
                <w:rFonts w:eastAsia="Nunito" w:cs="Nunito"/>
                <w:sz w:val="17"/>
              </w:rPr>
              <w:t xml:space="preserve">, </w:t>
            </w:r>
            <w:r>
              <w:rPr>
                <w:rFonts w:eastAsia="Liberation Mono" w:cs="Liberation Mono" w:ascii="Liberation Mono" w:hAnsi="Liberation Mono"/>
                <w:color w:val="0B3D7A"/>
                <w:sz w:val="15"/>
              </w:rPr>
              <w:t>bank_rec_match_items</w:t>
            </w:r>
            <w:r>
              <w:rPr>
                <w:rFonts w:eastAsia="Nunito" w:cs="Nunito"/>
                <w:sz w:val="17"/>
              </w:rPr>
              <w:t xml:space="preserve">, </w:t>
            </w:r>
            <w:r>
              <w:rPr>
                <w:rFonts w:eastAsia="Liberation Mono" w:cs="Liberation Mono" w:ascii="Liberation Mono" w:hAnsi="Liberation Mono"/>
                <w:color w:val="0B3D7A"/>
                <w:sz w:val="15"/>
              </w:rPr>
              <w:t>period_status_history</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Natural and composite keys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32 tables: </w:t>
            </w:r>
            <w:r>
              <w:rPr>
                <w:rFonts w:eastAsia="Liberation Mono" w:cs="Liberation Mono" w:ascii="Liberation Mono" w:hAnsi="Liberation Mono"/>
                <w:color w:val="0B3D7A"/>
                <w:sz w:val="15"/>
              </w:rPr>
              <w:t>app_settings(key)</w:t>
            </w:r>
            <w:r>
              <w:rPr>
                <w:rFonts w:eastAsia="Nunito" w:cs="Nunito"/>
                <w:sz w:val="17"/>
              </w:rPr>
              <w:t xml:space="preserve">, </w:t>
            </w:r>
            <w:r>
              <w:rPr>
                <w:rFonts w:eastAsia="Liberation Mono" w:cs="Liberation Mono" w:ascii="Liberation Mono" w:hAnsi="Liberation Mono"/>
                <w:color w:val="0B3D7A"/>
                <w:sz w:val="15"/>
              </w:rPr>
              <w:t>gl_accounts(code)</w:t>
            </w:r>
            <w:r>
              <w:rPr>
                <w:rFonts w:eastAsia="Nunito" w:cs="Nunito"/>
                <w:sz w:val="17"/>
              </w:rPr>
              <w:t xml:space="preserve">, </w:t>
            </w:r>
            <w:r>
              <w:rPr>
                <w:rFonts w:eastAsia="Liberation Mono" w:cs="Liberation Mono" w:ascii="Liberation Mono" w:hAnsi="Liberation Mono"/>
                <w:color w:val="0B3D7A"/>
                <w:sz w:val="15"/>
              </w:rPr>
              <w:t>master_types(code)</w:t>
            </w:r>
            <w:r>
              <w:rPr>
                <w:rFonts w:eastAsia="Nunito" w:cs="Nunito"/>
                <w:sz w:val="17"/>
              </w:rPr>
              <w:t xml:space="preserve">, </w:t>
            </w:r>
            <w:r>
              <w:rPr>
                <w:rFonts w:eastAsia="Liberation Mono" w:cs="Liberation Mono" w:ascii="Liberation Mono" w:hAnsi="Liberation Mono"/>
                <w:color w:val="0B3D7A"/>
                <w:sz w:val="15"/>
              </w:rPr>
              <w:t>report_definitions(code)</w:t>
            </w:r>
            <w:r>
              <w:rPr>
                <w:rFonts w:eastAsia="Nunito" w:cs="Nunito"/>
                <w:sz w:val="17"/>
              </w:rPr>
              <w:t xml:space="preserve">, </w:t>
            </w:r>
            <w:r>
              <w:rPr>
                <w:rFonts w:eastAsia="Liberation Mono" w:cs="Liberation Mono" w:ascii="Liberation Mono" w:hAnsi="Liberation Mono"/>
                <w:color w:val="0B3D7A"/>
                <w:sz w:val="15"/>
              </w:rPr>
              <w:t>accounting_periods(period)</w:t>
            </w:r>
            <w:r>
              <w:rPr>
                <w:rFonts w:eastAsia="Nunito" w:cs="Nunito"/>
                <w:sz w:val="17"/>
              </w:rPr>
              <w:t xml:space="preserve">, </w:t>
            </w:r>
            <w:r>
              <w:rPr>
                <w:rFonts w:eastAsia="Liberation Mono" w:cs="Liberation Mono" w:ascii="Liberation Mono" w:hAnsi="Liberation Mono"/>
                <w:color w:val="0B3D7A"/>
                <w:sz w:val="15"/>
              </w:rPr>
              <w:t>fiscal_years(code)</w:t>
            </w:r>
            <w:r>
              <w:rPr>
                <w:rFonts w:eastAsia="Nunito" w:cs="Nunito"/>
                <w:sz w:val="17"/>
              </w:rPr>
              <w:t xml:space="preserve">, </w:t>
            </w:r>
            <w:r>
              <w:rPr>
                <w:rFonts w:eastAsia="Liberation Mono" w:cs="Liberation Mono" w:ascii="Liberation Mono" w:hAnsi="Liberation Mono"/>
                <w:color w:val="0B3D7A"/>
                <w:sz w:val="15"/>
              </w:rPr>
              <w:t>tax_codes(code)</w:t>
            </w:r>
            <w:r>
              <w:rPr>
                <w:rFonts w:eastAsia="Nunito" w:cs="Nunito"/>
                <w:sz w:val="17"/>
              </w:rPr>
              <w:t xml:space="preserve">, </w:t>
            </w:r>
            <w:r>
              <w:rPr>
                <w:rFonts w:eastAsia="Liberation Mono" w:cs="Liberation Mono" w:ascii="Liberation Mono" w:hAnsi="Liberation Mono"/>
                <w:color w:val="0B3D7A"/>
                <w:sz w:val="15"/>
              </w:rPr>
              <w:t>bank_statement_formats(code)</w:t>
            </w:r>
            <w:r>
              <w:rPr>
                <w:rFonts w:eastAsia="Nunito" w:cs="Nunito"/>
                <w:sz w:val="17"/>
              </w:rPr>
              <w:t xml:space="preserve">, </w:t>
            </w:r>
            <w:r>
              <w:rPr>
                <w:rFonts w:eastAsia="Liberation Mono" w:cs="Liberation Mono" w:ascii="Liberation Mono" w:hAnsi="Liberation Mono"/>
                <w:color w:val="0B3D7A"/>
                <w:sz w:val="15"/>
              </w:rPr>
              <w:t>bank_transaction_types(code)</w:t>
            </w:r>
            <w:r>
              <w:rPr>
                <w:rFonts w:eastAsia="Nunito" w:cs="Nunito"/>
                <w:sz w:val="17"/>
              </w:rPr>
              <w:t xml:space="preserve">, </w:t>
            </w:r>
            <w:r>
              <w:rPr>
                <w:rFonts w:eastAsia="Liberation Mono" w:cs="Liberation Mono" w:ascii="Liberation Mono" w:hAnsi="Liberation Mono"/>
                <w:color w:val="0B3D7A"/>
                <w:sz w:val="15"/>
              </w:rPr>
              <w:t>bank_match_rules(code)</w:t>
            </w:r>
            <w:r>
              <w:rPr>
                <w:rFonts w:eastAsia="Nunito" w:cs="Nunito"/>
                <w:sz w:val="17"/>
              </w:rPr>
              <w:t xml:space="preserve">, </w:t>
            </w:r>
            <w:r>
              <w:rPr>
                <w:rFonts w:eastAsia="Liberation Mono" w:cs="Liberation Mono" w:ascii="Liberation Mono" w:hAnsi="Liberation Mono"/>
                <w:color w:val="0B3D7A"/>
                <w:sz w:val="15"/>
              </w:rPr>
              <w:t>period_close_checklist(code)</w:t>
            </w:r>
            <w:r>
              <w:rPr>
                <w:rFonts w:eastAsia="Nunito" w:cs="Nunito"/>
                <w:sz w:val="17"/>
              </w:rPr>
              <w:t xml:space="preserve">, </w:t>
            </w:r>
            <w:r>
              <w:rPr>
                <w:rFonts w:eastAsia="Liberation Mono" w:cs="Liberation Mono" w:ascii="Liberation Mono" w:hAnsi="Liberation Mono"/>
                <w:color w:val="0B3D7A"/>
                <w:sz w:val="15"/>
              </w:rPr>
              <w:t>opening_balances(fiscal_year, account_code)</w:t>
            </w:r>
            <w:r>
              <w:rPr>
                <w:rFonts w:eastAsia="Nunito" w:cs="Nunito"/>
                <w:sz w:val="17"/>
              </w:rPr>
              <w:t xml:space="preserve">, </w:t>
            </w:r>
            <w:r>
              <w:rPr>
                <w:rFonts w:eastAsia="Liberation Mono" w:cs="Liberation Mono" w:ascii="Liberation Mono" w:hAnsi="Liberation Mono"/>
                <w:color w:val="0B3D7A"/>
                <w:sz w:val="15"/>
              </w:rPr>
              <w:t>receivable_participants(receivable_id, insurance_company_id)</w:t>
            </w:r>
            <w:r>
              <w:rPr>
                <w:rFonts w:eastAsia="Nunito" w:cs="Nunito"/>
                <w:sz w:val="17"/>
              </w:rPr>
              <w:t xml:space="preserve">, </w:t>
            </w:r>
            <w:r>
              <w:rPr>
                <w:rFonts w:eastAsia="Liberation Mono" w:cs="Liberation Mono" w:ascii="Liberation Mono" w:hAnsi="Liberation Mono"/>
                <w:color w:val="0B3D7A"/>
                <w:sz w:val="15"/>
              </w:rPr>
              <w:t>refresh_tokens(jti)</w:t>
            </w:r>
            <w:r>
              <w:rPr>
                <w:rFonts w:eastAsia="Nunito" w:cs="Nunito"/>
                <w:sz w:val="17"/>
              </w:rPr>
              <w:t xml:space="preserve">, </w:t>
            </w:r>
            <w:r>
              <w:rPr>
                <w:rFonts w:eastAsia="Liberation Mono" w:cs="Liberation Mono" w:ascii="Liberation Mono" w:hAnsi="Liberation Mono"/>
                <w:color w:val="0B3D7A"/>
                <w:sz w:val="15"/>
              </w:rPr>
              <w:t>schema_migrations(name)</w:t>
            </w:r>
            <w:r>
              <w:rPr>
                <w:rFonts w:eastAsia="Nunito" w:cs="Nunito"/>
                <w:sz w:val="17"/>
              </w:rPr>
              <w:t xml:space="preserve">, </w:t>
            </w:r>
            <w:r>
              <w:rPr>
                <w:rFonts w:eastAsia="Liberation Mono" w:cs="Liberation Mono" w:ascii="Liberation Mono" w:hAnsi="Liberation Mono"/>
                <w:color w:val="0B3D7A"/>
                <w:sz w:val="15"/>
              </w:rPr>
              <w:t>sequences(name, period)</w:t>
            </w:r>
            <w:r>
              <w:rPr>
                <w:rFonts w:eastAsia="Nunito" w:cs="Nunito"/>
                <w:sz w:val="17"/>
              </w:rPr>
              <w:t xml:space="preserve">, </w:t>
            </w:r>
            <w:r>
              <w:rPr>
                <w:rFonts w:eastAsia="Liberation Mono" w:cs="Liberation Mono" w:ascii="Liberation Mono" w:hAnsi="Liberation Mono"/>
                <w:color w:val="0B3D7A"/>
                <w:sz w:val="15"/>
              </w:rPr>
              <w:t>role_permissions</w:t>
            </w:r>
            <w:r>
              <w:rPr>
                <w:rFonts w:eastAsia="Nunito" w:cs="Nunito"/>
                <w:sz w:val="17"/>
              </w:rPr>
              <w:t xml:space="preserve">, </w:t>
            </w:r>
            <w:r>
              <w:rPr>
                <w:rFonts w:eastAsia="Liberation Mono" w:cs="Liberation Mono" w:ascii="Liberation Mono" w:hAnsi="Liberation Mono"/>
                <w:color w:val="0B3D7A"/>
                <w:sz w:val="15"/>
              </w:rPr>
              <w:t>user_roles</w:t>
            </w:r>
            <w:r>
              <w:rPr>
                <w:rFonts w:eastAsia="Nunito" w:cs="Nunito"/>
                <w:sz w:val="17"/>
              </w:rPr>
              <w:t xml:space="preserve"> and others.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numbers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Readable document numbers (</w:t>
            </w:r>
            <w:r>
              <w:rPr>
                <w:rFonts w:eastAsia="Liberation Mono" w:cs="Liberation Mono" w:ascii="Liberation Mono" w:hAnsi="Liberation Mono"/>
                <w:color w:val="0B3D7A"/>
                <w:sz w:val="15"/>
              </w:rPr>
              <w:t>QT-2026-00001</w:t>
            </w:r>
            <w:r>
              <w:rPr>
                <w:rFonts w:eastAsia="Nunito" w:cs="Nunito"/>
                <w:sz w:val="17"/>
              </w:rPr>
              <w:t xml:space="preserve">, </w:t>
            </w:r>
            <w:r>
              <w:rPr>
                <w:rFonts w:eastAsia="Liberation Mono" w:cs="Liberation Mono" w:ascii="Liberation Mono" w:hAnsi="Liberation Mono"/>
                <w:color w:val="0B3D7A"/>
                <w:sz w:val="15"/>
              </w:rPr>
              <w:t>POL-2026-00001</w:t>
            </w:r>
            <w:r>
              <w:rPr>
                <w:rFonts w:eastAsia="Nunito" w:cs="Nunito"/>
                <w:sz w:val="17"/>
              </w:rPr>
              <w:t xml:space="preserve">, </w:t>
            </w:r>
            <w:r>
              <w:rPr>
                <w:rFonts w:eastAsia="Liberation Mono" w:cs="Liberation Mono" w:ascii="Liberation Mono" w:hAnsi="Liberation Mono"/>
                <w:color w:val="0B3D7A"/>
                <w:sz w:val="15"/>
              </w:rPr>
              <w:t>OR-2026-00019</w:t>
            </w:r>
            <w:r>
              <w:rPr>
                <w:rFonts w:eastAsia="Nunito" w:cs="Nunito"/>
                <w:sz w:val="17"/>
              </w:rPr>
              <w:t xml:space="preserve">, </w:t>
            </w:r>
            <w:r>
              <w:rPr>
                <w:rFonts w:eastAsia="Liberation Mono" w:cs="Liberation Mono" w:ascii="Liberation Mono" w:hAnsi="Liberation Mono"/>
                <w:color w:val="0B3D7A"/>
                <w:sz w:val="15"/>
              </w:rPr>
              <w:t>BS-</w:t>
            </w:r>
            <w:r>
              <w:rPr>
                <w:rFonts w:eastAsia="Nunito" w:cs="Nunito"/>
                <w:sz w:val="17"/>
              </w:rPr>
              <w:t xml:space="preserve">, </w:t>
            </w:r>
            <w:r>
              <w:rPr>
                <w:rFonts w:eastAsia="Liberation Mono" w:cs="Liberation Mono" w:ascii="Liberation Mono" w:hAnsi="Liberation Mono"/>
                <w:color w:val="0B3D7A"/>
                <w:sz w:val="15"/>
              </w:rPr>
              <w:t>PS-</w:t>
            </w:r>
            <w:r>
              <w:rPr>
                <w:rFonts w:eastAsia="Nunito" w:cs="Nunito"/>
                <w:sz w:val="17"/>
              </w:rPr>
              <w:t xml:space="preserve">, </w:t>
            </w:r>
            <w:r>
              <w:rPr>
                <w:rFonts w:eastAsia="Liberation Mono" w:cs="Liberation Mono" w:ascii="Liberation Mono" w:hAnsi="Liberation Mono"/>
                <w:color w:val="0B3D7A"/>
                <w:sz w:val="15"/>
              </w:rPr>
              <w:t>MEC-</w:t>
            </w:r>
            <w:r>
              <w:rPr>
                <w:rFonts w:eastAsia="Nunito" w:cs="Nunito"/>
                <w:sz w:val="17"/>
              </w:rPr>
              <w:t xml:space="preserve">, </w:t>
            </w:r>
            <w:r>
              <w:rPr>
                <w:rFonts w:eastAsia="Liberation Mono" w:cs="Liberation Mono" w:ascii="Liberation Mono" w:hAnsi="Liberation Mono"/>
                <w:color w:val="0B3D7A"/>
                <w:sz w:val="15"/>
              </w:rPr>
              <w:t>BRC-</w:t>
            </w:r>
            <w:r>
              <w:rPr>
                <w:rFonts w:eastAsia="Nunito" w:cs="Nunito"/>
                <w:sz w:val="17"/>
              </w:rPr>
              <w:t>) are separate unique columns (</w:t>
            </w:r>
            <w:r>
              <w:rPr>
                <w:rFonts w:eastAsia="Liberation Mono" w:cs="Liberation Mono" w:ascii="Liberation Mono" w:hAnsi="Liberation Mono"/>
                <w:color w:val="0B3D7A"/>
                <w:sz w:val="15"/>
              </w:rPr>
              <w:t>quote_number</w:t>
            </w:r>
            <w:r>
              <w:rPr>
                <w:rFonts w:eastAsia="Nunito" w:cs="Nunito"/>
                <w:sz w:val="17"/>
              </w:rPr>
              <w:t xml:space="preserve">, </w:t>
            </w:r>
            <w:r>
              <w:rPr>
                <w:rFonts w:eastAsia="Liberation Mono" w:cs="Liberation Mono" w:ascii="Liberation Mono" w:hAnsi="Liberation Mono"/>
                <w:color w:val="0B3D7A"/>
                <w:sz w:val="15"/>
              </w:rPr>
              <w:t>policy_number</w:t>
            </w:r>
            <w:r>
              <w:rPr>
                <w:rFonts w:eastAsia="Nunito" w:cs="Nunito"/>
                <w:sz w:val="17"/>
              </w:rPr>
              <w:t xml:space="preserve">, </w:t>
            </w:r>
            <w:r>
              <w:rPr>
                <w:rFonts w:eastAsia="Liberation Mono" w:cs="Liberation Mono" w:ascii="Liberation Mono" w:hAnsi="Liberation Mono"/>
                <w:color w:val="0B3D7A"/>
                <w:sz w:val="15"/>
              </w:rPr>
              <w:t>receipt_number</w:t>
            </w:r>
            <w:r>
              <w:rPr>
                <w:rFonts w:eastAsia="Nunito" w:cs="Nunito"/>
                <w:sz w:val="17"/>
              </w:rPr>
              <w:t xml:space="preserve">, </w:t>
            </w:r>
            <w:r>
              <w:rPr>
                <w:rFonts w:eastAsia="Liberation Mono" w:cs="Liberation Mono" w:ascii="Liberation Mono" w:hAnsi="Liberation Mono"/>
                <w:color w:val="0B3D7A"/>
                <w:sz w:val="15"/>
              </w:rPr>
              <w:t>slip_number</w:t>
            </w:r>
            <w:r>
              <w:rPr>
                <w:rFonts w:eastAsia="Nunito" w:cs="Nunito"/>
                <w:sz w:val="17"/>
              </w:rPr>
              <w:t xml:space="preserve">, </w:t>
            </w:r>
            <w:r>
              <w:rPr>
                <w:rFonts w:eastAsia="Liberation Mono" w:cs="Liberation Mono" w:ascii="Liberation Mono" w:hAnsi="Liberation Mono"/>
                <w:color w:val="0B3D7A"/>
                <w:sz w:val="15"/>
              </w:rPr>
              <w:t>run_number</w:t>
            </w:r>
            <w:r>
              <w:rPr>
                <w:rFonts w:eastAsia="Nunito" w:cs="Nunito"/>
                <w:sz w:val="17"/>
              </w:rPr>
              <w:t>...), never primary keys. Most detail endpoints accept either the id or the number.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468 foreign keys: 369 </w:t>
            </w:r>
            <w:r>
              <w:rPr>
                <w:rFonts w:eastAsia="Liberation Mono" w:cs="Liberation Mono" w:ascii="Liberation Mono" w:hAnsi="Liberation Mono"/>
                <w:color w:val="0B3D7A"/>
                <w:sz w:val="15"/>
              </w:rPr>
              <w:t>NO ACTION</w:t>
            </w:r>
            <w:r>
              <w:rPr>
                <w:rFonts w:eastAsia="Nunito" w:cs="Nunito"/>
                <w:sz w:val="17"/>
              </w:rPr>
              <w:t xml:space="preserve"> (a referenced record cannot be deleted while in use), 77 </w:t>
            </w:r>
            <w:r>
              <w:rPr>
                <w:rFonts w:eastAsia="Liberation Mono" w:cs="Liberation Mono" w:ascii="Liberation Mono" w:hAnsi="Liberation Mono"/>
                <w:color w:val="0B3D7A"/>
                <w:sz w:val="15"/>
              </w:rPr>
              <w:t>CASCADE</w:t>
            </w:r>
            <w:r>
              <w:rPr>
                <w:rFonts w:eastAsia="Nunito" w:cs="Nunito"/>
                <w:sz w:val="17"/>
              </w:rPr>
              <w:t xml:space="preserve"> (children with no meaning without their parent: journal lines, receipt lines, match items, claim history, renewal notices, role grants, refresh tokens, notifications) and 22 </w:t>
            </w:r>
            <w:r>
              <w:rPr>
                <w:rFonts w:eastAsia="Liberation Mono" w:cs="Liberation Mono" w:ascii="Liberation Mono" w:hAnsi="Liberation Mono"/>
                <w:color w:val="0B3D7A"/>
                <w:sz w:val="15"/>
              </w:rPr>
              <w:t>SET NULL</w:t>
            </w:r>
            <w:r>
              <w:rPr>
                <w:rFonts w:eastAsia="Nunito" w:cs="Nunito"/>
                <w:sz w:val="17"/>
              </w:rPr>
              <w:t>.</w:t>
            </w:r>
          </w:p>
        </w:tc>
      </w:tr>
    </w:tbl>
    <w:p>
      <w:pPr>
        <w:pStyle w:val="Normal"/>
        <w:spacing w:before="0" w:after="40"/>
        <w:rPr/>
      </w:pPr>
      <w:r>
        <w:rPr/>
      </w:r>
    </w:p>
    <w:p>
      <w:pPr>
        <w:pStyle w:val="Heading2"/>
        <w:rPr/>
      </w:pPr>
      <w:bookmarkStart w:id="6" w:name="__RefHeading___Toc7141_1872304043"/>
      <w:bookmarkEnd w:id="6"/>
      <w:r>
        <w:rPr>
          <w:rFonts w:eastAsia="Nunito" w:cs="Nunito" w:ascii="Nunito" w:hAnsi="Nunito"/>
        </w:rPr>
        <w:t>3.2  Column types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Data</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Type and handling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Amounts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numeric</w:t>
            </w:r>
            <w:r>
              <w:rPr>
                <w:rFonts w:eastAsia="Nunito" w:cs="Nunito"/>
                <w:sz w:val="17"/>
              </w:rPr>
              <w:t xml:space="preserve"> (490 columns), typically </w:t>
            </w:r>
            <w:r>
              <w:rPr>
                <w:rFonts w:eastAsia="Liberation Mono" w:cs="Liberation Mono" w:ascii="Liberation Mono" w:hAnsi="Liberation Mono"/>
                <w:color w:val="0B3D7A"/>
                <w:sz w:val="15"/>
              </w:rPr>
              <w:t>numeric(14,2)</w:t>
            </w:r>
            <w:r>
              <w:rPr>
                <w:rFonts w:eastAsia="Nunito" w:cs="Nunito"/>
                <w:sz w:val="17"/>
              </w:rPr>
              <w:t xml:space="preserve">; converted to JavaScript numbers by the pool type parser; all rounding through </w:t>
            </w:r>
            <w:r>
              <w:rPr>
                <w:rFonts w:eastAsia="Liberation Mono" w:cs="Liberation Mono" w:ascii="Liberation Mono" w:hAnsi="Liberation Mono"/>
                <w:color w:val="0B3D7A"/>
                <w:sz w:val="15"/>
              </w:rPr>
              <w:t>round2()</w:t>
            </w:r>
            <w:r>
              <w:rPr>
                <w:rFonts w:eastAsia="Nunito" w:cs="Nunito"/>
                <w:sz w:val="17"/>
              </w:rPr>
              <w:t xml:space="preserve"> in </w:t>
            </w:r>
            <w:r>
              <w:rPr>
                <w:rFonts w:eastAsia="Liberation Mono" w:cs="Liberation Mono" w:ascii="Liberation Mono" w:hAnsi="Liberation Mono"/>
                <w:color w:val="0B3D7A"/>
                <w:sz w:val="15"/>
              </w:rPr>
              <w:t>lib/money.js</w:t>
            </w:r>
            <w:r>
              <w:rPr>
                <w:rFonts w:eastAsia="Nunito" w:cs="Nunito"/>
                <w:sz w:val="17"/>
              </w:rPr>
              <w:t xml:space="preserve"> (half away from zero, the same rule as PostgreSQL </w:t>
            </w:r>
            <w:r>
              <w:rPr>
                <w:rFonts w:eastAsia="Liberation Mono" w:cs="Liberation Mono" w:ascii="Liberation Mono" w:hAnsi="Liberation Mono"/>
                <w:color w:val="0B3D7A"/>
                <w:sz w:val="15"/>
              </w:rPr>
              <w:t>round(numeric, 2)</w:t>
            </w:r>
            <w:r>
              <w:rPr>
                <w:rFonts w:eastAsia="Nunito" w:cs="Nunito"/>
                <w:sz w:val="17"/>
              </w:rPr>
              <w:t xml:space="preserve">). Shares are </w:t>
            </w:r>
            <w:r>
              <w:rPr>
                <w:rFonts w:eastAsia="Liberation Mono" w:cs="Liberation Mono" w:ascii="Liberation Mono" w:hAnsi="Liberation Mono"/>
                <w:color w:val="0B3D7A"/>
                <w:sz w:val="15"/>
              </w:rPr>
              <w:t>numeric(7,4)</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dates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date</w:t>
            </w:r>
            <w:r>
              <w:rPr>
                <w:rFonts w:eastAsia="Nunito" w:cs="Nunito"/>
                <w:sz w:val="17"/>
              </w:rPr>
              <w:t xml:space="preserve"> (217 columns: inception, expiry, due, loss, receipt, voucher, statement and period dates), returned to the application as </w:t>
            </w:r>
            <w:r>
              <w:rPr>
                <w:rFonts w:eastAsia="Liberation Mono" w:cs="Liberation Mono" w:ascii="Liberation Mono" w:hAnsi="Liberation Mono"/>
                <w:color w:val="0B3D7A"/>
                <w:sz w:val="15"/>
              </w:rPr>
              <w:t>YYYY-MM-DD</w:t>
            </w:r>
            <w:r>
              <w:rPr>
                <w:rFonts w:eastAsia="Nunito" w:cs="Nunito"/>
                <w:sz w:val="17"/>
              </w:rPr>
              <w:t xml:space="preserve"> strings so no time-zone shift can occur. Date columns that default to today take </w:t>
            </w:r>
            <w:r>
              <w:rPr>
                <w:rFonts w:eastAsia="Liberation Mono" w:cs="Liberation Mono" w:ascii="Liberation Mono" w:hAnsi="Liberation Mono"/>
                <w:color w:val="0B3D7A"/>
                <w:sz w:val="15"/>
              </w:rPr>
              <w:t>numbering_business_date()</w:t>
            </w:r>
            <w:r>
              <w:rPr>
                <w:rFonts w:eastAsia="Nunito" w:cs="Nunito"/>
                <w:sz w:val="17"/>
              </w:rPr>
              <w:t xml:space="preserve">, the date in </w:t>
            </w:r>
            <w:r>
              <w:rPr>
                <w:rFonts w:eastAsia="Liberation Mono" w:cs="Liberation Mono" w:ascii="Liberation Mono" w:hAnsi="Liberation Mono"/>
                <w:color w:val="0B3D7A"/>
                <w:sz w:val="15"/>
              </w:rPr>
              <w:t>general.timezone</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Instants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timestamptz</w:t>
            </w:r>
            <w:r>
              <w:rPr>
                <w:rFonts w:eastAsia="Nunito" w:cs="Nunito"/>
                <w:sz w:val="17"/>
              </w:rPr>
              <w:t xml:space="preserve"> (590 columns, for example </w:t>
            </w:r>
            <w:r>
              <w:rPr>
                <w:rFonts w:eastAsia="Liberation Mono" w:cs="Liberation Mono" w:ascii="Liberation Mono" w:hAnsi="Liberation Mono"/>
                <w:color w:val="0B3D7A"/>
                <w:sz w:val="15"/>
              </w:rPr>
              <w:t>created_at</w:t>
            </w:r>
            <w:r>
              <w:rPr>
                <w:rFonts w:eastAsia="Nunito" w:cs="Nunito"/>
                <w:sz w:val="17"/>
              </w:rPr>
              <w:t xml:space="preserve">, </w:t>
            </w:r>
            <w:r>
              <w:rPr>
                <w:rFonts w:eastAsia="Liberation Mono" w:cs="Liberation Mono" w:ascii="Liberation Mono" w:hAnsi="Liberation Mono"/>
                <w:color w:val="0B3D7A"/>
                <w:sz w:val="15"/>
              </w:rPr>
              <w:t>approved_at</w:t>
            </w:r>
            <w:r>
              <w:rPr>
                <w:rFonts w:eastAsia="Nunito" w:cs="Nunito"/>
                <w:sz w:val="17"/>
              </w:rPr>
              <w:t xml:space="preserve">, </w:t>
            </w:r>
            <w:r>
              <w:rPr>
                <w:rFonts w:eastAsia="Liberation Mono" w:cs="Liberation Mono" w:ascii="Liberation Mono" w:hAnsi="Liberation Mono"/>
                <w:color w:val="0B3D7A"/>
                <w:sz w:val="15"/>
              </w:rPr>
              <w:t>sent_at</w:t>
            </w:r>
            <w:r>
              <w:rPr>
                <w:rFonts w:eastAsia="Nunito" w:cs="Nunito"/>
                <w:sz w:val="17"/>
              </w:rPr>
              <w:t xml:space="preserve">); there are no </w:t>
            </w:r>
            <w:r>
              <w:rPr>
                <w:rFonts w:eastAsia="Liberation Mono" w:cs="Liberation Mono" w:ascii="Liberation Mono" w:hAnsi="Liberation Mono"/>
                <w:color w:val="0B3D7A"/>
                <w:sz w:val="15"/>
              </w:rPr>
              <w:t>timestamp without time zone</w:t>
            </w:r>
            <w:r>
              <w:rPr>
                <w:rFonts w:eastAsia="Nunito" w:cs="Nunito"/>
                <w:sz w:val="17"/>
              </w:rPr>
              <w:t xml:space="preserve"> columns.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Flexible parts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jsonb</w:t>
            </w:r>
            <w:r>
              <w:rPr>
                <w:rFonts w:eastAsia="Nunito" w:cs="Nunito"/>
                <w:sz w:val="17"/>
              </w:rPr>
              <w:t xml:space="preserve"> (166 columns in 103 tables), see below.</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Codes and statuses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text</w:t>
            </w:r>
            <w:r>
              <w:rPr>
                <w:rFonts w:eastAsia="Nunito" w:cs="Nunito"/>
                <w:sz w:val="17"/>
              </w:rPr>
              <w:t xml:space="preserve"> with validation in the application (zod, service rules) and 390 </w:t>
            </w:r>
            <w:r>
              <w:rPr>
                <w:rFonts w:eastAsia="Liberation Mono" w:cs="Liberation Mono" w:ascii="Liberation Mono" w:hAnsi="Liberation Mono"/>
                <w:color w:val="0B3D7A"/>
                <w:sz w:val="15"/>
              </w:rPr>
              <w:t>CHECK</w:t>
            </w:r>
            <w:r>
              <w:rPr>
                <w:rFonts w:eastAsia="Nunito" w:cs="Nunito"/>
                <w:sz w:val="17"/>
              </w:rPr>
              <w:t xml:space="preserve"> constraints; statuses are lower-case codes mapped to display labels.</w:t>
            </w:r>
          </w:p>
        </w:tc>
      </w:tr>
    </w:tbl>
    <w:p>
      <w:pPr>
        <w:pStyle w:val="Normal"/>
        <w:spacing w:before="0" w:after="40"/>
        <w:rPr/>
      </w:pPr>
      <w:r>
        <w:rPr/>
      </w:r>
    </w:p>
    <w:p>
      <w:pPr>
        <w:pStyle w:val="Heading2"/>
        <w:rPr/>
      </w:pPr>
      <w:bookmarkStart w:id="7" w:name="__RefHeading___Toc7143_1872304043"/>
      <w:bookmarkEnd w:id="7"/>
      <w:r>
        <w:rPr>
          <w:rFonts w:eastAsia="Nunito" w:cs="Nunito" w:ascii="Nunito" w:hAnsi="Nunito"/>
        </w:rPr>
        <w:t>3.3  JSONB document columns</w:t>
      </w:r>
    </w:p>
    <w:p>
      <w:pPr>
        <w:pStyle w:val="Normal"/>
        <w:rPr/>
      </w:pPr>
      <w:r>
        <w:rPr>
          <w:rFonts w:eastAsia="Nunito" w:cs="Nunito"/>
        </w:rPr>
        <w:t>JSONB is used where the structure varies by product, screen or configuration. Columns that are searched, joined, totalled or reported on stay relational.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JSONB columns and use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quotes, broker_slips, placements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Wizard inputs and selected covers, the full document (</w:t>
            </w:r>
            <w:r>
              <w:rPr>
                <w:rFonts w:eastAsia="Liberation Mono" w:cs="Liberation Mono" w:ascii="Liberation Mono" w:hAnsi="Liberation Mono"/>
                <w:color w:val="0B3D7A"/>
                <w:sz w:val="15"/>
              </w:rPr>
              <w:t>doc</w:t>
            </w:r>
            <w:r>
              <w:rPr>
                <w:rFonts w:eastAsia="Nunito" w:cs="Nunito"/>
                <w:sz w:val="17"/>
              </w:rPr>
              <w:t>) with premium breakdown and customer data, risk details and requested covers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policies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details</w:t>
            </w:r>
            <w:r>
              <w:rPr>
                <w:rFonts w:eastAsia="Nunito" w:cs="Nunito"/>
                <w:sz w:val="17"/>
              </w:rPr>
              <w:t xml:space="preserve"> (risk and party details, renewal link), </w:t>
            </w:r>
            <w:r>
              <w:rPr>
                <w:rFonts w:eastAsia="Liberation Mono" w:cs="Liberation Mono" w:ascii="Liberation Mono" w:hAnsi="Liberation Mono"/>
                <w:color w:val="0B3D7A"/>
                <w:sz w:val="15"/>
              </w:rPr>
              <w:t>doc</w:t>
            </w:r>
            <w:r>
              <w:rPr>
                <w:rFonts w:eastAsia="Nunito" w:cs="Nunito"/>
                <w:sz w:val="17"/>
              </w:rPr>
              <w:t xml:space="preserve"> (policy document data carried from the quotation or placement)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insurer_offers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taxes</w:t>
            </w:r>
            <w:r>
              <w:rPr>
                <w:rFonts w:eastAsia="Nunito" w:cs="Nunito"/>
                <w:sz w:val="17"/>
              </w:rPr>
              <w:t xml:space="preserve">, </w:t>
            </w:r>
            <w:r>
              <w:rPr>
                <w:rFonts w:eastAsia="Liberation Mono" w:cs="Liberation Mono" w:ascii="Liberation Mono" w:hAnsi="Liberation Mono"/>
                <w:color w:val="0B3D7A"/>
                <w:sz w:val="15"/>
              </w:rPr>
              <w:t>deductibles</w:t>
            </w:r>
            <w:r>
              <w:rPr>
                <w:rFonts w:eastAsia="Nunito" w:cs="Nunito"/>
                <w:sz w:val="17"/>
              </w:rPr>
              <w:t xml:space="preserve">, </w:t>
            </w:r>
            <w:r>
              <w:rPr>
                <w:rFonts w:eastAsia="Liberation Mono" w:cs="Liberation Mono" w:ascii="Liberation Mono" w:hAnsi="Liberation Mono"/>
                <w:color w:val="0B3D7A"/>
                <w:sz w:val="15"/>
              </w:rPr>
              <w:t>terms</w:t>
            </w:r>
            <w:r>
              <w:rPr>
                <w:rFonts w:eastAsia="Nunito" w:cs="Nunito"/>
                <w:sz w:val="17"/>
              </w:rPr>
              <w:t xml:space="preserve"> of an insurer's answer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claims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details</w:t>
            </w:r>
            <w:r>
              <w:rPr>
                <w:rFonts w:eastAsia="Nunito" w:cs="Nunito"/>
                <w:sz w:val="17"/>
              </w:rPr>
              <w:t xml:space="preserve">, </w:t>
            </w:r>
            <w:r>
              <w:rPr>
                <w:rFonts w:eastAsia="Liberation Mono" w:cs="Liberation Mono" w:ascii="Liberation Mono" w:hAnsi="Liberation Mono"/>
                <w:color w:val="0B3D7A"/>
                <w:sz w:val="15"/>
              </w:rPr>
              <w:t>driver</w:t>
            </w:r>
            <w:r>
              <w:rPr>
                <w:rFonts w:eastAsia="Nunito" w:cs="Nunito"/>
                <w:sz w:val="17"/>
              </w:rPr>
              <w:t xml:space="preserve">, </w:t>
            </w:r>
            <w:r>
              <w:rPr>
                <w:rFonts w:eastAsia="Liberation Mono" w:cs="Liberation Mono" w:ascii="Liberation Mono" w:hAnsi="Liberation Mono"/>
                <w:color w:val="0B3D7A"/>
                <w:sz w:val="15"/>
              </w:rPr>
              <w:t>third_party</w:t>
            </w:r>
            <w:r>
              <w:rPr>
                <w:rFonts w:eastAsia="Nunito" w:cs="Nunito"/>
                <w:sz w:val="17"/>
              </w:rPr>
              <w:t xml:space="preserve">, </w:t>
            </w:r>
            <w:r>
              <w:rPr>
                <w:rFonts w:eastAsia="Liberation Mono" w:cs="Liberation Mono" w:ascii="Liberation Mono" w:hAnsi="Liberation Mono"/>
                <w:color w:val="0B3D7A"/>
                <w:sz w:val="15"/>
              </w:rPr>
              <w:t>policy_info</w:t>
            </w:r>
            <w:r>
              <w:rPr>
                <w:rFonts w:eastAsia="Nunito" w:cs="Nunito"/>
                <w:sz w:val="17"/>
              </w:rPr>
              <w:t xml:space="preserve">, </w:t>
            </w:r>
            <w:r>
              <w:rPr>
                <w:rFonts w:eastAsia="Liberation Mono" w:cs="Liberation Mono" w:ascii="Liberation Mono" w:hAnsi="Liberation Mono"/>
                <w:color w:val="0B3D7A"/>
                <w:sz w:val="15"/>
              </w:rPr>
              <w:t>adjuster</w:t>
            </w:r>
            <w:r>
              <w:rPr>
                <w:rFonts w:eastAsia="Nunito" w:cs="Nunito"/>
                <w:sz w:val="17"/>
              </w:rPr>
              <w:t xml:space="preserve">, </w:t>
            </w:r>
            <w:r>
              <w:rPr>
                <w:rFonts w:eastAsia="Liberation Mono" w:cs="Liberation Mono" w:ascii="Liberation Mono" w:hAnsi="Liberation Mono"/>
                <w:color w:val="0B3D7A"/>
                <w:sz w:val="15"/>
              </w:rPr>
              <w:t>settlement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changes</w:t>
            </w:r>
            <w:r>
              <w:rPr>
                <w:rFonts w:eastAsia="Nunito" w:cs="Nunito"/>
                <w:sz w:val="17"/>
              </w:rPr>
              <w:t xml:space="preserve"> (field changes and re-pricing), </w:t>
            </w:r>
            <w:r>
              <w:rPr>
                <w:rFonts w:eastAsia="Liberation Mono" w:cs="Liberation Mono" w:ascii="Liberation Mono" w:hAnsi="Liberation Mono"/>
                <w:color w:val="0B3D7A"/>
                <w:sz w:val="15"/>
              </w:rPr>
              <w:t>endorsement_type_ids</w:t>
            </w:r>
            <w:r>
              <w:rPr>
                <w:rFonts w:eastAsia="Nunito" w:cs="Nunito"/>
                <w:sz w:val="17"/>
              </w:rPr>
              <w:t xml:space="preserve">, </w:t>
            </w:r>
            <w:r>
              <w:rPr>
                <w:rFonts w:eastAsia="Liberation Mono" w:cs="Liberation Mono" w:ascii="Liberation Mono" w:hAnsi="Liberation Mono"/>
                <w:color w:val="0B3D7A"/>
                <w:sz w:val="15"/>
              </w:rPr>
              <w:t>completion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renewals, renewal_quotes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Coverage details, accessories, order summary, limits, premium breakdown, taxes and rating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product_templates, product_components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config</w:t>
            </w:r>
            <w:r>
              <w:rPr>
                <w:rFonts w:eastAsia="Nunito" w:cs="Nunito"/>
                <w:sz w:val="17"/>
              </w:rPr>
              <w:t xml:space="preserve">, </w:t>
            </w:r>
            <w:r>
              <w:rPr>
                <w:rFonts w:eastAsia="Liberation Mono" w:cs="Liberation Mono" w:ascii="Liberation Mono" w:hAnsi="Liberation Mono"/>
                <w:color w:val="0B3D7A"/>
                <w:sz w:val="15"/>
              </w:rPr>
              <w:t>features</w:t>
            </w:r>
            <w:r>
              <w:rPr>
                <w:rFonts w:eastAsia="Nunito" w:cs="Nunito"/>
                <w:sz w:val="17"/>
              </w:rPr>
              <w:t xml:space="preserve">, </w:t>
            </w:r>
            <w:r>
              <w:rPr>
                <w:rFonts w:eastAsia="Liberation Mono" w:cs="Liberation Mono" w:ascii="Liberation Mono" w:hAnsi="Liberation Mono"/>
                <w:color w:val="0B3D7A"/>
                <w:sz w:val="15"/>
              </w:rPr>
              <w:t>insurers</w:t>
            </w:r>
            <w:r>
              <w:rPr>
                <w:rFonts w:eastAsia="Nunito" w:cs="Nunito"/>
                <w:sz w:val="17"/>
              </w:rPr>
              <w:t xml:space="preserve">, </w:t>
            </w:r>
            <w:r>
              <w:rPr>
                <w:rFonts w:eastAsia="Liberation Mono" w:cs="Liberation Mono" w:ascii="Liberation Mono" w:hAnsi="Liberation Mono"/>
                <w:color w:val="0B3D7A"/>
                <w:sz w:val="15"/>
              </w:rPr>
              <w:t>tags</w:t>
            </w:r>
            <w:r>
              <w:rPr>
                <w:rFonts w:eastAsia="Nunito" w:cs="Nunito"/>
                <w:sz w:val="17"/>
              </w:rPr>
              <w:t xml:space="preserve">; component </w:t>
            </w:r>
            <w:r>
              <w:rPr>
                <w:rFonts w:eastAsia="Liberation Mono" w:cs="Liberation Mono" w:ascii="Liberation Mono" w:hAnsi="Liberation Mono"/>
                <w:color w:val="0B3D7A"/>
                <w:sz w:val="15"/>
              </w:rPr>
              <w:t>data</w:t>
            </w:r>
            <w:r>
              <w:rPr>
                <w:rFonts w:eastAsia="Nunito" w:cs="Nunito"/>
                <w:sz w:val="17"/>
              </w:rPr>
              <w:t xml:space="preserve"> (covers, rating tables, rules, the motor CTPL tariff)</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master_records, master_types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data</w:t>
            </w:r>
            <w:r>
              <w:rPr>
                <w:rFonts w:eastAsia="Nunito" w:cs="Nunito"/>
                <w:sz w:val="17"/>
              </w:rPr>
              <w:t xml:space="preserve"> of generic masters (GIN index </w:t>
            </w:r>
            <w:r>
              <w:rPr>
                <w:rFonts w:eastAsia="Liberation Mono" w:cs="Liberation Mono" w:ascii="Liberation Mono" w:hAnsi="Liberation Mono"/>
                <w:color w:val="0B3D7A"/>
                <w:sz w:val="15"/>
              </w:rPr>
              <w:t>master_records_data_idx</w:t>
            </w:r>
            <w:r>
              <w:rPr>
                <w:rFonts w:eastAsia="Nunito" w:cs="Nunito"/>
                <w:sz w:val="17"/>
              </w:rPr>
              <w:t xml:space="preserve">, </w:t>
            </w:r>
            <w:r>
              <w:rPr>
                <w:rFonts w:eastAsia="Liberation Mono" w:cs="Liberation Mono" w:ascii="Liberation Mono" w:hAnsi="Liberation Mono"/>
                <w:color w:val="0B3D7A"/>
                <w:sz w:val="15"/>
              </w:rPr>
              <w:t>jsonb_path_ops</w:t>
            </w:r>
            <w:r>
              <w:rPr>
                <w:rFonts w:eastAsia="Nunito" w:cs="Nunito"/>
                <w:sz w:val="17"/>
              </w:rPr>
              <w:t xml:space="preserve">); </w:t>
            </w:r>
            <w:r>
              <w:rPr>
                <w:rFonts w:eastAsia="Liberation Mono" w:cs="Liberation Mono" w:ascii="Liberation Mono" w:hAnsi="Liberation Mono"/>
                <w:color w:val="0B3D7A"/>
                <w:sz w:val="15"/>
              </w:rPr>
              <w:t>fields</w:t>
            </w:r>
            <w:r>
              <w:rPr>
                <w:rFonts w:eastAsia="Nunito" w:cs="Nunito"/>
                <w:sz w:val="17"/>
              </w:rPr>
              <w:t xml:space="preserve"> and </w:t>
            </w:r>
            <w:r>
              <w:rPr>
                <w:rFonts w:eastAsia="Liberation Mono" w:cs="Liberation Mono" w:ascii="Liberation Mono" w:hAnsi="Liberation Mono"/>
                <w:color w:val="0B3D7A"/>
                <w:sz w:val="15"/>
              </w:rPr>
              <w:t>unique_keys</w:t>
            </w:r>
            <w:r>
              <w:rPr>
                <w:rFonts w:eastAsia="Nunito" w:cs="Nunito"/>
                <w:sz w:val="17"/>
              </w:rPr>
              <w:t xml:space="preserve"> of each master screen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app_settings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value</w:t>
            </w:r>
            <w:r>
              <w:rPr>
                <w:rFonts w:eastAsia="Nunito" w:cs="Nunito"/>
                <w:sz w:val="17"/>
              </w:rPr>
              <w:t>: every configuration value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audit_log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before_data</w:t>
            </w:r>
            <w:r>
              <w:rPr>
                <w:rFonts w:eastAsia="Nunito" w:cs="Nunito"/>
                <w:sz w:val="17"/>
              </w:rPr>
              <w:t xml:space="preserve">, </w:t>
            </w:r>
            <w:r>
              <w:rPr>
                <w:rFonts w:eastAsia="Liberation Mono" w:cs="Liberation Mono" w:ascii="Liberation Mono" w:hAnsi="Liberation Mono"/>
                <w:color w:val="0B3D7A"/>
                <w:sz w:val="15"/>
              </w:rPr>
              <w:t>after_data</w:t>
            </w:r>
            <w:r>
              <w:rPr>
                <w:rFonts w:eastAsia="Nunito" w:cs="Nunito"/>
                <w:sz w:val="17"/>
              </w:rPr>
              <w:t xml:space="preserve"> of every audited change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 end and bank reconciliation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period_close_runs.steps</w:t>
            </w:r>
            <w:r>
              <w:rPr>
                <w:rFonts w:eastAsia="Nunito" w:cs="Nunito"/>
                <w:sz w:val="17"/>
              </w:rPr>
              <w:t xml:space="preserve">, </w:t>
            </w:r>
            <w:r>
              <w:rPr>
                <w:rFonts w:eastAsia="Liberation Mono" w:cs="Liberation Mono" w:ascii="Liberation Mono" w:hAnsi="Liberation Mono"/>
                <w:color w:val="0B3D7A"/>
                <w:sz w:val="15"/>
              </w:rPr>
              <w:t>period_close_run_checks.detail</w:t>
            </w:r>
            <w:r>
              <w:rPr>
                <w:rFonts w:eastAsia="Nunito" w:cs="Nunito"/>
                <w:sz w:val="17"/>
              </w:rPr>
              <w:t xml:space="preserve">, </w:t>
            </w:r>
            <w:r>
              <w:rPr>
                <w:rFonts w:eastAsia="Liberation Mono" w:cs="Liberation Mono" w:ascii="Liberation Mono" w:hAnsi="Liberation Mono"/>
                <w:color w:val="0B3D7A"/>
                <w:sz w:val="15"/>
              </w:rPr>
              <w:t>recurring_journals.lines</w:t>
            </w:r>
            <w:r>
              <w:rPr>
                <w:rFonts w:eastAsia="Nunito" w:cs="Nunito"/>
                <w:sz w:val="17"/>
              </w:rPr>
              <w:t xml:space="preserve">, </w:t>
            </w:r>
            <w:r>
              <w:rPr>
                <w:rFonts w:eastAsia="Liberation Mono" w:cs="Liberation Mono" w:ascii="Liberation Mono" w:hAnsi="Liberation Mono"/>
                <w:color w:val="0B3D7A"/>
                <w:sz w:val="15"/>
              </w:rPr>
              <w:t>year_end_runs.checks</w:t>
            </w:r>
            <w:r>
              <w:rPr>
                <w:rFonts w:eastAsia="Nunito" w:cs="Nunito"/>
                <w:sz w:val="17"/>
              </w:rPr>
              <w:t xml:space="preserve">, </w:t>
            </w:r>
            <w:r>
              <w:rPr>
                <w:rFonts w:eastAsia="Liberation Mono" w:cs="Liberation Mono" w:ascii="Liberation Mono" w:hAnsi="Liberation Mono"/>
                <w:color w:val="0B3D7A"/>
                <w:sz w:val="15"/>
              </w:rPr>
              <w:t>bir_2307_certificates.lines</w:t>
            </w:r>
            <w:r>
              <w:rPr>
                <w:rFonts w:eastAsia="Nunito" w:cs="Nunito"/>
                <w:sz w:val="17"/>
              </w:rPr>
              <w:t xml:space="preserve">, </w:t>
            </w:r>
            <w:r>
              <w:rPr>
                <w:rFonts w:eastAsia="Liberation Mono" w:cs="Liberation Mono" w:ascii="Liberation Mono" w:hAnsi="Liberation Mono"/>
                <w:color w:val="0B3D7A"/>
                <w:sz w:val="15"/>
              </w:rPr>
              <w:t>bank_statement_formats.columns</w:t>
            </w:r>
            <w:r>
              <w:rPr>
                <w:rFonts w:eastAsia="Nunito" w:cs="Nunito"/>
                <w:sz w:val="17"/>
              </w:rPr>
              <w:t xml:space="preserve">, </w:t>
            </w:r>
            <w:r>
              <w:rPr>
                <w:rFonts w:eastAsia="Liberation Mono" w:cs="Liberation Mono" w:ascii="Liberation Mono" w:hAnsi="Liberation Mono"/>
                <w:color w:val="0B3D7A"/>
                <w:sz w:val="15"/>
              </w:rPr>
              <w:t>bank_match_rules.params</w:t>
            </w:r>
            <w:r>
              <w:rPr>
                <w:rFonts w:eastAsia="Nunito" w:cs="Nunito"/>
                <w:sz w:val="17"/>
              </w:rPr>
              <w:t xml:space="preserve">, </w:t>
            </w:r>
            <w:r>
              <w:rPr>
                <w:rFonts w:eastAsia="Liberation Mono" w:cs="Liberation Mono" w:ascii="Liberation Mono" w:hAnsi="Liberation Mono"/>
                <w:color w:val="0B3D7A"/>
                <w:sz w:val="15"/>
              </w:rPr>
              <w:t>bank_reconciliations.snapshot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finance and reinsurance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remittances.data</w:t>
            </w:r>
            <w:r>
              <w:rPr>
                <w:rFonts w:eastAsia="Nunito" w:cs="Nunito"/>
                <w:sz w:val="17"/>
              </w:rPr>
              <w:t xml:space="preserve">, </w:t>
            </w:r>
            <w:r>
              <w:rPr>
                <w:rFonts w:eastAsia="Liberation Mono" w:cs="Liberation Mono" w:ascii="Liberation Mono" w:hAnsi="Liberation Mono"/>
                <w:color w:val="0B3D7A"/>
                <w:sz w:val="15"/>
              </w:rPr>
              <w:t>remittance_items.data</w:t>
            </w:r>
            <w:r>
              <w:rPr>
                <w:rFonts w:eastAsia="Nunito" w:cs="Nunito"/>
                <w:sz w:val="17"/>
              </w:rPr>
              <w:t xml:space="preserve">, </w:t>
            </w:r>
            <w:r>
              <w:rPr>
                <w:rFonts w:eastAsia="Liberation Mono" w:cs="Liberation Mono" w:ascii="Liberation Mono" w:hAnsi="Liberation Mono"/>
                <w:color w:val="0B3D7A"/>
                <w:sz w:val="15"/>
              </w:rPr>
              <w:t>remittance_approvals.history</w:t>
            </w:r>
            <w:r>
              <w:rPr>
                <w:rFonts w:eastAsia="Nunito" w:cs="Nunito"/>
                <w:sz w:val="17"/>
              </w:rPr>
              <w:t xml:space="preserve">, </w:t>
            </w:r>
            <w:r>
              <w:rPr>
                <w:rFonts w:eastAsia="Liberation Mono" w:cs="Liberation Mono" w:ascii="Liberation Mono" w:hAnsi="Liberation Mono"/>
                <w:color w:val="0B3D7A"/>
                <w:sz w:val="15"/>
              </w:rPr>
              <w:t>insurer_refund_credits.split</w:t>
            </w:r>
            <w:r>
              <w:rPr>
                <w:rFonts w:eastAsia="Nunito" w:cs="Nunito"/>
                <w:sz w:val="17"/>
              </w:rPr>
              <w:t xml:space="preserve">, </w:t>
            </w:r>
            <w:r>
              <w:rPr>
                <w:rFonts w:eastAsia="Liberation Mono" w:cs="Liberation Mono" w:ascii="Liberation Mono" w:hAnsi="Liberation Mono"/>
                <w:color w:val="0B3D7A"/>
                <w:sz w:val="15"/>
              </w:rPr>
              <w:t>reinsurance_treaties.terms</w:t>
            </w:r>
            <w:r>
              <w:rPr>
                <w:rFonts w:eastAsia="Nunito" w:cs="Nunito"/>
                <w:sz w:val="17"/>
              </w:rPr>
              <w:t xml:space="preserve">, </w:t>
            </w:r>
            <w:r>
              <w:rPr>
                <w:rFonts w:eastAsia="Liberation Mono" w:cs="Liberation Mono" w:ascii="Liberation Mono" w:hAnsi="Liberation Mono"/>
                <w:color w:val="0B3D7A"/>
                <w:sz w:val="15"/>
              </w:rPr>
              <w:t>incentive_programs.structure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operations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scheduled_jobs.params</w:t>
            </w:r>
            <w:r>
              <w:rPr>
                <w:rFonts w:eastAsia="Nunito" w:cs="Nunito"/>
                <w:sz w:val="17"/>
              </w:rPr>
              <w:t xml:space="preserve">, </w:t>
            </w:r>
            <w:r>
              <w:rPr>
                <w:rFonts w:eastAsia="Liberation Mono" w:cs="Liberation Mono" w:ascii="Liberation Mono" w:hAnsi="Liberation Mono"/>
                <w:color w:val="0B3D7A"/>
                <w:sz w:val="15"/>
              </w:rPr>
              <w:t>job_runs.output</w:t>
            </w:r>
            <w:r>
              <w:rPr>
                <w:rFonts w:eastAsia="Nunito" w:cs="Nunito"/>
                <w:sz w:val="17"/>
              </w:rPr>
              <w:t xml:space="preserve">, </w:t>
            </w:r>
            <w:r>
              <w:rPr>
                <w:rFonts w:eastAsia="Liberation Mono" w:cs="Liberation Mono" w:ascii="Liberation Mono" w:hAnsi="Liberation Mono"/>
                <w:color w:val="0B3D7A"/>
                <w:sz w:val="15"/>
              </w:rPr>
              <w:t>job_queue.payload</w:t>
            </w:r>
            <w:r>
              <w:rPr>
                <w:rFonts w:eastAsia="Nunito" w:cs="Nunito"/>
                <w:sz w:val="17"/>
              </w:rPr>
              <w:t xml:space="preserve">, </w:t>
            </w:r>
            <w:r>
              <w:rPr>
                <w:rFonts w:eastAsia="Liberation Mono" w:cs="Liberation Mono" w:ascii="Liberation Mono" w:hAnsi="Liberation Mono"/>
                <w:color w:val="0B3D7A"/>
                <w:sz w:val="15"/>
              </w:rPr>
              <w:t>generated_reports.params</w:t>
            </w:r>
            <w:r>
              <w:rPr>
                <w:rFonts w:eastAsia="Nunito" w:cs="Nunito"/>
                <w:sz w:val="17"/>
              </w:rPr>
              <w:t xml:space="preserve">, </w:t>
            </w:r>
            <w:r>
              <w:rPr>
                <w:rFonts w:eastAsia="Liberation Mono" w:cs="Liberation Mono" w:ascii="Liberation Mono" w:hAnsi="Liberation Mono"/>
                <w:color w:val="0B3D7A"/>
                <w:sz w:val="15"/>
              </w:rPr>
              <w:t>report_definitions.parameters</w:t>
            </w:r>
          </w:p>
        </w:tc>
      </w:tr>
    </w:tbl>
    <w:p>
      <w:pPr>
        <w:pStyle w:val="Normal"/>
        <w:spacing w:before="0" w:after="40"/>
        <w:rPr/>
      </w:pPr>
      <w:r>
        <w:rPr/>
      </w:r>
    </w:p>
    <w:p>
      <w:pPr>
        <w:pStyle w:val="Heading2"/>
        <w:rPr/>
      </w:pPr>
      <w:bookmarkStart w:id="8" w:name="__RefHeading___Toc7145_1872304043"/>
      <w:bookmarkEnd w:id="8"/>
      <w:r>
        <w:rPr>
          <w:rFonts w:eastAsia="Nunito" w:cs="Nunito" w:ascii="Nunito" w:hAnsi="Nunito"/>
        </w:rPr>
        <w:t>3.4  Document numbering</w:t>
      </w:r>
    </w:p>
    <w:p>
      <w:pPr>
        <w:pStyle w:val="Normal"/>
        <w:rPr/>
      </w:pPr>
      <w:r>
        <w:rPr>
          <w:rFonts w:eastAsia="Nunito" w:cs="Nunito"/>
        </w:rPr>
        <w:t>Every document number comes from a series in the Document Numbering master (</w:t>
      </w:r>
      <w:r>
        <w:rPr>
          <w:rFonts w:eastAsia="Liberation Mono" w:cs="Liberation Mono" w:ascii="Liberation Mono" w:hAnsi="Liberation Mono"/>
          <w:color w:val="0B3D7A"/>
          <w:sz w:val="18"/>
        </w:rPr>
        <w:t>document_numbering</w:t>
      </w:r>
      <w:r>
        <w:rPr>
          <w:rFonts w:eastAsia="Nunito" w:cs="Nunito"/>
        </w:rPr>
        <w:t xml:space="preserve">, 85 series, Master &gt; Document Numbering). </w:t>
      </w:r>
      <w:r>
        <w:rPr>
          <w:rFonts w:eastAsia="Liberation Mono" w:cs="Liberation Mono" w:ascii="Liberation Mono" w:hAnsi="Liberation Mono"/>
          <w:color w:val="0B3D7A"/>
          <w:sz w:val="18"/>
        </w:rPr>
        <w:t>nextDocumentNumber(code, { db })</w:t>
      </w:r>
      <w:r>
        <w:rPr>
          <w:rFonts w:eastAsia="Nunito" w:cs="Nunito"/>
        </w:rPr>
        <w:t xml:space="preserve"> in </w:t>
      </w:r>
      <w:r>
        <w:rPr>
          <w:rFonts w:eastAsia="Liberation Mono" w:cs="Liberation Mono" w:ascii="Liberation Mono" w:hAnsi="Liberation Mono"/>
          <w:color w:val="0B3D7A"/>
          <w:sz w:val="18"/>
        </w:rPr>
        <w:t>lib/numbering.js</w:t>
      </w:r>
      <w:r>
        <w:rPr>
          <w:rFonts w:eastAsia="Nunito" w:cs="Nunito"/>
        </w:rPr>
        <w:t xml:space="preserve"> calls the SQL function </w:t>
      </w:r>
      <w:r>
        <w:rPr>
          <w:rFonts w:eastAsia="Liberation Mono" w:cs="Liberation Mono" w:ascii="Liberation Mono" w:hAnsi="Liberation Mono"/>
          <w:color w:val="0B3D7A"/>
          <w:sz w:val="18"/>
        </w:rPr>
        <w:t>next_document_number(code, branch, lob, date)</w:t>
      </w:r>
      <w:r>
        <w:rPr>
          <w:rFonts w:eastAsia="Nunito" w:cs="Nunito"/>
        </w:rPr>
        <w:t xml:space="preserve">. The function locks the counter row of the series and period in </w:t>
      </w:r>
      <w:r>
        <w:rPr>
          <w:rFonts w:eastAsia="Liberation Mono" w:cs="Liberation Mono" w:ascii="Liberation Mono" w:hAnsi="Liberation Mono"/>
          <w:color w:val="0B3D7A"/>
          <w:sz w:val="18"/>
        </w:rPr>
        <w:t>sequences</w:t>
      </w:r>
      <w:r>
        <w:rPr>
          <w:rFonts w:eastAsia="Nunito" w:cs="Nunito"/>
        </w:rPr>
        <w:t xml:space="preserve"> until the caller's transaction ends, so two users never get the same number and a rolled-back save gives its number back. </w:t>
      </w:r>
      <w:r>
        <w:rPr>
          <w:rFonts w:eastAsia="Liberation Mono" w:cs="Liberation Mono" w:ascii="Liberation Mono" w:hAnsi="Liberation Mono"/>
          <w:color w:val="0B3D7A"/>
          <w:sz w:val="18"/>
        </w:rPr>
        <w:t>format_document_number()</w:t>
      </w:r>
      <w:r>
        <w:rPr>
          <w:rFonts w:eastAsia="Nunito" w:cs="Nunito"/>
        </w:rPr>
        <w:t xml:space="preserve"> applies the pattern: tokens </w:t>
      </w:r>
      <w:r>
        <w:rPr>
          <w:rFonts w:eastAsia="Liberation Mono" w:cs="Liberation Mono" w:ascii="Liberation Mono" w:hAnsi="Liberation Mono"/>
          <w:color w:val="0B3D7A"/>
          <w:sz w:val="18"/>
        </w:rPr>
        <w:t>{PREFIX} {YYYY} {YY} {MM} {FY} {BRANCH} {LOB} {SEQ}</w:t>
      </w:r>
      <w:r>
        <w:rPr>
          <w:rFonts w:eastAsia="Nunito" w:cs="Nunito"/>
        </w:rPr>
        <w:t xml:space="preserve">; all seeded series use </w:t>
      </w:r>
      <w:r>
        <w:rPr>
          <w:rFonts w:eastAsia="Liberation Mono" w:cs="Liberation Mono" w:ascii="Liberation Mono" w:hAnsi="Liberation Mono"/>
          <w:color w:val="0B3D7A"/>
          <w:sz w:val="18"/>
        </w:rPr>
        <w:t>{PREFIX}-{YYYY}-{SEQ}</w:t>
      </w:r>
      <w:r>
        <w:rPr>
          <w:rFonts w:eastAsia="Nunito" w:cs="Nunito"/>
        </w:rPr>
        <w:t xml:space="preserve">. A prefix must be unique among active series (index </w:t>
      </w:r>
      <w:r>
        <w:rPr>
          <w:rFonts w:eastAsia="Liberation Mono" w:cs="Liberation Mono" w:ascii="Liberation Mono" w:hAnsi="Liberation Mono"/>
          <w:color w:val="0B3D7A"/>
          <w:sz w:val="18"/>
        </w:rPr>
        <w:t>document_numbering_active_prefix</w:t>
      </w:r>
      <w:r>
        <w:rPr>
          <w:rFonts w:eastAsia="Nunito" w:cs="Nunito"/>
        </w:rPr>
        <w:t xml:space="preserve">); migration 0246 lets a series start a period at the old system's next number at go-live. The reset rule of a series is </w:t>
      </w:r>
      <w:r>
        <w:rPr>
          <w:rFonts w:eastAsia="Liberation Mono" w:cs="Liberation Mono" w:ascii="Liberation Mono" w:hAnsi="Liberation Mono"/>
          <w:color w:val="0B3D7A"/>
          <w:sz w:val="18"/>
        </w:rPr>
        <w:t>yearly</w:t>
      </w:r>
      <w:r>
        <w:rPr>
          <w:rFonts w:eastAsia="Nunito" w:cs="Nunito"/>
        </w:rPr>
        <w:t xml:space="preserve">, </w:t>
      </w:r>
      <w:r>
        <w:rPr>
          <w:rFonts w:eastAsia="Liberation Mono" w:cs="Liberation Mono" w:ascii="Liberation Mono" w:hAnsi="Liberation Mono"/>
          <w:color w:val="0B3D7A"/>
          <w:sz w:val="18"/>
        </w:rPr>
        <w:t>fiscal_yearly</w:t>
      </w:r>
      <w:r>
        <w:rPr>
          <w:rFonts w:eastAsia="Nunito" w:cs="Nunito"/>
        </w:rPr>
        <w:t xml:space="preserve">, </w:t>
      </w:r>
      <w:r>
        <w:rPr>
          <w:rFonts w:eastAsia="Liberation Mono" w:cs="Liberation Mono" w:ascii="Liberation Mono" w:hAnsi="Liberation Mono"/>
          <w:color w:val="0B3D7A"/>
          <w:sz w:val="18"/>
        </w:rPr>
        <w:t>monthly</w:t>
      </w:r>
      <w:r>
        <w:rPr>
          <w:rFonts w:eastAsia="Nunito" w:cs="Nunito"/>
        </w:rPr>
        <w:t xml:space="preserve"> or </w:t>
      </w:r>
      <w:r>
        <w:rPr>
          <w:rFonts w:eastAsia="Liberation Mono" w:cs="Liberation Mono" w:ascii="Liberation Mono" w:hAnsi="Liberation Mono"/>
          <w:color w:val="0B3D7A"/>
          <w:sz w:val="18"/>
        </w:rPr>
        <w:t>never</w:t>
      </w:r>
      <w:r>
        <w:rPr>
          <w:rFonts w:eastAsia="Nunito" w:cs="Nunito"/>
        </w:rPr>
        <w:t xml:space="preserve">; the counter period is </w:t>
      </w:r>
      <w:r>
        <w:rPr>
          <w:rFonts w:eastAsia="Liberation Mono" w:cs="Liberation Mono" w:ascii="Liberation Mono" w:hAnsi="Liberation Mono"/>
          <w:color w:val="0B3D7A"/>
          <w:sz w:val="18"/>
        </w:rPr>
        <w:t>2026</w:t>
      </w:r>
      <w:r>
        <w:rPr>
          <w:rFonts w:eastAsia="Nunito" w:cs="Nunito"/>
        </w:rPr>
        <w:t xml:space="preserve">, </w:t>
      </w:r>
      <w:r>
        <w:rPr>
          <w:rFonts w:eastAsia="Liberation Mono" w:cs="Liberation Mono" w:ascii="Liberation Mono" w:hAnsi="Liberation Mono"/>
          <w:color w:val="0B3D7A"/>
          <w:sz w:val="18"/>
        </w:rPr>
        <w:t>FY2027</w:t>
      </w:r>
      <w:r>
        <w:rPr>
          <w:rFonts w:eastAsia="Nunito" w:cs="Nunito"/>
        </w:rPr>
        <w:t xml:space="preserve">, </w:t>
      </w:r>
      <w:r>
        <w:rPr>
          <w:rFonts w:eastAsia="Liberation Mono" w:cs="Liberation Mono" w:ascii="Liberation Mono" w:hAnsi="Liberation Mono"/>
          <w:color w:val="0B3D7A"/>
          <w:sz w:val="18"/>
        </w:rPr>
        <w:t>2026-09</w:t>
      </w:r>
      <w:r>
        <w:rPr>
          <w:rFonts w:eastAsia="Nunito" w:cs="Nunito"/>
        </w:rPr>
        <w:t xml:space="preserve"> or </w:t>
      </w:r>
      <w:r>
        <w:rPr>
          <w:rFonts w:eastAsia="Liberation Mono" w:cs="Liberation Mono" w:ascii="Liberation Mono" w:hAnsi="Liberation Mono"/>
          <w:color w:val="0B3D7A"/>
          <w:sz w:val="18"/>
        </w:rPr>
        <w:t>ALL</w:t>
      </w:r>
      <w:r>
        <w:rPr>
          <w:rFonts w:eastAsia="Nunito" w:cs="Nunito"/>
        </w:rPr>
        <w:t xml:space="preserve">. The year is taken from the business date in </w:t>
      </w:r>
      <w:r>
        <w:rPr>
          <w:rFonts w:eastAsia="Liberation Mono" w:cs="Liberation Mono" w:ascii="Liberation Mono" w:hAnsi="Liberation Mono"/>
          <w:color w:val="0B3D7A"/>
          <w:sz w:val="18"/>
        </w:rPr>
        <w:t>general.timezone</w:t>
      </w:r>
      <w:r>
        <w:rPr>
          <w:rFonts w:eastAsia="Nunito" w:cs="Nunito"/>
        </w:rPr>
        <w:t xml:space="preserve">, so a document created at 00:30 Manila time on 1 January gets the new year. The next number of a series can only be moved forward (for example to continue from the legacy system at go-live). A trigger copies each prefix into the read-only setting </w:t>
      </w:r>
      <w:r>
        <w:rPr>
          <w:rFonts w:eastAsia="Liberation Mono" w:cs="Liberation Mono" w:ascii="Liberation Mono" w:hAnsi="Liberation Mono"/>
          <w:color w:val="0B3D7A"/>
          <w:sz w:val="18"/>
        </w:rPr>
        <w:t>numbering.&lt;code&gt;.prefix</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964"/>
        <w:gridCol w:w="1349"/>
        <w:gridCol w:w="2506"/>
        <w:gridCol w:w="963"/>
        <w:gridCol w:w="1349"/>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Series (code)</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Prefix</w:t>
            </w:r>
          </w:p>
        </w:tc>
        <w:tc>
          <w:tcPr>
            <w:tcW w:w="134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Reset</w:t>
            </w:r>
          </w:p>
        </w:tc>
        <w:tc>
          <w:tcPr>
            <w:tcW w:w="250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Series (code)</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Prefix</w:t>
            </w:r>
          </w:p>
        </w:tc>
        <w:tc>
          <w:tcPr>
            <w:tcW w:w="134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Reset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acknowledgement_receipt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marine_certificate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MIC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adjustment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ADJ</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marine_declaration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MDC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aml_alert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open_cover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MOC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aml_case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override_computation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OVC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aml_edd</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EDD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package_policy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PKG</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aml_report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package_quote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PQ</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bank_payment_batch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BPB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payment_link</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bank_reconciliation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BRC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pdc</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PDC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bank_statement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BST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period_close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MEC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bank_txn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BNK</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petty_cash</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bir_2307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CWT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petty_cash_fund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PCF</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never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bordereau</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BDX</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petty_cash_receipt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PCRC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broker_slip</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BS</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petty_cash_request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PCR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campaign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WB</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placement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PS</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cession</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CES</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policy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POL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CLM</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product_template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TPL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claim_loa</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LOA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quote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QT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claim_payment_voucher</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CPV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receipt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receipt_txn</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commission_debit_note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DN</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recurring_journal</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RJV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commission_master</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never</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reinsurer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comparison_report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CMP</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complaint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CPX</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remittance_batch</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BLK</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cover_note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CVN</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remittance_bill</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data_breach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PDB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remittance_exception</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EXC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data_subject_request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DSR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remittance_notice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NTF</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dealer_sales_batch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DSB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remittance_report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RPT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disbursement_txn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remittance_schedule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SCH</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dn_collection</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DNC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RN</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employee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EMP</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never</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renewal_batch</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RB</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endorsement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END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renewal_quote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RQ</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fac_slip</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FAC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ri_reconciliation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fixed_asset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ri_recovery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RCL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fleet_schedule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sales_invoice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SI</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never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incentive_calc</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CALC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settlement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incentive_program</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statement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STMT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insurer_offer</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OFR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supplier_invoice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APV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insurer_statement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ISR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supplier_payment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SPV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invoice</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transfer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TRF</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invoice_list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treaty</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TRT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invoice_payment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voucher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journal</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JV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year_end_close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lead</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
          </w:p>
        </w:tc>
      </w:tr>
    </w:tbl>
    <w:p>
      <w:pPr>
        <w:pStyle w:val="Normal"/>
        <w:spacing w:before="0" w:after="40"/>
        <w:rPr/>
      </w:pPr>
      <w:r>
        <w:rPr/>
      </w:r>
    </w:p>
    <w:p>
      <w:pPr>
        <w:pStyle w:val="Heading2"/>
        <w:rPr/>
      </w:pPr>
      <w:bookmarkStart w:id="9" w:name="__RefHeading___Toc7147_1872304043"/>
      <w:bookmarkEnd w:id="9"/>
      <w:r>
        <w:rPr>
          <w:rFonts w:eastAsia="Nunito" w:cs="Nunito" w:ascii="Nunito" w:hAnsi="Nunito"/>
        </w:rPr>
        <w:t>3.5  Audit, history and soft delete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Convention</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Row stamps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created_at</w:t>
            </w:r>
            <w:r>
              <w:rPr>
                <w:rFonts w:eastAsia="Nunito" w:cs="Nunito"/>
                <w:sz w:val="17"/>
              </w:rPr>
              <w:t xml:space="preserve"> (192 tables), </w:t>
            </w:r>
            <w:r>
              <w:rPr>
                <w:rFonts w:eastAsia="Liberation Mono" w:cs="Liberation Mono" w:ascii="Liberation Mono" w:hAnsi="Liberation Mono"/>
                <w:color w:val="0B3D7A"/>
                <w:sz w:val="15"/>
              </w:rPr>
              <w:t>updated_at</w:t>
            </w:r>
            <w:r>
              <w:rPr>
                <w:rFonts w:eastAsia="Nunito" w:cs="Nunito"/>
                <w:sz w:val="17"/>
              </w:rPr>
              <w:t xml:space="preserve"> (148), </w:t>
            </w:r>
            <w:r>
              <w:rPr>
                <w:rFonts w:eastAsia="Liberation Mono" w:cs="Liberation Mono" w:ascii="Liberation Mono" w:hAnsi="Liberation Mono"/>
                <w:color w:val="0B3D7A"/>
                <w:sz w:val="15"/>
              </w:rPr>
              <w:t>created_by</w:t>
            </w:r>
            <w:r>
              <w:rPr>
                <w:rFonts w:eastAsia="Nunito" w:cs="Nunito"/>
                <w:sz w:val="17"/>
              </w:rPr>
              <w:t xml:space="preserve"> (157), </w:t>
            </w:r>
            <w:r>
              <w:rPr>
                <w:rFonts w:eastAsia="Liberation Mono" w:cs="Liberation Mono" w:ascii="Liberation Mono" w:hAnsi="Liberation Mono"/>
                <w:color w:val="0B3D7A"/>
                <w:sz w:val="15"/>
              </w:rPr>
              <w:t>updated_by</w:t>
            </w:r>
            <w:r>
              <w:rPr>
                <w:rFonts w:eastAsia="Nunito" w:cs="Nunito"/>
                <w:sz w:val="17"/>
              </w:rPr>
              <w:t xml:space="preserve"> (107). </w:t>
            </w:r>
            <w:r>
              <w:rPr>
                <w:rFonts w:eastAsia="Liberation Mono" w:cs="Liberation Mono" w:ascii="Liberation Mono" w:hAnsi="Liberation Mono"/>
                <w:color w:val="0B3D7A"/>
                <w:sz w:val="15"/>
              </w:rPr>
              <w:t>updated_at</w:t>
            </w:r>
            <w:r>
              <w:rPr>
                <w:rFonts w:eastAsia="Nunito" w:cs="Nunito"/>
                <w:sz w:val="17"/>
              </w:rPr>
              <w:t xml:space="preserve"> is set by the application; triggers maintain it on </w:t>
            </w:r>
            <w:r>
              <w:rPr>
                <w:rFonts w:eastAsia="Liberation Mono" w:cs="Liberation Mono" w:ascii="Liberation Mono" w:hAnsi="Liberation Mono"/>
                <w:color w:val="0B3D7A"/>
                <w:sz w:val="15"/>
              </w:rPr>
              <w:t>users</w:t>
            </w:r>
            <w:r>
              <w:rPr>
                <w:rFonts w:eastAsia="Nunito" w:cs="Nunito"/>
                <w:sz w:val="17"/>
              </w:rPr>
              <w:t xml:space="preserve">, </w:t>
            </w:r>
            <w:r>
              <w:rPr>
                <w:rFonts w:eastAsia="Liberation Mono" w:cs="Liberation Mono" w:ascii="Liberation Mono" w:hAnsi="Liberation Mono"/>
                <w:color w:val="0B3D7A"/>
                <w:sz w:val="15"/>
              </w:rPr>
              <w:t>roles</w:t>
            </w:r>
            <w:r>
              <w:rPr>
                <w:rFonts w:eastAsia="Nunito" w:cs="Nunito"/>
                <w:sz w:val="17"/>
              </w:rPr>
              <w:t xml:space="preserve">, </w:t>
            </w:r>
            <w:r>
              <w:rPr>
                <w:rFonts w:eastAsia="Liberation Mono" w:cs="Liberation Mono" w:ascii="Liberation Mono" w:hAnsi="Liberation Mono"/>
                <w:color w:val="0B3D7A"/>
                <w:sz w:val="15"/>
              </w:rPr>
              <w:t>commission_rates</w:t>
            </w:r>
            <w:r>
              <w:rPr>
                <w:rFonts w:eastAsia="Nunito" w:cs="Nunito"/>
                <w:sz w:val="17"/>
              </w:rPr>
              <w:t xml:space="preserve"> and </w:t>
            </w:r>
            <w:r>
              <w:rPr>
                <w:rFonts w:eastAsia="Liberation Mono" w:cs="Liberation Mono" w:ascii="Liberation Mono" w:hAnsi="Liberation Mono"/>
                <w:color w:val="0B3D7A"/>
                <w:sz w:val="15"/>
              </w:rPr>
              <w:t>document_numbering</w:t>
            </w:r>
            <w:r>
              <w:rPr>
                <w:rFonts w:eastAsia="Nunito" w:cs="Nunito"/>
                <w:sz w:val="17"/>
              </w:rPr>
              <w:t xml:space="preserve"> (</w:t>
            </w:r>
            <w:r>
              <w:rPr>
                <w:rFonts w:eastAsia="Liberation Mono" w:cs="Liberation Mono" w:ascii="Liberation Mono" w:hAnsi="Liberation Mono"/>
                <w:color w:val="0B3D7A"/>
                <w:sz w:val="15"/>
              </w:rPr>
              <w:t>set_updated_at()</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audit_log(id, at, user_id, username, entity, entity_id, action, before_data, after_data, ip, source)</w:t>
            </w:r>
            <w:r>
              <w:rPr>
                <w:rFonts w:eastAsia="Nunito" w:cs="Nunito"/>
                <w:sz w:val="17"/>
              </w:rPr>
              <w:t xml:space="preserve"> (</w:t>
            </w:r>
            <w:r>
              <w:rPr>
                <w:rFonts w:eastAsia="Liberation Mono" w:cs="Liberation Mono" w:ascii="Liberation Mono" w:hAnsi="Liberation Mono"/>
                <w:color w:val="0B3D7A"/>
                <w:sz w:val="15"/>
              </w:rPr>
              <w:t>source</w:t>
            </w:r>
            <w:r>
              <w:rPr>
                <w:rFonts w:eastAsia="Nunito" w:cs="Nunito"/>
                <w:sz w:val="17"/>
              </w:rPr>
              <w:t xml:space="preserve">, migration 0247: screen, API or job), written by </w:t>
            </w:r>
            <w:r>
              <w:rPr>
                <w:rFonts w:eastAsia="Liberation Mono" w:cs="Liberation Mono" w:ascii="Liberation Mono" w:hAnsi="Liberation Mono"/>
                <w:color w:val="0B3D7A"/>
                <w:sz w:val="15"/>
              </w:rPr>
              <w:t>lib/audit.js</w:t>
            </w:r>
            <w:r>
              <w:rPr>
                <w:rFonts w:eastAsia="Nunito" w:cs="Nunito"/>
                <w:sz w:val="17"/>
              </w:rPr>
              <w:t xml:space="preserve"> from every create, update, approval, posting, run and sign-in related event; indexed on </w:t>
            </w:r>
            <w:r>
              <w:rPr>
                <w:rFonts w:eastAsia="Liberation Mono" w:cs="Liberation Mono" w:ascii="Liberation Mono" w:hAnsi="Liberation Mono"/>
                <w:color w:val="0B3D7A"/>
                <w:sz w:val="15"/>
              </w:rPr>
              <w:t>(entity, entity_id)</w:t>
            </w:r>
            <w:r>
              <w:rPr>
                <w:rFonts w:eastAsia="Nunito" w:cs="Nunito"/>
                <w:sz w:val="17"/>
              </w:rPr>
              <w:t xml:space="preserve">, </w:t>
            </w:r>
            <w:r>
              <w:rPr>
                <w:rFonts w:eastAsia="Liberation Mono" w:cs="Liberation Mono" w:ascii="Liberation Mono" w:hAnsi="Liberation Mono"/>
                <w:color w:val="0B3D7A"/>
                <w:sz w:val="15"/>
              </w:rPr>
              <w:t>(at)</w:t>
            </w:r>
            <w:r>
              <w:rPr>
                <w:rFonts w:eastAsia="Nunito" w:cs="Nunito"/>
                <w:sz w:val="17"/>
              </w:rPr>
              <w:t xml:space="preserve"> and </w:t>
            </w:r>
            <w:r>
              <w:rPr>
                <w:rFonts w:eastAsia="Liberation Mono" w:cs="Liberation Mono" w:ascii="Liberation Mono" w:hAnsi="Liberation Mono"/>
                <w:color w:val="0B3D7A"/>
                <w:sz w:val="15"/>
              </w:rPr>
              <w:t>(username)</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Domain histories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claim_history</w:t>
            </w:r>
            <w:r>
              <w:rPr>
                <w:rFonts w:eastAsia="Nunito" w:cs="Nunito"/>
                <w:sz w:val="17"/>
              </w:rPr>
              <w:t xml:space="preserve">, </w:t>
            </w:r>
            <w:r>
              <w:rPr>
                <w:rFonts w:eastAsia="Liberation Mono" w:cs="Liberation Mono" w:ascii="Liberation Mono" w:hAnsi="Liberation Mono"/>
                <w:color w:val="0B3D7A"/>
                <w:sz w:val="15"/>
              </w:rPr>
              <w:t>claim_field_changes</w:t>
            </w:r>
            <w:r>
              <w:rPr>
                <w:rFonts w:eastAsia="Nunito" w:cs="Nunito"/>
                <w:sz w:val="17"/>
              </w:rPr>
              <w:t xml:space="preserve">, </w:t>
            </w:r>
            <w:r>
              <w:rPr>
                <w:rFonts w:eastAsia="Liberation Mono" w:cs="Liberation Mono" w:ascii="Liberation Mono" w:hAnsi="Liberation Mono"/>
                <w:color w:val="0B3D7A"/>
                <w:sz w:val="15"/>
              </w:rPr>
              <w:t>renewal_activities</w:t>
            </w:r>
            <w:r>
              <w:rPr>
                <w:rFonts w:eastAsia="Nunito" w:cs="Nunito"/>
                <w:sz w:val="17"/>
              </w:rPr>
              <w:t xml:space="preserve">, </w:t>
            </w:r>
            <w:r>
              <w:rPr>
                <w:rFonts w:eastAsia="Liberation Mono" w:cs="Liberation Mono" w:ascii="Liberation Mono" w:hAnsi="Liberation Mono"/>
                <w:color w:val="0B3D7A"/>
                <w:sz w:val="15"/>
              </w:rPr>
              <w:t>renewal_notices</w:t>
            </w:r>
            <w:r>
              <w:rPr>
                <w:rFonts w:eastAsia="Nunito" w:cs="Nunito"/>
                <w:sz w:val="17"/>
              </w:rPr>
              <w:t xml:space="preserve">, </w:t>
            </w:r>
            <w:r>
              <w:rPr>
                <w:rFonts w:eastAsia="Liberation Mono" w:cs="Liberation Mono" w:ascii="Liberation Mono" w:hAnsi="Liberation Mono"/>
                <w:color w:val="0B3D7A"/>
                <w:sz w:val="15"/>
              </w:rPr>
              <w:t>collection_actions</w:t>
            </w:r>
            <w:r>
              <w:rPr>
                <w:rFonts w:eastAsia="Nunito" w:cs="Nunito"/>
                <w:sz w:val="17"/>
              </w:rPr>
              <w:t xml:space="preserve">, </w:t>
            </w:r>
            <w:r>
              <w:rPr>
                <w:rFonts w:eastAsia="Liberation Mono" w:cs="Liberation Mono" w:ascii="Liberation Mono" w:hAnsi="Liberation Mono"/>
                <w:color w:val="0B3D7A"/>
                <w:sz w:val="15"/>
              </w:rPr>
              <w:t>remittance_approvals.history</w:t>
            </w:r>
            <w:r>
              <w:rPr>
                <w:rFonts w:eastAsia="Nunito" w:cs="Nunito"/>
                <w:sz w:val="17"/>
              </w:rPr>
              <w:t xml:space="preserve">, </w:t>
            </w:r>
            <w:r>
              <w:rPr>
                <w:rFonts w:eastAsia="Liberation Mono" w:cs="Liberation Mono" w:ascii="Liberation Mono" w:hAnsi="Liberation Mono"/>
                <w:color w:val="0B3D7A"/>
                <w:sz w:val="15"/>
              </w:rPr>
              <w:t>period_status_history</w:t>
            </w:r>
            <w:r>
              <w:rPr>
                <w:rFonts w:eastAsia="Nunito" w:cs="Nunito"/>
                <w:sz w:val="17"/>
              </w:rPr>
              <w:t xml:space="preserve">, </w:t>
            </w:r>
            <w:r>
              <w:rPr>
                <w:rFonts w:eastAsia="Liberation Mono" w:cs="Liberation Mono" w:ascii="Liberation Mono" w:hAnsi="Liberation Mono"/>
                <w:color w:val="0B3D7A"/>
                <w:sz w:val="15"/>
              </w:rPr>
              <w:t>bank_reconciliation_history</w:t>
            </w:r>
            <w:r>
              <w:rPr>
                <w:rFonts w:eastAsia="Nunito" w:cs="Nunito"/>
                <w:sz w:val="17"/>
              </w:rPr>
              <w:t xml:space="preserve">, </w:t>
            </w:r>
            <w:r>
              <w:rPr>
                <w:rFonts w:eastAsia="Liberation Mono" w:cs="Liberation Mono" w:ascii="Liberation Mono" w:hAnsi="Liberation Mono"/>
                <w:color w:val="0B3D7A"/>
                <w:sz w:val="15"/>
              </w:rPr>
              <w:t>login_history</w:t>
            </w:r>
            <w:r>
              <w:rPr>
                <w:rFonts w:eastAsia="Nunito" w:cs="Nunito"/>
                <w:sz w:val="17"/>
              </w:rPr>
              <w:t xml:space="preserve">, </w:t>
            </w:r>
            <w:r>
              <w:rPr>
                <w:rFonts w:eastAsia="Liberation Mono" w:cs="Liberation Mono" w:ascii="Liberation Mono" w:hAnsi="Liberation Mono"/>
                <w:color w:val="0B3D7A"/>
                <w:sz w:val="15"/>
              </w:rPr>
              <w:t>password_history</w:t>
            </w:r>
            <w:r>
              <w:rPr>
                <w:rFonts w:eastAsia="Nunito" w:cs="Nunito"/>
                <w:sz w:val="17"/>
              </w:rPr>
              <w:t xml:space="preserve">, </w:t>
            </w:r>
            <w:r>
              <w:rPr>
                <w:rFonts w:eastAsia="Liberation Mono" w:cs="Liberation Mono" w:ascii="Liberation Mono" w:hAnsi="Liberation Mono"/>
                <w:color w:val="0B3D7A"/>
                <w:sz w:val="15"/>
              </w:rPr>
              <w:t>job_runs</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Soft delete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leads</w:t>
            </w:r>
            <w:r>
              <w:rPr>
                <w:rFonts w:eastAsia="Nunito" w:cs="Nunito"/>
                <w:sz w:val="17"/>
              </w:rPr>
              <w:t xml:space="preserve">, </w:t>
            </w:r>
            <w:r>
              <w:rPr>
                <w:rFonts w:eastAsia="Liberation Mono" w:cs="Liberation Mono" w:ascii="Liberation Mono" w:hAnsi="Liberation Mono"/>
                <w:color w:val="0B3D7A"/>
                <w:sz w:val="15"/>
              </w:rPr>
              <w:t>quotes</w:t>
            </w:r>
            <w:r>
              <w:rPr>
                <w:rFonts w:eastAsia="Nunito" w:cs="Nunito"/>
                <w:sz w:val="17"/>
              </w:rPr>
              <w:t xml:space="preserve"> and </w:t>
            </w:r>
            <w:r>
              <w:rPr>
                <w:rFonts w:eastAsia="Liberation Mono" w:cs="Liberation Mono" w:ascii="Liberation Mono" w:hAnsi="Liberation Mono"/>
                <w:color w:val="0B3D7A"/>
                <w:sz w:val="15"/>
              </w:rPr>
              <w:t>bank_statements</w:t>
            </w:r>
            <w:r>
              <w:rPr>
                <w:rFonts w:eastAsia="Nunito" w:cs="Nunito"/>
                <w:sz w:val="17"/>
              </w:rPr>
              <w:t xml:space="preserve"> carry </w:t>
            </w:r>
            <w:r>
              <w:rPr>
                <w:rFonts w:eastAsia="Liberation Mono" w:cs="Liberation Mono" w:ascii="Liberation Mono" w:hAnsi="Liberation Mono"/>
                <w:color w:val="0B3D7A"/>
                <w:sz w:val="15"/>
              </w:rPr>
              <w:t>deleted_at</w:t>
            </w:r>
            <w:r>
              <w:rPr>
                <w:rFonts w:eastAsia="Nunito" w:cs="Nunito"/>
                <w:sz w:val="17"/>
              </w:rPr>
              <w:t xml:space="preserve">; masters and product components use a </w:t>
            </w:r>
            <w:r>
              <w:rPr>
                <w:rFonts w:eastAsia="Liberation Mono" w:cs="Liberation Mono" w:ascii="Liberation Mono" w:hAnsi="Liberation Mono"/>
                <w:color w:val="0B3D7A"/>
                <w:sz w:val="15"/>
              </w:rPr>
              <w:t>status</w:t>
            </w:r>
            <w:r>
              <w:rPr>
                <w:rFonts w:eastAsia="Nunito" w:cs="Nunito"/>
                <w:sz w:val="17"/>
              </w:rPr>
              <w:t xml:space="preserve"> of </w:t>
            </w:r>
            <w:r>
              <w:rPr>
                <w:rFonts w:eastAsia="Liberation Mono" w:cs="Liberation Mono" w:ascii="Liberation Mono" w:hAnsi="Liberation Mono"/>
                <w:color w:val="0B3D7A"/>
                <w:sz w:val="15"/>
              </w:rPr>
              <w:t>deleted</w:t>
            </w:r>
            <w:r>
              <w:rPr>
                <w:rFonts w:eastAsia="Nunito" w:cs="Nunito"/>
                <w:sz w:val="17"/>
              </w:rPr>
              <w:t xml:space="preserve"> (unique indexes are partial: </w:t>
            </w:r>
            <w:r>
              <w:rPr>
                <w:rFonts w:eastAsia="Liberation Mono" w:cs="Liberation Mono" w:ascii="Liberation Mono" w:hAnsi="Liberation Mono"/>
                <w:color w:val="0B3D7A"/>
                <w:sz w:val="15"/>
              </w:rPr>
              <w:t>WHERE status &lt;&gt; 'deleted'</w:t>
            </w:r>
            <w:r>
              <w:rPr>
                <w:rFonts w:eastAsia="Nunito" w:cs="Nunito"/>
                <w:sz w:val="17"/>
              </w:rPr>
              <w:t>). Financial documents are never deleted but cancelled or reversed (</w:t>
            </w:r>
            <w:r>
              <w:rPr>
                <w:rFonts w:eastAsia="Liberation Mono" w:cs="Liberation Mono" w:ascii="Liberation Mono" w:hAnsi="Liberation Mono"/>
                <w:color w:val="0B3D7A"/>
                <w:sz w:val="15"/>
              </w:rPr>
              <w:t>receipts.cancelled_at</w:t>
            </w:r>
            <w:r>
              <w:rPr>
                <w:rFonts w:eastAsia="Nunito" w:cs="Nunito"/>
                <w:sz w:val="17"/>
              </w:rPr>
              <w:t xml:space="preserve">, journal reversal and correction vouchers, </w:t>
            </w:r>
            <w:r>
              <w:rPr>
                <w:rFonts w:eastAsia="Liberation Mono" w:cs="Liberation Mono" w:ascii="Liberation Mono" w:hAnsi="Liberation Mono"/>
                <w:color w:val="0B3D7A"/>
                <w:sz w:val="15"/>
              </w:rPr>
              <w:t>bir_2307_certificates.cancelled_at</w:t>
            </w:r>
            <w:r>
              <w:rPr>
                <w:rFonts w:eastAsia="Nunito" w:cs="Nunito"/>
                <w:sz w:val="17"/>
              </w:rPr>
              <w:t>). A draft quotation is the only business record deleted physically.</w:t>
            </w:r>
          </w:p>
        </w:tc>
      </w:tr>
    </w:tbl>
    <w:p>
      <w:pPr>
        <w:pStyle w:val="Normal"/>
        <w:spacing w:before="0" w:after="40"/>
        <w:rPr/>
      </w:pPr>
      <w:r>
        <w:rPr/>
      </w:r>
    </w:p>
    <w:p>
      <w:pPr>
        <w:pStyle w:val="Heading2"/>
        <w:rPr/>
      </w:pPr>
      <w:bookmarkStart w:id="10" w:name="__RefHeading___Toc7149_1872304043"/>
      <w:bookmarkEnd w:id="10"/>
      <w:r>
        <w:rPr>
          <w:rFonts w:eastAsia="Nunito" w:cs="Nunito" w:ascii="Nunito" w:hAnsi="Nunito"/>
        </w:rPr>
        <w:t>3.6  Ledger integrity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Control</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 rules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system journal is built by </w:t>
            </w:r>
            <w:r>
              <w:rPr>
                <w:rFonts w:eastAsia="Liberation Mono" w:cs="Liberation Mono" w:ascii="Liberation Mono" w:hAnsi="Liberation Mono"/>
                <w:color w:val="0B3D7A"/>
                <w:sz w:val="15"/>
              </w:rPr>
              <w:t>postEvent()</w:t>
            </w:r>
            <w:r>
              <w:rPr>
                <w:rFonts w:eastAsia="Nunito" w:cs="Nunito"/>
                <w:sz w:val="17"/>
              </w:rPr>
              <w:t xml:space="preserve"> from the posting rule of its business event (43 events with an active rule, for example </w:t>
            </w:r>
            <w:r>
              <w:rPr>
                <w:rFonts w:eastAsia="Liberation Mono" w:cs="Liberation Mono" w:ascii="Liberation Mono" w:hAnsi="Liberation Mono"/>
                <w:color w:val="0B3D7A"/>
                <w:sz w:val="15"/>
              </w:rPr>
              <w:t>policy.issue.broker_billed</w:t>
            </w:r>
            <w:r>
              <w:rPr>
                <w:rFonts w:eastAsia="Nunito" w:cs="Nunito"/>
                <w:sz w:val="17"/>
              </w:rPr>
              <w:t xml:space="preserve">, </w:t>
            </w:r>
            <w:r>
              <w:rPr>
                <w:rFonts w:eastAsia="Liberation Mono" w:cs="Liberation Mono" w:ascii="Liberation Mono" w:hAnsi="Liberation Mono"/>
                <w:color w:val="0B3D7A"/>
                <w:sz w:val="15"/>
              </w:rPr>
              <w:t>ap.invoice</w:t>
            </w:r>
            <w:r>
              <w:rPr>
                <w:rFonts w:eastAsia="Nunito" w:cs="Nunito"/>
                <w:sz w:val="17"/>
              </w:rPr>
              <w:t xml:space="preserve">, </w:t>
            </w:r>
            <w:r>
              <w:rPr>
                <w:rFonts w:eastAsia="Liberation Mono" w:cs="Liberation Mono" w:ascii="Liberation Mono" w:hAnsi="Liberation Mono"/>
                <w:color w:val="0B3D7A"/>
                <w:sz w:val="15"/>
              </w:rPr>
              <w:t>fa.depreciation</w:t>
            </w:r>
            <w:r>
              <w:rPr>
                <w:rFonts w:eastAsia="Nunito" w:cs="Nunito"/>
                <w:sz w:val="17"/>
              </w:rPr>
              <w:t xml:space="preserve">, </w:t>
            </w:r>
            <w:r>
              <w:rPr>
                <w:rFonts w:eastAsia="Liberation Mono" w:cs="Liberation Mono" w:ascii="Liberation Mono" w:hAnsi="Liberation Mono"/>
                <w:color w:val="0B3D7A"/>
                <w:sz w:val="15"/>
              </w:rPr>
              <w:t>sales_invoice.issue</w:t>
            </w:r>
            <w:r>
              <w:rPr>
                <w:rFonts w:eastAsia="Nunito" w:cs="Nunito"/>
                <w:sz w:val="17"/>
              </w:rPr>
              <w:t xml:space="preserve">, </w:t>
            </w:r>
            <w:r>
              <w:rPr>
                <w:rFonts w:eastAsia="Liberation Mono" w:cs="Liberation Mono" w:ascii="Liberation Mono" w:hAnsi="Liberation Mono"/>
                <w:color w:val="0B3D7A"/>
                <w:sz w:val="15"/>
              </w:rPr>
              <w:t>override_commission.accrual</w:t>
            </w:r>
            <w:r>
              <w:rPr>
                <w:rFonts w:eastAsia="Nunito" w:cs="Nunito"/>
                <w:sz w:val="17"/>
              </w:rPr>
              <w:t xml:space="preserve">, </w:t>
            </w:r>
            <w:r>
              <w:rPr>
                <w:rFonts w:eastAsia="Liberation Mono" w:cs="Liberation Mono" w:ascii="Liberation Mono" w:hAnsi="Liberation Mono"/>
                <w:color w:val="0B3D7A"/>
                <w:sz w:val="15"/>
              </w:rPr>
              <w:t>receipt.apply</w:t>
            </w:r>
            <w:r>
              <w:rPr>
                <w:rFonts w:eastAsia="Nunito" w:cs="Nunito"/>
                <w:sz w:val="17"/>
              </w:rPr>
              <w:t xml:space="preserve">, </w:t>
            </w:r>
            <w:r>
              <w:rPr>
                <w:rFonts w:eastAsia="Liberation Mono" w:cs="Liberation Mono" w:ascii="Liberation Mono" w:hAnsi="Liberation Mono"/>
                <w:color w:val="0B3D7A"/>
                <w:sz w:val="15"/>
              </w:rPr>
              <w:t>remittance.settlement</w:t>
            </w:r>
            <w:r>
              <w:rPr>
                <w:rFonts w:eastAsia="Nunito" w:cs="Nunito"/>
                <w:sz w:val="17"/>
              </w:rPr>
              <w:t xml:space="preserve">, </w:t>
            </w:r>
            <w:r>
              <w:rPr>
                <w:rFonts w:eastAsia="Liberation Mono" w:cs="Liberation Mono" w:ascii="Liberation Mono" w:hAnsi="Liberation Mono"/>
                <w:color w:val="0B3D7A"/>
                <w:sz w:val="15"/>
              </w:rPr>
              <w:t>claim.funds_received</w:t>
            </w:r>
            <w:r>
              <w:rPr>
                <w:rFonts w:eastAsia="Nunito" w:cs="Nunito"/>
                <w:sz w:val="17"/>
              </w:rPr>
              <w:t xml:space="preserve">, </w:t>
            </w:r>
            <w:r>
              <w:rPr>
                <w:rFonts w:eastAsia="Liberation Mono" w:cs="Liberation Mono" w:ascii="Liberation Mono" w:hAnsi="Liberation Mono"/>
                <w:color w:val="0B3D7A"/>
                <w:sz w:val="15"/>
              </w:rPr>
              <w:t>commission.clawback</w:t>
            </w:r>
            <w:r>
              <w:rPr>
                <w:rFonts w:eastAsia="Nunito" w:cs="Nunito"/>
                <w:sz w:val="17"/>
              </w:rPr>
              <w:t>). A rule has versions with an effective date (</w:t>
            </w:r>
            <w:r>
              <w:rPr>
                <w:rFonts w:eastAsia="Liberation Mono" w:cs="Liberation Mono" w:ascii="Liberation Mono" w:hAnsi="Liberation Mono"/>
                <w:color w:val="0B3D7A"/>
                <w:sz w:val="15"/>
              </w:rPr>
              <w:t>posting_rules</w:t>
            </w:r>
            <w:r>
              <w:rPr>
                <w:rFonts w:eastAsia="Nunito" w:cs="Nunito"/>
                <w:sz w:val="17"/>
              </w:rPr>
              <w:t>) and lines (</w:t>
            </w:r>
            <w:r>
              <w:rPr>
                <w:rFonts w:eastAsia="Liberation Mono" w:cs="Liberation Mono" w:ascii="Liberation Mono" w:hAnsi="Liberation Mono"/>
                <w:color w:val="0B3D7A"/>
                <w:sz w:val="15"/>
              </w:rPr>
              <w:t>posting_rule_lines</w:t>
            </w:r>
            <w:r>
              <w:rPr>
                <w:rFonts w:eastAsia="Nunito" w:cs="Nunito"/>
                <w:sz w:val="17"/>
              </w:rPr>
              <w:t xml:space="preserve">) that name either a GL account or an account role. Account roles resolve to GL accounts through the settings </w:t>
            </w:r>
            <w:r>
              <w:rPr>
                <w:rFonts w:eastAsia="Liberation Mono" w:cs="Liberation Mono" w:ascii="Liberation Mono" w:hAnsi="Liberation Mono"/>
                <w:color w:val="0B3D7A"/>
                <w:sz w:val="15"/>
              </w:rPr>
              <w:t>accounting.account.&lt;role&gt;</w:t>
            </w:r>
            <w:r>
              <w:rPr>
                <w:rFonts w:eastAsia="Nunito" w:cs="Nunito"/>
                <w:sz w:val="17"/>
              </w:rPr>
              <w:t xml:space="preserve"> (Account Determination). A line marked per participant is split across the co-insurers by share, with the rounding remainder on the lead.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Balance and period trigger</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Trigger </w:t>
            </w:r>
            <w:r>
              <w:rPr>
                <w:rFonts w:eastAsia="Liberation Mono" w:cs="Liberation Mono" w:ascii="Liberation Mono" w:hAnsi="Liberation Mono"/>
                <w:color w:val="0B3D7A"/>
                <w:sz w:val="15"/>
              </w:rPr>
              <w:t>jv_check_posting</w:t>
            </w:r>
            <w:r>
              <w:rPr>
                <w:rFonts w:eastAsia="Nunito" w:cs="Nunito"/>
                <w:sz w:val="17"/>
              </w:rPr>
              <w:t xml:space="preserve"> refuses to post a journal voucher with fewer than two lines, unbalanced, with a zero total, or in a period that does not accept postings.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 status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accounting_periods</w:t>
            </w:r>
            <w:r>
              <w:rPr>
                <w:rFonts w:eastAsia="Nunito" w:cs="Nunito"/>
                <w:sz w:val="17"/>
              </w:rPr>
              <w:t xml:space="preserve"> holds periods 1 to 12 and the adjustment period 13 of each fiscal year with the status </w:t>
            </w:r>
            <w:r>
              <w:rPr>
                <w:rFonts w:eastAsia="Liberation Mono" w:cs="Liberation Mono" w:ascii="Liberation Mono" w:hAnsi="Liberation Mono"/>
                <w:color w:val="0B3D7A"/>
                <w:sz w:val="15"/>
              </w:rPr>
              <w:t>open</w:t>
            </w:r>
            <w:r>
              <w:rPr>
                <w:rFonts w:eastAsia="Nunito" w:cs="Nunito"/>
                <w:sz w:val="17"/>
              </w:rPr>
              <w:t xml:space="preserve">, </w:t>
            </w:r>
            <w:r>
              <w:rPr>
                <w:rFonts w:eastAsia="Liberation Mono" w:cs="Liberation Mono" w:ascii="Liberation Mono" w:hAnsi="Liberation Mono"/>
                <w:color w:val="0B3D7A"/>
                <w:sz w:val="15"/>
              </w:rPr>
              <w:t>soft_closed</w:t>
            </w:r>
            <w:r>
              <w:rPr>
                <w:rFonts w:eastAsia="Nunito" w:cs="Nunito"/>
                <w:sz w:val="17"/>
              </w:rPr>
              <w:t xml:space="preserve">, </w:t>
            </w:r>
            <w:r>
              <w:rPr>
                <w:rFonts w:eastAsia="Liberation Mono" w:cs="Liberation Mono" w:ascii="Liberation Mono" w:hAnsi="Liberation Mono"/>
                <w:color w:val="0B3D7A"/>
                <w:sz w:val="15"/>
              </w:rPr>
              <w:t>closed</w:t>
            </w:r>
            <w:r>
              <w:rPr>
                <w:rFonts w:eastAsia="Nunito" w:cs="Nunito"/>
                <w:sz w:val="17"/>
              </w:rPr>
              <w:t xml:space="preserve"> or </w:t>
            </w:r>
            <w:r>
              <w:rPr>
                <w:rFonts w:eastAsia="Liberation Mono" w:cs="Liberation Mono" w:ascii="Liberation Mono" w:hAnsi="Liberation Mono"/>
                <w:color w:val="0B3D7A"/>
                <w:sz w:val="15"/>
              </w:rPr>
              <w:t>locked</w:t>
            </w:r>
            <w:r>
              <w:rPr>
                <w:rFonts w:eastAsia="Nunito" w:cs="Nunito"/>
                <w:sz w:val="17"/>
              </w:rPr>
              <w:t xml:space="preserve">. Trigger </w:t>
            </w:r>
            <w:r>
              <w:rPr>
                <w:rFonts w:eastAsia="Liberation Mono" w:cs="Liberation Mono" w:ascii="Liberation Mono" w:hAnsi="Liberation Mono"/>
                <w:color w:val="0B3D7A"/>
                <w:sz w:val="15"/>
              </w:rPr>
              <w:t>accounting_period_lock_guard</w:t>
            </w:r>
            <w:r>
              <w:rPr>
                <w:rFonts w:eastAsia="Nunito" w:cs="Nunito"/>
                <w:sz w:val="17"/>
              </w:rPr>
              <w:t xml:space="preserve"> refuses to reopen a period locked by the year-end close. Every change is written to </w:t>
            </w:r>
            <w:r>
              <w:rPr>
                <w:rFonts w:eastAsia="Liberation Mono" w:cs="Liberation Mono" w:ascii="Liberation Mono" w:hAnsi="Liberation Mono"/>
                <w:color w:val="0B3D7A"/>
                <w:sz w:val="15"/>
              </w:rPr>
              <w:t>period_status_history</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Opening balances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year-end close writes the balance-sheet balances into </w:t>
            </w:r>
            <w:r>
              <w:rPr>
                <w:rFonts w:eastAsia="Liberation Mono" w:cs="Liberation Mono" w:ascii="Liberation Mono" w:hAnsi="Liberation Mono"/>
                <w:color w:val="0B3D7A"/>
                <w:sz w:val="15"/>
              </w:rPr>
              <w:t>opening_balances</w:t>
            </w:r>
            <w:r>
              <w:rPr>
                <w:rFonts w:eastAsia="Nunito" w:cs="Nunito"/>
                <w:sz w:val="17"/>
              </w:rPr>
              <w:t xml:space="preserve"> of the next year; the go-live import writes the old system's trial balance there (source </w:t>
            </w:r>
            <w:r>
              <w:rPr>
                <w:rFonts w:eastAsia="Liberation Mono" w:cs="Liberation Mono" w:ascii="Liberation Mono" w:hAnsi="Liberation Mono"/>
                <w:color w:val="0B3D7A"/>
                <w:sz w:val="15"/>
              </w:rPr>
              <w:t>go-live:&lt;date&gt;</w:t>
            </w:r>
            <w:r>
              <w:rPr>
                <w:rFonts w:eastAsia="Nunito" w:cs="Nunito"/>
                <w:sz w:val="17"/>
              </w:rPr>
              <w:t xml:space="preserve">). Reports read them through </w:t>
            </w:r>
            <w:r>
              <w:rPr>
                <w:rFonts w:eastAsia="Liberation Mono" w:cs="Liberation Mono" w:ascii="Liberation Mono" w:hAnsi="Liberation Mono"/>
                <w:color w:val="0B3D7A"/>
                <w:sz w:val="15"/>
              </w:rPr>
              <w:t>pe_balance_before()</w:t>
            </w:r>
            <w:r>
              <w:rPr>
                <w:rFonts w:eastAsia="Nunito" w:cs="Nunito"/>
                <w:sz w:val="17"/>
              </w:rPr>
              <w:t>; no opening journal is posted.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risk_participants</w:t>
            </w:r>
            <w:r>
              <w:rPr>
                <w:rFonts w:eastAsia="Nunito" w:cs="Nunito"/>
                <w:sz w:val="17"/>
              </w:rPr>
              <w:t xml:space="preserve"> holds the participants of a broker slip, quotation, placement or policy (one lead, shares total 100%, index </w:t>
            </w:r>
            <w:r>
              <w:rPr>
                <w:rFonts w:eastAsia="Liberation Mono" w:cs="Liberation Mono" w:ascii="Liberation Mono" w:hAnsi="Liberation Mono"/>
                <w:color w:val="0B3D7A"/>
                <w:sz w:val="15"/>
              </w:rPr>
              <w:t>risk_participants_one_lead</w:t>
            </w:r>
            <w:r>
              <w:rPr>
                <w:rFonts w:eastAsia="Nunito" w:cs="Nunito"/>
                <w:sz w:val="17"/>
              </w:rPr>
              <w:t xml:space="preserve">); </w:t>
            </w:r>
            <w:r>
              <w:rPr>
                <w:rFonts w:eastAsia="Liberation Mono" w:cs="Liberation Mono" w:ascii="Liberation Mono" w:hAnsi="Liberation Mono"/>
                <w:color w:val="0B3D7A"/>
                <w:sz w:val="15"/>
              </w:rPr>
              <w:t>receivable_participants</w:t>
            </w:r>
            <w:r>
              <w:rPr>
                <w:rFonts w:eastAsia="Nunito" w:cs="Nunito"/>
                <w:sz w:val="17"/>
              </w:rPr>
              <w:t xml:space="preserve"> and </w:t>
            </w:r>
            <w:r>
              <w:rPr>
                <w:rFonts w:eastAsia="Liberation Mono" w:cs="Liberation Mono" w:ascii="Liberation Mono" w:hAnsi="Liberation Mono"/>
                <w:color w:val="0B3D7A"/>
                <w:sz w:val="15"/>
              </w:rPr>
              <w:t>remittance_allocations</w:t>
            </w:r>
            <w:r>
              <w:rPr>
                <w:rFonts w:eastAsia="Nunito" w:cs="Nunito"/>
                <w:sz w:val="17"/>
              </w:rPr>
              <w:t xml:space="preserve"> split bills and collections per insurer.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 defaults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Trigger </w:t>
            </w:r>
            <w:r>
              <w:rPr>
                <w:rFonts w:eastAsia="Liberation Mono" w:cs="Liberation Mono" w:ascii="Liberation Mono" w:hAnsi="Liberation Mono"/>
                <w:color w:val="0B3D7A"/>
                <w:sz w:val="15"/>
              </w:rPr>
              <w:t>gl_accounts_defaults</w:t>
            </w:r>
            <w:r>
              <w:rPr>
                <w:rFonts w:eastAsia="Nunito" w:cs="Nunito"/>
                <w:sz w:val="17"/>
              </w:rPr>
              <w:t xml:space="preserve"> derives the normal balance of an account from its type.</w:t>
            </w:r>
          </w:p>
        </w:tc>
      </w:tr>
    </w:tbl>
    <w:p>
      <w:pPr>
        <w:pStyle w:val="Normal"/>
        <w:spacing w:before="0" w:after="40"/>
        <w:rPr/>
      </w:pPr>
      <w:r>
        <w:rPr/>
      </w:r>
    </w:p>
    <w:p>
      <w:pPr>
        <w:pStyle w:val="Heading2"/>
        <w:rPr/>
      </w:pPr>
      <w:bookmarkStart w:id="11" w:name="__RefHeading___Toc7151_1872304043"/>
      <w:bookmarkEnd w:id="11"/>
      <w:r>
        <w:rPr>
          <w:rFonts w:eastAsia="Nunito" w:cs="Nunito" w:ascii="Nunito" w:hAnsi="Nunito"/>
        </w:rPr>
        <w:t>3.7  Constraints and indexes</w:t>
      </w:r>
    </w:p>
    <w:p>
      <w:pPr>
        <w:pStyle w:val="Normal"/>
        <w:rPr/>
      </w:pPr>
      <w:r>
        <w:rPr>
          <w:rFonts w:eastAsia="Nunito" w:cs="Nunito"/>
        </w:rPr>
        <w:t xml:space="preserve">The schema has 901 indexes: 260 primary keys, 180 further unique indexes (business numbers, natural keys and partial uniqueness such as one open renewal per policy, one pending approval per entity, one active close run per period, one lead co-insurer per record), 71 partial indexes and one GIN index. Case-insensitive uniqueness uses expression indexes on </w:t>
      </w:r>
      <w:r>
        <w:rPr>
          <w:rFonts w:eastAsia="Liberation Mono" w:cs="Liberation Mono" w:ascii="Liberation Mono" w:hAnsi="Liberation Mono"/>
          <w:color w:val="0B3D7A"/>
          <w:sz w:val="18"/>
        </w:rPr>
        <w:t>lower(...)</w:t>
      </w:r>
      <w:r>
        <w:rPr>
          <w:rFonts w:eastAsia="Nunito" w:cs="Nunito"/>
        </w:rPr>
        <w:t>.</w:t>
      </w:r>
    </w:p>
    <w:p>
      <w:pPr>
        <w:pStyle w:val="Normal"/>
        <w:rPr/>
      </w:pPr>
      <w:r>
        <w:rPr>
          <w:rFonts w:eastAsia="Nunito" w:cs="Nunito"/>
        </w:rPr>
        <w:t xml:space="preserve">Migration </w:t>
      </w:r>
      <w:r>
        <w:rPr>
          <w:rFonts w:eastAsia="Liberation Mono" w:cs="Liberation Mono" w:ascii="Liberation Mono" w:hAnsi="Liberation Mono"/>
          <w:color w:val="0B3D7A"/>
          <w:sz w:val="18"/>
        </w:rPr>
        <w:t>0146_foreign_key_indexes.sql</w:t>
      </w:r>
      <w:r>
        <w:rPr>
          <w:rFonts w:eastAsia="Nunito" w:cs="Nunito"/>
        </w:rPr>
        <w:t xml:space="preserve"> indexed the foreign keys of every table that grows (transactions, documents, lines and logs) and added the operational log indexes </w:t>
      </w:r>
      <w:r>
        <w:rPr>
          <w:rFonts w:eastAsia="Liberation Mono" w:cs="Liberation Mono" w:ascii="Liberation Mono" w:hAnsi="Liberation Mono"/>
          <w:color w:val="0B3D7A"/>
          <w:sz w:val="18"/>
        </w:rPr>
        <w:t>job_runs (job_id, started_at)</w:t>
      </w:r>
      <w:r>
        <w:rPr>
          <w:rFonts w:eastAsia="Nunito" w:cs="Nunito"/>
        </w:rPr>
        <w:t xml:space="preserve">, </w:t>
      </w:r>
      <w:r>
        <w:rPr>
          <w:rFonts w:eastAsia="Liberation Mono" w:cs="Liberation Mono" w:ascii="Liberation Mono" w:hAnsi="Liberation Mono"/>
          <w:color w:val="0B3D7A"/>
          <w:sz w:val="18"/>
        </w:rPr>
        <w:t>email_outbox (status, created_at)</w:t>
      </w:r>
      <w:r>
        <w:rPr>
          <w:rFonts w:eastAsia="Nunito" w:cs="Nunito"/>
        </w:rPr>
        <w:t xml:space="preserve">, </w:t>
      </w:r>
      <w:r>
        <w:rPr>
          <w:rFonts w:eastAsia="Liberation Mono" w:cs="Liberation Mono" w:ascii="Liberation Mono" w:hAnsi="Liberation Mono"/>
          <w:color w:val="0B3D7A"/>
          <w:sz w:val="18"/>
        </w:rPr>
        <w:t>audit_log (at)</w:t>
      </w:r>
      <w:r>
        <w:rPr>
          <w:rFonts w:eastAsia="Nunito" w:cs="Nunito"/>
        </w:rPr>
        <w:t xml:space="preserve"> and </w:t>
      </w:r>
      <w:r>
        <w:rPr>
          <w:rFonts w:eastAsia="Liberation Mono" w:cs="Liberation Mono" w:ascii="Liberation Mono" w:hAnsi="Liberation Mono"/>
          <w:color w:val="0B3D7A"/>
          <w:sz w:val="18"/>
        </w:rPr>
        <w:t>audit_log (username)</w:t>
      </w:r>
      <w:r>
        <w:rPr>
          <w:rFonts w:eastAsia="Nunito" w:cs="Nunito"/>
        </w:rPr>
        <w:t xml:space="preserve">. The list was produced by </w:t>
      </w:r>
      <w:r>
        <w:rPr>
          <w:rFonts w:eastAsia="Liberation Mono" w:cs="Liberation Mono" w:ascii="Liberation Mono" w:hAnsi="Liberation Mono"/>
          <w:color w:val="0B3D7A"/>
          <w:sz w:val="18"/>
        </w:rPr>
        <w:t>backend/scripts/fk-index-report.js</w:t>
      </w:r>
      <w:r>
        <w:rPr>
          <w:rFonts w:eastAsia="Nunito" w:cs="Nunito"/>
        </w:rPr>
        <w:t>. 60 of the 468 foreign keys have no index whose first column is the foreign-key column; they are on small master and set-up tables (vehicle models, states, policy types, product components) or are maker-checker stamp columns (</w:t>
      </w:r>
      <w:r>
        <w:rPr>
          <w:rFonts w:eastAsia="Liberation Mono" w:cs="Liberation Mono" w:ascii="Liberation Mono" w:hAnsi="Liberation Mono"/>
          <w:color w:val="0B3D7A"/>
          <w:sz w:val="18"/>
        </w:rPr>
        <w:t>approved_by</w:t>
      </w:r>
      <w:r>
        <w:rPr>
          <w:rFonts w:eastAsia="Nunito" w:cs="Nunito"/>
        </w:rPr>
        <w:t xml:space="preserve">, </w:t>
      </w:r>
      <w:r>
        <w:rPr>
          <w:rFonts w:eastAsia="Liberation Mono" w:cs="Liberation Mono" w:ascii="Liberation Mono" w:hAnsi="Liberation Mono"/>
          <w:color w:val="0B3D7A"/>
          <w:sz w:val="18"/>
        </w:rPr>
        <w:t>rejected_by</w:t>
      </w:r>
      <w:r>
        <w:rPr>
          <w:rFonts w:eastAsia="Nunito" w:cs="Nunito"/>
        </w:rPr>
        <w:t>), left out on purpose. They are listed in document 03.</w:t>
      </w:r>
      <w:r>
        <w:br w:type="page"/>
      </w:r>
    </w:p>
    <w:p>
      <w:pPr>
        <w:pStyle w:val="Heading1"/>
        <w:pBdr>
          <w:bottom w:val="single" w:sz="12" w:space="6" w:color="00ACF1"/>
        </w:pBdr>
        <w:rPr/>
      </w:pPr>
      <w:bookmarkStart w:id="12" w:name="__RefHeading___Toc7153_1872304043"/>
      <w:bookmarkEnd w:id="12"/>
      <w:r>
        <w:rPr>
          <w:rFonts w:eastAsia="Nunito" w:cs="Nunito" w:ascii="Nunito" w:hAnsi="Nunito"/>
        </w:rPr>
        <w:t>4  Entity-relationship diagrams</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Normal"/>
        <w:rPr/>
      </w:pPr>
      <w:r>
        <w:rPr>
          <w:rFonts w:eastAsia="Nunito" w:cs="Nunito"/>
        </w:rPr>
        <w:t xml:space="preserve">The diagrams are generated from the database catalogue. Each box lists the primary key (PK), up to two unique keys (UK), the foreign keys (FK; a red asterisk marks an FK without a supporting index) and the JSONB columns ({ }). Dashed boxes are tables of another domain. References to </w:t>
      </w:r>
      <w:r>
        <w:rPr>
          <w:rFonts w:eastAsia="Liberation Mono" w:cs="Liberation Mono" w:ascii="Liberation Mono" w:hAnsi="Liberation Mono"/>
          <w:color w:val="0B3D7A"/>
          <w:sz w:val="18"/>
        </w:rPr>
        <w:t>users</w:t>
      </w:r>
      <w:r>
        <w:rPr>
          <w:rFonts w:eastAsia="Nunito" w:cs="Nunito"/>
        </w:rPr>
        <w:t xml:space="preserve"> (creator, owner, approver) are listed as columns but drawn only in the security diagram.</w:t>
      </w:r>
    </w:p>
    <w:p>
      <w:pPr>
        <w:pStyle w:val="Heading2"/>
        <w:rPr/>
      </w:pPr>
      <w:bookmarkStart w:id="13" w:name="__RefHeading___Toc7155_1872304043"/>
      <w:bookmarkEnd w:id="13"/>
      <w:r>
        <w:rPr>
          <w:rFonts w:eastAsia="Nunito" w:cs="Nunito" w:ascii="Nunito" w:hAnsi="Nunito"/>
        </w:rPr>
        <w:t>4.1  Sales and policy</w:t>
      </w:r>
    </w:p>
    <w:p>
      <w:pPr>
        <w:pStyle w:val="Normal"/>
        <w:keepNext w:val="true"/>
        <w:spacing w:before="80" w:after="40"/>
        <w:jc w:val="center"/>
        <w:rPr/>
      </w:pPr>
      <w:r>
        <w:rPr/>
        <w:drawing>
          <wp:inline distT="0" distB="0" distL="0" distR="0">
            <wp:extent cx="5814695"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814695" cy="4319905"/>
                    </a:xfrm>
                    <a:prstGeom prst="rect">
                      <a:avLst/>
                    </a:prstGeom>
                  </pic:spPr>
                </pic:pic>
              </a:graphicData>
            </a:graphic>
          </wp:inline>
        </w:drawing>
      </w:r>
    </w:p>
    <w:p>
      <w:pPr>
        <w:pStyle w:val="FigureCaption"/>
        <w:rPr/>
      </w:pPr>
      <w:r>
        <w:rPr>
          <w:rFonts w:eastAsia="Nunito" w:cs="Nunito"/>
          <w:b/>
          <w:i/>
          <w:color w:val="0065B3"/>
          <w:sz w:val="17"/>
        </w:rPr>
        <w:t xml:space="preserve">Figure 1. </w:t>
      </w:r>
      <w:r>
        <w:rPr>
          <w:rFonts w:eastAsia="Nunito" w:cs="Nunito"/>
          <w:color w:val="5B6776"/>
          <w:sz w:val="17"/>
        </w:rPr>
        <w:t>Sales and policy: leads, clients, quotations, policies, endorsements, payment captures</w:t>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A lead becomes a client when a quotation is converted (</w:t>
      </w:r>
      <w:r>
        <w:rPr>
          <w:rFonts w:eastAsia="Liberation Mono" w:cs="Liberation Mono" w:ascii="Liberation Mono" w:hAnsi="Liberation Mono"/>
          <w:color w:val="0B3D7A"/>
          <w:sz w:val="18"/>
        </w:rPr>
        <w:t>clients.lead_id</w:t>
      </w:r>
      <w:r>
        <w:rPr>
          <w:rFonts w:eastAsia="Nunito" w:cs="Nunito"/>
        </w:rPr>
        <w:t xml:space="preserve"> is unique when set). A quotation references the lead or client, product, policy type, insurer and signatory; conversion creates the policy (</w:t>
      </w:r>
      <w:r>
        <w:rPr>
          <w:rFonts w:eastAsia="Liberation Mono" w:cs="Liberation Mono" w:ascii="Liberation Mono" w:hAnsi="Liberation Mono"/>
          <w:color w:val="0B3D7A"/>
          <w:sz w:val="18"/>
        </w:rPr>
        <w:t>policies.quote_id</w:t>
      </w:r>
      <w:r>
        <w:rPr>
          <w:rFonts w:eastAsia="Nunito" w:cs="Nunito"/>
        </w:rPr>
        <w:t xml:space="preserve">, </w:t>
      </w:r>
      <w:r>
        <w:rPr>
          <w:rFonts w:eastAsia="Liberation Mono" w:cs="Liberation Mono" w:ascii="Liberation Mono" w:hAnsi="Liberation Mono"/>
          <w:color w:val="0B3D7A"/>
          <w:sz w:val="18"/>
        </w:rPr>
        <w:t>quotes.policy_id</w:t>
      </w:r>
      <w:r>
        <w:rPr>
          <w:rFonts w:eastAsia="Nunito" w:cs="Nunito"/>
        </w:rPr>
        <w:t>). A renewed policy points to its predecessor (</w:t>
      </w:r>
      <w:r>
        <w:rPr>
          <w:rFonts w:eastAsia="Liberation Mono" w:cs="Liberation Mono" w:ascii="Liberation Mono" w:hAnsi="Liberation Mono"/>
          <w:color w:val="0B3D7A"/>
          <w:sz w:val="18"/>
        </w:rPr>
        <w:t>policies.renewed_from</w:t>
      </w:r>
      <w:r>
        <w:rPr>
          <w:rFonts w:eastAsia="Nunito" w:cs="Nunito"/>
        </w:rPr>
        <w:t xml:space="preserve">, </w:t>
      </w:r>
      <w:r>
        <w:rPr>
          <w:rFonts w:eastAsia="Liberation Mono" w:cs="Liberation Mono" w:ascii="Liberation Mono" w:hAnsi="Liberation Mono"/>
          <w:color w:val="0B3D7A"/>
          <w:sz w:val="18"/>
        </w:rPr>
        <w:t>renewed_to</w:t>
      </w:r>
      <w:r>
        <w:rPr>
          <w:rFonts w:eastAsia="Nunito" w:cs="Nunito"/>
        </w:rPr>
        <w:t>). Endorsements belong to a policy and may raise their own bill (</w:t>
      </w:r>
      <w:r>
        <w:rPr>
          <w:rFonts w:eastAsia="Liberation Mono" w:cs="Liberation Mono" w:ascii="Liberation Mono" w:hAnsi="Liberation Mono"/>
          <w:color w:val="0B3D7A"/>
          <w:sz w:val="18"/>
        </w:rPr>
        <w:t>endorsements.receivable_id</w:t>
      </w:r>
      <w:r>
        <w:rPr>
          <w:rFonts w:eastAsia="Nunito" w:cs="Nunito"/>
        </w:rPr>
        <w:t xml:space="preserve">). </w:t>
      </w:r>
      <w:r>
        <w:rPr>
          <w:rFonts w:eastAsia="Liberation Mono" w:cs="Liberation Mono" w:ascii="Liberation Mono" w:hAnsi="Liberation Mono"/>
          <w:color w:val="0B3D7A"/>
          <w:sz w:val="18"/>
        </w:rPr>
        <w:t>policy_payments</w:t>
      </w:r>
      <w:r>
        <w:rPr>
          <w:rFonts w:eastAsia="Nunito" w:cs="Nunito"/>
        </w:rPr>
        <w:t xml:space="preserve"> holds payments captured by front-office staff until Accounting confirms them and issues a receipt.</w:t>
      </w:r>
    </w:p>
    <w:p>
      <w:pPr>
        <w:pStyle w:val="Heading2"/>
        <w:rPr/>
      </w:pPr>
      <w:bookmarkStart w:id="14" w:name="__RefHeading___Toc7157_1872304043"/>
      <w:bookmarkEnd w:id="14"/>
      <w:r>
        <w:rPr>
          <w:rFonts w:eastAsia="Nunito" w:cs="Nunito" w:ascii="Nunito" w:hAnsi="Nunito"/>
        </w:rPr>
        <w:t>4.2  Placement and co-insurance</w:t>
      </w:r>
    </w:p>
    <w:p>
      <w:pPr>
        <w:pStyle w:val="Normal"/>
        <w:keepNext w:val="true"/>
        <w:spacing w:before="80" w:after="40"/>
        <w:jc w:val="center"/>
        <w:rPr/>
      </w:pPr>
      <w:r>
        <w:rPr/>
        <w:drawing>
          <wp:inline distT="0" distB="0" distL="0" distR="0">
            <wp:extent cx="6111240" cy="43199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4"/>
                    <a:stretch>
                      <a:fillRect/>
                    </a:stretch>
                  </pic:blipFill>
                  <pic:spPr bwMode="auto">
                    <a:xfrm>
                      <a:off x="0" y="0"/>
                      <a:ext cx="6111240" cy="4319905"/>
                    </a:xfrm>
                    <a:prstGeom prst="rect">
                      <a:avLst/>
                    </a:prstGeom>
                  </pic:spPr>
                </pic:pic>
              </a:graphicData>
            </a:graphic>
          </wp:inline>
        </w:drawing>
      </w:r>
    </w:p>
    <w:p>
      <w:pPr>
        <w:pStyle w:val="FigureCaption"/>
        <w:rPr/>
      </w:pPr>
      <w:r>
        <w:rPr>
          <w:rFonts w:eastAsia="Nunito" w:cs="Nunito"/>
          <w:b/>
          <w:i/>
          <w:color w:val="0065B3"/>
          <w:sz w:val="17"/>
        </w:rPr>
        <w:t xml:space="preserve">Figure 2. </w:t>
      </w:r>
      <w:r>
        <w:rPr>
          <w:rFonts w:eastAsia="Nunito" w:cs="Nunito"/>
          <w:color w:val="5B6776"/>
          <w:sz w:val="17"/>
        </w:rPr>
        <w:t>Placement: broker slips, insurer offers, placement slips and co-insurance participants</w:t>
      </w:r>
    </w:p>
    <w:p>
      <w:pPr>
        <w:sectPr>
          <w:headerReference w:type="default" r:id="rId15"/>
          <w:headerReference w:type="first" r:id="rId16"/>
          <w:footerReference w:type="default" r:id="rId17"/>
          <w:footerReference w:type="first" r:id="rId18"/>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A broker slip is created from a lead or client and sent to several insurers; each answer is an </w:t>
      </w:r>
      <w:r>
        <w:rPr>
          <w:rFonts w:eastAsia="Liberation Mono" w:cs="Liberation Mono" w:ascii="Liberation Mono" w:hAnsi="Liberation Mono"/>
          <w:color w:val="0B3D7A"/>
          <w:sz w:val="18"/>
        </w:rPr>
        <w:t>insurer_offers</w:t>
      </w:r>
      <w:r>
        <w:rPr>
          <w:rFonts w:eastAsia="Nunito" w:cs="Nunito"/>
        </w:rPr>
        <w:t xml:space="preserve"> row (premium, rate, taxes, deductibles, validity, share offered) or a decline. The chosen offers become a quotation or a placement slip (</w:t>
      </w:r>
      <w:r>
        <w:rPr>
          <w:rFonts w:eastAsia="Liberation Mono" w:cs="Liberation Mono" w:ascii="Liberation Mono" w:hAnsi="Liberation Mono"/>
          <w:color w:val="0B3D7A"/>
          <w:sz w:val="18"/>
        </w:rPr>
        <w:t>placements.broker_slip_id</w:t>
      </w:r>
      <w:r>
        <w:rPr>
          <w:rFonts w:eastAsia="Nunito" w:cs="Nunito"/>
        </w:rPr>
        <w:t xml:space="preserve">, </w:t>
      </w:r>
      <w:r>
        <w:rPr>
          <w:rFonts w:eastAsia="Liberation Mono" w:cs="Liberation Mono" w:ascii="Liberation Mono" w:hAnsi="Liberation Mono"/>
          <w:color w:val="0B3D7A"/>
          <w:sz w:val="18"/>
        </w:rPr>
        <w:t>placements.quote_id</w:t>
      </w:r>
      <w:r>
        <w:rPr>
          <w:rFonts w:eastAsia="Nunito" w:cs="Nunito"/>
        </w:rPr>
        <w:t>). A placement is sent to the lead insurer and the co-insurers; each participant binds with its own reference and the policy is issued when all have bound (</w:t>
      </w:r>
      <w:r>
        <w:rPr>
          <w:rFonts w:eastAsia="Liberation Mono" w:cs="Liberation Mono" w:ascii="Liberation Mono" w:hAnsi="Liberation Mono"/>
          <w:color w:val="0B3D7A"/>
          <w:sz w:val="18"/>
        </w:rPr>
        <w:t>placements.policy_id</w:t>
      </w:r>
      <w:r>
        <w:rPr>
          <w:rFonts w:eastAsia="Nunito" w:cs="Nunito"/>
        </w:rPr>
        <w:t xml:space="preserve">). </w:t>
      </w:r>
      <w:r>
        <w:rPr>
          <w:rFonts w:eastAsia="Liberation Mono" w:cs="Liberation Mono" w:ascii="Liberation Mono" w:hAnsi="Liberation Mono"/>
          <w:color w:val="0B3D7A"/>
          <w:sz w:val="18"/>
        </w:rPr>
        <w:t>risk_participants</w:t>
      </w:r>
      <w:r>
        <w:rPr>
          <w:rFonts w:eastAsia="Nunito" w:cs="Nunito"/>
        </w:rPr>
        <w:t xml:space="preserve"> is shared by all four record types through </w:t>
      </w:r>
      <w:r>
        <w:rPr>
          <w:rFonts w:eastAsia="Liberation Mono" w:cs="Liberation Mono" w:ascii="Liberation Mono" w:hAnsi="Liberation Mono"/>
          <w:color w:val="0B3D7A"/>
          <w:sz w:val="18"/>
        </w:rPr>
        <w:t>entity_type</w:t>
      </w:r>
      <w:r>
        <w:rPr>
          <w:rFonts w:eastAsia="Nunito" w:cs="Nunito"/>
        </w:rPr>
        <w:t xml:space="preserve"> and </w:t>
      </w:r>
      <w:r>
        <w:rPr>
          <w:rFonts w:eastAsia="Liberation Mono" w:cs="Liberation Mono" w:ascii="Liberation Mono" w:hAnsi="Liberation Mono"/>
          <w:color w:val="0B3D7A"/>
          <w:sz w:val="18"/>
        </w:rPr>
        <w:t>entity_id</w:t>
      </w:r>
      <w:r>
        <w:rPr>
          <w:rFonts w:eastAsia="Nunito" w:cs="Nunito"/>
        </w:rPr>
        <w:t>.</w:t>
      </w:r>
    </w:p>
    <w:p>
      <w:pPr>
        <w:pStyle w:val="Heading2"/>
        <w:rPr/>
      </w:pPr>
      <w:bookmarkStart w:id="15" w:name="__RefHeading___Toc7159_1872304043"/>
      <w:bookmarkEnd w:id="15"/>
      <w:r>
        <w:rPr>
          <w:rFonts w:eastAsia="Nunito" w:cs="Nunito" w:ascii="Nunito" w:hAnsi="Nunito"/>
        </w:rPr>
        <w:t>4.3  Renewals</w:t>
      </w:r>
    </w:p>
    <w:p>
      <w:pPr>
        <w:pStyle w:val="Normal"/>
        <w:keepNext w:val="true"/>
        <w:spacing w:before="80" w:after="40"/>
        <w:jc w:val="center"/>
        <w:rPr/>
      </w:pPr>
      <w:r>
        <w:rPr/>
        <w:drawing>
          <wp:inline distT="0" distB="0" distL="0" distR="0">
            <wp:extent cx="7999730" cy="431990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9"/>
                    <a:stretch>
                      <a:fillRect/>
                    </a:stretch>
                  </pic:blipFill>
                  <pic:spPr bwMode="auto">
                    <a:xfrm>
                      <a:off x="0" y="0"/>
                      <a:ext cx="7999730" cy="4319905"/>
                    </a:xfrm>
                    <a:prstGeom prst="rect">
                      <a:avLst/>
                    </a:prstGeom>
                  </pic:spPr>
                </pic:pic>
              </a:graphicData>
            </a:graphic>
          </wp:inline>
        </w:drawing>
      </w:r>
    </w:p>
    <w:p>
      <w:pPr>
        <w:sectPr>
          <w:headerReference w:type="default" r:id="rId20"/>
          <w:headerReference w:type="first" r:id="rId21"/>
          <w:footerReference w:type="default" r:id="rId22"/>
          <w:footerReference w:type="first" r:id="rId2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3. </w:t>
      </w:r>
      <w:r>
        <w:rPr>
          <w:rFonts w:eastAsia="Nunito" w:cs="Nunito"/>
          <w:color w:val="5B6776"/>
          <w:sz w:val="17"/>
        </w:rPr>
        <w:t>Renewals: renewal cases, quotes, notices, activities, batches, win-back campaigns</w:t>
      </w:r>
    </w:p>
    <w:p>
      <w:pPr>
        <w:pStyle w:val="Heading2"/>
        <w:rPr/>
      </w:pPr>
      <w:bookmarkStart w:id="16" w:name="__RefHeading___Toc7161_1872304043"/>
      <w:bookmarkEnd w:id="16"/>
      <w:r>
        <w:rPr>
          <w:rFonts w:eastAsia="Nunito" w:cs="Nunito" w:ascii="Nunito" w:hAnsi="Nunito"/>
        </w:rPr>
        <w:t>4.4  Billing, receipts and collections</w:t>
      </w:r>
    </w:p>
    <w:p>
      <w:pPr>
        <w:pStyle w:val="Normal"/>
        <w:keepNext w:val="true"/>
        <w:spacing w:before="80" w:after="40"/>
        <w:jc w:val="center"/>
        <w:rPr/>
      </w:pPr>
      <w:r>
        <w:rPr/>
        <w:drawing>
          <wp:inline distT="0" distB="0" distL="0" distR="0">
            <wp:extent cx="8125460" cy="43199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24"/>
                    <a:stretch>
                      <a:fillRect/>
                    </a:stretch>
                  </pic:blipFill>
                  <pic:spPr bwMode="auto">
                    <a:xfrm>
                      <a:off x="0" y="0"/>
                      <a:ext cx="8125460" cy="4319905"/>
                    </a:xfrm>
                    <a:prstGeom prst="rect">
                      <a:avLst/>
                    </a:prstGeom>
                  </pic:spPr>
                </pic:pic>
              </a:graphicData>
            </a:graphic>
          </wp:inline>
        </w:drawing>
      </w:r>
    </w:p>
    <w:p>
      <w:pPr>
        <w:pStyle w:val="FigureCaption"/>
        <w:rPr/>
      </w:pPr>
      <w:r>
        <w:rPr>
          <w:rFonts w:eastAsia="Nunito" w:cs="Nunito"/>
          <w:b/>
          <w:i/>
          <w:color w:val="0065B3"/>
          <w:sz w:val="17"/>
        </w:rPr>
        <w:t xml:space="preserve">Figure 4. </w:t>
      </w:r>
      <w:r>
        <w:rPr>
          <w:rFonts w:eastAsia="Nunito" w:cs="Nunito"/>
          <w:color w:val="5B6776"/>
          <w:sz w:val="17"/>
        </w:rPr>
        <w:t>Billing, receipts, credits, co-insurance split and collections</w:t>
      </w:r>
    </w:p>
    <w:p>
      <w:pPr>
        <w:sectPr>
          <w:headerReference w:type="default" r:id="rId25"/>
          <w:headerReference w:type="first" r:id="rId26"/>
          <w:footerReference w:type="default" r:id="rId27"/>
          <w:footerReference w:type="first" r:id="rId28"/>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A policy, endorsement or renewal raises a receivable (bill) with its booking journal (</w:t>
      </w:r>
      <w:r>
        <w:rPr>
          <w:rFonts w:eastAsia="Liberation Mono" w:cs="Liberation Mono" w:ascii="Liberation Mono" w:hAnsi="Liberation Mono"/>
          <w:color w:val="0B3D7A"/>
          <w:sz w:val="18"/>
        </w:rPr>
        <w:t>receivables.booking_jv_id</w:t>
      </w:r>
      <w:r>
        <w:rPr>
          <w:rFonts w:eastAsia="Nunito" w:cs="Nunito"/>
        </w:rPr>
        <w:t xml:space="preserve">). A receipt has lines per policy, and receipt applications allocate the lines to bills and link the posting journal. Return premium and cancellations reduce a bill through </w:t>
      </w:r>
      <w:r>
        <w:rPr>
          <w:rFonts w:eastAsia="Liberation Mono" w:cs="Liberation Mono" w:ascii="Liberation Mono" w:hAnsi="Liberation Mono"/>
          <w:color w:val="0B3D7A"/>
          <w:sz w:val="18"/>
        </w:rPr>
        <w:t>receivable_credits</w:t>
      </w:r>
      <w:r>
        <w:rPr>
          <w:rFonts w:eastAsia="Nunito" w:cs="Nunito"/>
        </w:rPr>
        <w:t xml:space="preserve">. Collection items track the follow-up of open bills; write-offs use the reasons and GL accounts of </w:t>
      </w:r>
      <w:r>
        <w:rPr>
          <w:rFonts w:eastAsia="Liberation Mono" w:cs="Liberation Mono" w:ascii="Liberation Mono" w:hAnsi="Liberation Mono"/>
          <w:color w:val="0B3D7A"/>
          <w:sz w:val="18"/>
        </w:rPr>
        <w:t>write_off_reasons</w:t>
      </w:r>
      <w:r>
        <w:rPr>
          <w:rFonts w:eastAsia="Nunito" w:cs="Nunito"/>
        </w:rPr>
        <w:t>.</w:t>
      </w:r>
    </w:p>
    <w:p>
      <w:pPr>
        <w:pStyle w:val="Heading2"/>
        <w:rPr/>
      </w:pPr>
      <w:bookmarkStart w:id="17" w:name="__RefHeading___Toc7163_1872304043"/>
      <w:bookmarkEnd w:id="17"/>
      <w:r>
        <w:rPr>
          <w:rFonts w:eastAsia="Nunito" w:cs="Nunito" w:ascii="Nunito" w:hAnsi="Nunito"/>
        </w:rPr>
        <w:t>4.5  General ledger and posting rules</w:t>
      </w:r>
    </w:p>
    <w:p>
      <w:pPr>
        <w:pStyle w:val="Normal"/>
        <w:keepNext w:val="true"/>
        <w:spacing w:before="80" w:after="40"/>
        <w:jc w:val="center"/>
        <w:rPr/>
      </w:pPr>
      <w:r>
        <w:rPr/>
        <w:drawing>
          <wp:inline distT="0" distB="0" distL="0" distR="0">
            <wp:extent cx="6649720" cy="431990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29"/>
                    <a:stretch>
                      <a:fillRect/>
                    </a:stretch>
                  </pic:blipFill>
                  <pic:spPr bwMode="auto">
                    <a:xfrm>
                      <a:off x="0" y="0"/>
                      <a:ext cx="6649720" cy="4319905"/>
                    </a:xfrm>
                    <a:prstGeom prst="rect">
                      <a:avLst/>
                    </a:prstGeom>
                  </pic:spPr>
                </pic:pic>
              </a:graphicData>
            </a:graphic>
          </wp:inline>
        </w:drawing>
      </w:r>
    </w:p>
    <w:p>
      <w:pPr>
        <w:pStyle w:val="FigureCaption"/>
        <w:rPr/>
      </w:pPr>
      <w:r>
        <w:rPr>
          <w:rFonts w:eastAsia="Nunito" w:cs="Nunito"/>
          <w:b/>
          <w:i/>
          <w:color w:val="0065B3"/>
          <w:sz w:val="17"/>
        </w:rPr>
        <w:t xml:space="preserve">Figure 5. </w:t>
      </w:r>
      <w:r>
        <w:rPr>
          <w:rFonts w:eastAsia="Nunito" w:cs="Nunito"/>
          <w:color w:val="5B6776"/>
          <w:sz w:val="17"/>
        </w:rPr>
        <w:t>General ledger: chart of accounts, journals, periods, matching and posting rules</w:t>
      </w:r>
    </w:p>
    <w:p>
      <w:pPr>
        <w:sectPr>
          <w:headerReference w:type="default" r:id="rId30"/>
          <w:headerReference w:type="first" r:id="rId31"/>
          <w:footerReference w:type="default" r:id="rId32"/>
          <w:footerReference w:type="first" r:id="rId3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Journal vouchers hold balanced journal lines coded to the chart of accounts (</w:t>
      </w:r>
      <w:r>
        <w:rPr>
          <w:rFonts w:eastAsia="Liberation Mono" w:cs="Liberation Mono" w:ascii="Liberation Mono" w:hAnsi="Liberation Mono"/>
          <w:color w:val="0B3D7A"/>
          <w:sz w:val="18"/>
        </w:rPr>
        <w:t>gl_accounts</w:t>
      </w:r>
      <w:r>
        <w:rPr>
          <w:rFonts w:eastAsia="Nunito" w:cs="Nunito"/>
        </w:rPr>
        <w:t xml:space="preserve">). Open-item accounts are reconciled by </w:t>
      </w:r>
      <w:r>
        <w:rPr>
          <w:rFonts w:eastAsia="Liberation Mono" w:cs="Liberation Mono" w:ascii="Liberation Mono" w:hAnsi="Liberation Mono"/>
          <w:color w:val="0B3D7A"/>
          <w:sz w:val="18"/>
        </w:rPr>
        <w:t>entry_matches</w:t>
      </w:r>
      <w:r>
        <w:rPr>
          <w:rFonts w:eastAsia="Nunito" w:cs="Nunito"/>
        </w:rPr>
        <w:t xml:space="preserve"> (debit line to credit line). Journals point back to their source document through </w:t>
      </w:r>
      <w:r>
        <w:rPr>
          <w:rFonts w:eastAsia="Liberation Mono" w:cs="Liberation Mono" w:ascii="Liberation Mono" w:hAnsi="Liberation Mono"/>
          <w:color w:val="0B3D7A"/>
          <w:sz w:val="18"/>
        </w:rPr>
        <w:t>journal_vouchers.reference_type</w:t>
      </w:r>
      <w:r>
        <w:rPr>
          <w:rFonts w:eastAsia="Nunito" w:cs="Nunito"/>
        </w:rPr>
        <w:t xml:space="preserve"> and </w:t>
      </w:r>
      <w:r>
        <w:rPr>
          <w:rFonts w:eastAsia="Liberation Mono" w:cs="Liberation Mono" w:ascii="Liberation Mono" w:hAnsi="Liberation Mono"/>
          <w:color w:val="0B3D7A"/>
          <w:sz w:val="18"/>
        </w:rPr>
        <w:t>reference_id</w:t>
      </w:r>
      <w:r>
        <w:rPr>
          <w:rFonts w:eastAsia="Nunito" w:cs="Nunito"/>
        </w:rPr>
        <w:t>.</w:t>
      </w:r>
    </w:p>
    <w:p>
      <w:pPr>
        <w:pStyle w:val="Heading2"/>
        <w:rPr/>
      </w:pPr>
      <w:bookmarkStart w:id="18" w:name="__RefHeading___Toc7165_1872304043"/>
      <w:bookmarkEnd w:id="18"/>
      <w:r>
        <w:rPr>
          <w:rFonts w:eastAsia="Nunito" w:cs="Nunito" w:ascii="Nunito" w:hAnsi="Nunito"/>
        </w:rPr>
        <w:t>4.6  Period end and tax</w:t>
      </w:r>
    </w:p>
    <w:p>
      <w:pPr>
        <w:pStyle w:val="Normal"/>
        <w:keepNext w:val="true"/>
        <w:spacing w:before="80" w:after="40"/>
        <w:jc w:val="center"/>
        <w:rPr/>
      </w:pPr>
      <w:r>
        <w:rPr/>
        <w:drawing>
          <wp:inline distT="0" distB="0" distL="0" distR="0">
            <wp:extent cx="7628255" cy="431990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4"/>
                    <a:stretch>
                      <a:fillRect/>
                    </a:stretch>
                  </pic:blipFill>
                  <pic:spPr bwMode="auto">
                    <a:xfrm>
                      <a:off x="0" y="0"/>
                      <a:ext cx="7628255" cy="4319905"/>
                    </a:xfrm>
                    <a:prstGeom prst="rect">
                      <a:avLst/>
                    </a:prstGeom>
                  </pic:spPr>
                </pic:pic>
              </a:graphicData>
            </a:graphic>
          </wp:inline>
        </w:drawing>
      </w:r>
    </w:p>
    <w:p>
      <w:pPr>
        <w:sectPr>
          <w:headerReference w:type="default" r:id="rId35"/>
          <w:headerReference w:type="first" r:id="rId36"/>
          <w:footerReference w:type="default" r:id="rId37"/>
          <w:footerReference w:type="first" r:id="rId3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6. </w:t>
      </w:r>
      <w:r>
        <w:rPr>
          <w:rFonts w:eastAsia="Nunito" w:cs="Nunito"/>
          <w:color w:val="5B6776"/>
          <w:sz w:val="17"/>
        </w:rPr>
        <w:t>Period end: fiscal years, close runs, recurring journals, year-end, tax codes and BIR 2307</w:t>
      </w:r>
    </w:p>
    <w:p>
      <w:pPr>
        <w:pStyle w:val="Heading2"/>
        <w:rPr/>
      </w:pPr>
      <w:bookmarkStart w:id="19" w:name="__RefHeading___Toc7167_1872304043"/>
      <w:bookmarkEnd w:id="19"/>
      <w:r>
        <w:rPr>
          <w:rFonts w:eastAsia="Nunito" w:cs="Nunito" w:ascii="Nunito" w:hAnsi="Nunito"/>
        </w:rPr>
        <w:t>4.7  Bank reconciliation</w:t>
      </w:r>
    </w:p>
    <w:p>
      <w:pPr>
        <w:pStyle w:val="Normal"/>
        <w:keepNext w:val="true"/>
        <w:spacing w:before="80" w:after="40"/>
        <w:jc w:val="center"/>
        <w:rPr/>
      </w:pPr>
      <w:r>
        <w:rPr/>
        <w:drawing>
          <wp:inline distT="0" distB="0" distL="0" distR="0">
            <wp:extent cx="6120130" cy="385762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9"/>
                    <a:stretch>
                      <a:fillRect/>
                    </a:stretch>
                  </pic:blipFill>
                  <pic:spPr bwMode="auto">
                    <a:xfrm>
                      <a:off x="0" y="0"/>
                      <a:ext cx="6120130" cy="3857625"/>
                    </a:xfrm>
                    <a:prstGeom prst="rect">
                      <a:avLst/>
                    </a:prstGeom>
                  </pic:spPr>
                </pic:pic>
              </a:graphicData>
            </a:graphic>
          </wp:inline>
        </w:drawing>
      </w:r>
    </w:p>
    <w:p>
      <w:pPr>
        <w:pStyle w:val="FigureCaption"/>
        <w:rPr/>
      </w:pPr>
      <w:r>
        <w:rPr>
          <w:rFonts w:eastAsia="Nunito" w:cs="Nunito"/>
          <w:b/>
          <w:i/>
          <w:color w:val="0065B3"/>
          <w:sz w:val="17"/>
        </w:rPr>
        <w:t xml:space="preserve">Figure 7. </w:t>
      </w:r>
      <w:r>
        <w:rPr>
          <w:rFonts w:eastAsia="Nunito" w:cs="Nunito"/>
          <w:color w:val="5B6776"/>
          <w:sz w:val="17"/>
        </w:rPr>
        <w:t>Bank reconciliation: statement formats, statements and lines, matches, reconciliations</w:t>
      </w:r>
    </w:p>
    <w:p>
      <w:pPr>
        <w:sectPr>
          <w:headerReference w:type="default" r:id="rId40"/>
          <w:headerReference w:type="first" r:id="rId41"/>
          <w:footerReference w:type="default" r:id="rId42"/>
          <w:footerReference w:type="first" r:id="rId43"/>
          <w:type w:val="nextPage"/>
          <w:pgSz w:w="11906" w:h="16838"/>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A bank statement is imported with a statement format into </w:t>
      </w:r>
      <w:r>
        <w:rPr>
          <w:rFonts w:eastAsia="Liberation Mono" w:cs="Liberation Mono" w:ascii="Liberation Mono" w:hAnsi="Liberation Mono"/>
          <w:color w:val="0B3D7A"/>
          <w:sz w:val="18"/>
        </w:rPr>
        <w:t>bank_statements</w:t>
      </w:r>
      <w:r>
        <w:rPr>
          <w:rFonts w:eastAsia="Nunito" w:cs="Nunito"/>
        </w:rPr>
        <w:t xml:space="preserve"> and </w:t>
      </w:r>
      <w:r>
        <w:rPr>
          <w:rFonts w:eastAsia="Liberation Mono" w:cs="Liberation Mono" w:ascii="Liberation Mono" w:hAnsi="Liberation Mono"/>
          <w:color w:val="0B3D7A"/>
          <w:sz w:val="18"/>
        </w:rPr>
        <w:t>bank_statement_lines</w:t>
      </w:r>
      <w:r>
        <w:rPr>
          <w:rFonts w:eastAsia="Nunito" w:cs="Nunito"/>
        </w:rPr>
        <w:t xml:space="preserve"> (a line hash refuses duplicates). Matches link bank lines to cash-account journal lines (</w:t>
      </w:r>
      <w:r>
        <w:rPr>
          <w:rFonts w:eastAsia="Liberation Mono" w:cs="Liberation Mono" w:ascii="Liberation Mono" w:hAnsi="Liberation Mono"/>
          <w:color w:val="0B3D7A"/>
          <w:sz w:val="18"/>
        </w:rPr>
        <w:t>bank_rec_match_items</w:t>
      </w:r>
      <w:r>
        <w:rPr>
          <w:rFonts w:eastAsia="Nunito" w:cs="Nunito"/>
        </w:rPr>
        <w:t xml:space="preserve"> with a </w:t>
      </w:r>
      <w:r>
        <w:rPr>
          <w:rFonts w:eastAsia="Liberation Mono" w:cs="Liberation Mono" w:ascii="Liberation Mono" w:hAnsi="Liberation Mono"/>
          <w:color w:val="0B3D7A"/>
          <w:sz w:val="18"/>
        </w:rPr>
        <w:t>side</w:t>
      </w:r>
      <w:r>
        <w:rPr>
          <w:rFonts w:eastAsia="Nunito" w:cs="Nunito"/>
        </w:rPr>
        <w:t>). A monthly reconciliation (</w:t>
      </w:r>
      <w:r>
        <w:rPr>
          <w:rFonts w:eastAsia="Liberation Mono" w:cs="Liberation Mono" w:ascii="Liberation Mono" w:hAnsi="Liberation Mono"/>
          <w:color w:val="0B3D7A"/>
          <w:sz w:val="18"/>
        </w:rPr>
        <w:t>bank_reconciliations</w:t>
      </w:r>
      <w:r>
        <w:rPr>
          <w:rFonts w:eastAsia="Nunito" w:cs="Nunito"/>
        </w:rPr>
        <w:t>) stores the statement figures and, once approved, locks the matches cleared up to the period end. The bank account itself is a master record linked to a GL cash account.</w:t>
      </w:r>
    </w:p>
    <w:p>
      <w:pPr>
        <w:pStyle w:val="Heading2"/>
        <w:rPr/>
      </w:pPr>
      <w:bookmarkStart w:id="20" w:name="__RefHeading___Toc7169_1872304043"/>
      <w:bookmarkEnd w:id="20"/>
      <w:r>
        <w:rPr>
          <w:rFonts w:eastAsia="Nunito" w:cs="Nunito" w:ascii="Nunito" w:hAnsi="Nunito"/>
        </w:rPr>
        <w:t>4.8  Disbursements and petty cash</w:t>
      </w:r>
    </w:p>
    <w:p>
      <w:pPr>
        <w:pStyle w:val="Normal"/>
        <w:keepNext w:val="true"/>
        <w:spacing w:before="80" w:after="40"/>
        <w:jc w:val="center"/>
        <w:rPr/>
      </w:pPr>
      <w:r>
        <w:rPr/>
        <w:drawing>
          <wp:inline distT="0" distB="0" distL="0" distR="0">
            <wp:extent cx="7056755" cy="431990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44"/>
                    <a:stretch>
                      <a:fillRect/>
                    </a:stretch>
                  </pic:blipFill>
                  <pic:spPr bwMode="auto">
                    <a:xfrm>
                      <a:off x="0" y="0"/>
                      <a:ext cx="7056755" cy="4319905"/>
                    </a:xfrm>
                    <a:prstGeom prst="rect">
                      <a:avLst/>
                    </a:prstGeom>
                  </pic:spPr>
                </pic:pic>
              </a:graphicData>
            </a:graphic>
          </wp:inline>
        </w:drawing>
      </w:r>
    </w:p>
    <w:p>
      <w:pPr>
        <w:sectPr>
          <w:headerReference w:type="default" r:id="rId45"/>
          <w:headerReference w:type="first" r:id="rId46"/>
          <w:footerReference w:type="default" r:id="rId47"/>
          <w:footerReference w:type="first" r:id="rId4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8. </w:t>
      </w:r>
      <w:r>
        <w:rPr>
          <w:rFonts w:eastAsia="Nunito" w:cs="Nunito"/>
          <w:color w:val="5B6776"/>
          <w:sz w:val="17"/>
        </w:rPr>
        <w:t>Disbursements (payment vouchers, invoice lists, cheques) and petty cash</w:t>
      </w:r>
    </w:p>
    <w:p>
      <w:pPr>
        <w:pStyle w:val="Heading2"/>
        <w:rPr/>
      </w:pPr>
      <w:bookmarkStart w:id="21" w:name="__RefHeading___Toc7171_1872304043"/>
      <w:bookmarkEnd w:id="21"/>
      <w:r>
        <w:rPr>
          <w:rFonts w:eastAsia="Nunito" w:cs="Nunito" w:ascii="Nunito" w:hAnsi="Nunito"/>
        </w:rPr>
        <w:t>4.9  Commission and incentive</w:t>
      </w:r>
    </w:p>
    <w:p>
      <w:pPr>
        <w:pStyle w:val="Normal"/>
        <w:keepNext w:val="true"/>
        <w:spacing w:before="80" w:after="40"/>
        <w:jc w:val="center"/>
        <w:rPr/>
      </w:pPr>
      <w:r>
        <w:rPr/>
        <w:drawing>
          <wp:inline distT="0" distB="0" distL="0" distR="0">
            <wp:extent cx="9251950" cy="32867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49"/>
                    <a:stretch>
                      <a:fillRect/>
                    </a:stretch>
                  </pic:blipFill>
                  <pic:spPr bwMode="auto">
                    <a:xfrm>
                      <a:off x="0" y="0"/>
                      <a:ext cx="9251950" cy="3286760"/>
                    </a:xfrm>
                    <a:prstGeom prst="rect">
                      <a:avLst/>
                    </a:prstGeom>
                  </pic:spPr>
                </pic:pic>
              </a:graphicData>
            </a:graphic>
          </wp:inline>
        </w:drawing>
      </w:r>
    </w:p>
    <w:p>
      <w:pPr>
        <w:pStyle w:val="FigureCaption"/>
        <w:rPr/>
      </w:pPr>
      <w:r>
        <w:rPr>
          <w:rFonts w:eastAsia="Nunito" w:cs="Nunito"/>
          <w:b/>
          <w:i/>
          <w:color w:val="0065B3"/>
          <w:sz w:val="17"/>
        </w:rPr>
        <w:t xml:space="preserve">Figure 9. </w:t>
      </w:r>
      <w:r>
        <w:rPr>
          <w:rFonts w:eastAsia="Nunito" w:cs="Nunito"/>
          <w:color w:val="5B6776"/>
          <w:sz w:val="17"/>
        </w:rPr>
        <w:t>Commission lines, adjustments, the rate matrix, referrers and incentive programmes</w:t>
      </w:r>
    </w:p>
    <w:p>
      <w:pPr>
        <w:sectPr>
          <w:headerReference w:type="default" r:id="rId50"/>
          <w:headerReference w:type="first" r:id="rId51"/>
          <w:footerReference w:type="default" r:id="rId52"/>
          <w:footerReference w:type="first" r:id="rId5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Commission lines are created per policy, endorsement and referrer in the referral chain (</w:t>
      </w:r>
      <w:r>
        <w:rPr>
          <w:rFonts w:eastAsia="Liberation Mono" w:cs="Liberation Mono" w:ascii="Liberation Mono" w:hAnsi="Liberation Mono"/>
          <w:color w:val="0B3D7A"/>
          <w:sz w:val="18"/>
        </w:rPr>
        <w:t>commissions_policy_referrer_uq</w:t>
      </w:r>
      <w:r>
        <w:rPr>
          <w:rFonts w:eastAsia="Nunito" w:cs="Nunito"/>
        </w:rPr>
        <w:t xml:space="preserve">), link to the accrual and payment journals and to the payment voucher that paid them. </w:t>
      </w:r>
      <w:r>
        <w:rPr>
          <w:rFonts w:eastAsia="Liberation Mono" w:cs="Liberation Mono" w:ascii="Liberation Mono" w:hAnsi="Liberation Mono"/>
          <w:color w:val="0B3D7A"/>
          <w:sz w:val="18"/>
        </w:rPr>
        <w:t>commission_adjustments</w:t>
      </w:r>
      <w:r>
        <w:rPr>
          <w:rFonts w:eastAsia="Nunito" w:cs="Nunito"/>
        </w:rPr>
        <w:t xml:space="preserve"> records the reversal or clawback when premium is returned. The rate of a new policy comes from </w:t>
      </w:r>
      <w:r>
        <w:rPr>
          <w:rFonts w:eastAsia="Liberation Mono" w:cs="Liberation Mono" w:ascii="Liberation Mono" w:hAnsi="Liberation Mono"/>
          <w:color w:val="0B3D7A"/>
          <w:sz w:val="18"/>
        </w:rPr>
        <w:t>commission_rates</w:t>
      </w:r>
      <w:r>
        <w:rPr>
          <w:rFonts w:eastAsia="Nunito" w:cs="Nunito"/>
        </w:rPr>
        <w:t xml:space="preserve"> (insurer, product, line, policy type, effective dates), else the insurer's default rate. Referrers form a hierarchy (</w:t>
      </w:r>
      <w:r>
        <w:rPr>
          <w:rFonts w:eastAsia="Liberation Mono" w:cs="Liberation Mono" w:ascii="Liberation Mono" w:hAnsi="Liberation Mono"/>
          <w:color w:val="0B3D7A"/>
          <w:sz w:val="18"/>
        </w:rPr>
        <w:t>parent_referrer_id</w:t>
      </w:r>
      <w:r>
        <w:rPr>
          <w:rFonts w:eastAsia="Nunito" w:cs="Nunito"/>
        </w:rPr>
        <w:t>); they do not sign in.</w:t>
      </w:r>
    </w:p>
    <w:p>
      <w:pPr>
        <w:pStyle w:val="Heading2"/>
        <w:rPr/>
      </w:pPr>
      <w:bookmarkStart w:id="22" w:name="__RefHeading___Toc7173_1872304043"/>
      <w:bookmarkEnd w:id="22"/>
      <w:r>
        <w:rPr>
          <w:rFonts w:eastAsia="Nunito" w:cs="Nunito" w:ascii="Nunito" w:hAnsi="Nunito"/>
        </w:rPr>
        <w:t>4.10  Claims</w:t>
      </w:r>
    </w:p>
    <w:p>
      <w:pPr>
        <w:pStyle w:val="Normal"/>
        <w:keepNext w:val="true"/>
        <w:spacing w:before="80" w:after="40"/>
        <w:jc w:val="center"/>
        <w:rPr/>
      </w:pPr>
      <w:r>
        <w:rPr/>
        <w:drawing>
          <wp:inline distT="0" distB="0" distL="0" distR="0">
            <wp:extent cx="7555230" cy="431990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54"/>
                    <a:stretch>
                      <a:fillRect/>
                    </a:stretch>
                  </pic:blipFill>
                  <pic:spPr bwMode="auto">
                    <a:xfrm>
                      <a:off x="0" y="0"/>
                      <a:ext cx="7555230" cy="4319905"/>
                    </a:xfrm>
                    <a:prstGeom prst="rect">
                      <a:avLst/>
                    </a:prstGeom>
                  </pic:spPr>
                </pic:pic>
              </a:graphicData>
            </a:graphic>
          </wp:inline>
        </w:drawing>
      </w:r>
    </w:p>
    <w:p>
      <w:pPr>
        <w:sectPr>
          <w:headerReference w:type="default" r:id="rId55"/>
          <w:headerReference w:type="first" r:id="rId56"/>
          <w:footerReference w:type="default" r:id="rId57"/>
          <w:footerReference w:type="first" r:id="rId5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10. </w:t>
      </w:r>
      <w:r>
        <w:rPr>
          <w:rFonts w:eastAsia="Nunito" w:cs="Nunito"/>
          <w:color w:val="5B6776"/>
          <w:sz w:val="17"/>
        </w:rPr>
        <w:t>Claims, claim history, field-level changes, settlement cash and reinsurance recoveries</w:t>
      </w:r>
    </w:p>
    <w:p>
      <w:pPr>
        <w:pStyle w:val="Heading2"/>
        <w:rPr/>
      </w:pPr>
      <w:bookmarkStart w:id="23" w:name="__RefHeading___Toc7175_1872304043"/>
      <w:bookmarkEnd w:id="23"/>
      <w:r>
        <w:rPr>
          <w:rFonts w:eastAsia="Nunito" w:cs="Nunito" w:ascii="Nunito" w:hAnsi="Nunito"/>
        </w:rPr>
        <w:t>4.11  Remittance and direct bill</w:t>
      </w:r>
    </w:p>
    <w:p>
      <w:pPr>
        <w:pStyle w:val="Normal"/>
        <w:keepNext w:val="true"/>
        <w:spacing w:before="80" w:after="40"/>
        <w:jc w:val="center"/>
        <w:rPr/>
      </w:pPr>
      <w:r>
        <w:rPr/>
        <w:drawing>
          <wp:inline distT="0" distB="0" distL="0" distR="0">
            <wp:extent cx="9251950" cy="26720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59"/>
                    <a:stretch>
                      <a:fillRect/>
                    </a:stretch>
                  </pic:blipFill>
                  <pic:spPr bwMode="auto">
                    <a:xfrm>
                      <a:off x="0" y="0"/>
                      <a:ext cx="9251950" cy="2672080"/>
                    </a:xfrm>
                    <a:prstGeom prst="rect">
                      <a:avLst/>
                    </a:prstGeom>
                  </pic:spPr>
                </pic:pic>
              </a:graphicData>
            </a:graphic>
          </wp:inline>
        </w:drawing>
      </w:r>
    </w:p>
    <w:p>
      <w:pPr>
        <w:pStyle w:val="FigureCaption"/>
        <w:rPr/>
      </w:pPr>
      <w:r>
        <w:rPr>
          <w:rFonts w:eastAsia="Nunito" w:cs="Nunito"/>
          <w:b/>
          <w:i/>
          <w:color w:val="0065B3"/>
          <w:sz w:val="17"/>
        </w:rPr>
        <w:t xml:space="preserve">Figure 11. </w:t>
      </w:r>
      <w:r>
        <w:rPr>
          <w:rFonts w:eastAsia="Nunito" w:cs="Nunito"/>
          <w:color w:val="5B6776"/>
          <w:sz w:val="17"/>
        </w:rPr>
        <w:t>Remittances to insurers, co-insurance allocations, insurer refunds and direct-bill debit notes</w:t>
      </w:r>
    </w:p>
    <w:p>
      <w:pPr>
        <w:sectPr>
          <w:headerReference w:type="default" r:id="rId60"/>
          <w:headerReference w:type="first" r:id="rId61"/>
          <w:footerReference w:type="default" r:id="rId62"/>
          <w:footerReference w:type="first" r:id="rId6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Broker-billed premium is remitted to insurers through </w:t>
      </w:r>
      <w:r>
        <w:rPr>
          <w:rFonts w:eastAsia="Liberation Mono" w:cs="Liberation Mono" w:ascii="Liberation Mono" w:hAnsi="Liberation Mono"/>
          <w:color w:val="0B3D7A"/>
          <w:sz w:val="18"/>
        </w:rPr>
        <w:t>remittances</w:t>
      </w:r>
      <w:r>
        <w:rPr>
          <w:rFonts w:eastAsia="Nunito" w:cs="Nunito"/>
        </w:rPr>
        <w:t xml:space="preserve"> with </w:t>
      </w:r>
      <w:r>
        <w:rPr>
          <w:rFonts w:eastAsia="Liberation Mono" w:cs="Liberation Mono" w:ascii="Liberation Mono" w:hAnsi="Liberation Mono"/>
          <w:color w:val="0B3D7A"/>
          <w:sz w:val="18"/>
        </w:rPr>
        <w:t>remittance_lines</w:t>
      </w:r>
      <w:r>
        <w:rPr>
          <w:rFonts w:eastAsia="Nunito" w:cs="Nunito"/>
        </w:rPr>
        <w:t xml:space="preserve"> per policy; settlements, adjustments and exceptions are </w:t>
      </w:r>
      <w:r>
        <w:rPr>
          <w:rFonts w:eastAsia="Liberation Mono" w:cs="Liberation Mono" w:ascii="Liberation Mono" w:hAnsi="Liberation Mono"/>
          <w:color w:val="0B3D7A"/>
          <w:sz w:val="18"/>
        </w:rPr>
        <w:t>remittance_items</w:t>
      </w:r>
      <w:r>
        <w:rPr>
          <w:rFonts w:eastAsia="Nunito" w:cs="Nunito"/>
        </w:rPr>
        <w:t xml:space="preserve">; </w:t>
      </w:r>
      <w:r>
        <w:rPr>
          <w:rFonts w:eastAsia="Liberation Mono" w:cs="Liberation Mono" w:ascii="Liberation Mono" w:hAnsi="Liberation Mono"/>
          <w:color w:val="0B3D7A"/>
          <w:sz w:val="18"/>
        </w:rPr>
        <w:t>remittance_approvals</w:t>
      </w:r>
      <w:r>
        <w:rPr>
          <w:rFonts w:eastAsia="Nunito" w:cs="Nunito"/>
        </w:rPr>
        <w:t xml:space="preserve"> is a multi-level approval register (entity, levels, SLA, history). For a co-insured policy </w:t>
      </w:r>
      <w:r>
        <w:rPr>
          <w:rFonts w:eastAsia="Liberation Mono" w:cs="Liberation Mono" w:ascii="Liberation Mono" w:hAnsi="Liberation Mono"/>
          <w:color w:val="0B3D7A"/>
          <w:sz w:val="18"/>
        </w:rPr>
        <w:t>remittance_allocations</w:t>
      </w:r>
      <w:r>
        <w:rPr>
          <w:rFonts w:eastAsia="Nunito" w:cs="Nunito"/>
        </w:rPr>
        <w:t xml:space="preserve"> splits each collection by insurer share. </w:t>
      </w:r>
      <w:r>
        <w:rPr>
          <w:rFonts w:eastAsia="Liberation Mono" w:cs="Liberation Mono" w:ascii="Liberation Mono" w:hAnsi="Liberation Mono"/>
          <w:color w:val="0B3D7A"/>
          <w:sz w:val="18"/>
        </w:rPr>
        <w:t>insurer_refund_credits</w:t>
      </w:r>
      <w:r>
        <w:rPr>
          <w:rFonts w:eastAsia="Nunito" w:cs="Nunito"/>
        </w:rPr>
        <w:t xml:space="preserve"> holds refunds due from an insurer on returned premium already remitted; they are netted against the next remittance. Direct-billed policies produce </w:t>
      </w:r>
      <w:r>
        <w:rPr>
          <w:rFonts w:eastAsia="Liberation Mono" w:cs="Liberation Mono" w:ascii="Liberation Mono" w:hAnsi="Liberation Mono"/>
          <w:color w:val="0B3D7A"/>
          <w:sz w:val="18"/>
        </w:rPr>
        <w:t>direct_bill_items</w:t>
      </w:r>
      <w:r>
        <w:rPr>
          <w:rFonts w:eastAsia="Nunito" w:cs="Nunito"/>
        </w:rPr>
        <w:t xml:space="preserve"> (commission receivable) billed to the insurer on </w:t>
      </w:r>
      <w:r>
        <w:rPr>
          <w:rFonts w:eastAsia="Liberation Mono" w:cs="Liberation Mono" w:ascii="Liberation Mono" w:hAnsi="Liberation Mono"/>
          <w:color w:val="0B3D7A"/>
          <w:sz w:val="18"/>
        </w:rPr>
        <w:t>commission_debit_notes</w:t>
      </w:r>
      <w:r>
        <w:rPr>
          <w:rFonts w:eastAsia="Nunito" w:cs="Nunito"/>
        </w:rPr>
        <w:t xml:space="preserve"> and settled by </w:t>
      </w:r>
      <w:r>
        <w:rPr>
          <w:rFonts w:eastAsia="Liberation Mono" w:cs="Liberation Mono" w:ascii="Liberation Mono" w:hAnsi="Liberation Mono"/>
          <w:color w:val="0B3D7A"/>
          <w:sz w:val="18"/>
        </w:rPr>
        <w:t>commission_debit_note_collections</w:t>
      </w:r>
      <w:r>
        <w:rPr>
          <w:rFonts w:eastAsia="Nunito" w:cs="Nunito"/>
        </w:rPr>
        <w:t>.</w:t>
      </w:r>
    </w:p>
    <w:p>
      <w:pPr>
        <w:pStyle w:val="Heading2"/>
        <w:rPr/>
      </w:pPr>
      <w:bookmarkStart w:id="24" w:name="__RefHeading___Toc7177_1872304043"/>
      <w:bookmarkEnd w:id="24"/>
      <w:r>
        <w:rPr>
          <w:rFonts w:eastAsia="Nunito" w:cs="Nunito" w:ascii="Nunito" w:hAnsi="Nunito"/>
        </w:rPr>
        <w:t>4.12  Reinsurance</w:t>
      </w:r>
    </w:p>
    <w:p>
      <w:pPr>
        <w:pStyle w:val="Normal"/>
        <w:keepNext w:val="true"/>
        <w:spacing w:before="80" w:after="40"/>
        <w:jc w:val="center"/>
        <w:rPr/>
      </w:pPr>
      <w:r>
        <w:rPr/>
        <w:drawing>
          <wp:inline distT="0" distB="0" distL="0" distR="0">
            <wp:extent cx="6742430" cy="43199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64"/>
                    <a:stretch>
                      <a:fillRect/>
                    </a:stretch>
                  </pic:blipFill>
                  <pic:spPr bwMode="auto">
                    <a:xfrm>
                      <a:off x="0" y="0"/>
                      <a:ext cx="6742430" cy="4319905"/>
                    </a:xfrm>
                    <a:prstGeom prst="rect">
                      <a:avLst/>
                    </a:prstGeom>
                  </pic:spPr>
                </pic:pic>
              </a:graphicData>
            </a:graphic>
          </wp:inline>
        </w:drawing>
      </w:r>
    </w:p>
    <w:p>
      <w:pPr>
        <w:sectPr>
          <w:headerReference w:type="default" r:id="rId65"/>
          <w:headerReference w:type="first" r:id="rId66"/>
          <w:footerReference w:type="default" r:id="rId67"/>
          <w:footerReference w:type="first" r:id="rId6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12. </w:t>
      </w:r>
      <w:r>
        <w:rPr>
          <w:rFonts w:eastAsia="Nunito" w:cs="Nunito"/>
          <w:color w:val="5B6776"/>
          <w:sz w:val="17"/>
        </w:rPr>
        <w:t>Reinsurers, treaties, cessions, recoveries, bordereaux and reconciliations</w:t>
      </w:r>
    </w:p>
    <w:p>
      <w:pPr>
        <w:pStyle w:val="Heading2"/>
        <w:rPr/>
      </w:pPr>
      <w:bookmarkStart w:id="25" w:name="__RefHeading___Toc7179_1872304043"/>
      <w:bookmarkEnd w:id="25"/>
      <w:r>
        <w:rPr>
          <w:rFonts w:eastAsia="Nunito" w:cs="Nunito" w:ascii="Nunito" w:hAnsi="Nunito"/>
        </w:rPr>
        <w:t>4.13  Configuration, security and platform</w:t>
      </w:r>
    </w:p>
    <w:p>
      <w:pPr>
        <w:pStyle w:val="Normal"/>
        <w:keepNext w:val="true"/>
        <w:spacing w:before="80" w:after="40"/>
        <w:jc w:val="center"/>
        <w:rPr/>
      </w:pPr>
      <w:r>
        <w:rPr/>
        <w:drawing>
          <wp:inline distT="0" distB="0" distL="0" distR="0">
            <wp:extent cx="9251950" cy="316357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69"/>
                    <a:stretch>
                      <a:fillRect/>
                    </a:stretch>
                  </pic:blipFill>
                  <pic:spPr bwMode="auto">
                    <a:xfrm>
                      <a:off x="0" y="0"/>
                      <a:ext cx="9251950" cy="3163570"/>
                    </a:xfrm>
                    <a:prstGeom prst="rect">
                      <a:avLst/>
                    </a:prstGeom>
                  </pic:spPr>
                </pic:pic>
              </a:graphicData>
            </a:graphic>
          </wp:inline>
        </w:drawing>
      </w:r>
    </w:p>
    <w:p>
      <w:pPr>
        <w:sectPr>
          <w:headerReference w:type="default" r:id="rId70"/>
          <w:headerReference w:type="first" r:id="rId71"/>
          <w:footerReference w:type="default" r:id="rId72"/>
          <w:footerReference w:type="first" r:id="rId7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13. </w:t>
      </w:r>
      <w:r>
        <w:rPr>
          <w:rFonts w:eastAsia="Nunito" w:cs="Nunito"/>
          <w:color w:val="5B6776"/>
          <w:sz w:val="17"/>
        </w:rPr>
        <w:t>Security and identity tables</w:t>
      </w:r>
    </w:p>
    <w:p>
      <w:pPr>
        <w:pStyle w:val="Normal"/>
        <w:keepNext w:val="true"/>
        <w:spacing w:before="80" w:after="40"/>
        <w:jc w:val="center"/>
        <w:rPr/>
      </w:pPr>
      <w:r>
        <w:rPr/>
        <w:drawing>
          <wp:inline distT="0" distB="0" distL="0" distR="0">
            <wp:extent cx="6036310" cy="810006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74"/>
                    <a:stretch>
                      <a:fillRect/>
                    </a:stretch>
                  </pic:blipFill>
                  <pic:spPr bwMode="auto">
                    <a:xfrm>
                      <a:off x="0" y="0"/>
                      <a:ext cx="6036310" cy="8100060"/>
                    </a:xfrm>
                    <a:prstGeom prst="rect">
                      <a:avLst/>
                    </a:prstGeom>
                  </pic:spPr>
                </pic:pic>
              </a:graphicData>
            </a:graphic>
          </wp:inline>
        </w:drawing>
      </w:r>
    </w:p>
    <w:p>
      <w:pPr>
        <w:pStyle w:val="FigureCaption"/>
        <w:rPr/>
      </w:pPr>
      <w:r>
        <w:rPr>
          <w:rFonts w:eastAsia="Nunito" w:cs="Nunito"/>
          <w:b/>
          <w:i/>
          <w:color w:val="0065B3"/>
          <w:sz w:val="17"/>
        </w:rPr>
        <w:t xml:space="preserve">Figure 14. </w:t>
      </w:r>
      <w:r>
        <w:rPr>
          <w:rFonts w:eastAsia="Nunito" w:cs="Nunito"/>
          <w:color w:val="5B6776"/>
          <w:sz w:val="17"/>
        </w:rPr>
        <w:t>Configuration and platform services tables</w:t>
      </w:r>
    </w:p>
    <w:p>
      <w:pPr>
        <w:pStyle w:val="Heading2"/>
        <w:rPr/>
      </w:pPr>
      <w:bookmarkStart w:id="26" w:name="__RefHeading___Toc7181_1872304043"/>
      <w:bookmarkEnd w:id="26"/>
      <w:r>
        <w:rPr>
          <w:rFonts w:eastAsia="Nunito" w:cs="Nunito" w:ascii="Nunito" w:hAnsi="Nunito"/>
        </w:rPr>
        <w:t>4.14  Reference masters and product configurator</w:t>
      </w:r>
    </w:p>
    <w:p>
      <w:pPr>
        <w:pStyle w:val="Normal"/>
        <w:keepNext w:val="true"/>
        <w:spacing w:before="80" w:after="40"/>
        <w:jc w:val="center"/>
        <w:rPr/>
      </w:pPr>
      <w:r>
        <w:rPr/>
        <w:drawing>
          <wp:inline distT="0" distB="0" distL="0" distR="0">
            <wp:extent cx="6120130" cy="792734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75"/>
                    <a:stretch>
                      <a:fillRect/>
                    </a:stretch>
                  </pic:blipFill>
                  <pic:spPr bwMode="auto">
                    <a:xfrm>
                      <a:off x="0" y="0"/>
                      <a:ext cx="6120130" cy="7927340"/>
                    </a:xfrm>
                    <a:prstGeom prst="rect">
                      <a:avLst/>
                    </a:prstGeom>
                  </pic:spPr>
                </pic:pic>
              </a:graphicData>
            </a:graphic>
          </wp:inline>
        </w:drawing>
      </w:r>
    </w:p>
    <w:p>
      <w:pPr>
        <w:sectPr>
          <w:headerReference w:type="default" r:id="rId76"/>
          <w:headerReference w:type="first" r:id="rId77"/>
          <w:footerReference w:type="default" r:id="rId78"/>
          <w:footerReference w:type="first" r:id="rId79"/>
          <w:type w:val="nextPage"/>
          <w:pgSz w:w="11906" w:h="16838"/>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15. </w:t>
      </w:r>
      <w:r>
        <w:rPr>
          <w:rFonts w:eastAsia="Nunito" w:cs="Nunito"/>
          <w:color w:val="5B6776"/>
          <w:sz w:val="17"/>
        </w:rPr>
        <w:t>Reference masters</w:t>
      </w:r>
    </w:p>
    <w:p>
      <w:pPr>
        <w:pStyle w:val="Normal"/>
        <w:keepNext w:val="true"/>
        <w:spacing w:before="80" w:after="40"/>
        <w:jc w:val="center"/>
        <w:rPr/>
      </w:pPr>
      <w:r>
        <w:rPr/>
        <w:drawing>
          <wp:inline distT="0" distB="0" distL="0" distR="0">
            <wp:extent cx="6830060" cy="431990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80"/>
                    <a:stretch>
                      <a:fillRect/>
                    </a:stretch>
                  </pic:blipFill>
                  <pic:spPr bwMode="auto">
                    <a:xfrm>
                      <a:off x="0" y="0"/>
                      <a:ext cx="6830060" cy="4319905"/>
                    </a:xfrm>
                    <a:prstGeom prst="rect">
                      <a:avLst/>
                    </a:prstGeom>
                  </pic:spPr>
                </pic:pic>
              </a:graphicData>
            </a:graphic>
          </wp:inline>
        </w:drawing>
      </w:r>
    </w:p>
    <w:p>
      <w:pPr>
        <w:sectPr>
          <w:headerReference w:type="default" r:id="rId81"/>
          <w:headerReference w:type="first" r:id="rId82"/>
          <w:footerReference w:type="default" r:id="rId83"/>
          <w:footerReference w:type="first" r:id="rId84"/>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16. </w:t>
      </w:r>
      <w:r>
        <w:rPr>
          <w:rFonts w:eastAsia="Nunito" w:cs="Nunito"/>
          <w:color w:val="5B6776"/>
          <w:sz w:val="17"/>
        </w:rPr>
        <w:t>Product configurator and pricing</w:t>
      </w:r>
    </w:p>
    <w:p>
      <w:pPr>
        <w:pStyle w:val="Heading2"/>
        <w:rPr/>
      </w:pPr>
      <w:bookmarkStart w:id="27" w:name="__RefHeading___Toc7183_1872304043"/>
      <w:bookmarkEnd w:id="27"/>
      <w:r>
        <w:rPr>
          <w:rFonts w:eastAsia="Nunito" w:cs="Nunito" w:ascii="Nunito" w:hAnsi="Nunito"/>
        </w:rPr>
        <w:t>4.15  Distribution and marketing</w:t>
      </w:r>
    </w:p>
    <w:p>
      <w:pPr>
        <w:pStyle w:val="Normal"/>
        <w:keepNext w:val="true"/>
        <w:spacing w:before="80" w:after="40"/>
        <w:jc w:val="center"/>
        <w:rPr/>
      </w:pPr>
      <w:r>
        <w:rPr/>
        <w:drawing>
          <wp:inline distT="0" distB="0" distL="0" distR="0">
            <wp:extent cx="6802120" cy="431990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85"/>
                    <a:stretch>
                      <a:fillRect/>
                    </a:stretch>
                  </pic:blipFill>
                  <pic:spPr bwMode="auto">
                    <a:xfrm>
                      <a:off x="0" y="0"/>
                      <a:ext cx="6802120" cy="4319905"/>
                    </a:xfrm>
                    <a:prstGeom prst="rect">
                      <a:avLst/>
                    </a:prstGeom>
                  </pic:spPr>
                </pic:pic>
              </a:graphicData>
            </a:graphic>
          </wp:inline>
        </w:drawing>
      </w:r>
    </w:p>
    <w:p>
      <w:pPr>
        <w:pStyle w:val="FigureCaption"/>
        <w:rPr/>
      </w:pPr>
      <w:r>
        <w:rPr>
          <w:rFonts w:eastAsia="Nunito" w:cs="Nunito"/>
          <w:b/>
          <w:i/>
          <w:color w:val="0065B3"/>
          <w:sz w:val="17"/>
        </w:rPr>
        <w:t xml:space="preserve">Figure 17. </w:t>
      </w:r>
      <w:r>
        <w:rPr>
          <w:rFonts w:eastAsia="Nunito" w:cs="Nunito"/>
          <w:color w:val="5B6776"/>
          <w:sz w:val="17"/>
        </w:rPr>
        <w:t>Distribution and marketing: lead assignment, channels, dealer programmes, comparison reports, campaigns, sales activities</w:t>
      </w:r>
    </w:p>
    <w:p>
      <w:pPr>
        <w:sectPr>
          <w:headerReference w:type="default" r:id="rId86"/>
          <w:headerReference w:type="first" r:id="rId87"/>
          <w:footerReference w:type="default" r:id="rId88"/>
          <w:footerReference w:type="first" r:id="rId8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Lead assignment rules route a new prospect; every assignment is kept in </w:t>
      </w:r>
      <w:r>
        <w:rPr>
          <w:rFonts w:eastAsia="Liberation Mono" w:cs="Liberation Mono" w:ascii="Liberation Mono" w:hAnsi="Liberation Mono"/>
          <w:color w:val="0B3D7A"/>
          <w:sz w:val="18"/>
        </w:rPr>
        <w:t>lead_assignment_history</w:t>
      </w:r>
      <w:r>
        <w:rPr>
          <w:rFonts w:eastAsia="Nunito" w:cs="Nunito"/>
        </w:rPr>
        <w:t xml:space="preserve">. </w:t>
      </w:r>
      <w:r>
        <w:rPr>
          <w:rFonts w:eastAsia="Liberation Mono" w:cs="Liberation Mono" w:ascii="Liberation Mono" w:hAnsi="Liberation Mono"/>
          <w:color w:val="0B3D7A"/>
          <w:sz w:val="18"/>
        </w:rPr>
        <w:t>distribution_channels</w:t>
      </w:r>
      <w:r>
        <w:rPr>
          <w:rFonts w:eastAsia="Nunito" w:cs="Nunito"/>
        </w:rPr>
        <w:t xml:space="preserve"> is one hierarchy of dealer groups and branches, financing banks and affinity partners (</w:t>
      </w:r>
      <w:r>
        <w:rPr>
          <w:rFonts w:eastAsia="Liberation Mono" w:cs="Liberation Mono" w:ascii="Liberation Mono" w:hAnsi="Liberation Mono"/>
          <w:color w:val="0B3D7A"/>
          <w:sz w:val="18"/>
        </w:rPr>
        <w:t>parent_id</w:t>
      </w:r>
      <w:r>
        <w:rPr>
          <w:rFonts w:eastAsia="Nunito" w:cs="Nunito"/>
        </w:rPr>
        <w:t>); dealer programmes (</w:t>
      </w:r>
      <w:r>
        <w:rPr>
          <w:rFonts w:eastAsia="Liberation Mono" w:cs="Liberation Mono" w:ascii="Liberation Mono" w:hAnsi="Liberation Mono"/>
          <w:color w:val="0B3D7A"/>
          <w:sz w:val="18"/>
        </w:rPr>
        <w:t>motor_programmes</w:t>
      </w:r>
      <w:r>
        <w:rPr>
          <w:rFonts w:eastAsia="Nunito" w:cs="Nunito"/>
        </w:rPr>
        <w:t xml:space="preserve">) set the terms of the cars a dealer sells and uploaded </w:t>
      </w:r>
      <w:r>
        <w:rPr>
          <w:rFonts w:eastAsia="Liberation Mono" w:cs="Liberation Mono" w:ascii="Liberation Mono" w:hAnsi="Liberation Mono"/>
          <w:color w:val="0B3D7A"/>
          <w:sz w:val="18"/>
        </w:rPr>
        <w:t>dealer_sales</w:t>
      </w:r>
      <w:r>
        <w:rPr>
          <w:rFonts w:eastAsia="Nunito" w:cs="Nunito"/>
        </w:rPr>
        <w:t xml:space="preserve"> become quotations or policies. Campaigns send to a segment through a template; </w:t>
      </w:r>
      <w:r>
        <w:rPr>
          <w:rFonts w:eastAsia="Liberation Mono" w:cs="Liberation Mono" w:ascii="Liberation Mono" w:hAnsi="Liberation Mono"/>
          <w:color w:val="0B3D7A"/>
          <w:sz w:val="18"/>
        </w:rPr>
        <w:t>campaign_recipients</w:t>
      </w:r>
      <w:r>
        <w:rPr>
          <w:rFonts w:eastAsia="Nunito" w:cs="Nunito"/>
        </w:rPr>
        <w:t xml:space="preserve"> records consent, result and opt-out. </w:t>
      </w:r>
      <w:r>
        <w:rPr>
          <w:rFonts w:eastAsia="Liberation Mono" w:cs="Liberation Mono" w:ascii="Liberation Mono" w:hAnsi="Liberation Mono"/>
          <w:color w:val="0B3D7A"/>
          <w:sz w:val="18"/>
        </w:rPr>
        <w:t>sales_activities</w:t>
      </w:r>
      <w:r>
        <w:rPr>
          <w:rFonts w:eastAsia="Nunito" w:cs="Nunito"/>
        </w:rPr>
        <w:t xml:space="preserve"> (package G) logs calls and visits and creates follow-up tasks in </w:t>
      </w:r>
      <w:r>
        <w:rPr>
          <w:rFonts w:eastAsia="Liberation Mono" w:cs="Liberation Mono" w:ascii="Liberation Mono" w:hAnsi="Liberation Mono"/>
          <w:color w:val="0B3D7A"/>
          <w:sz w:val="18"/>
        </w:rPr>
        <w:t>work_tasks</w:t>
      </w:r>
      <w:r>
        <w:rPr>
          <w:rFonts w:eastAsia="Nunito" w:cs="Nunito"/>
        </w:rPr>
        <w:t>.</w:t>
      </w:r>
    </w:p>
    <w:p>
      <w:pPr>
        <w:pStyle w:val="Heading2"/>
        <w:rPr/>
      </w:pPr>
      <w:bookmarkStart w:id="28" w:name="__RefHeading___Toc7185_1872304043"/>
      <w:bookmarkEnd w:id="28"/>
      <w:r>
        <w:rPr>
          <w:rFonts w:eastAsia="Nunito" w:cs="Nunito" w:ascii="Nunito" w:hAnsi="Nunito"/>
        </w:rPr>
        <w:t>4.16  Fleet, marine open cover, claim documents and motor repairs</w:t>
      </w:r>
    </w:p>
    <w:p>
      <w:pPr>
        <w:pStyle w:val="Normal"/>
        <w:keepNext w:val="true"/>
        <w:spacing w:before="80" w:after="40"/>
        <w:jc w:val="center"/>
        <w:rPr/>
      </w:pPr>
      <w:r>
        <w:rPr/>
        <w:drawing>
          <wp:inline distT="0" distB="0" distL="0" distR="0">
            <wp:extent cx="9251950" cy="431038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90"/>
                    <a:stretch>
                      <a:fillRect/>
                    </a:stretch>
                  </pic:blipFill>
                  <pic:spPr bwMode="auto">
                    <a:xfrm>
                      <a:off x="0" y="0"/>
                      <a:ext cx="9251950" cy="4310380"/>
                    </a:xfrm>
                    <a:prstGeom prst="rect">
                      <a:avLst/>
                    </a:prstGeom>
                  </pic:spPr>
                </pic:pic>
              </a:graphicData>
            </a:graphic>
          </wp:inline>
        </w:drawing>
      </w:r>
    </w:p>
    <w:p>
      <w:pPr>
        <w:sectPr>
          <w:headerReference w:type="default" r:id="rId91"/>
          <w:headerReference w:type="first" r:id="rId92"/>
          <w:footerReference w:type="default" r:id="rId93"/>
          <w:footerReference w:type="first" r:id="rId94"/>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18. </w:t>
      </w:r>
      <w:r>
        <w:rPr>
          <w:rFonts w:eastAsia="Nunito" w:cs="Nunito"/>
          <w:color w:val="5B6776"/>
          <w:sz w:val="17"/>
        </w:rPr>
        <w:t>Fleet schedules, marine open covers, claim document checklist and motor repair records</w:t>
      </w:r>
    </w:p>
    <w:p>
      <w:pPr>
        <w:pStyle w:val="Heading2"/>
        <w:rPr/>
      </w:pPr>
      <w:bookmarkStart w:id="29" w:name="__RefHeading___Toc7187_1872304043"/>
      <w:bookmarkEnd w:id="29"/>
      <w:r>
        <w:rPr>
          <w:rFonts w:eastAsia="Nunito" w:cs="Nunito" w:ascii="Nunito" w:hAnsi="Nunito"/>
        </w:rPr>
        <w:t>4.17  Payables, fixed assets, BIR and override commission</w:t>
      </w:r>
    </w:p>
    <w:p>
      <w:pPr>
        <w:pStyle w:val="Normal"/>
        <w:keepNext w:val="true"/>
        <w:spacing w:before="80" w:after="40"/>
        <w:jc w:val="center"/>
        <w:rPr/>
      </w:pPr>
      <w:r>
        <w:rPr/>
        <w:drawing>
          <wp:inline distT="0" distB="0" distL="0" distR="0">
            <wp:extent cx="5801995" cy="431990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95"/>
                    <a:stretch>
                      <a:fillRect/>
                    </a:stretch>
                  </pic:blipFill>
                  <pic:spPr bwMode="auto">
                    <a:xfrm>
                      <a:off x="0" y="0"/>
                      <a:ext cx="5801995" cy="4319905"/>
                    </a:xfrm>
                    <a:prstGeom prst="rect">
                      <a:avLst/>
                    </a:prstGeom>
                  </pic:spPr>
                </pic:pic>
              </a:graphicData>
            </a:graphic>
          </wp:inline>
        </w:drawing>
      </w:r>
    </w:p>
    <w:p>
      <w:pPr>
        <w:pStyle w:val="FigureCaption"/>
        <w:rPr/>
      </w:pPr>
      <w:r>
        <w:rPr>
          <w:rFonts w:eastAsia="Nunito" w:cs="Nunito"/>
          <w:b/>
          <w:i/>
          <w:color w:val="0065B3"/>
          <w:sz w:val="17"/>
        </w:rPr>
        <w:t xml:space="preserve">Figure 19. </w:t>
      </w:r>
      <w:r>
        <w:rPr>
          <w:rFonts w:eastAsia="Nunito" w:cs="Nunito"/>
          <w:color w:val="5B6776"/>
          <w:sz w:val="17"/>
        </w:rPr>
        <w:t>Accounts payable, fixed assets, BIR return filings, sales invoices and EIS, override commission</w:t>
      </w:r>
    </w:p>
    <w:p>
      <w:pPr>
        <w:sectPr>
          <w:headerReference w:type="default" r:id="rId96"/>
          <w:headerReference w:type="first" r:id="rId97"/>
          <w:footerReference w:type="default" r:id="rId98"/>
          <w:footerReference w:type="first" r:id="rId9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Supplier invoices post on approval (</w:t>
      </w:r>
      <w:r>
        <w:rPr>
          <w:rFonts w:eastAsia="Liberation Mono" w:cs="Liberation Mono" w:ascii="Liberation Mono" w:hAnsi="Liberation Mono"/>
          <w:color w:val="0B3D7A"/>
          <w:sz w:val="18"/>
        </w:rPr>
        <w:t>ap.invoice</w:t>
      </w:r>
      <w:r>
        <w:rPr>
          <w:rFonts w:eastAsia="Nunito" w:cs="Nunito"/>
        </w:rPr>
        <w:t xml:space="preserve">) and payments through </w:t>
      </w:r>
      <w:r>
        <w:rPr>
          <w:rFonts w:eastAsia="Liberation Mono" w:cs="Liberation Mono" w:ascii="Liberation Mono" w:hAnsi="Liberation Mono"/>
          <w:color w:val="0B3D7A"/>
          <w:sz w:val="18"/>
        </w:rPr>
        <w:t>supplier_payment_allocations</w:t>
      </w:r>
      <w:r>
        <w:rPr>
          <w:rFonts w:eastAsia="Nunito" w:cs="Nunito"/>
        </w:rPr>
        <w:t xml:space="preserve"> (</w:t>
      </w:r>
      <w:r>
        <w:rPr>
          <w:rFonts w:eastAsia="Liberation Mono" w:cs="Liberation Mono" w:ascii="Liberation Mono" w:hAnsi="Liberation Mono"/>
          <w:color w:val="0B3D7A"/>
          <w:sz w:val="18"/>
        </w:rPr>
        <w:t>ap.payment</w:t>
      </w:r>
      <w:r>
        <w:rPr>
          <w:rFonts w:eastAsia="Nunito" w:cs="Nunito"/>
        </w:rPr>
        <w:t>); assets depreciate monthly (</w:t>
      </w:r>
      <w:r>
        <w:rPr>
          <w:rFonts w:eastAsia="Liberation Mono" w:cs="Liberation Mono" w:ascii="Liberation Mono" w:hAnsi="Liberation Mono"/>
          <w:color w:val="0B3D7A"/>
          <w:sz w:val="18"/>
        </w:rPr>
        <w:t>fa.depreciation</w:t>
      </w:r>
      <w:r>
        <w:rPr>
          <w:rFonts w:eastAsia="Nunito" w:cs="Nunito"/>
        </w:rPr>
        <w:t>) and are disposed of with a gain or loss (</w:t>
      </w:r>
      <w:r>
        <w:rPr>
          <w:rFonts w:eastAsia="Liberation Mono" w:cs="Liberation Mono" w:ascii="Liberation Mono" w:hAnsi="Liberation Mono"/>
          <w:color w:val="0B3D7A"/>
          <w:sz w:val="18"/>
        </w:rPr>
        <w:t>fa.disposal</w:t>
      </w:r>
      <w:r>
        <w:rPr>
          <w:rFonts w:eastAsia="Nunito" w:cs="Nunito"/>
        </w:rPr>
        <w:t xml:space="preserve">, package G). The BIR returns are computed from the ledger and recorded in </w:t>
      </w:r>
      <w:r>
        <w:rPr>
          <w:rFonts w:eastAsia="Liberation Mono" w:cs="Liberation Mono" w:ascii="Liberation Mono" w:hAnsi="Liberation Mono"/>
          <w:color w:val="0B3D7A"/>
          <w:sz w:val="18"/>
        </w:rPr>
        <w:t>bir_return_filings</w:t>
      </w:r>
      <w:r>
        <w:rPr>
          <w:rFonts w:eastAsia="Nunito" w:cs="Nunito"/>
        </w:rPr>
        <w:t xml:space="preserve">; every sales invoice is queued in </w:t>
      </w:r>
      <w:r>
        <w:rPr>
          <w:rFonts w:eastAsia="Liberation Mono" w:cs="Liberation Mono" w:ascii="Liberation Mono" w:hAnsi="Liberation Mono"/>
          <w:color w:val="0B3D7A"/>
          <w:sz w:val="18"/>
        </w:rPr>
        <w:t>eis_submissions</w:t>
      </w:r>
      <w:r>
        <w:rPr>
          <w:rFonts w:eastAsia="Nunito" w:cs="Nunito"/>
        </w:rPr>
        <w:t>. Override commission agreements, computations and settlements accrue and settle insurer overriding commission.</w:t>
      </w:r>
    </w:p>
    <w:p>
      <w:pPr>
        <w:pStyle w:val="Heading2"/>
        <w:rPr/>
      </w:pPr>
      <w:bookmarkStart w:id="30" w:name="__RefHeading___Toc7189_1872304043"/>
      <w:bookmarkEnd w:id="30"/>
      <w:r>
        <w:rPr>
          <w:rFonts w:eastAsia="Nunito" w:cs="Nunito" w:ascii="Nunito" w:hAnsi="Nunito"/>
        </w:rPr>
        <w:t>4.18  Compliance</w:t>
      </w:r>
    </w:p>
    <w:p>
      <w:pPr>
        <w:pStyle w:val="Normal"/>
        <w:keepNext w:val="true"/>
        <w:spacing w:before="80" w:after="40"/>
        <w:jc w:val="center"/>
        <w:rPr/>
      </w:pPr>
      <w:r>
        <w:rPr/>
        <w:drawing>
          <wp:inline distT="0" distB="0" distL="0" distR="0">
            <wp:extent cx="7412990" cy="431990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100"/>
                    <a:stretch>
                      <a:fillRect/>
                    </a:stretch>
                  </pic:blipFill>
                  <pic:spPr bwMode="auto">
                    <a:xfrm>
                      <a:off x="0" y="0"/>
                      <a:ext cx="7412990" cy="4319905"/>
                    </a:xfrm>
                    <a:prstGeom prst="rect">
                      <a:avLst/>
                    </a:prstGeom>
                  </pic:spPr>
                </pic:pic>
              </a:graphicData>
            </a:graphic>
          </wp:inline>
        </w:drawing>
      </w:r>
    </w:p>
    <w:p>
      <w:pPr>
        <w:pStyle w:val="FigureCaption"/>
        <w:rPr/>
      </w:pPr>
      <w:r>
        <w:rPr>
          <w:rFonts w:eastAsia="Nunito" w:cs="Nunito"/>
          <w:b/>
          <w:i/>
          <w:color w:val="0065B3"/>
          <w:sz w:val="17"/>
        </w:rPr>
        <w:t xml:space="preserve">Figure 20. </w:t>
      </w:r>
      <w:r>
        <w:rPr>
          <w:rFonts w:eastAsia="Nunito" w:cs="Nunito"/>
          <w:color w:val="5B6776"/>
          <w:sz w:val="17"/>
        </w:rPr>
        <w:t>AML/CFT, Insurance Commission registers, complaints, breaches and data privacy</w:t>
      </w:r>
    </w:p>
    <w:p>
      <w:pPr>
        <w:sectPr>
          <w:headerReference w:type="default" r:id="rId101"/>
          <w:headerReference w:type="first" r:id="rId102"/>
          <w:footerReference w:type="default" r:id="rId103"/>
          <w:footerReference w:type="first" r:id="rId104"/>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The AML tables hang off </w:t>
      </w:r>
      <w:r>
        <w:rPr>
          <w:rFonts w:eastAsia="Liberation Mono" w:cs="Liberation Mono" w:ascii="Liberation Mono" w:hAnsi="Liberation Mono"/>
          <w:color w:val="0B3D7A"/>
          <w:sz w:val="18"/>
        </w:rPr>
        <w:t>clients</w:t>
      </w:r>
      <w:r>
        <w:rPr>
          <w:rFonts w:eastAsia="Nunito" w:cs="Nunito"/>
        </w:rPr>
        <w:t xml:space="preserve">: KYC records of juridical clients, risk assessments and EDD reviews, screenings and their hits against the screening lists, alerts raised by monitoring rules, cases and AMLC report files. Package B adds the licence register, fit and proper records, the IC statement mapping, the complaints register and the breach register. With package B, TIN, ID and bank account numbers are encrypted in the database by the triggers </w:t>
      </w:r>
      <w:r>
        <w:rPr>
          <w:rFonts w:eastAsia="Liberation Mono" w:cs="Liberation Mono" w:ascii="Liberation Mono" w:hAnsi="Liberation Mono"/>
          <w:color w:val="0B3D7A"/>
          <w:sz w:val="18"/>
        </w:rPr>
        <w:t>pii_protect_columns</w:t>
      </w:r>
      <w:r>
        <w:rPr>
          <w:rFonts w:eastAsia="Nunito" w:cs="Nunito"/>
        </w:rPr>
        <w:t xml:space="preserve"> and </w:t>
      </w:r>
      <w:r>
        <w:rPr>
          <w:rFonts w:eastAsia="Liberation Mono" w:cs="Liberation Mono" w:ascii="Liberation Mono" w:hAnsi="Liberation Mono"/>
          <w:color w:val="0B3D7A"/>
          <w:sz w:val="18"/>
        </w:rPr>
        <w:t>pii_protect_json</w:t>
      </w:r>
      <w:r>
        <w:rPr>
          <w:rFonts w:eastAsia="Nunito" w:cs="Nunito"/>
        </w:rPr>
        <w:t xml:space="preserve"> with blind indexes (</w:t>
      </w:r>
      <w:r>
        <w:rPr>
          <w:rFonts w:eastAsia="Liberation Mono" w:cs="Liberation Mono" w:ascii="Liberation Mono" w:hAnsi="Liberation Mono"/>
          <w:color w:val="0B3D7A"/>
          <w:sz w:val="18"/>
        </w:rPr>
        <w:t>*_bidx</w:t>
      </w:r>
      <w:r>
        <w:rPr>
          <w:rFonts w:eastAsia="Nunito" w:cs="Nunito"/>
        </w:rPr>
        <w:t>) for exact search (document 05).</w:t>
      </w:r>
    </w:p>
    <w:p>
      <w:pPr>
        <w:pStyle w:val="Heading2"/>
        <w:rPr/>
      </w:pPr>
      <w:bookmarkStart w:id="31" w:name="__RefHeading___Toc7191_1872304043"/>
      <w:bookmarkEnd w:id="31"/>
      <w:r>
        <w:rPr>
          <w:rFonts w:eastAsia="Nunito" w:cs="Nunito" w:ascii="Nunito" w:hAnsi="Nunito"/>
        </w:rPr>
        <w:t>4.19  Integrations</w:t>
      </w:r>
    </w:p>
    <w:p>
      <w:pPr>
        <w:pStyle w:val="Normal"/>
        <w:keepNext w:val="true"/>
        <w:spacing w:before="80" w:after="40"/>
        <w:jc w:val="center"/>
        <w:rPr/>
      </w:pPr>
      <w:r>
        <w:rPr/>
        <w:drawing>
          <wp:inline distT="0" distB="0" distL="0" distR="0">
            <wp:extent cx="9251950" cy="343344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105"/>
                    <a:stretch>
                      <a:fillRect/>
                    </a:stretch>
                  </pic:blipFill>
                  <pic:spPr bwMode="auto">
                    <a:xfrm>
                      <a:off x="0" y="0"/>
                      <a:ext cx="9251950" cy="3433445"/>
                    </a:xfrm>
                    <a:prstGeom prst="rect">
                      <a:avLst/>
                    </a:prstGeom>
                  </pic:spPr>
                </pic:pic>
              </a:graphicData>
            </a:graphic>
          </wp:inline>
        </w:drawing>
      </w:r>
    </w:p>
    <w:p>
      <w:pPr>
        <w:pStyle w:val="FigureCaption"/>
        <w:rPr/>
      </w:pPr>
      <w:r>
        <w:rPr>
          <w:rFonts w:eastAsia="Nunito" w:cs="Nunito"/>
          <w:b/>
          <w:i/>
          <w:color w:val="0065B3"/>
          <w:sz w:val="17"/>
        </w:rPr>
        <w:t xml:space="preserve">Figure 21. </w:t>
      </w:r>
      <w:r>
        <w:rPr>
          <w:rFonts w:eastAsia="Nunito" w:cs="Nunito"/>
          <w:color w:val="5B6776"/>
          <w:sz w:val="17"/>
        </w:rPr>
        <w:t>Integration framework: connectors, outbox, attempts, inbox, messaging, CTPL, insurer mappings and bank payment files</w:t>
      </w:r>
    </w:p>
    <w:p>
      <w:pPr>
        <w:sectPr>
          <w:headerReference w:type="default" r:id="rId106"/>
          <w:headerReference w:type="first" r:id="rId107"/>
          <w:footerReference w:type="default" r:id="rId108"/>
          <w:footerReference w:type="first" r:id="rId10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Every message to a third party is a row of </w:t>
      </w:r>
      <w:r>
        <w:rPr>
          <w:rFonts w:eastAsia="Liberation Mono" w:cs="Liberation Mono" w:ascii="Liberation Mono" w:hAnsi="Liberation Mono"/>
          <w:color w:val="0B3D7A"/>
          <w:sz w:val="18"/>
        </w:rPr>
        <w:t>integration_outbox</w:t>
      </w:r>
      <w:r>
        <w:rPr>
          <w:rFonts w:eastAsia="Nunito" w:cs="Nunito"/>
        </w:rPr>
        <w:t xml:space="preserve"> written in the business transaction; </w:t>
      </w:r>
      <w:r>
        <w:rPr>
          <w:rFonts w:eastAsia="Liberation Mono" w:cs="Liberation Mono" w:ascii="Liberation Mono" w:hAnsi="Liberation Mono"/>
          <w:color w:val="0B3D7A"/>
          <w:sz w:val="18"/>
        </w:rPr>
        <w:t>integration_attempts</w:t>
      </w:r>
      <w:r>
        <w:rPr>
          <w:rFonts w:eastAsia="Nunito" w:cs="Nunito"/>
        </w:rPr>
        <w:t xml:space="preserve"> keeps each try and </w:t>
      </w:r>
      <w:r>
        <w:rPr>
          <w:rFonts w:eastAsia="Liberation Mono" w:cs="Liberation Mono" w:ascii="Liberation Mono" w:hAnsi="Liberation Mono"/>
          <w:color w:val="0B3D7A"/>
          <w:sz w:val="18"/>
        </w:rPr>
        <w:t>integration_inbox</w:t>
      </w:r>
      <w:r>
        <w:rPr>
          <w:rFonts w:eastAsia="Nunito" w:cs="Nunito"/>
        </w:rPr>
        <w:t xml:space="preserve"> each message received. Connectors keep only the names of the environment variables that hold their credentials.</w:t>
      </w:r>
      <w:r>
        <w:br w:type="page"/>
      </w:r>
    </w:p>
    <w:p>
      <w:pPr>
        <w:pStyle w:val="Heading1"/>
        <w:pBdr>
          <w:bottom w:val="single" w:sz="12" w:space="6" w:color="00ACF1"/>
        </w:pBdr>
        <w:rPr/>
      </w:pPr>
      <w:bookmarkStart w:id="32" w:name="__RefHeading___Toc7193_1872304043"/>
      <w:bookmarkEnd w:id="32"/>
      <w:r>
        <w:rPr>
          <w:rFonts w:eastAsia="Nunito" w:cs="Nunito" w:ascii="Nunito" w:hAnsi="Nunito"/>
        </w:rPr>
        <w:t>5  Migrations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Implementation (</w:t>
            </w:r>
            <w:r>
              <w:rPr>
                <w:rFonts w:eastAsia="Liberation Mono" w:cs="Liberation Mono" w:ascii="Liberation Mono" w:hAnsi="Liberation Mono"/>
                <w:color w:val="0B3D7A"/>
                <w:sz w:val="15"/>
              </w:rPr>
              <w:t>backend/src/db/migrate.js</w:t>
            </w:r>
            <w:r>
              <w:rPr>
                <w:rFonts w:eastAsia="Nunito" w:cs="Nunito"/>
                <w:b/>
                <w:color w:val="FFFFFF"/>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Format</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Plain SQL files </w:t>
            </w:r>
            <w:r>
              <w:rPr>
                <w:rFonts w:eastAsia="Liberation Mono" w:cs="Liberation Mono" w:ascii="Liberation Mono" w:hAnsi="Liberation Mono"/>
                <w:color w:val="0B3D7A"/>
                <w:sz w:val="15"/>
              </w:rPr>
              <w:t>NNNN_name.sql</w:t>
            </w:r>
            <w:r>
              <w:rPr>
                <w:rFonts w:eastAsia="Nunito" w:cs="Nunito"/>
                <w:sz w:val="17"/>
              </w:rPr>
              <w:t xml:space="preserve"> in </w:t>
            </w:r>
            <w:r>
              <w:rPr>
                <w:rFonts w:eastAsia="Liberation Mono" w:cs="Liberation Mono" w:ascii="Liberation Mono" w:hAnsi="Liberation Mono"/>
                <w:color w:val="0B3D7A"/>
                <w:sz w:val="15"/>
              </w:rPr>
              <w:t>backend/src/db/migrations</w:t>
            </w:r>
            <w:r>
              <w:rPr>
                <w:rFonts w:eastAsia="Nunito" w:cs="Nunito"/>
                <w:sz w:val="17"/>
              </w:rPr>
              <w:t>, applied in file-name order: 0001-0004 core, masters, operations, finance; 0010-0021 sales, claims, renewals; 0030-0034 ledger, receipts, disbursements, commission, petty cash; 0040-0050 configuration, product configurator, remittance, reinsurance, incentive, reports; 0060-0097 security and later changes; 0110-0113 branding and the Company letterhead; 0115-0117 role inheritance and bank reconciliation; 0120-0127 co-insurance, document numbering, commission rates, insurer credit terms, placement; 0130-0136 posting rules, period end, tax codes; 0140-0152 broker roles, business-date defaults, foreign-key indexes, accounting follow-ups, go-live imports and the e-mail sender.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Tracking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Table </w:t>
            </w:r>
            <w:r>
              <w:rPr>
                <w:rFonts w:eastAsia="Liberation Mono" w:cs="Liberation Mono" w:ascii="Liberation Mono" w:hAnsi="Liberation Mono"/>
                <w:color w:val="0B3D7A"/>
                <w:sz w:val="15"/>
              </w:rPr>
              <w:t>schema_migrations(name, applied_at)</w:t>
            </w:r>
            <w:r>
              <w:rPr>
                <w:rFonts w:eastAsia="Nunito" w:cs="Nunito"/>
                <w:sz w:val="17"/>
              </w:rPr>
              <w:t>; a file is applied once.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Execution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 every API start (</w:t>
            </w:r>
            <w:r>
              <w:rPr>
                <w:rFonts w:eastAsia="Liberation Mono" w:cs="Liberation Mono" w:ascii="Liberation Mono" w:hAnsi="Liberation Mono"/>
                <w:color w:val="0B3D7A"/>
                <w:sz w:val="15"/>
              </w:rPr>
              <w:t>server.js</w:t>
            </w:r>
            <w:r>
              <w:rPr>
                <w:rFonts w:eastAsia="Nunito" w:cs="Nunito"/>
                <w:sz w:val="17"/>
              </w:rPr>
              <w:t xml:space="preserve">), before the seed. The migrate step first takes the advisory lock </w:t>
            </w:r>
            <w:r>
              <w:rPr>
                <w:rFonts w:eastAsia="Liberation Mono" w:cs="Liberation Mono" w:ascii="Liberation Mono" w:hAnsi="Liberation Mono"/>
                <w:color w:val="0B3D7A"/>
                <w:sz w:val="15"/>
              </w:rPr>
              <w:t>hashtext('brokerverse.migrate'), hashtext('schema_migrations')</w:t>
            </w:r>
            <w:r>
              <w:rPr>
                <w:rFonts w:eastAsia="Nunito" w:cs="Nunito"/>
                <w:sz w:val="17"/>
              </w:rPr>
              <w:t xml:space="preserve">; instances that start together wait (up to </w:t>
            </w:r>
            <w:r>
              <w:rPr>
                <w:rFonts w:eastAsia="Liberation Mono" w:cs="Liberation Mono" w:ascii="Liberation Mono" w:hAnsi="Liberation Mono"/>
                <w:color w:val="0B3D7A"/>
                <w:sz w:val="15"/>
              </w:rPr>
              <w:t>MIGRATION_LOCK_TIMEOUT_MS</w:t>
            </w:r>
            <w:r>
              <w:rPr>
                <w:rFonts w:eastAsia="Nunito" w:cs="Nunito"/>
                <w:sz w:val="17"/>
              </w:rPr>
              <w:t xml:space="preserve">, 10 minutes) and then find nothing to do. Each pending file runs in its own transaction with its </w:t>
            </w:r>
            <w:r>
              <w:rPr>
                <w:rFonts w:eastAsia="Liberation Mono" w:cs="Liberation Mono" w:ascii="Liberation Mono" w:hAnsi="Liberation Mono"/>
                <w:color w:val="0B3D7A"/>
                <w:sz w:val="15"/>
              </w:rPr>
              <w:t>schema_migrations</w:t>
            </w:r>
            <w:r>
              <w:rPr>
                <w:rFonts w:eastAsia="Nunito" w:cs="Nunito"/>
                <w:sz w:val="17"/>
              </w:rPr>
              <w:t xml:space="preserve"> row; on error the transaction is rolled back and the API does not start. </w:t>
            </w:r>
            <w:r>
              <w:rPr>
                <w:rFonts w:eastAsia="Liberation Mono" w:cs="Liberation Mono" w:ascii="Liberation Mono" w:hAnsi="Liberation Mono"/>
                <w:color w:val="0B3D7A"/>
                <w:sz w:val="15"/>
              </w:rPr>
              <w:t>npm run migrate</w:t>
            </w:r>
            <w:r>
              <w:rPr>
                <w:rFonts w:eastAsia="Nunito" w:cs="Nunito"/>
                <w:sz w:val="17"/>
              </w:rPr>
              <w:t xml:space="preserve"> runs the same code; </w:t>
            </w:r>
            <w:r>
              <w:rPr>
                <w:rFonts w:eastAsia="Liberation Mono" w:cs="Liberation Mono" w:ascii="Liberation Mono" w:hAnsi="Liberation Mono"/>
                <w:color w:val="0B3D7A"/>
                <w:sz w:val="15"/>
              </w:rPr>
              <w:t>npm run db:reset</w:t>
            </w:r>
            <w:r>
              <w:rPr>
                <w:rFonts w:eastAsia="Nunito" w:cs="Nunito"/>
                <w:sz w:val="17"/>
              </w:rPr>
              <w:t xml:space="preserve"> drops and recreates the schema (development only).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Idempotency</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Files use </w:t>
            </w:r>
            <w:r>
              <w:rPr>
                <w:rFonts w:eastAsia="Liberation Mono" w:cs="Liberation Mono" w:ascii="Liberation Mono" w:hAnsi="Liberation Mono"/>
                <w:color w:val="0B3D7A"/>
                <w:sz w:val="15"/>
              </w:rPr>
              <w:t>CREATE TABLE IF NOT EXISTS</w:t>
            </w:r>
            <w:r>
              <w:rPr>
                <w:rFonts w:eastAsia="Nunito" w:cs="Nunito"/>
                <w:sz w:val="17"/>
              </w:rPr>
              <w:t xml:space="preserve">, </w:t>
            </w:r>
            <w:r>
              <w:rPr>
                <w:rFonts w:eastAsia="Liberation Mono" w:cs="Liberation Mono" w:ascii="Liberation Mono" w:hAnsi="Liberation Mono"/>
                <w:color w:val="0B3D7A"/>
                <w:sz w:val="15"/>
              </w:rPr>
              <w:t>ADD COLUMN IF NOT EXISTS</w:t>
            </w:r>
            <w:r>
              <w:rPr>
                <w:rFonts w:eastAsia="Nunito" w:cs="Nunito"/>
                <w:sz w:val="17"/>
              </w:rPr>
              <w:t xml:space="preserve">, </w:t>
            </w:r>
            <w:r>
              <w:rPr>
                <w:rFonts w:eastAsia="Liberation Mono" w:cs="Liberation Mono" w:ascii="Liberation Mono" w:hAnsi="Liberation Mono"/>
                <w:color w:val="0B3D7A"/>
                <w:sz w:val="15"/>
              </w:rPr>
              <w:t>CREATE INDEX IF NOT EXISTS</w:t>
            </w:r>
            <w:r>
              <w:rPr>
                <w:rFonts w:eastAsia="Nunito" w:cs="Nunito"/>
                <w:sz w:val="17"/>
              </w:rPr>
              <w:t xml:space="preserve">, </w:t>
            </w:r>
            <w:r>
              <w:rPr>
                <w:rFonts w:eastAsia="Liberation Mono" w:cs="Liberation Mono" w:ascii="Liberation Mono" w:hAnsi="Liberation Mono"/>
                <w:color w:val="0B3D7A"/>
                <w:sz w:val="15"/>
              </w:rPr>
              <w:t>ON CONFLICT DO NOTHING</w:t>
            </w:r>
            <w:r>
              <w:rPr>
                <w:rFonts w:eastAsia="Nunito" w:cs="Nunito"/>
                <w:sz w:val="17"/>
              </w:rPr>
              <w:t xml:space="preserve"> and guarded updates, so they are safe on a database that already holds data. An applied file is never edited; fixes go forward in a new file.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Readiness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GET /api/health</w:t>
            </w:r>
            <w:r>
              <w:rPr>
                <w:rFonts w:eastAsia="Nunito" w:cs="Nunito"/>
                <w:sz w:val="17"/>
              </w:rPr>
              <w:t xml:space="preserve"> answers 503 until no migration is pending, so a load balancer does not route to an instance with an older schema.</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Direction</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Forward only. Migrations only add; rolling back data means restoring a snapshot (document 09).</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Keep destructive changes (column drops, type changes) in a separate release after the code that no longer uses them is live. Start one instance first when a release contains migrations (</w:t>
            </w:r>
            <w:r>
              <w:rPr>
                <w:rFonts w:eastAsia="Liberation Mono" w:cs="Liberation Mono" w:ascii="Liberation Mono" w:hAnsi="Liberation Mono"/>
                <w:color w:val="0B3D7A"/>
                <w:sz w:val="16"/>
              </w:rPr>
              <w:t>deploy/REFERENCE.md</w:t>
            </w:r>
            <w:r>
              <w:rPr>
                <w:rFonts w:eastAsia="Nunito" w:cs="Nunito"/>
                <w:sz w:val="18"/>
              </w:rPr>
              <w:t>, Upgrading).</w:t>
            </w:r>
          </w:p>
        </w:tc>
      </w:tr>
    </w:tbl>
    <w:p>
      <w:pPr>
        <w:pStyle w:val="Normal"/>
        <w:spacing w:before="0" w:after="0"/>
        <w:rPr/>
      </w:pPr>
      <w:r>
        <w:rPr/>
      </w:r>
      <w:r>
        <w:br w:type="page"/>
      </w:r>
    </w:p>
    <w:p>
      <w:pPr>
        <w:pStyle w:val="Heading1"/>
        <w:pBdr>
          <w:bottom w:val="single" w:sz="12" w:space="6" w:color="00ACF1"/>
        </w:pBdr>
        <w:rPr/>
      </w:pPr>
      <w:bookmarkStart w:id="33" w:name="__RefHeading___Toc7195_1872304043"/>
      <w:bookmarkEnd w:id="33"/>
      <w:r>
        <w:rPr>
          <w:rFonts w:eastAsia="Nunito" w:cs="Nunito" w:ascii="Nunito" w:hAnsi="Nunito"/>
        </w:rPr>
        <w:t>6  Seed data</w:t>
      </w:r>
    </w:p>
    <w:p>
      <w:pPr>
        <w:pStyle w:val="Normal"/>
        <w:rPr/>
      </w:pPr>
      <w:r>
        <w:rPr>
          <w:rFonts w:eastAsia="Liberation Mono" w:cs="Liberation Mono" w:ascii="Liberation Mono" w:hAnsi="Liberation Mono"/>
          <w:color w:val="0B3D7A"/>
          <w:sz w:val="18"/>
        </w:rPr>
        <w:t>backend/src/db/seed.js</w:t>
      </w:r>
      <w:r>
        <w:rPr>
          <w:rFonts w:eastAsia="Nunito" w:cs="Nunito"/>
        </w:rPr>
        <w:t xml:space="preserve"> runs on every start after the migrations and with </w:t>
      </w:r>
      <w:r>
        <w:rPr>
          <w:rFonts w:eastAsia="Liberation Mono" w:cs="Liberation Mono" w:ascii="Liberation Mono" w:hAnsi="Liberation Mono"/>
          <w:color w:val="0B3D7A"/>
          <w:sz w:val="18"/>
        </w:rPr>
        <w:t>npm run seed</w:t>
      </w:r>
      <w:r>
        <w:rPr>
          <w:rFonts w:eastAsia="Nunito" w:cs="Nunito"/>
        </w:rPr>
        <w:t>. Every step is idempotent: rows are inserted by natural key or fixed id, so administrator edits are kept.</w:t>
      </w:r>
    </w:p>
    <w:p>
      <w:pPr>
        <w:pStyle w:val="Step"/>
        <w:rPr/>
      </w:pPr>
      <w:r>
        <w:rPr>
          <w:rFonts w:eastAsia="Nunito" w:cs="Nunito"/>
          <w:b/>
          <w:color w:val="00ACF1"/>
        </w:rPr>
        <w:t>1.</w:t>
        <w:tab/>
      </w:r>
      <w:r>
        <w:rPr>
          <w:rFonts w:eastAsia="Nunito" w:cs="Nunito"/>
        </w:rPr>
        <w:t xml:space="preserve">In code: the roles, permissions and grants, and the administrator </w:t>
      </w:r>
      <w:r>
        <w:rPr>
          <w:rFonts w:eastAsia="Liberation Mono" w:cs="Liberation Mono" w:ascii="Liberation Mono" w:hAnsi="Liberation Mono"/>
          <w:color w:val="0B3D7A"/>
          <w:sz w:val="18"/>
        </w:rPr>
        <w:t>BrokerVerse</w:t>
      </w:r>
      <w:r>
        <w:rPr>
          <w:rFonts w:eastAsia="Nunito" w:cs="Nunito"/>
        </w:rPr>
        <w:t xml:space="preserve"> (password from </w:t>
      </w:r>
      <w:r>
        <w:rPr>
          <w:rFonts w:eastAsia="Liberation Mono" w:cs="Liberation Mono" w:ascii="Liberation Mono" w:hAnsi="Liberation Mono"/>
          <w:color w:val="0B3D7A"/>
          <w:sz w:val="18"/>
        </w:rPr>
        <w:t>ADMIN_PASSWORD</w:t>
      </w:r>
      <w:r>
        <w:rPr>
          <w:rFonts w:eastAsia="Nunito" w:cs="Nunito"/>
        </w:rPr>
        <w:t>; without it a random password is generated, logged once and must be changed at the first sign-in).</w:t>
      </w:r>
    </w:p>
    <w:p>
      <w:pPr>
        <w:pStyle w:val="Step"/>
        <w:rPr/>
      </w:pPr>
      <w:r>
        <w:rPr>
          <w:rFonts w:eastAsia="Nunito" w:cs="Nunito"/>
          <w:b/>
          <w:color w:val="00ACF1"/>
        </w:rPr>
        <w:t>2.</w:t>
        <w:tab/>
      </w:r>
      <w:r>
        <w:rPr>
          <w:rFonts w:eastAsia="Liberation Mono" w:cs="Liberation Mono" w:ascii="Liberation Mono" w:hAnsi="Liberation Mono"/>
          <w:color w:val="0B3D7A"/>
          <w:sz w:val="18"/>
        </w:rPr>
        <w:t>seeds/settings.json</w:t>
      </w:r>
      <w:r>
        <w:rPr>
          <w:rFonts w:eastAsia="Nunito" w:cs="Nunito"/>
        </w:rPr>
        <w:t xml:space="preserve"> (configuration keys, inserted only if missing) and </w:t>
      </w:r>
      <w:r>
        <w:rPr>
          <w:rFonts w:eastAsia="Liberation Mono" w:cs="Liberation Mono" w:ascii="Liberation Mono" w:hAnsi="Liberation Mono"/>
          <w:color w:val="0B3D7A"/>
          <w:sz w:val="18"/>
        </w:rPr>
        <w:t>seeds/jobs.json</w:t>
      </w:r>
      <w:r>
        <w:rPr>
          <w:rFonts w:eastAsia="Nunito" w:cs="Nunito"/>
        </w:rPr>
        <w:t xml:space="preserve"> (the scheduled jobs; the period-end and bank-matching jobs come from migrations).</w:t>
      </w:r>
    </w:p>
    <w:p>
      <w:pPr>
        <w:pStyle w:val="Step"/>
        <w:rPr/>
      </w:pPr>
      <w:r>
        <w:rPr>
          <w:rFonts w:eastAsia="Nunito" w:cs="Nunito"/>
          <w:b/>
          <w:color w:val="00ACF1"/>
        </w:rPr>
        <w:t>3.</w:t>
        <w:tab/>
      </w:r>
      <w:r>
        <w:rPr>
          <w:rFonts w:eastAsia="Nunito" w:cs="Nunito"/>
        </w:rPr>
        <w:t>Encryption of any two-factor secret still stored in clear (upgrade path).</w:t>
      </w:r>
    </w:p>
    <w:p>
      <w:pPr>
        <w:pStyle w:val="Step"/>
        <w:rPr/>
      </w:pPr>
      <w:r>
        <w:rPr>
          <w:rFonts w:eastAsia="Nunito" w:cs="Nunito"/>
          <w:b/>
          <w:color w:val="00ACF1"/>
        </w:rPr>
        <w:t>4.</w:t>
        <w:tab/>
      </w:r>
      <w:r>
        <w:rPr>
          <w:rFonts w:eastAsia="Nunito" w:cs="Nunito"/>
        </w:rPr>
        <w:t xml:space="preserve">The SQL files </w:t>
      </w:r>
      <w:r>
        <w:rPr>
          <w:rFonts w:eastAsia="Liberation Mono" w:cs="Liberation Mono" w:ascii="Liberation Mono" w:hAnsi="Liberation Mono"/>
          <w:color w:val="0B3D7A"/>
          <w:sz w:val="18"/>
        </w:rPr>
        <w:t>seeds/*.sql</w:t>
      </w:r>
      <w:r>
        <w:rPr>
          <w:rFonts w:eastAsia="Nunito" w:cs="Nunito"/>
        </w:rPr>
        <w:t xml:space="preserve"> (</w:t>
      </w:r>
      <w:r>
        <w:rPr>
          <w:rFonts w:eastAsia="Nunito" w:cs="Nunito"/>
          <w:b/>
        </w:rPr>
        <w:t>reference data</w:t>
      </w:r>
      <w:r>
        <w:rPr>
          <w:rFonts w:eastAsia="Nunito" w:cs="Nunito"/>
        </w:rPr>
        <w:t xml:space="preserve">, always) and </w:t>
      </w:r>
      <w:r>
        <w:rPr>
          <w:rFonts w:eastAsia="Liberation Mono" w:cs="Liberation Mono" w:ascii="Liberation Mono" w:hAnsi="Liberation Mono"/>
          <w:color w:val="0B3D7A"/>
          <w:sz w:val="18"/>
        </w:rPr>
        <w:t>seeds/sample/*.sql</w:t>
      </w:r>
      <w:r>
        <w:rPr>
          <w:rFonts w:eastAsia="Nunito" w:cs="Nunito"/>
        </w:rPr>
        <w:t xml:space="preserve"> (</w:t>
      </w:r>
      <w:r>
        <w:rPr>
          <w:rFonts w:eastAsia="Nunito" w:cs="Nunito"/>
          <w:b/>
        </w:rPr>
        <w:t>sample data</w:t>
      </w:r>
      <w:r>
        <w:rPr>
          <w:rFonts w:eastAsia="Nunito" w:cs="Nunito"/>
        </w:rPr>
        <w:t xml:space="preserve">, only when </w:t>
      </w:r>
      <w:r>
        <w:rPr>
          <w:rFonts w:eastAsia="Liberation Mono" w:cs="Liberation Mono" w:ascii="Liberation Mono" w:hAnsi="Liberation Mono"/>
          <w:color w:val="0B3D7A"/>
          <w:sz w:val="18"/>
        </w:rPr>
        <w:t>SEED_SAMPLE_DATA</w:t>
      </w:r>
      <w:r>
        <w:rPr>
          <w:rFonts w:eastAsia="Nunito" w:cs="Nunito"/>
        </w:rPr>
        <w:t xml:space="preserve"> is on), interleaved by file name so a sample file runs after the reference file it depends on.</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Class</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(659 keys in 64 groups); 8 roles and 98 permissions; Philippine geography from the PSGC of the 2nd quarter 2026 (regions, provinces, cities and municipalities with ZIP codes; barangays as an optional load), banks, ID types, salutations, holidays and the IC insurer list (</w:t>
            </w:r>
            <w:r>
              <w:rPr>
                <w:rFonts w:eastAsia="Liberation Mono" w:cs="Liberation Mono" w:ascii="Liberation Mono" w:hAnsi="Liberation Mono"/>
                <w:color w:val="0B3D7A"/>
                <w:sz w:val="15"/>
              </w:rPr>
              <w:t>seeds/12_ph_geography.sql</w:t>
            </w:r>
            <w:r>
              <w:rPr>
                <w:rFonts w:eastAsia="Nunito" w:cs="Nunito"/>
                <w:sz w:val="17"/>
              </w:rPr>
              <w:t xml:space="preserve">, </w:t>
            </w:r>
            <w:r>
              <w:rPr>
                <w:rFonts w:eastAsia="Liberation Mono" w:cs="Liberation Mono" w:ascii="Liberation Mono" w:hAnsi="Liberation Mono"/>
                <w:color w:val="0B3D7A"/>
                <w:sz w:val="15"/>
              </w:rPr>
              <w:t>69_ph_practice_masters.sql</w:t>
            </w:r>
            <w:r>
              <w:rPr>
                <w:rFonts w:eastAsia="Nunito" w:cs="Nunito"/>
                <w:sz w:val="17"/>
              </w:rPr>
              <w:t>); currencies, banks, insurers, products and policy types; vehicle makes, models and variants; covers; head office branch; the Company master with the letterhead company; master screen registry and reference master records; chart of accounts (129 accounts in this database) with main and sub account masters; posting rules for 43 events and Account Determination; 85 document number series; tax codes (VAT, expanded withholding with ATC, DST, LGT); the month-end checklist; bank statement formats (three Philippine bank layouts and a generic one); product templates with the motor and CTPL tariff; report catalogue (40 reports); direct-bill and security configuration; BIR forms, operations and accounting rules, AML risk factors and rules, integration connectors in test mode (</w:t>
            </w:r>
            <w:r>
              <w:rPr>
                <w:rFonts w:eastAsia="Liberation Mono" w:cs="Liberation Mono" w:ascii="Liberation Mono" w:hAnsi="Liberation Mono"/>
                <w:color w:val="0B3D7A"/>
                <w:sz w:val="15"/>
              </w:rPr>
              <w:t>seeds/72_</w:t>
            </w:r>
            <w:r>
              <w:rPr>
                <w:rFonts w:eastAsia="Nunito" w:cs="Nunito"/>
                <w:sz w:val="17"/>
              </w:rPr>
              <w:t xml:space="preserve">, </w:t>
            </w:r>
            <w:r>
              <w:rPr>
                <w:rFonts w:eastAsia="Liberation Mono" w:cs="Liberation Mono" w:ascii="Liberation Mono" w:hAnsi="Liberation Mono"/>
                <w:color w:val="0B3D7A"/>
                <w:sz w:val="15"/>
              </w:rPr>
              <w:t>73_</w:t>
            </w:r>
            <w:r>
              <w:rPr>
                <w:rFonts w:eastAsia="Nunito" w:cs="Nunito"/>
                <w:sz w:val="17"/>
              </w:rPr>
              <w:t xml:space="preserve">, </w:t>
            </w:r>
            <w:r>
              <w:rPr>
                <w:rFonts w:eastAsia="Liberation Mono" w:cs="Liberation Mono" w:ascii="Liberation Mono" w:hAnsi="Liberation Mono"/>
                <w:color w:val="0B3D7A"/>
                <w:sz w:val="15"/>
              </w:rPr>
              <w:t>75_</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Sample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Fictional leads, clients, quotations, broker slips and placements, policies, endorsements, claims, renewals, bills, receipts, collections, disbursements, petty cash, commissions and referrers, remittances, reinsurance, incentives, journal vouchers, bank statements, sample branches, signatories and master records, and six sample users (five Sales &amp; Marketing users and one Accounting approver).</w:t>
            </w:r>
          </w:p>
        </w:tc>
      </w:tr>
    </w:tbl>
    <w:p>
      <w:pPr>
        <w:pStyle w:val="Normal"/>
        <w:spacing w:before="0" w:after="40"/>
        <w:rPr/>
      </w:pPr>
      <w:r>
        <w:rPr/>
      </w:r>
    </w:p>
    <w:p>
      <w:pPr>
        <w:pStyle w:val="Normal"/>
        <w:rPr/>
      </w:pPr>
      <w:r>
        <w:rPr>
          <w:rFonts w:eastAsia="Liberation Mono" w:cs="Liberation Mono" w:ascii="Liberation Mono" w:hAnsi="Liberation Mono"/>
          <w:color w:val="0B3D7A"/>
          <w:sz w:val="18"/>
        </w:rPr>
        <w:t>SEED_SAMPLE_DATA</w:t>
      </w:r>
      <w:r>
        <w:rPr>
          <w:rFonts w:eastAsia="Nunito" w:cs="Nunito"/>
        </w:rPr>
        <w:t xml:space="preserve"> accepts true or false (1 or 0, yes or no, on or off); unset, it is on in development and test and off with </w:t>
      </w:r>
      <w:r>
        <w:rPr>
          <w:rFonts w:eastAsia="Liberation Mono" w:cs="Liberation Mono" w:ascii="Liberation Mono" w:hAnsi="Liberation Mono"/>
          <w:color w:val="0B3D7A"/>
          <w:sz w:val="18"/>
        </w:rPr>
        <w:t>NODE_ENV=production</w:t>
      </w:r>
      <w:r>
        <w:rPr>
          <w:rFonts w:eastAsia="Nunito" w:cs="Nunito"/>
        </w:rPr>
        <w:t xml:space="preserve">. A database seeded with sample data is cleaned with </w:t>
      </w:r>
      <w:r>
        <w:rPr>
          <w:rFonts w:eastAsia="Liberation Mono" w:cs="Liberation Mono" w:ascii="Liberation Mono" w:hAnsi="Liberation Mono"/>
          <w:color w:val="0B3D7A"/>
          <w:sz w:val="18"/>
        </w:rPr>
        <w:t>npm run purge:sample</w:t>
      </w:r>
      <w:r>
        <w:rPr>
          <w:rFonts w:eastAsia="Nunito" w:cs="Nunito"/>
        </w:rPr>
        <w:t xml:space="preserve"> (document 10).</w:t>
      </w:r>
      <w:r>
        <w:br w:type="page"/>
      </w:r>
    </w:p>
    <w:p>
      <w:pPr>
        <w:pStyle w:val="Heading1"/>
        <w:pBdr>
          <w:bottom w:val="single" w:sz="12" w:space="6" w:color="00ACF1"/>
        </w:pBdr>
        <w:rPr/>
      </w:pPr>
      <w:bookmarkStart w:id="34" w:name="__RefHeading___Toc7197_1872304043"/>
      <w:bookmarkEnd w:id="34"/>
      <w:r>
        <w:rPr>
          <w:rFonts w:eastAsia="Nunito" w:cs="Nunito" w:ascii="Nunito" w:hAnsi="Nunito"/>
        </w:rPr>
        <w:t>7  Time zone, date and amount handling</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Topic</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Design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Storage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Instants in </w:t>
            </w:r>
            <w:r>
              <w:rPr>
                <w:rFonts w:eastAsia="Liberation Mono" w:cs="Liberation Mono" w:ascii="Liberation Mono" w:hAnsi="Liberation Mono"/>
                <w:color w:val="0B3D7A"/>
                <w:sz w:val="15"/>
              </w:rPr>
              <w:t>timestamptz</w:t>
            </w:r>
            <w:r>
              <w:rPr>
                <w:rFonts w:eastAsia="Nunito" w:cs="Nunito"/>
                <w:sz w:val="17"/>
              </w:rPr>
              <w:t xml:space="preserve"> (stored in UTC); calendar dates in </w:t>
            </w:r>
            <w:r>
              <w:rPr>
                <w:rFonts w:eastAsia="Liberation Mono" w:cs="Liberation Mono" w:ascii="Liberation Mono" w:hAnsi="Liberation Mono"/>
                <w:color w:val="0B3D7A"/>
                <w:sz w:val="15"/>
              </w:rPr>
              <w:t>date</w:t>
            </w:r>
            <w:r>
              <w:rPr>
                <w:rFonts w:eastAsia="Nunito" w:cs="Nunito"/>
                <w:sz w:val="17"/>
              </w:rPr>
              <w:t xml:space="preserve">. The database time zone is </w:t>
            </w:r>
            <w:r>
              <w:rPr>
                <w:rFonts w:eastAsia="Liberation Mono" w:cs="Liberation Mono" w:ascii="Liberation Mono" w:hAnsi="Liberation Mono"/>
                <w:color w:val="0B3D7A"/>
                <w:sz w:val="15"/>
              </w:rPr>
              <w:t>Asia/Manila</w:t>
            </w:r>
            <w:r>
              <w:rPr>
                <w:rFonts w:eastAsia="Nunito" w:cs="Nunito"/>
                <w:sz w:val="17"/>
              </w:rPr>
              <w:t>; the containers run in UTC.</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date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lib/dates.js</w:t>
            </w:r>
            <w:r>
              <w:rPr>
                <w:rFonts w:eastAsia="Nunito" w:cs="Nunito"/>
                <w:sz w:val="17"/>
              </w:rPr>
              <w:t xml:space="preserve">: "today" is the calendar date in </w:t>
            </w:r>
            <w:r>
              <w:rPr>
                <w:rFonts w:eastAsia="Liberation Mono" w:cs="Liberation Mono" w:ascii="Liberation Mono" w:hAnsi="Liberation Mono"/>
                <w:color w:val="0B3D7A"/>
                <w:sz w:val="15"/>
              </w:rPr>
              <w:t>general.timezone</w:t>
            </w:r>
            <w:r>
              <w:rPr>
                <w:rFonts w:eastAsia="Nunito" w:cs="Nunito"/>
                <w:sz w:val="17"/>
              </w:rPr>
              <w:t xml:space="preserve"> (seeded </w:t>
            </w:r>
            <w:r>
              <w:rPr>
                <w:rFonts w:eastAsia="Liberation Mono" w:cs="Liberation Mono" w:ascii="Liberation Mono" w:hAnsi="Liberation Mono"/>
                <w:color w:val="0B3D7A"/>
                <w:sz w:val="15"/>
              </w:rPr>
              <w:t>Asia/Manila</w:t>
            </w:r>
            <w:r>
              <w:rPr>
                <w:rFonts w:eastAsia="Nunito" w:cs="Nunito"/>
                <w:sz w:val="17"/>
              </w:rPr>
              <w:t xml:space="preserve">), not the server's UTC date. </w:t>
            </w:r>
            <w:r>
              <w:rPr>
                <w:rFonts w:eastAsia="Liberation Mono" w:cs="Liberation Mono" w:ascii="Liberation Mono" w:hAnsi="Liberation Mono"/>
                <w:color w:val="0B3D7A"/>
                <w:sz w:val="15"/>
              </w:rPr>
              <w:t>businessDate()</w:t>
            </w:r>
            <w:r>
              <w:rPr>
                <w:rFonts w:eastAsia="Nunito" w:cs="Nunito"/>
                <w:sz w:val="17"/>
              </w:rPr>
              <w:t xml:space="preserve">, </w:t>
            </w:r>
            <w:r>
              <w:rPr>
                <w:rFonts w:eastAsia="Liberation Mono" w:cs="Liberation Mono" w:ascii="Liberation Mono" w:hAnsi="Liberation Mono"/>
                <w:color w:val="0B3D7A"/>
                <w:sz w:val="15"/>
              </w:rPr>
              <w:t>calendarPeriod()</w:t>
            </w:r>
            <w:r>
              <w:rPr>
                <w:rFonts w:eastAsia="Nunito" w:cs="Nunito"/>
                <w:sz w:val="17"/>
              </w:rPr>
              <w:t>, the report engine, document numbering and the column defaults (</w:t>
            </w:r>
            <w:r>
              <w:rPr>
                <w:rFonts w:eastAsia="Liberation Mono" w:cs="Liberation Mono" w:ascii="Liberation Mono" w:hAnsi="Liberation Mono"/>
                <w:color w:val="0B3D7A"/>
                <w:sz w:val="15"/>
              </w:rPr>
              <w:t>numbering_business_date()</w:t>
            </w:r>
            <w:r>
              <w:rPr>
                <w:rFonts w:eastAsia="Nunito" w:cs="Nunito"/>
                <w:sz w:val="17"/>
              </w:rPr>
              <w:t>, migration 0145) use the configured zone, so between 00:00 and 08:00 Manila time the system never uses yesterday's date.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 times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The scheduler reads cron expressions in </w:t>
            </w:r>
            <w:r>
              <w:rPr>
                <w:rFonts w:eastAsia="Liberation Mono" w:cs="Liberation Mono" w:ascii="Liberation Mono" w:hAnsi="Liberation Mono"/>
                <w:color w:val="0B3D7A"/>
                <w:sz w:val="15"/>
              </w:rPr>
              <w:t>general.timezone</w:t>
            </w:r>
            <w:r>
              <w:rPr>
                <w:rFonts w:eastAsia="Nunito" w:cs="Nunito"/>
                <w:sz w:val="17"/>
              </w:rPr>
              <w:t xml:space="preserve">: </w:t>
            </w:r>
            <w:r>
              <w:rPr>
                <w:rFonts w:eastAsia="Liberation Mono" w:cs="Liberation Mono" w:ascii="Liberation Mono" w:hAnsi="Liberation Mono"/>
                <w:color w:val="0B3D7A"/>
                <w:sz w:val="15"/>
              </w:rPr>
              <w:t>0 6 * * *</w:t>
            </w:r>
            <w:r>
              <w:rPr>
                <w:rFonts w:eastAsia="Nunito" w:cs="Nunito"/>
                <w:sz w:val="17"/>
              </w:rPr>
              <w:t xml:space="preserve"> runs at 06:00 Manila time.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Display</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front end formats dates with </w:t>
            </w:r>
            <w:r>
              <w:rPr>
                <w:rFonts w:eastAsia="Liberation Mono" w:cs="Liberation Mono" w:ascii="Liberation Mono" w:hAnsi="Liberation Mono"/>
                <w:color w:val="0B3D7A"/>
                <w:sz w:val="15"/>
              </w:rPr>
              <w:t>general.date_format</w:t>
            </w:r>
            <w:r>
              <w:rPr>
                <w:rFonts w:eastAsia="Nunito" w:cs="Nunito"/>
                <w:sz w:val="17"/>
              </w:rPr>
              <w:t xml:space="preserve"> (</w:t>
            </w:r>
            <w:r>
              <w:rPr>
                <w:rFonts w:eastAsia="Liberation Mono" w:cs="Liberation Mono" w:ascii="Liberation Mono" w:hAnsi="Liberation Mono"/>
                <w:color w:val="0B3D7A"/>
                <w:sz w:val="15"/>
              </w:rPr>
              <w:t>DD/MM/YYYY</w:t>
            </w:r>
            <w:r>
              <w:rPr>
                <w:rFonts w:eastAsia="Nunito" w:cs="Nunito"/>
                <w:sz w:val="17"/>
              </w:rPr>
              <w:t>) and amounts with the configured currency and locale (</w:t>
            </w:r>
            <w:r>
              <w:rPr>
                <w:rFonts w:eastAsia="Liberation Mono" w:cs="Liberation Mono" w:ascii="Liberation Mono" w:hAnsi="Liberation Mono"/>
                <w:color w:val="0B3D7A"/>
                <w:sz w:val="15"/>
              </w:rPr>
              <w:t>en-PH</w:t>
            </w:r>
            <w:r>
              <w:rPr>
                <w:rFonts w:eastAsia="Nunito" w:cs="Nunito"/>
                <w:sz w:val="17"/>
              </w:rPr>
              <w:t xml:space="preserve"> grouping); the server uses </w:t>
            </w:r>
            <w:r>
              <w:rPr>
                <w:rFonts w:eastAsia="Liberation Mono" w:cs="Liberation Mono" w:ascii="Liberation Mono" w:hAnsi="Liberation Mono"/>
                <w:color w:val="0B3D7A"/>
                <w:sz w:val="15"/>
              </w:rPr>
              <w:t>formatMoney()</w:t>
            </w:r>
            <w:r>
              <w:rPr>
                <w:rFonts w:eastAsia="Nunito" w:cs="Nunito"/>
                <w:sz w:val="17"/>
              </w:rPr>
              <w:t xml:space="preserve"> and the PDF engine the same settings.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Money</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numeric</w:t>
            </w:r>
            <w:r>
              <w:rPr>
                <w:rFonts w:eastAsia="Nunito" w:cs="Nunito"/>
                <w:sz w:val="17"/>
              </w:rPr>
              <w:t xml:space="preserve"> in the database, rounding by </w:t>
            </w:r>
            <w:r>
              <w:rPr>
                <w:rFonts w:eastAsia="Liberation Mono" w:cs="Liberation Mono" w:ascii="Liberation Mono" w:hAnsi="Liberation Mono"/>
                <w:color w:val="0B3D7A"/>
                <w:sz w:val="15"/>
              </w:rPr>
              <w:t>round2()</w:t>
            </w:r>
            <w:r>
              <w:rPr>
                <w:rFonts w:eastAsia="Nunito" w:cs="Nunito"/>
                <w:sz w:val="17"/>
              </w:rPr>
              <w:t>; taxes (VAT 12%, DST 12.5%, LGT 0.75%, expanded withholding by ATC) and commission rates come from settings, the tax codes and the rate matrix.</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Amounts are converted from </w:t>
            </w:r>
            <w:r>
              <w:rPr>
                <w:rFonts w:eastAsia="Liberation Mono" w:cs="Liberation Mono" w:ascii="Liberation Mono" w:hAnsi="Liberation Mono"/>
                <w:color w:val="0B3D7A"/>
                <w:sz w:val="16"/>
              </w:rPr>
              <w:t>numeric</w:t>
            </w:r>
            <w:r>
              <w:rPr>
                <w:rFonts w:eastAsia="Nunito" w:cs="Nunito"/>
                <w:sz w:val="18"/>
              </w:rPr>
              <w:t xml:space="preserve"> to JavaScript double-precision numbers. This is exact for amounts of up to about 90 trillion with two decimals, far above broking volumes, provided every arithmetic result is rounded with </w:t>
            </w:r>
            <w:r>
              <w:rPr>
                <w:rFonts w:eastAsia="Liberation Mono" w:cs="Liberation Mono" w:ascii="Liberation Mono" w:hAnsi="Liberation Mono"/>
                <w:color w:val="0B3D7A"/>
                <w:sz w:val="16"/>
              </w:rPr>
              <w:t>round2()</w:t>
            </w:r>
            <w:r>
              <w:rPr>
                <w:rFonts w:eastAsia="Nunito" w:cs="Nunito"/>
                <w:sz w:val="18"/>
              </w:rPr>
              <w:t>, which the ledger and document code does.</w:t>
            </w:r>
          </w:p>
        </w:tc>
      </w:tr>
    </w:tbl>
    <w:p>
      <w:pPr>
        <w:pStyle w:val="Normal"/>
        <w:spacing w:before="0" w:after="0"/>
        <w:rPr/>
      </w:pPr>
      <w:r>
        <w:rPr/>
      </w:r>
      <w:r>
        <w:br w:type="page"/>
      </w:r>
    </w:p>
    <w:p>
      <w:pPr>
        <w:pStyle w:val="Heading1"/>
        <w:pBdr>
          <w:bottom w:val="single" w:sz="12" w:space="6" w:color="00ACF1"/>
        </w:pBdr>
        <w:rPr/>
      </w:pPr>
      <w:bookmarkStart w:id="35" w:name="__RefHeading___Toc7199_1872304043"/>
      <w:bookmarkEnd w:id="35"/>
      <w:r>
        <w:rPr>
          <w:rFonts w:eastAsia="Nunito" w:cs="Nunito" w:ascii="Nunito" w:hAnsi="Nunito"/>
        </w:rPr>
        <w:t>8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36" w:name="__RefHeading___Toc7201_1872304043"/>
      <w:bookmarkEnd w:id="36"/>
      <w:r>
        <w:rPr>
          <w:rFonts w:eastAsia="Nunito" w:cs="Nunito" w:ascii="Nunito" w:hAnsi="Nunito"/>
        </w:rPr>
        <w:t>9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determination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accounting.account.&lt;role&gt; that give the GL account of each account role (cash in bank, premium receivable, due to insurer, commission income ...) used by the posting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ATC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Alphanumeric tax code of the BIR for a type of withholding, printed on BIR Form 2307.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Bordereau</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Periodic list of ceded premiums or claims sent to a reinsurer.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Broker slip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for quotation (BS-) that the broker sends to several insurers for one client risk; the answers are recorded as insurer offers.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Cession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share of a policy's risk and premium passed to a reinsurer under a treaty or facultatively.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Company master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 record of the broker company; the primary company is the letterhead printed on every document and report.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CTPL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Compulsory Third Party Liability motor insurance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Debit note (DN)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 debit note raised by the broker to an insurer for direct-billed policies.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Direct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Billing mode in which the insurer collects the premium and the broker bills the insurer for its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DST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Documentary Stamp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Change to an issued policy (details, cover, premium or cancellation).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Fiscal year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 year (FY2026) with twelve periods and an adjustment period 13 used by the year-end close.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 column that references the primary key of another table.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Generalised inverted index (PostgreSQL), used for JSONB searches.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Insurance Commission (Philippines): regulator of insurers and brokers.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binary JSON column type, used for flexible document parts of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JV</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Journal voucher: balanced set of debit and credit ledger lines.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LGT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Local Government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Official receipt issued for premium received.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 column(s) that uniquely identify a row.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 slip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Firm order (PS-) sent to the lead insurer and co-insurers; each participant binds before the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 rule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Versioned definition of the journal lines for one business event (policy issued, receipt applied ...); every system journal is built from it.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PV</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voucher (disbursement) to an insurer, referrer, client or supplier.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SLA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Service level agreement / target time, e.g. for remittance approvals.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Treaty</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Reinsurance contract under which risks are ceded automatically within agreed limits.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Value-added tax (12 % in the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(YEC-) that posts the closing entries in period 13, carries the balances into the next year and locks the year.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zod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TypeScript-first schema validation library used to validate request bodies and parameters.</w:t>
            </w:r>
          </w:p>
        </w:tc>
      </w:tr>
    </w:tbl>
    <w:p>
      <w:pPr>
        <w:pStyle w:val="Normal"/>
        <w:spacing w:before="0" w:after="40"/>
        <w:rPr/>
      </w:pPr>
      <w:r>
        <w:rPr/>
      </w:r>
    </w:p>
    <w:sectPr>
      <w:headerReference w:type="default" r:id="rId110"/>
      <w:headerReference w:type="first" r:id="rId111"/>
      <w:footerReference w:type="default" r:id="rId112"/>
      <w:footerReference w:type="first" r:id="rId113"/>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19</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24</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34</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42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6.pn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image" Target="media/image7.png"/><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8.png"/><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image" Target="media/image9.png"/><Relationship Id="rId45" Type="http://schemas.openxmlformats.org/officeDocument/2006/relationships/header" Target="header18.xml"/><Relationship Id="rId46" Type="http://schemas.openxmlformats.org/officeDocument/2006/relationships/header" Target="header19.xml"/><Relationship Id="rId47" Type="http://schemas.openxmlformats.org/officeDocument/2006/relationships/footer" Target="footer18.xml"/><Relationship Id="rId48" Type="http://schemas.openxmlformats.org/officeDocument/2006/relationships/footer" Target="footer19.xml"/><Relationship Id="rId49" Type="http://schemas.openxmlformats.org/officeDocument/2006/relationships/image" Target="media/image10.png"/><Relationship Id="rId50" Type="http://schemas.openxmlformats.org/officeDocument/2006/relationships/header" Target="header20.xml"/><Relationship Id="rId51" Type="http://schemas.openxmlformats.org/officeDocument/2006/relationships/header" Target="header21.xml"/><Relationship Id="rId52" Type="http://schemas.openxmlformats.org/officeDocument/2006/relationships/footer" Target="footer20.xml"/><Relationship Id="rId53" Type="http://schemas.openxmlformats.org/officeDocument/2006/relationships/footer" Target="footer21.xml"/><Relationship Id="rId54" Type="http://schemas.openxmlformats.org/officeDocument/2006/relationships/image" Target="media/image11.png"/><Relationship Id="rId55" Type="http://schemas.openxmlformats.org/officeDocument/2006/relationships/header" Target="header22.xml"/><Relationship Id="rId56" Type="http://schemas.openxmlformats.org/officeDocument/2006/relationships/header" Target="header23.xml"/><Relationship Id="rId57" Type="http://schemas.openxmlformats.org/officeDocument/2006/relationships/footer" Target="footer22.xml"/><Relationship Id="rId58" Type="http://schemas.openxmlformats.org/officeDocument/2006/relationships/footer" Target="footer23.xml"/><Relationship Id="rId59" Type="http://schemas.openxmlformats.org/officeDocument/2006/relationships/image" Target="media/image12.png"/><Relationship Id="rId60" Type="http://schemas.openxmlformats.org/officeDocument/2006/relationships/header" Target="header24.xml"/><Relationship Id="rId61" Type="http://schemas.openxmlformats.org/officeDocument/2006/relationships/header" Target="header25.xml"/><Relationship Id="rId62" Type="http://schemas.openxmlformats.org/officeDocument/2006/relationships/footer" Target="footer24.xml"/><Relationship Id="rId63" Type="http://schemas.openxmlformats.org/officeDocument/2006/relationships/footer" Target="footer25.xml"/><Relationship Id="rId64" Type="http://schemas.openxmlformats.org/officeDocument/2006/relationships/image" Target="media/image13.png"/><Relationship Id="rId65" Type="http://schemas.openxmlformats.org/officeDocument/2006/relationships/header" Target="header26.xml"/><Relationship Id="rId66" Type="http://schemas.openxmlformats.org/officeDocument/2006/relationships/header" Target="header27.xml"/><Relationship Id="rId67" Type="http://schemas.openxmlformats.org/officeDocument/2006/relationships/footer" Target="footer26.xml"/><Relationship Id="rId68" Type="http://schemas.openxmlformats.org/officeDocument/2006/relationships/footer" Target="footer27.xml"/><Relationship Id="rId69" Type="http://schemas.openxmlformats.org/officeDocument/2006/relationships/image" Target="media/image14.png"/><Relationship Id="rId70" Type="http://schemas.openxmlformats.org/officeDocument/2006/relationships/header" Target="header28.xml"/><Relationship Id="rId71" Type="http://schemas.openxmlformats.org/officeDocument/2006/relationships/header" Target="header29.xml"/><Relationship Id="rId72" Type="http://schemas.openxmlformats.org/officeDocument/2006/relationships/footer" Target="footer28.xml"/><Relationship Id="rId73" Type="http://schemas.openxmlformats.org/officeDocument/2006/relationships/footer" Target="footer29.xml"/><Relationship Id="rId74" Type="http://schemas.openxmlformats.org/officeDocument/2006/relationships/image" Target="media/image15.png"/><Relationship Id="rId75" Type="http://schemas.openxmlformats.org/officeDocument/2006/relationships/image" Target="media/image16.png"/><Relationship Id="rId76" Type="http://schemas.openxmlformats.org/officeDocument/2006/relationships/header" Target="header30.xml"/><Relationship Id="rId77" Type="http://schemas.openxmlformats.org/officeDocument/2006/relationships/header" Target="header31.xml"/><Relationship Id="rId78" Type="http://schemas.openxmlformats.org/officeDocument/2006/relationships/footer" Target="footer30.xml"/><Relationship Id="rId79" Type="http://schemas.openxmlformats.org/officeDocument/2006/relationships/footer" Target="footer31.xml"/><Relationship Id="rId80" Type="http://schemas.openxmlformats.org/officeDocument/2006/relationships/image" Target="media/image17.png"/><Relationship Id="rId81" Type="http://schemas.openxmlformats.org/officeDocument/2006/relationships/header" Target="header32.xml"/><Relationship Id="rId82" Type="http://schemas.openxmlformats.org/officeDocument/2006/relationships/header" Target="header33.xml"/><Relationship Id="rId83" Type="http://schemas.openxmlformats.org/officeDocument/2006/relationships/footer" Target="footer32.xml"/><Relationship Id="rId84" Type="http://schemas.openxmlformats.org/officeDocument/2006/relationships/footer" Target="footer33.xml"/><Relationship Id="rId85" Type="http://schemas.openxmlformats.org/officeDocument/2006/relationships/image" Target="media/image18.png"/><Relationship Id="rId86" Type="http://schemas.openxmlformats.org/officeDocument/2006/relationships/header" Target="header34.xml"/><Relationship Id="rId87" Type="http://schemas.openxmlformats.org/officeDocument/2006/relationships/header" Target="header35.xml"/><Relationship Id="rId88" Type="http://schemas.openxmlformats.org/officeDocument/2006/relationships/footer" Target="footer34.xml"/><Relationship Id="rId89" Type="http://schemas.openxmlformats.org/officeDocument/2006/relationships/footer" Target="footer35.xml"/><Relationship Id="rId90" Type="http://schemas.openxmlformats.org/officeDocument/2006/relationships/image" Target="media/image19.png"/><Relationship Id="rId91" Type="http://schemas.openxmlformats.org/officeDocument/2006/relationships/header" Target="header36.xml"/><Relationship Id="rId92" Type="http://schemas.openxmlformats.org/officeDocument/2006/relationships/header" Target="header37.xml"/><Relationship Id="rId93" Type="http://schemas.openxmlformats.org/officeDocument/2006/relationships/footer" Target="footer36.xml"/><Relationship Id="rId94" Type="http://schemas.openxmlformats.org/officeDocument/2006/relationships/footer" Target="footer37.xml"/><Relationship Id="rId95" Type="http://schemas.openxmlformats.org/officeDocument/2006/relationships/image" Target="media/image20.png"/><Relationship Id="rId96" Type="http://schemas.openxmlformats.org/officeDocument/2006/relationships/header" Target="header38.xml"/><Relationship Id="rId97" Type="http://schemas.openxmlformats.org/officeDocument/2006/relationships/header" Target="header39.xml"/><Relationship Id="rId98" Type="http://schemas.openxmlformats.org/officeDocument/2006/relationships/footer" Target="footer38.xml"/><Relationship Id="rId99" Type="http://schemas.openxmlformats.org/officeDocument/2006/relationships/footer" Target="footer39.xml"/><Relationship Id="rId100" Type="http://schemas.openxmlformats.org/officeDocument/2006/relationships/image" Target="media/image21.png"/><Relationship Id="rId101" Type="http://schemas.openxmlformats.org/officeDocument/2006/relationships/header" Target="header40.xml"/><Relationship Id="rId102" Type="http://schemas.openxmlformats.org/officeDocument/2006/relationships/header" Target="header41.xml"/><Relationship Id="rId103" Type="http://schemas.openxmlformats.org/officeDocument/2006/relationships/footer" Target="footer40.xml"/><Relationship Id="rId104" Type="http://schemas.openxmlformats.org/officeDocument/2006/relationships/footer" Target="footer41.xml"/><Relationship Id="rId105" Type="http://schemas.openxmlformats.org/officeDocument/2006/relationships/image" Target="media/image22.png"/><Relationship Id="rId106" Type="http://schemas.openxmlformats.org/officeDocument/2006/relationships/header" Target="header42.xml"/><Relationship Id="rId107" Type="http://schemas.openxmlformats.org/officeDocument/2006/relationships/header" Target="header43.xml"/><Relationship Id="rId108" Type="http://schemas.openxmlformats.org/officeDocument/2006/relationships/footer" Target="footer42.xml"/><Relationship Id="rId109" Type="http://schemas.openxmlformats.org/officeDocument/2006/relationships/footer" Target="footer43.xml"/><Relationship Id="rId110" Type="http://schemas.openxmlformats.org/officeDocument/2006/relationships/header" Target="header44.xml"/><Relationship Id="rId111" Type="http://schemas.openxmlformats.org/officeDocument/2006/relationships/header" Target="header45.xml"/><Relationship Id="rId112" Type="http://schemas.openxmlformats.org/officeDocument/2006/relationships/footer" Target="footer44.xml"/><Relationship Id="rId113" Type="http://schemas.openxmlformats.org/officeDocument/2006/relationships/footer" Target="footer45.xml"/><Relationship Id="rId114" Type="http://schemas.openxmlformats.org/officeDocument/2006/relationships/numbering" Target="numbering.xml"/><Relationship Id="rId115" Type="http://schemas.openxmlformats.org/officeDocument/2006/relationships/fontTable" Target="fontTable.xml"/><Relationship Id="rId116" Type="http://schemas.openxmlformats.org/officeDocument/2006/relationships/settings" Target="settings.xml"/><Relationship Id="rId117" Type="http://schemas.openxmlformats.org/officeDocument/2006/relationships/theme" Target="theme/theme1.xml"/><Relationship Id="rId1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AppVersion>15.0000</AppVersion>
  <Pages>42</Pages>
  <Words>6214</Words>
  <Characters>42543</Characters>
  <CharactersWithSpaces>48073</CharactersWithSpaces>
  <Paragraphs>919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DB OOTB iNXT BrokerVerse Database Design v1.0</dc:title>
  <dc:subject>BDO Insure Brokering System (BIBS)</dc:subject>
  <dc:creator>iorta TechNXT</dc:creator>
  <cp:lastModifiedBy>iorta TechNXT</cp:lastModifiedBy>
  <cp:revision>2</cp:revision>
  <dcterms:created xsi:type="dcterms:W3CDTF">2013-12-23T23:15:00Z</dcterms:created>
  <dcterms:modified xsi:type="dcterms:W3CDTF">2026-10-04T09:19:32Z</dcterms:modified>
</cp:coreProperties>
</file>

<file path=docProps/custom.xml><?xml version="1.0" encoding="utf-8"?>
<Properties xmlns="http://schemas.openxmlformats.org/officeDocument/2006/custom-properties" xmlns:vt="http://schemas.openxmlformats.org/officeDocument/2006/docPropsVTypes"/>
</file>