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GO-LIVE PLAN</w:t>
      </w:r>
    </w:p>
    <w:p>
      <w:pPr>
        <w:spacing w:after="80" w:line="240" w:lineRule="auto"/>
      </w:pPr>
      <w:r>
        <w:rPr>
          <w:b/>
          <w:color w:val="004EA8"/>
          <w:sz w:val="56"/>
        </w:rPr>
        <w:t>Go-Live, Cutover and Data Migration Plan</w:t>
      </w:r>
    </w:p>
    <w:p>
      <w:pPr>
        <w:spacing w:after="40"/>
      </w:pPr>
      <w:r>
        <w:rPr>
          <w:color w:val="2E2E2E"/>
          <w:sz w:val="28"/>
        </w:rPr>
        <w:t>Governance, go / no-go criteria, mock migrations and dress rehearsals, cutover runbook, rollback and communication for the January 2028 go-live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BIBS-GL-CUT-BRD-00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Migration Lead; iorta TechNXT Solution Architect</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One go-live plan on the BDOI drop plan and timeline (go-live January 2028, all modules together), based on the production cutover plan of the Data Migration Handbook BRD-13 v2.1 (Part D) with the technical cutover, the readiness gates and the programme governance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Owner of the cutover; chair of the go / no-go board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BDOI IT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Technical cutover, readiness reviews</w:t>
            </w:r>
          </w:p>
        </w:tc>
      </w:tr>
      <w:tr>
        <w:trPr>
          <w:cantSplit w:val="true"/>
        </w:trPr>
        <w:tc>
          <w:tcPr>
            <w:tcW w:type="dxa" w:w="2606"/>
            <w:tcMar>
              <w:top w:w="50" w:type="dxa"/>
              <w:bottom w:w="50" w:type="dxa"/>
              <w:left w:w="90" w:type="dxa"/>
              <w:right w:w="90" w:type="dxa"/>
            </w:tcMar>
          </w:tcPr>
          <w:p>
            <w:pPr>
              <w:pStyle w:val="BDOITable"/>
            </w:pPr>
            <w:r>
              <w:rPr>
                <w:sz w:val="18"/>
              </w:rPr>
              <w:t>Data Migration Lead</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Migration cycles and the cutover tasks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Heads of Operations, Comptrollership, Retail and Corporate Marketing; Compliance</w:t>
            </w:r>
          </w:p>
        </w:tc>
        <w:tc>
          <w:tcPr>
            <w:tcW w:type="dxa" w:w="2266"/>
            <w:tcMar>
              <w:top w:w="50" w:type="dxa"/>
              <w:bottom w:w="50" w:type="dxa"/>
              <w:left w:w="90" w:type="dxa"/>
              <w:right w:w="90" w:type="dxa"/>
            </w:tcMar>
            <w:shd w:val="clear" w:color="auto" w:fill="E5F5FF"/>
          </w:tcPr>
          <w:p>
            <w:pPr>
              <w:pStyle w:val="BDOITable"/>
            </w:pPr>
            <w:r>
              <w:rPr>
                <w:sz w:val="18"/>
              </w:rPr>
              <w:t>Approvers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Business readiness, freeze, go / no-go</w:t>
            </w:r>
          </w:p>
        </w:tc>
      </w:tr>
      <w:tr>
        <w:trPr>
          <w:cantSplit w:val="true"/>
        </w:trPr>
        <w:tc>
          <w:tcPr>
            <w:tcW w:type="dxa" w:w="2606"/>
            <w:tcMar>
              <w:top w:w="50" w:type="dxa"/>
              <w:bottom w:w="50" w:type="dxa"/>
              <w:left w:w="90" w:type="dxa"/>
              <w:right w:w="90" w:type="dxa"/>
            </w:tcMar>
          </w:tcPr>
          <w:p>
            <w:pPr>
              <w:pStyle w:val="BDOITable"/>
            </w:pPr>
            <w:r>
              <w:rPr>
                <w:sz w:val="18"/>
              </w:rPr>
              <w:t>Head of the Renewal processing team</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Day-1 renewal queue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Cloud and Digital Operations Engineering</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Production and DR environments, backups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Rehearsals, cutover, hypercare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1.3 Reference documents</w:t>
        </w:r>
        <w:r>
          <w:t xml:space="preserve">	</w:t>
        </w:r>
        <w:r>
          <w:t xml:space="preserve">4</w:t>
        </w:r>
      </w:hyperlink>
    </w:p>
    <w:p>
      <w:pPr>
        <w:pStyle w:val="toc1"/>
      </w:pPr>
      <w:hyperlink w:anchor="_Toc000105" w:history="1">
        <w:r>
          <w:t xml:space="preserve">2 Go-live approach</w:t>
        </w:r>
        <w:r>
          <w:t xml:space="preserve">	</w:t>
        </w:r>
        <w:r>
          <w:t xml:space="preserve">5</w:t>
        </w:r>
      </w:hyperlink>
    </w:p>
    <w:p>
      <w:pPr>
        <w:pStyle w:val="toc2"/>
      </w:pPr>
      <w:hyperlink w:anchor="_Toc000106" w:history="1">
        <w:r>
          <w:t xml:space="preserve">2.1 One go-live in January 2028</w:t>
        </w:r>
        <w:r>
          <w:t xml:space="preserve">	</w:t>
        </w:r>
        <w:r>
          <w:t xml:space="preserve">5</w:t>
        </w:r>
      </w:hyperlink>
    </w:p>
    <w:p>
      <w:pPr>
        <w:pStyle w:val="toc2"/>
      </w:pPr>
      <w:hyperlink w:anchor="_Toc000107" w:history="1">
        <w:r>
          <w:t xml:space="preserve">2.2 What goes live</w:t>
        </w:r>
        <w:r>
          <w:t xml:space="preserve">	</w:t>
        </w:r>
        <w:r>
          <w:t xml:space="preserve">5</w:t>
        </w:r>
      </w:hyperlink>
    </w:p>
    <w:p>
      <w:pPr>
        <w:pStyle w:val="toc1"/>
      </w:pPr>
      <w:hyperlink w:anchor="_Toc000108" w:history="1">
        <w:r>
          <w:t xml:space="preserve">3 Governance</w:t>
        </w:r>
        <w:r>
          <w:t xml:space="preserve">	</w:t>
        </w:r>
        <w:r>
          <w:t xml:space="preserve">6</w:t>
        </w:r>
      </w:hyperlink>
    </w:p>
    <w:p>
      <w:pPr>
        <w:pStyle w:val="toc2"/>
      </w:pPr>
      <w:hyperlink w:anchor="_Toc000109" w:history="1">
        <w:r>
          <w:t xml:space="preserve">3.1 Bodies</w:t>
        </w:r>
        <w:r>
          <w:t xml:space="preserve">	</w:t>
        </w:r>
        <w:r>
          <w:t xml:space="preserve">6</w:t>
        </w:r>
      </w:hyperlink>
    </w:p>
    <w:p>
      <w:pPr>
        <w:pStyle w:val="toc2"/>
      </w:pPr>
      <w:hyperlink w:anchor="_Toc000110" w:history="1">
        <w:r>
          <w:t xml:space="preserve">3.2 RACI</w:t>
        </w:r>
        <w:r>
          <w:t xml:space="preserve">	</w:t>
        </w:r>
        <w:r>
          <w:t xml:space="preserve">6</w:t>
        </w:r>
      </w:hyperlink>
    </w:p>
    <w:p>
      <w:pPr>
        <w:pStyle w:val="toc1"/>
      </w:pPr>
      <w:hyperlink w:anchor="_Toc000111" w:history="1">
        <w:r>
          <w:t xml:space="preserve">4 Go / no-go criteria</w:t>
        </w:r>
        <w:r>
          <w:t xml:space="preserve">	</w:t>
        </w:r>
        <w:r>
          <w:t xml:space="preserve">7</w:t>
        </w:r>
      </w:hyperlink>
    </w:p>
    <w:p>
      <w:pPr>
        <w:pStyle w:val="toc2"/>
      </w:pPr>
      <w:hyperlink w:anchor="_Toc000112" w:history="1">
        <w:r>
          <w:t xml:space="preserve">4.1 Gates</w:t>
        </w:r>
        <w:r>
          <w:t xml:space="preserve">	</w:t>
        </w:r>
        <w:r>
          <w:t xml:space="preserve">7</w:t>
        </w:r>
      </w:hyperlink>
    </w:p>
    <w:p>
      <w:pPr>
        <w:pStyle w:val="toc2"/>
      </w:pPr>
      <w:hyperlink w:anchor="_Toc000113" w:history="1">
        <w:r>
          <w:t xml:space="preserve">4.2 Criteria of the checkpoints</w:t>
        </w:r>
        <w:r>
          <w:t xml:space="preserve">	</w:t>
        </w:r>
        <w:r>
          <w:t xml:space="preserve">7</w:t>
        </w:r>
      </w:hyperlink>
    </w:p>
    <w:p>
      <w:pPr>
        <w:pStyle w:val="toc2"/>
      </w:pPr>
      <w:hyperlink w:anchor="_Toc000114" w:history="1">
        <w:r>
          <w:t xml:space="preserve">4.3 Technical criteria added at GNG-3</w:t>
        </w:r>
        <w:r>
          <w:t xml:space="preserve">	</w:t>
        </w:r>
        <w:r>
          <w:t xml:space="preserve">8</w:t>
        </w:r>
      </w:hyperlink>
    </w:p>
    <w:p>
      <w:pPr>
        <w:pStyle w:val="toc1"/>
      </w:pPr>
      <w:hyperlink w:anchor="_Toc000115" w:history="1">
        <w:r>
          <w:t xml:space="preserve">5 Cutover sequence</w:t>
        </w:r>
        <w:r>
          <w:t xml:space="preserve">	</w:t>
        </w:r>
        <w:r>
          <w:t xml:space="preserve">9</w:t>
        </w:r>
      </w:hyperlink>
    </w:p>
    <w:p>
      <w:pPr>
        <w:pStyle w:val="toc2"/>
      </w:pPr>
      <w:hyperlink w:anchor="_Toc000116" w:history="1">
        <w:r>
          <w:t xml:space="preserve">5.1 From legacy freeze to production</w:t>
        </w:r>
        <w:r>
          <w:t xml:space="preserve">	</w:t>
        </w:r>
        <w:r>
          <w:t xml:space="preserve">9</w:t>
        </w:r>
      </w:hyperlink>
    </w:p>
    <w:p>
      <w:pPr>
        <w:pStyle w:val="toc1"/>
      </w:pPr>
      <w:hyperlink w:anchor="_Toc000117" w:history="1">
        <w:r>
          <w:t xml:space="preserve">6 Mock migrations and dress rehearsals</w:t>
        </w:r>
        <w:r>
          <w:t xml:space="preserve">	</w:t>
        </w:r>
        <w:r>
          <w:t xml:space="preserve">11</w:t>
        </w:r>
      </w:hyperlink>
    </w:p>
    <w:p>
      <w:pPr>
        <w:pStyle w:val="toc2"/>
      </w:pPr>
      <w:hyperlink w:anchor="_Toc000118" w:history="1">
        <w:r>
          <w:t xml:space="preserve">6.1 Schedule</w:t>
        </w:r>
        <w:r>
          <w:t xml:space="preserve">	</w:t>
        </w:r>
        <w:r>
          <w:t xml:space="preserve">11</w:t>
        </w:r>
      </w:hyperlink>
    </w:p>
    <w:p>
      <w:pPr>
        <w:pStyle w:val="toc2"/>
      </w:pPr>
      <w:hyperlink w:anchor="_Toc000119" w:history="1">
        <w:r>
          <w:t xml:space="preserve">6.2 What every rehearsal measures</w:t>
        </w:r>
        <w:r>
          <w:t xml:space="preserve">	</w:t>
        </w:r>
        <w:r>
          <w:t xml:space="preserve">12</w:t>
        </w:r>
      </w:hyperlink>
    </w:p>
    <w:p>
      <w:pPr>
        <w:pStyle w:val="toc2"/>
      </w:pPr>
      <w:hyperlink w:anchor="_Toc000120" w:history="1">
        <w:r>
          <w:t xml:space="preserve">6.3 Drop test windows</w:t>
        </w:r>
        <w:r>
          <w:t xml:space="preserve">	</w:t>
        </w:r>
        <w:r>
          <w:t xml:space="preserve">12</w:t>
        </w:r>
      </w:hyperlink>
    </w:p>
    <w:p>
      <w:pPr>
        <w:pStyle w:val="toc1"/>
      </w:pPr>
      <w:hyperlink w:anchor="_Toc000121" w:history="1">
        <w:r>
          <w:t xml:space="preserve">7 Data migration steps</w:t>
        </w:r>
        <w:r>
          <w:t xml:space="preserve">	</w:t>
        </w:r>
        <w:r>
          <w:t xml:space="preserve">13</w:t>
        </w:r>
      </w:hyperlink>
    </w:p>
    <w:p>
      <w:pPr>
        <w:pStyle w:val="toc1"/>
      </w:pPr>
      <w:hyperlink w:anchor="_Toc000122" w:history="1">
        <w:r>
          <w:t xml:space="preserve">8 Cutover runbook</w:t>
        </w:r>
        <w:r>
          <w:t xml:space="preserve">	</w:t>
        </w:r>
        <w:r>
          <w:t xml:space="preserve">14</w:t>
        </w:r>
      </w:hyperlink>
    </w:p>
    <w:p>
      <w:pPr>
        <w:pStyle w:val="toc2"/>
      </w:pPr>
      <w:hyperlink w:anchor="_Toc000123" w:history="1">
        <w:r>
          <w:t xml:space="preserve">8.1 Organisation</w:t>
        </w:r>
        <w:r>
          <w:t xml:space="preserve">	</w:t>
        </w:r>
        <w:r>
          <w:t xml:space="preserve">14</w:t>
        </w:r>
      </w:hyperlink>
    </w:p>
    <w:p>
      <w:pPr>
        <w:pStyle w:val="toc2"/>
      </w:pPr>
      <w:hyperlink w:anchor="_Toc000124" w:history="1">
        <w:r>
          <w:t xml:space="preserve">8.2 Phases</w:t>
        </w:r>
        <w:r>
          <w:t xml:space="preserve">	</w:t>
        </w:r>
        <w:r>
          <w:t xml:space="preserve">14</w:t>
        </w:r>
      </w:hyperlink>
    </w:p>
    <w:p>
      <w:pPr>
        <w:pStyle w:val="toc2"/>
      </w:pPr>
      <w:hyperlink w:anchor="_Toc000125" w:history="1">
        <w:r>
          <w:t xml:space="preserve">8.3 Hour-by-hour template: freeze to go-live</w:t>
        </w:r>
        <w:r>
          <w:t xml:space="preserve">	</w:t>
        </w:r>
        <w:r>
          <w:t xml:space="preserve">16</w:t>
        </w:r>
      </w:hyperlink>
    </w:p>
    <w:p>
      <w:pPr>
        <w:pStyle w:val="toc2"/>
      </w:pPr>
      <w:hyperlink w:anchor="_Toc000126" w:history="1">
        <w:r>
          <w:t xml:space="preserve">8.4 Technical cutover tasks</w:t>
        </w:r>
        <w:r>
          <w:t xml:space="preserve">	</w:t>
        </w:r>
        <w:r>
          <w:t xml:space="preserve">18</w:t>
        </w:r>
      </w:hyperlink>
    </w:p>
    <w:p>
      <w:pPr>
        <w:pStyle w:val="toc2"/>
      </w:pPr>
      <w:hyperlink w:anchor="_Toc000127" w:history="1">
        <w:r>
          <w:t xml:space="preserve">8.5 Freeze windows</w:t>
        </w:r>
        <w:r>
          <w:t xml:space="preserve">	</w:t>
        </w:r>
        <w:r>
          <w:t xml:space="preserve">20</w:t>
        </w:r>
      </w:hyperlink>
    </w:p>
    <w:p>
      <w:pPr>
        <w:pStyle w:val="toc1"/>
      </w:pPr>
      <w:hyperlink w:anchor="_Toc000128" w:history="1">
        <w:r>
          <w:t xml:space="preserve">9 Rollback plan</w:t>
        </w:r>
        <w:r>
          <w:t xml:space="preserve">	</w:t>
        </w:r>
        <w:r>
          <w:t xml:space="preserve">21</w:t>
        </w:r>
      </w:hyperlink>
    </w:p>
    <w:p>
      <w:pPr>
        <w:pStyle w:val="toc2"/>
      </w:pPr>
      <w:hyperlink w:anchor="_Toc000129" w:history="1">
        <w:r>
          <w:t xml:space="preserve">9.1 Rollback point and decision</w:t>
        </w:r>
        <w:r>
          <w:t xml:space="preserve">	</w:t>
        </w:r>
        <w:r>
          <w:t xml:space="preserve">21</w:t>
        </w:r>
      </w:hyperlink>
    </w:p>
    <w:p>
      <w:pPr>
        <w:pStyle w:val="toc2"/>
      </w:pPr>
      <w:hyperlink w:anchor="_Toc000130" w:history="1">
        <w:r>
          <w:t xml:space="preserve">9.2 Steps</w:t>
        </w:r>
        <w:r>
          <w:t xml:space="preserve">	</w:t>
        </w:r>
        <w:r>
          <w:t xml:space="preserve">21</w:t>
        </w:r>
      </w:hyperlink>
    </w:p>
    <w:p>
      <w:pPr>
        <w:pStyle w:val="toc2"/>
      </w:pPr>
      <w:hyperlink w:anchor="_Toc000131" w:history="1">
        <w:r>
          <w:t xml:space="preserve">9.3 After the point of no return</w:t>
        </w:r>
        <w:r>
          <w:t xml:space="preserve">	</w:t>
        </w:r>
        <w:r>
          <w:t xml:space="preserve">21</w:t>
        </w:r>
      </w:hyperlink>
    </w:p>
    <w:p>
      <w:pPr>
        <w:pStyle w:val="toc1"/>
      </w:pPr>
      <w:hyperlink w:anchor="_Toc000132" w:history="1">
        <w:r>
          <w:t xml:space="preserve">10 Communication plan</w:t>
        </w:r>
        <w:r>
          <w:t xml:space="preserve">	</w:t>
        </w:r>
        <w:r>
          <w:t xml:space="preserve">22</w:t>
        </w:r>
      </w:hyperlink>
    </w:p>
    <w:p>
      <w:pPr>
        <w:pStyle w:val="toc1"/>
      </w:pPr>
      <w:hyperlink w:anchor="_Toc000133" w:history="1">
        <w:r>
          <w:t xml:space="preserve">11 Risks of the go-live</w:t>
        </w:r>
        <w:r>
          <w:t xml:space="preserve">	</w:t>
        </w:r>
        <w:r>
          <w:t xml:space="preserve">23</w:t>
        </w:r>
      </w:hyperlink>
    </w:p>
    <w:p>
      <w:pPr>
        <w:pStyle w:val="toc1"/>
      </w:pPr>
      <w:hyperlink w:anchor="_Toc000134" w:history="1">
        <w:r>
          <w:t xml:space="preserve">Decisions and open points for BDOI</w:t>
        </w:r>
        <w:r>
          <w:t xml:space="preserve">	</w:t>
        </w:r>
        <w:r>
          <w:t xml:space="preserve">24</w:t>
        </w:r>
      </w:hyperlink>
    </w:p>
    <w:p>
      <w:pPr>
        <w:pStyle w:val="toc1"/>
      </w:pPr>
      <w:hyperlink w:anchor="_Toc000135" w:history="1">
        <w:r>
          <w:t xml:space="preserve">Glossary</w:t>
        </w:r>
        <w:r>
          <w:t xml:space="preserve">	</w:t>
        </w:r>
        <w:r>
          <w:t xml:space="preserve">25</w:t>
        </w:r>
      </w:hyperlink>
    </w:p>
    <w:p>
      <w:pPr>
        <w:pStyle w:val="toc1"/>
      </w:pPr>
      <w:hyperlink w:anchor="_Toc000136" w:history="1">
        <w:r>
          <w:t xml:space="preserve">Sign-off</w:t>
        </w:r>
        <w:r>
          <w:t xml:space="preserve">	</w:t>
        </w:r>
        <w:r>
          <w:t xml:space="preserve">26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plan brings BIBS (BDOI Broker System, on iNXT BrokerVerse) into production in January 2028. It sets the governance and the go / no-go criteria, the sequence from the legacy freeze to production, the mock migrations and dress rehearsals on the way, the cutover runbook hour by hour with owners, the rollback plan, the data migration steps (templates, mapping, cleansing, validation, upload and reconciliation) and the communication plan.</w:t>
      </w:r>
    </w:p>
    <w:p>
      <w:r>
        <w:rPr/>
        <w:t>The data migration itself is specified in the Data Migration Handbook of BRD-13 (R1): strategy (Part A), the Migration Console (Part B), reconciliation and sign-off gates (Part C) and the production cutover runbook (Part D). This plan does not repeat it: it places it in the programme, adds the technical cutover and the readiness gates, and reproduces the cutover tasks from the same source so that there is one plan.</w:t>
      </w:r>
    </w:p>
    <w:p>
      <w:pPr>
        <w:pStyle w:val="Heading2"/>
      </w:pPr>
      <w:bookmarkStart w:id="103" w:name="_Toc000103"/>
      <w:r>
        <w:rPr/>
        <w:t>1.2 Audience</w:t>
      </w:r>
      <w:bookmarkEnd w:id="103"/>
    </w:p>
    <w:p>
      <w:r>
        <w:rPr/>
        <w:t>The go / no-go board and the Program Manager; the BDOI Data Migration Lead, data owners and business heads; BDOI IT and BDO Cloud Operations; the iorta TechNXT project, migration and infrastructure teams.</w:t>
      </w:r>
    </w:p>
    <w:p>
      <w:pPr>
        <w:pStyle w:val="Heading2"/>
      </w:pPr>
      <w:bookmarkStart w:id="104" w:name="_Toc000104"/>
      <w:r>
        <w:rPr/>
        <w:t>1.3 Reference documents</w:t>
      </w:r>
      <w:bookmarkEnd w:id="104"/>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4566"/>
        <w:gridCol w:w="4806"/>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601"/>
            <w:tcMar>
              <w:top w:w="50" w:type="dxa"/>
              <w:bottom w:w="50" w:type="dxa"/>
              <w:left w:w="90" w:type="dxa"/>
              <w:right w:w="90" w:type="dxa"/>
            </w:tcMar>
          </w:tcPr>
          <w:p>
            <w:pPr>
              <w:pStyle w:val="BDOITable"/>
            </w:pPr>
            <w:r>
              <w:rPr>
                <w:b/>
                <w:sz w:val="18"/>
              </w:rPr>
              <w:t>R1</w:t>
            </w:r>
          </w:p>
        </w:tc>
        <w:tc>
          <w:tcPr>
            <w:tcW w:type="dxa" w:w="4565"/>
            <w:tcMar>
              <w:top w:w="50" w:type="dxa"/>
              <w:bottom w:w="50" w:type="dxa"/>
              <w:left w:w="90" w:type="dxa"/>
              <w:right w:w="90" w:type="dxa"/>
            </w:tcMar>
          </w:tcPr>
          <w:p>
            <w:pPr>
              <w:pStyle w:val="BDOITable"/>
            </w:pPr>
            <w:r>
              <w:rPr>
                <w:sz w:val="18"/>
              </w:rPr>
              <w:t>Data Migration Handbook BRD-13 v2.1 (release set file 02)</w:t>
            </w:r>
          </w:p>
        </w:tc>
        <w:tc>
          <w:tcPr>
            <w:tcW w:type="dxa" w:w="4806"/>
            <w:tcMar>
              <w:top w:w="50" w:type="dxa"/>
              <w:bottom w:w="50" w:type="dxa"/>
              <w:left w:w="90" w:type="dxa"/>
              <w:right w:w="90" w:type="dxa"/>
            </w:tcMar>
          </w:tcPr>
          <w:p>
            <w:pPr>
              <w:pStyle w:val="BDOITable"/>
            </w:pPr>
            <w:r>
              <w:rPr>
                <w:sz w:val="18"/>
              </w:rPr>
              <w:t>Migration strategy, Migration Console, reconciliation, cutover runbook Part D</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R2</w:t>
            </w:r>
          </w:p>
        </w:tc>
        <w:tc>
          <w:tcPr>
            <w:tcW w:type="dxa" w:w="4565"/>
            <w:tcMar>
              <w:top w:w="50" w:type="dxa"/>
              <w:bottom w:w="50" w:type="dxa"/>
              <w:left w:w="90" w:type="dxa"/>
              <w:right w:w="90" w:type="dxa"/>
            </w:tcMar>
            <w:shd w:val="clear" w:color="auto" w:fill="E5F5FF"/>
          </w:tcPr>
          <w:p>
            <w:pPr>
              <w:pStyle w:val="BDOITable"/>
            </w:pPr>
            <w:r>
              <w:rPr>
                <w:sz w:val="18"/>
              </w:rPr>
              <w:t>Migration Workbook BRD-13 v2.1 (release set file 03)</w:t>
            </w:r>
          </w:p>
        </w:tc>
        <w:tc>
          <w:tcPr>
            <w:tcW w:type="dxa" w:w="4806"/>
            <w:tcMar>
              <w:top w:w="50" w:type="dxa"/>
              <w:bottom w:w="50" w:type="dxa"/>
              <w:left w:w="90" w:type="dxa"/>
              <w:right w:w="90" w:type="dxa"/>
            </w:tcMar>
            <w:shd w:val="clear" w:color="auto" w:fill="E5F5FF"/>
          </w:tcPr>
          <w:p>
            <w:pPr>
              <w:pStyle w:val="BDOITable"/>
            </w:pPr>
            <w:r>
              <w:rPr>
                <w:sz w:val="18"/>
              </w:rPr>
              <w:t>Load templates, object catalogue, code maps, cutover tasks for review</w:t>
            </w:r>
          </w:p>
        </w:tc>
      </w:tr>
      <w:tr>
        <w:trPr>
          <w:cantSplit w:val="true"/>
        </w:trPr>
        <w:tc>
          <w:tcPr>
            <w:tcW w:type="dxa" w:w="601"/>
            <w:tcMar>
              <w:top w:w="50" w:type="dxa"/>
              <w:bottom w:w="50" w:type="dxa"/>
              <w:left w:w="90" w:type="dxa"/>
              <w:right w:w="90" w:type="dxa"/>
            </w:tcMar>
          </w:tcPr>
          <w:p>
            <w:pPr>
              <w:pStyle w:val="BDOITable"/>
            </w:pPr>
            <w:r>
              <w:rPr>
                <w:b/>
                <w:sz w:val="18"/>
              </w:rPr>
              <w:t>R3</w:t>
            </w:r>
          </w:p>
        </w:tc>
        <w:tc>
          <w:tcPr>
            <w:tcW w:type="dxa" w:w="4565"/>
            <w:tcMar>
              <w:top w:w="50" w:type="dxa"/>
              <w:bottom w:w="50" w:type="dxa"/>
              <w:left w:w="90" w:type="dxa"/>
              <w:right w:w="90" w:type="dxa"/>
            </w:tcMar>
          </w:tcPr>
          <w:p>
            <w:pPr>
              <w:pStyle w:val="BDOITable"/>
            </w:pPr>
            <w:r>
              <w:rPr>
                <w:sz w:val="18"/>
              </w:rPr>
              <w:t>BDOI drop plan and programme timeline (received 26 September 2026) and BDOI answers A1 to A6</w:t>
            </w:r>
          </w:p>
        </w:tc>
        <w:tc>
          <w:tcPr>
            <w:tcW w:type="dxa" w:w="4806"/>
            <w:tcMar>
              <w:top w:w="50" w:type="dxa"/>
              <w:bottom w:w="50" w:type="dxa"/>
              <w:left w:w="90" w:type="dxa"/>
              <w:right w:w="90" w:type="dxa"/>
            </w:tcMar>
          </w:tcPr>
          <w:p>
            <w:pPr>
              <w:pStyle w:val="BDOITable"/>
            </w:pPr>
            <w:r>
              <w:rPr>
                <w:sz w:val="18"/>
              </w:rPr>
              <w:t>Drops, test windows, single go-live in January 2028</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R4</w:t>
            </w:r>
          </w:p>
        </w:tc>
        <w:tc>
          <w:tcPr>
            <w:tcW w:type="dxa" w:w="4565"/>
            <w:tcMar>
              <w:top w:w="50" w:type="dxa"/>
              <w:bottom w:w="50" w:type="dxa"/>
              <w:left w:w="90" w:type="dxa"/>
              <w:right w:w="90" w:type="dxa"/>
            </w:tcMar>
            <w:shd w:val="clear" w:color="auto" w:fill="E5F5FF"/>
          </w:tcPr>
          <w:p>
            <w:pPr>
              <w:pStyle w:val="BDOITable"/>
            </w:pPr>
            <w:r>
              <w:rPr>
                <w:sz w:val="18"/>
              </w:rPr>
              <w:t>Programme Alignment - Drops, Integrations and Infrastructure v1.0</w:t>
            </w:r>
          </w:p>
        </w:tc>
        <w:tc>
          <w:tcPr>
            <w:tcW w:type="dxa" w:w="4806"/>
            <w:tcMar>
              <w:top w:w="50" w:type="dxa"/>
              <w:bottom w:w="50" w:type="dxa"/>
              <w:left w:w="90" w:type="dxa"/>
              <w:right w:w="90" w:type="dxa"/>
            </w:tcMar>
            <w:shd w:val="clear" w:color="auto" w:fill="E5F5FF"/>
          </w:tcPr>
          <w:p>
            <w:pPr>
              <w:pStyle w:val="BDOITable"/>
            </w:pPr>
            <w:r>
              <w:rPr>
                <w:sz w:val="18"/>
              </w:rPr>
              <w:t>Timeline commitments, environments, integrations per drop</w:t>
            </w:r>
          </w:p>
        </w:tc>
      </w:tr>
      <w:tr>
        <w:trPr>
          <w:cantSplit w:val="true"/>
        </w:trPr>
        <w:tc>
          <w:tcPr>
            <w:tcW w:type="dxa" w:w="601"/>
            <w:tcMar>
              <w:top w:w="50" w:type="dxa"/>
              <w:bottom w:w="50" w:type="dxa"/>
              <w:left w:w="90" w:type="dxa"/>
              <w:right w:w="90" w:type="dxa"/>
            </w:tcMar>
          </w:tcPr>
          <w:p>
            <w:pPr>
              <w:pStyle w:val="BDOITable"/>
            </w:pPr>
            <w:r>
              <w:rPr>
                <w:b/>
                <w:sz w:val="18"/>
              </w:rPr>
              <w:t>R5</w:t>
            </w:r>
          </w:p>
        </w:tc>
        <w:tc>
          <w:tcPr>
            <w:tcW w:type="dxa" w:w="4565"/>
            <w:tcMar>
              <w:top w:w="50" w:type="dxa"/>
              <w:bottom w:w="50" w:type="dxa"/>
              <w:left w:w="90" w:type="dxa"/>
              <w:right w:w="90" w:type="dxa"/>
            </w:tcMar>
          </w:tcPr>
          <w:p>
            <w:pPr>
              <w:pStyle w:val="BDOITable"/>
            </w:pPr>
            <w:r>
              <w:rPr>
                <w:sz w:val="18"/>
              </w:rPr>
              <w:t>Production Readiness Checklist v1.0 (Excel)</w:t>
            </w:r>
          </w:p>
        </w:tc>
        <w:tc>
          <w:tcPr>
            <w:tcW w:type="dxa" w:w="4806"/>
            <w:tcMar>
              <w:top w:w="50" w:type="dxa"/>
              <w:bottom w:w="50" w:type="dxa"/>
              <w:left w:w="90" w:type="dxa"/>
              <w:right w:w="90" w:type="dxa"/>
            </w:tcMar>
          </w:tcPr>
          <w:p>
            <w:pPr>
              <w:pStyle w:val="BDOITable"/>
            </w:pPr>
            <w:r>
              <w:rPr>
                <w:sz w:val="18"/>
              </w:rPr>
              <w:t>ORR, PRR and go / no-go evidence</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R6</w:t>
            </w:r>
          </w:p>
        </w:tc>
        <w:tc>
          <w:tcPr>
            <w:tcW w:type="dxa" w:w="4565"/>
            <w:tcMar>
              <w:top w:w="50" w:type="dxa"/>
              <w:bottom w:w="50" w:type="dxa"/>
              <w:left w:w="90" w:type="dxa"/>
              <w:right w:w="90" w:type="dxa"/>
            </w:tcMar>
            <w:shd w:val="clear" w:color="auto" w:fill="E5F5FF"/>
          </w:tcPr>
          <w:p>
            <w:pPr>
              <w:pStyle w:val="BDOITable"/>
            </w:pPr>
            <w:r>
              <w:rPr>
                <w:sz w:val="18"/>
              </w:rPr>
              <w:t>Hypercare, Warranty and Sign-off Plan v1.0</w:t>
            </w:r>
          </w:p>
        </w:tc>
        <w:tc>
          <w:tcPr>
            <w:tcW w:type="dxa" w:w="4806"/>
            <w:tcMar>
              <w:top w:w="50" w:type="dxa"/>
              <w:bottom w:w="50" w:type="dxa"/>
              <w:left w:w="90" w:type="dxa"/>
              <w:right w:w="90" w:type="dxa"/>
            </w:tcMar>
            <w:shd w:val="clear" w:color="auto" w:fill="E5F5FF"/>
          </w:tcPr>
          <w:p>
            <w:pPr>
              <w:pStyle w:val="BDOITable"/>
            </w:pPr>
            <w:r>
              <w:rPr>
                <w:sz w:val="18"/>
              </w:rPr>
              <w:t>Hypercare after go-live, acceptance certificates</w:t>
            </w:r>
          </w:p>
        </w:tc>
      </w:tr>
      <w:tr>
        <w:trPr>
          <w:cantSplit w:val="true"/>
        </w:trPr>
        <w:tc>
          <w:tcPr>
            <w:tcW w:type="dxa" w:w="601"/>
            <w:tcMar>
              <w:top w:w="50" w:type="dxa"/>
              <w:bottom w:w="50" w:type="dxa"/>
              <w:left w:w="90" w:type="dxa"/>
              <w:right w:w="90" w:type="dxa"/>
            </w:tcMar>
          </w:tcPr>
          <w:p>
            <w:pPr>
              <w:pStyle w:val="BDOITable"/>
            </w:pPr>
            <w:r>
              <w:rPr>
                <w:b/>
                <w:sz w:val="18"/>
              </w:rPr>
              <w:t>R7</w:t>
            </w:r>
          </w:p>
        </w:tc>
        <w:tc>
          <w:tcPr>
            <w:tcW w:type="dxa" w:w="4565"/>
            <w:tcMar>
              <w:top w:w="50" w:type="dxa"/>
              <w:bottom w:w="50" w:type="dxa"/>
              <w:left w:w="90" w:type="dxa"/>
              <w:right w:w="90" w:type="dxa"/>
            </w:tcMar>
          </w:tcPr>
          <w:p>
            <w:pPr>
              <w:pStyle w:val="BDOITable"/>
            </w:pPr>
            <w:r>
              <w:rPr>
                <w:sz w:val="18"/>
              </w:rPr>
              <w:t>Operations Runbook and Observability v1.0; Disaster Recovery and Business Continuity Plan v1.0</w:t>
            </w:r>
          </w:p>
        </w:tc>
        <w:tc>
          <w:tcPr>
            <w:tcW w:type="dxa" w:w="4806"/>
            <w:tcMar>
              <w:top w:w="50" w:type="dxa"/>
              <w:bottom w:w="50" w:type="dxa"/>
              <w:left w:w="90" w:type="dxa"/>
              <w:right w:w="90" w:type="dxa"/>
            </w:tcMar>
          </w:tcPr>
          <w:p>
            <w:pPr>
              <w:pStyle w:val="BDOITable"/>
            </w:pPr>
            <w:r>
              <w:rPr>
                <w:sz w:val="18"/>
              </w:rPr>
              <w:t>Monitoring, jobs, backups, DR drill before go-live</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R8</w:t>
            </w:r>
          </w:p>
        </w:tc>
        <w:tc>
          <w:tcPr>
            <w:tcW w:type="dxa" w:w="4565"/>
            <w:tcMar>
              <w:top w:w="50" w:type="dxa"/>
              <w:bottom w:w="50" w:type="dxa"/>
              <w:left w:w="90" w:type="dxa"/>
              <w:right w:w="90" w:type="dxa"/>
            </w:tcMar>
            <w:shd w:val="clear" w:color="auto" w:fill="E5F5FF"/>
          </w:tcPr>
          <w:p>
            <w:pPr>
              <w:pStyle w:val="BDOITable"/>
            </w:pPr>
            <w:r>
              <w:rPr>
                <w:sz w:val="18"/>
              </w:rPr>
              <w:t>Test plans of BRD-1 to BRD-13 (release set files 04 and 05)</w:t>
            </w:r>
          </w:p>
        </w:tc>
        <w:tc>
          <w:tcPr>
            <w:tcW w:type="dxa" w:w="4806"/>
            <w:tcMar>
              <w:top w:w="50" w:type="dxa"/>
              <w:bottom w:w="50" w:type="dxa"/>
              <w:left w:w="90" w:type="dxa"/>
              <w:right w:w="90" w:type="dxa"/>
            </w:tcMar>
            <w:shd w:val="clear" w:color="auto" w:fill="E5F5FF"/>
          </w:tcPr>
          <w:p>
            <w:pPr>
              <w:pStyle w:val="BDOITable"/>
            </w:pPr>
            <w:r>
              <w:rPr>
                <w:sz w:val="18"/>
              </w:rPr>
              <w:t>SIT and UAT of each drop</w:t>
            </w:r>
          </w:p>
        </w:tc>
      </w:tr>
    </w:tbl>
    <w:p>
      <w:pPr>
        <w:pStyle w:val="BDOISpacer"/>
      </w:pPr>
    </w:p>
    <w:p>
      <w:pPr>
        <w:pStyle w:val="Heading1"/>
        <w:pageBreakBefore/>
        <w:pBdr>
          <w:bottom w:val="single" w:sz="4" w:space="4" w:color="99C1E7"/>
        </w:pBdr>
      </w:pPr>
      <w:bookmarkStart w:id="105" w:name="_Toc000105"/>
      <w:r>
        <w:rPr/>
        <w:t>2 Go-live approach</w:t>
      </w:r>
      <w:bookmarkEnd w:id="105"/>
    </w:p>
    <w:p>
      <w:pPr>
        <w:pStyle w:val="Heading2"/>
      </w:pPr>
      <w:bookmarkStart w:id="106" w:name="_Toc000106"/>
      <w:r>
        <w:rPr/>
        <w:t>2.1 One go-live in January 2028</w:t>
      </w:r>
      <w:bookmarkEnd w:id="106"/>
    </w:p>
    <w:p>
      <w:pPr>
        <w:tabs>
          <w:tab w:pos="312" w:val="left"/>
        </w:tabs>
        <w:spacing w:after="40"/>
        <w:ind w:left="312" w:hanging="283"/>
      </w:pPr>
      <w:r>
        <w:rPr>
          <w:color w:val="004EA8"/>
        </w:rPr>
        <w:t>•</w:t>
        <w:tab/>
      </w:r>
      <w:r>
        <w:rPr>
          <w:b/>
        </w:rPr>
        <w:t>All modules go live together in January 2028</w:t>
      </w:r>
      <w:r>
        <w:rPr/>
        <w:t xml:space="preserve"> (BDOI answer A1 of 26 September 2026). The drops split the requirements, delivery, test and sign-off workload; the platform goes to UAT complete and end to end. There is no early go-live: the early renewal concept paper is superseded (DCR-240).</w:t>
      </w:r>
    </w:p>
    <w:p>
      <w:pPr>
        <w:tabs>
          <w:tab w:pos="312" w:val="left"/>
        </w:tabs>
        <w:spacing w:after="40"/>
        <w:ind w:left="312" w:hanging="283"/>
      </w:pPr>
      <w:r>
        <w:rPr>
          <w:color w:val="004EA8"/>
        </w:rPr>
        <w:t>•</w:t>
        <w:tab/>
      </w:r>
      <w:r>
        <w:rPr>
          <w:b/>
        </w:rPr>
        <w:t>Recommended date: Monday 3 January 2028</w:t>
      </w:r>
      <w:r>
        <w:rPr/>
        <w:t>, at the year-end boundary (DMQ39 option A, awaiting the confirmation of the Head of Comptrollership at M6, 1 October 2027). Legacy processes to 31 December 2027 and closes FY2027; BIBS opens with the open items at 31 December and a provisional GL opening; FY2027 adjustments reach BIBS as true-ups until 2 May 2028.</w:t>
      </w:r>
    </w:p>
    <w:p>
      <w:pPr>
        <w:tabs>
          <w:tab w:pos="312" w:val="left"/>
        </w:tabs>
        <w:spacing w:after="40"/>
        <w:ind w:left="312" w:hanging="283"/>
      </w:pPr>
      <w:r>
        <w:rPr>
          <w:color w:val="004EA8"/>
        </w:rPr>
        <w:t>•</w:t>
        <w:tab/>
      </w:r>
      <w:r>
        <w:rPr>
          <w:b/>
        </w:rPr>
        <w:t>Big bang for open items, pre-load for master data.</w:t>
      </w:r>
      <w:r>
        <w:rPr/>
        <w:t xml:space="preserve"> Reference data and clients are loaded two weeks before go-live and kept current by daily deltas; open items, policy headers, the RA-sent file and the provisional GL opening are loaded once, after the legacy freeze, over the New Year weekend.</w:t>
      </w:r>
    </w:p>
    <w:p>
      <w:pPr>
        <w:tabs>
          <w:tab w:pos="312" w:val="left"/>
        </w:tabs>
        <w:spacing w:after="120"/>
        <w:ind w:left="312" w:hanging="283"/>
      </w:pPr>
      <w:r>
        <w:rPr>
          <w:color w:val="004EA8"/>
        </w:rPr>
        <w:t>•</w:t>
        <w:tab/>
      </w:r>
      <w:r>
        <w:rPr>
          <w:b/>
        </w:rPr>
        <w:t>No parallel run.</w:t>
      </w:r>
      <w:r>
        <w:rPr/>
        <w:t xml:space="preserve"> Each open item is processed in one system only; the trial migrations, the dress rehearsals, the measured go / no-go criteria, the rollback point and the daily hypercare reconciliation replace a parallel run (R1, Cutover strategy).</w:t>
      </w:r>
    </w:p>
    <w:p>
      <w:pPr>
        <w:pStyle w:val="Heading2"/>
      </w:pPr>
      <w:bookmarkStart w:id="107" w:name="_Toc000107"/>
      <w:r>
        <w:rPr/>
        <w:t>2.2 What goes live</w:t>
      </w:r>
      <w:bookmarkEnd w:id="107"/>
    </w:p>
    <w:p>
      <w:pPr>
        <w:pStyle w:val="Caption"/>
        <w:keepNext/>
        <w:spacing w:after="60"/>
      </w:pPr>
      <w:r>
        <w:rPr>
          <w:b/>
          <w:i w:val="0"/>
        </w:rPr>
        <w:t xml:space="preserve">Table 2: </w:t>
      </w:r>
      <w:r>
        <w:rPr/>
        <w:t>Scope of the go-live by drop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445"/>
        <w:gridCol w:w="3604"/>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Drop</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Modules (BRD)</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Integrations live at go-live</w:t>
            </w:r>
          </w:p>
        </w:tc>
      </w:tr>
      <w:tr>
        <w:trPr>
          <w:cantSplit w:val="true"/>
        </w:trPr>
        <w:tc>
          <w:tcPr>
            <w:tcW w:type="dxa" w:w="1922"/>
            <w:tcMar>
              <w:top w:w="50" w:type="dxa"/>
              <w:bottom w:w="50" w:type="dxa"/>
              <w:left w:w="90" w:type="dxa"/>
              <w:right w:w="90" w:type="dxa"/>
            </w:tcMar>
          </w:tcPr>
          <w:p>
            <w:pPr>
              <w:pStyle w:val="BDOITable"/>
            </w:pPr>
            <w:r>
              <w:rPr>
                <w:b/>
                <w:sz w:val="17"/>
              </w:rPr>
              <w:t>Drop 0 - Setup and Data Migration</w:t>
            </w:r>
          </w:p>
        </w:tc>
        <w:tc>
          <w:tcPr>
            <w:tcW w:type="dxa" w:w="4445"/>
            <w:tcMar>
              <w:top w:w="50" w:type="dxa"/>
              <w:bottom w:w="50" w:type="dxa"/>
              <w:left w:w="90" w:type="dxa"/>
              <w:right w:w="90" w:type="dxa"/>
            </w:tcMar>
          </w:tcPr>
          <w:p>
            <w:pPr>
              <w:pStyle w:val="BDOITable"/>
            </w:pPr>
            <w:r>
              <w:rPr>
                <w:sz w:val="17"/>
              </w:rPr>
              <w:t>Product Maintenance (BRD-03), User Access Maintenance (BRD-11), Data Migration (BRD-13); set-up of access, authorization, workflow and data management</w:t>
            </w:r>
          </w:p>
        </w:tc>
        <w:tc>
          <w:tcPr>
            <w:tcW w:type="dxa" w:w="3604"/>
            <w:tcMar>
              <w:top w:w="50" w:type="dxa"/>
              <w:bottom w:w="50" w:type="dxa"/>
              <w:left w:w="90" w:type="dxa"/>
              <w:right w:w="90" w:type="dxa"/>
            </w:tcMar>
          </w:tcPr>
          <w:p>
            <w:pPr>
              <w:pStyle w:val="BDOITable"/>
            </w:pPr>
            <w:r>
              <w:rPr>
                <w:sz w:val="17"/>
              </w:rPr>
              <w:t>EIAM (single sign-on), UIDM-ISC (planned), CCM e-mail, M365, bank and PDC file layouts</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Drop 1 - Transactional</w:t>
            </w:r>
          </w:p>
        </w:tc>
        <w:tc>
          <w:tcPr>
            <w:tcW w:type="dxa" w:w="4445"/>
            <w:tcMar>
              <w:top w:w="50" w:type="dxa"/>
              <w:bottom w:w="50" w:type="dxa"/>
              <w:left w:w="90" w:type="dxa"/>
              <w:right w:w="90" w:type="dxa"/>
            </w:tcMar>
            <w:shd w:val="clear" w:color="auto" w:fill="E5F5FF"/>
          </w:tcPr>
          <w:p>
            <w:pPr>
              <w:pStyle w:val="BDOITable"/>
            </w:pPr>
            <w:r>
              <w:rPr>
                <w:sz w:val="17"/>
              </w:rPr>
              <w:t>New Business (BRD-01), Operations (BRD-02: cashiering, remittance, adjustment, commission, production reconciliation), Collections (BRD-04), Accounting, Disbursement and ACSL (BRD-05), Renewal (BRD-06), Customer Servicing Facility (BRD-09), Sanction Screening (BRD-10), Submitted Policies (BRD-12)</w:t>
            </w:r>
          </w:p>
        </w:tc>
        <w:tc>
          <w:tcPr>
            <w:tcW w:type="dxa" w:w="3604"/>
            <w:tcMar>
              <w:top w:w="50" w:type="dxa"/>
              <w:bottom w:w="50" w:type="dxa"/>
              <w:left w:w="90" w:type="dxa"/>
              <w:right w:w="90" w:type="dxa"/>
            </w:tcMar>
            <w:shd w:val="clear" w:color="auto" w:fill="E5F5FF"/>
          </w:tcPr>
          <w:p>
            <w:pPr>
              <w:pStyle w:val="BDOITable"/>
            </w:pPr>
            <w:r>
              <w:rPr>
                <w:sz w:val="17"/>
              </w:rPr>
              <w:t>CMS / New BOB, OBPCS, Old BOB, PMS, HL-LOAS, LMS, LFS SaaS</w:t>
            </w:r>
          </w:p>
        </w:tc>
      </w:tr>
      <w:tr>
        <w:trPr>
          <w:cantSplit w:val="true"/>
        </w:trPr>
        <w:tc>
          <w:tcPr>
            <w:tcW w:type="dxa" w:w="1922"/>
            <w:tcMar>
              <w:top w:w="50" w:type="dxa"/>
              <w:bottom w:w="50" w:type="dxa"/>
              <w:left w:w="90" w:type="dxa"/>
              <w:right w:w="90" w:type="dxa"/>
            </w:tcMar>
          </w:tcPr>
          <w:p>
            <w:pPr>
              <w:pStyle w:val="BDOITable"/>
            </w:pPr>
            <w:r>
              <w:rPr>
                <w:b/>
                <w:sz w:val="17"/>
              </w:rPr>
              <w:t>Drop 2 - Independent</w:t>
            </w:r>
          </w:p>
        </w:tc>
        <w:tc>
          <w:tcPr>
            <w:tcW w:type="dxa" w:w="4445"/>
            <w:tcMar>
              <w:top w:w="50" w:type="dxa"/>
              <w:bottom w:w="50" w:type="dxa"/>
              <w:left w:w="90" w:type="dxa"/>
              <w:right w:w="90" w:type="dxa"/>
            </w:tcMar>
          </w:tcPr>
          <w:p>
            <w:pPr>
              <w:pStyle w:val="BDOITable"/>
            </w:pPr>
            <w:r>
              <w:rPr>
                <w:sz w:val="17"/>
              </w:rPr>
              <w:t>Claims (BRD-07), Employee Benefits without portal (BRD-08), production reconciliation, marketing collection extraction, other reports</w:t>
            </w:r>
          </w:p>
        </w:tc>
        <w:tc>
          <w:tcPr>
            <w:tcW w:type="dxa" w:w="3604"/>
            <w:tcMar>
              <w:top w:w="50" w:type="dxa"/>
              <w:bottom w:w="50" w:type="dxa"/>
              <w:left w:w="90" w:type="dxa"/>
              <w:right w:w="90" w:type="dxa"/>
            </w:tcMar>
          </w:tcPr>
          <w:p>
            <w:pPr>
              <w:pStyle w:val="BDOITable"/>
            </w:pPr>
            <w:r>
              <w:rPr>
                <w:sz w:val="17"/>
              </w:rPr>
              <w:t>EDP, EGL, insurer channels, Bridger Insight XG (manual)</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Not in the go-live</w:t>
            </w:r>
          </w:p>
        </w:tc>
        <w:tc>
          <w:tcPr>
            <w:tcW w:type="dxa" w:w="4445"/>
            <w:tcMar>
              <w:top w:w="50" w:type="dxa"/>
              <w:bottom w:w="50" w:type="dxa"/>
              <w:left w:w="90" w:type="dxa"/>
              <w:right w:w="90" w:type="dxa"/>
            </w:tcMar>
            <w:shd w:val="clear" w:color="auto" w:fill="E5F5FF"/>
          </w:tcPr>
          <w:p>
            <w:pPr>
              <w:pStyle w:val="BDOITable"/>
            </w:pPr>
            <w:r>
              <w:rPr>
                <w:sz w:val="17"/>
              </w:rPr>
              <w:t>ReInsurance module (phase 2; Remittance handles the reinsurance transactions in Drop 1)</w:t>
            </w:r>
          </w:p>
        </w:tc>
        <w:tc>
          <w:tcPr>
            <w:tcW w:type="dxa" w:w="3604"/>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1"/>
        <w:pageBreakBefore/>
        <w:pBdr>
          <w:bottom w:val="single" w:sz="4" w:space="4" w:color="99C1E7"/>
        </w:pBdr>
      </w:pPr>
      <w:bookmarkStart w:id="108" w:name="_Toc000108"/>
      <w:r>
        <w:rPr/>
        <w:t>3 Governance</w:t>
      </w:r>
      <w:bookmarkEnd w:id="108"/>
    </w:p>
    <w:p>
      <w:pPr>
        <w:pStyle w:val="Heading2"/>
      </w:pPr>
      <w:bookmarkStart w:id="109" w:name="_Toc000109"/>
      <w:r>
        <w:rPr/>
        <w:t>3.1 Bodies</w:t>
      </w:r>
      <w:bookmarkEnd w:id="109"/>
    </w:p>
    <w:p>
      <w:pPr>
        <w:pStyle w:val="Caption"/>
        <w:keepNext/>
        <w:spacing w:after="60"/>
      </w:pPr>
      <w:r>
        <w:rPr>
          <w:b/>
          <w:i w:val="0"/>
        </w:rPr>
        <w:t xml:space="preserve">Table 3: </w:t>
      </w:r>
      <w:r>
        <w:rPr/>
        <w:t>Go-live governance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244"/>
        <w:gridCol w:w="2523"/>
        <w:gridCol w:w="216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Body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Members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Decides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Meets</w:t>
            </w:r>
          </w:p>
        </w:tc>
      </w:tr>
      <w:tr>
        <w:trPr>
          <w:cantSplit w:val="true"/>
        </w:trPr>
        <w:tc>
          <w:tcPr>
            <w:tcW w:type="dxa" w:w="2042"/>
            <w:tcMar>
              <w:top w:w="50" w:type="dxa"/>
              <w:bottom w:w="50" w:type="dxa"/>
              <w:left w:w="90" w:type="dxa"/>
              <w:right w:w="90" w:type="dxa"/>
            </w:tcMar>
          </w:tcPr>
          <w:p>
            <w:pPr>
              <w:pStyle w:val="BDOITable"/>
            </w:pPr>
            <w:r>
              <w:rPr>
                <w:b/>
                <w:sz w:val="17"/>
              </w:rPr>
              <w:t>Programme Steering Committee</w:t>
            </w:r>
          </w:p>
        </w:tc>
        <w:tc>
          <w:tcPr>
            <w:tcW w:type="dxa" w:w="3244"/>
            <w:tcMar>
              <w:top w:w="50" w:type="dxa"/>
              <w:bottom w:w="50" w:type="dxa"/>
              <w:left w:w="90" w:type="dxa"/>
              <w:right w:w="90" w:type="dxa"/>
            </w:tcMar>
          </w:tcPr>
          <w:p>
            <w:pPr>
              <w:pStyle w:val="BDOITable"/>
            </w:pPr>
            <w:r>
              <w:rPr>
                <w:sz w:val="17"/>
              </w:rPr>
              <w:t>BDOI executive sponsor (chair), Program Manager, Head of BDOI IT, business heads, iorta TechNXT account executive and Project Manager</w:t>
            </w:r>
          </w:p>
        </w:tc>
        <w:tc>
          <w:tcPr>
            <w:tcW w:type="dxa" w:w="2523"/>
            <w:tcMar>
              <w:top w:w="50" w:type="dxa"/>
              <w:bottom w:w="50" w:type="dxa"/>
              <w:left w:w="90" w:type="dxa"/>
              <w:right w:w="90" w:type="dxa"/>
            </w:tcMar>
          </w:tcPr>
          <w:p>
            <w:pPr>
              <w:pStyle w:val="BDOITable"/>
            </w:pPr>
            <w:r>
              <w:rPr>
                <w:sz w:val="17"/>
              </w:rPr>
              <w:t>Go-live date and year-end option, scope changes, escalated risks</w:t>
            </w:r>
          </w:p>
        </w:tc>
        <w:tc>
          <w:tcPr>
            <w:tcW w:type="dxa" w:w="2163"/>
            <w:tcMar>
              <w:top w:w="50" w:type="dxa"/>
              <w:bottom w:w="50" w:type="dxa"/>
              <w:left w:w="90" w:type="dxa"/>
              <w:right w:w="90" w:type="dxa"/>
            </w:tcMar>
          </w:tcPr>
          <w:p>
            <w:pPr>
              <w:pStyle w:val="BDOITable"/>
            </w:pPr>
            <w:r>
              <w:rPr>
                <w:sz w:val="17"/>
              </w:rPr>
              <w:t>Monthly; weekly from 1 November 2027</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Go / no-go board</w:t>
            </w:r>
          </w:p>
        </w:tc>
        <w:tc>
          <w:tcPr>
            <w:tcW w:type="dxa" w:w="3244"/>
            <w:tcMar>
              <w:top w:w="50" w:type="dxa"/>
              <w:bottom w:w="50" w:type="dxa"/>
              <w:left w:w="90" w:type="dxa"/>
              <w:right w:w="90" w:type="dxa"/>
            </w:tcMar>
            <w:shd w:val="clear" w:color="auto" w:fill="E5F5FF"/>
          </w:tcPr>
          <w:p>
            <w:pPr>
              <w:pStyle w:val="BDOITable"/>
            </w:pPr>
            <w:r>
              <w:rPr>
                <w:sz w:val="17"/>
              </w:rPr>
              <w:t>Program Manager (chair); Heads of Operations, Comptrollership, Marketing and Compliance; Head of BDOI IT; iorta TechNXT Project Manager</w:t>
            </w:r>
          </w:p>
        </w:tc>
        <w:tc>
          <w:tcPr>
            <w:tcW w:type="dxa" w:w="2523"/>
            <w:tcMar>
              <w:top w:w="50" w:type="dxa"/>
              <w:bottom w:w="50" w:type="dxa"/>
              <w:left w:w="90" w:type="dxa"/>
              <w:right w:w="90" w:type="dxa"/>
            </w:tcMar>
            <w:shd w:val="clear" w:color="auto" w:fill="E5F5FF"/>
          </w:tcPr>
          <w:p>
            <w:pPr>
              <w:pStyle w:val="BDOITable"/>
            </w:pPr>
            <w:r>
              <w:rPr>
                <w:sz w:val="17"/>
              </w:rPr>
              <w:t>GNG-1, GNG-2, GNG-3, the point of no return, rollback, waivers</w:t>
            </w:r>
          </w:p>
        </w:tc>
        <w:tc>
          <w:tcPr>
            <w:tcW w:type="dxa" w:w="2163"/>
            <w:tcMar>
              <w:top w:w="50" w:type="dxa"/>
              <w:bottom w:w="50" w:type="dxa"/>
              <w:left w:w="90" w:type="dxa"/>
              <w:right w:w="90" w:type="dxa"/>
            </w:tcMar>
            <w:shd w:val="clear" w:color="auto" w:fill="E5F5FF"/>
          </w:tcPr>
          <w:p>
            <w:pPr>
              <w:pStyle w:val="BDOITable"/>
            </w:pPr>
            <w:r>
              <w:rPr>
                <w:sz w:val="17"/>
              </w:rPr>
              <w:t>At each checkpoint; at once on a stop condition</w:t>
            </w:r>
          </w:p>
        </w:tc>
      </w:tr>
      <w:tr>
        <w:trPr>
          <w:cantSplit w:val="true"/>
        </w:trPr>
        <w:tc>
          <w:tcPr>
            <w:tcW w:type="dxa" w:w="2042"/>
            <w:tcMar>
              <w:top w:w="50" w:type="dxa"/>
              <w:bottom w:w="50" w:type="dxa"/>
              <w:left w:w="90" w:type="dxa"/>
              <w:right w:w="90" w:type="dxa"/>
            </w:tcMar>
          </w:tcPr>
          <w:p>
            <w:pPr>
              <w:pStyle w:val="BDOITable"/>
            </w:pPr>
            <w:r>
              <w:rPr>
                <w:b/>
                <w:sz w:val="17"/>
              </w:rPr>
              <w:t>Readiness reviews</w:t>
            </w:r>
          </w:p>
        </w:tc>
        <w:tc>
          <w:tcPr>
            <w:tcW w:type="dxa" w:w="3244"/>
            <w:tcMar>
              <w:top w:w="50" w:type="dxa"/>
              <w:bottom w:w="50" w:type="dxa"/>
              <w:left w:w="90" w:type="dxa"/>
              <w:right w:w="90" w:type="dxa"/>
            </w:tcMar>
          </w:tcPr>
          <w:p>
            <w:pPr>
              <w:pStyle w:val="BDOITable"/>
            </w:pPr>
            <w:r>
              <w:rPr>
                <w:sz w:val="17"/>
              </w:rPr>
              <w:t>ORR: BIBS Service Owner (chair), BDO Cloud Operations, Information Security Officer, iorta TechNXT; PRR: Head of BDOI IT (chair), BIBS Product Owner, Program Manager, iorta TechNXT</w:t>
            </w:r>
          </w:p>
        </w:tc>
        <w:tc>
          <w:tcPr>
            <w:tcW w:type="dxa" w:w="2523"/>
            <w:tcMar>
              <w:top w:w="50" w:type="dxa"/>
              <w:bottom w:w="50" w:type="dxa"/>
              <w:left w:w="90" w:type="dxa"/>
              <w:right w:w="90" w:type="dxa"/>
            </w:tcMar>
          </w:tcPr>
          <w:p>
            <w:pPr>
              <w:pStyle w:val="BDOITable"/>
            </w:pPr>
            <w:r>
              <w:rPr>
                <w:sz w:val="17"/>
              </w:rPr>
              <w:t>Operational and production readiness (R5)</w:t>
            </w:r>
          </w:p>
        </w:tc>
        <w:tc>
          <w:tcPr>
            <w:tcW w:type="dxa" w:w="2163"/>
            <w:tcMar>
              <w:top w:w="50" w:type="dxa"/>
              <w:bottom w:w="50" w:type="dxa"/>
              <w:left w:w="90" w:type="dxa"/>
              <w:right w:w="90" w:type="dxa"/>
            </w:tcMar>
          </w:tcPr>
          <w:p>
            <w:pPr>
              <w:pStyle w:val="BDOITable"/>
            </w:pPr>
            <w:r>
              <w:rPr>
                <w:sz w:val="17"/>
              </w:rPr>
              <w:t>ORR 15 Dec 2027; PRR 17 Dec 2027</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Cutover command centre</w:t>
            </w:r>
          </w:p>
        </w:tc>
        <w:tc>
          <w:tcPr>
            <w:tcW w:type="dxa" w:w="3244"/>
            <w:tcMar>
              <w:top w:w="50" w:type="dxa"/>
              <w:bottom w:w="50" w:type="dxa"/>
              <w:left w:w="90" w:type="dxa"/>
              <w:right w:w="90" w:type="dxa"/>
            </w:tcMar>
            <w:shd w:val="clear" w:color="auto" w:fill="E5F5FF"/>
          </w:tcPr>
          <w:p>
            <w:pPr>
              <w:pStyle w:val="BDOITable"/>
            </w:pPr>
            <w:r>
              <w:rPr>
                <w:sz w:val="17"/>
              </w:rPr>
              <w:t>Data Migration Lead, iorta TechNXT Project Manager and Migration Lead, task owners on duty</w:t>
            </w:r>
          </w:p>
        </w:tc>
        <w:tc>
          <w:tcPr>
            <w:tcW w:type="dxa" w:w="2523"/>
            <w:tcMar>
              <w:top w:w="50" w:type="dxa"/>
              <w:bottom w:w="50" w:type="dxa"/>
              <w:left w:w="90" w:type="dxa"/>
              <w:right w:w="90" w:type="dxa"/>
            </w:tcMar>
            <w:shd w:val="clear" w:color="auto" w:fill="E5F5FF"/>
          </w:tcPr>
          <w:p>
            <w:pPr>
              <w:pStyle w:val="BDOITable"/>
            </w:pPr>
            <w:r>
              <w:rPr>
                <w:sz w:val="17"/>
              </w:rPr>
              <w:t>Execution within the plan; escalation to the board</w:t>
            </w:r>
          </w:p>
        </w:tc>
        <w:tc>
          <w:tcPr>
            <w:tcW w:type="dxa" w:w="2163"/>
            <w:tcMar>
              <w:top w:w="50" w:type="dxa"/>
              <w:bottom w:w="50" w:type="dxa"/>
              <w:left w:w="90" w:type="dxa"/>
              <w:right w:w="90" w:type="dxa"/>
            </w:tcMar>
            <w:shd w:val="clear" w:color="auto" w:fill="E5F5FF"/>
          </w:tcPr>
          <w:p>
            <w:pPr>
              <w:pStyle w:val="BDOITable"/>
            </w:pPr>
            <w:r>
              <w:rPr>
                <w:sz w:val="17"/>
              </w:rPr>
              <w:t>T-3 17:00 to T+5; daily 17:00 to hypercare exit</w:t>
            </w:r>
          </w:p>
        </w:tc>
      </w:tr>
      <w:tr>
        <w:trPr>
          <w:cantSplit w:val="true"/>
        </w:trPr>
        <w:tc>
          <w:tcPr>
            <w:tcW w:type="dxa" w:w="2042"/>
            <w:tcMar>
              <w:top w:w="50" w:type="dxa"/>
              <w:bottom w:w="50" w:type="dxa"/>
              <w:left w:w="90" w:type="dxa"/>
              <w:right w:w="90" w:type="dxa"/>
            </w:tcMar>
          </w:tcPr>
          <w:p>
            <w:pPr>
              <w:pStyle w:val="BDOITable"/>
            </w:pPr>
            <w:r>
              <w:rPr>
                <w:b/>
                <w:sz w:val="17"/>
              </w:rPr>
              <w:t>BIBS Change Advisory Board</w:t>
            </w:r>
          </w:p>
        </w:tc>
        <w:tc>
          <w:tcPr>
            <w:tcW w:type="dxa" w:w="3244"/>
            <w:tcMar>
              <w:top w:w="50" w:type="dxa"/>
              <w:bottom w:w="50" w:type="dxa"/>
              <w:left w:w="90" w:type="dxa"/>
              <w:right w:w="90" w:type="dxa"/>
            </w:tcMar>
          </w:tcPr>
          <w:p>
            <w:pPr>
              <w:pStyle w:val="BDOITable"/>
            </w:pPr>
            <w:r>
              <w:rPr>
                <w:sz w:val="17"/>
              </w:rPr>
              <w:t>BIBS Product Owner (chair), Service Owner, Cloud Operations, Information Security Officer, iorta TechNXT</w:t>
            </w:r>
          </w:p>
        </w:tc>
        <w:tc>
          <w:tcPr>
            <w:tcW w:type="dxa" w:w="2523"/>
            <w:tcMar>
              <w:top w:w="50" w:type="dxa"/>
              <w:bottom w:w="50" w:type="dxa"/>
              <w:left w:w="90" w:type="dxa"/>
              <w:right w:w="90" w:type="dxa"/>
            </w:tcMar>
          </w:tcPr>
          <w:p>
            <w:pPr>
              <w:pStyle w:val="BDOITable"/>
            </w:pPr>
            <w:r>
              <w:rPr>
                <w:sz w:val="17"/>
              </w:rPr>
              <w:t>Production changes; from T-7 only hotfixes of Critical issues approved by the go / no-go board</w:t>
            </w:r>
          </w:p>
        </w:tc>
        <w:tc>
          <w:tcPr>
            <w:tcW w:type="dxa" w:w="2163"/>
            <w:tcMar>
              <w:top w:w="50" w:type="dxa"/>
              <w:bottom w:w="50" w:type="dxa"/>
              <w:left w:w="90" w:type="dxa"/>
              <w:right w:w="90" w:type="dxa"/>
            </w:tcMar>
          </w:tcPr>
          <w:p>
            <w:pPr>
              <w:pStyle w:val="BDOITable"/>
            </w:pPr>
            <w:r>
              <w:rPr>
                <w:sz w:val="17"/>
              </w:rPr>
              <w:t>Weekly; daily in the release freeze</w:t>
            </w:r>
          </w:p>
        </w:tc>
      </w:tr>
    </w:tbl>
    <w:p>
      <w:pPr>
        <w:pStyle w:val="BDOISpacer"/>
      </w:pPr>
    </w:p>
    <w:p>
      <w:pPr>
        <w:pStyle w:val="Heading2"/>
      </w:pPr>
      <w:bookmarkStart w:id="110" w:name="_Toc000110"/>
      <w:r>
        <w:rPr/>
        <w:t>3.2 RACI</w:t>
      </w:r>
      <w:bookmarkEnd w:id="110"/>
    </w:p>
    <w:p>
      <w:pPr>
        <w:pStyle w:val="Caption"/>
        <w:keepNext/>
        <w:spacing w:after="60"/>
      </w:pPr>
      <w:r>
        <w:rPr>
          <w:b/>
          <w:i w:val="0"/>
        </w:rPr>
        <w:t xml:space="preserve">Table 4: </w:t>
      </w:r>
      <w:r>
        <w:rPr/>
        <w:t>RACI of the go-live. SC = Steering Committee; GNG = go / no-go board; PM = BDOI Program Manager; DML = Data Migration Lead; BU = business heads and data owners; BIT = BDOI IT; CLO = BDO Cloud Operations; IPM = iorta TechNXT Project Manager; ITM = iorta TechNXT migration and infrastructure team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49"/>
        <w:gridCol w:w="758"/>
        <w:gridCol w:w="758"/>
        <w:gridCol w:w="758"/>
        <w:gridCol w:w="758"/>
        <w:gridCol w:w="758"/>
        <w:gridCol w:w="758"/>
        <w:gridCol w:w="758"/>
        <w:gridCol w:w="758"/>
        <w:gridCol w:w="758"/>
      </w:tblGrid>
      <w:tr>
        <w:trPr>
          <w:tblHeader w:val="true"/>
          <w:cantSplit w:val="true"/>
        </w:trPr>
        <w:tc>
          <w:tcPr>
            <w:tcW w:type="dxa" w:w="3149"/>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SC</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GNG</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PM</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DML</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BU</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BIT</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CLO</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IPM</w:t>
            </w:r>
          </w:p>
        </w:tc>
        <w:tc>
          <w:tcPr>
            <w:tcW w:type="dxa" w:w="758"/>
            <w:shd w:val="clear" w:color="auto" w:fill="004EA8"/>
            <w:tcMar>
              <w:top w:w="50" w:type="dxa"/>
              <w:bottom w:w="50" w:type="dxa"/>
              <w:left w:w="90" w:type="dxa"/>
              <w:right w:w="90" w:type="dxa"/>
            </w:tcMar>
            <w:vAlign w:val="center"/>
          </w:tcPr>
          <w:p>
            <w:pPr>
              <w:pStyle w:val="BDOITableHeader"/>
            </w:pPr>
            <w:r>
              <w:rPr>
                <w:b/>
                <w:color w:val="FFFFFF"/>
                <w:sz w:val="16"/>
              </w:rPr>
              <w:t>ITM</w:t>
            </w:r>
          </w:p>
        </w:tc>
      </w:tr>
      <w:tr>
        <w:trPr>
          <w:cantSplit w:val="true"/>
        </w:trPr>
        <w:tc>
          <w:tcPr>
            <w:tcW w:type="dxa" w:w="3149"/>
            <w:tcMar>
              <w:top w:w="50" w:type="dxa"/>
              <w:bottom w:w="50" w:type="dxa"/>
              <w:left w:w="90" w:type="dxa"/>
              <w:right w:w="90" w:type="dxa"/>
            </w:tcMar>
          </w:tcPr>
          <w:p>
            <w:pPr>
              <w:pStyle w:val="BDOITable"/>
            </w:pPr>
            <w:r>
              <w:rPr>
                <w:sz w:val="16"/>
              </w:rPr>
              <w:t>Go-live date and year-end option</w:t>
            </w:r>
          </w:p>
        </w:tc>
        <w:tc>
          <w:tcPr>
            <w:tcW w:type="dxa" w:w="758"/>
            <w:tcMar>
              <w:top w:w="50" w:type="dxa"/>
              <w:bottom w:w="50" w:type="dxa"/>
              <w:left w:w="90" w:type="dxa"/>
              <w:right w:w="90" w:type="dxa"/>
            </w:tcMar>
          </w:tcPr>
          <w:p>
            <w:pPr>
              <w:pStyle w:val="BDOITable"/>
            </w:pPr>
            <w:r>
              <w:rPr>
                <w:sz w:val="16"/>
              </w:rPr>
              <w:t>A</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I</w:t>
            </w:r>
          </w:p>
        </w:tc>
      </w:tr>
      <w:tr>
        <w:trPr>
          <w:cantSplit w:val="true"/>
        </w:trPr>
        <w:tc>
          <w:tcPr>
            <w:tcW w:type="dxa" w:w="3149"/>
            <w:tcMar>
              <w:top w:w="50" w:type="dxa"/>
              <w:bottom w:w="50" w:type="dxa"/>
              <w:left w:w="90" w:type="dxa"/>
              <w:right w:w="90" w:type="dxa"/>
            </w:tcMar>
            <w:shd w:val="clear" w:color="auto" w:fill="E5F5FF"/>
          </w:tcPr>
          <w:p>
            <w:pPr>
              <w:pStyle w:val="BDOITable"/>
            </w:pPr>
            <w:r>
              <w:rPr>
                <w:sz w:val="16"/>
              </w:rPr>
              <w:t>Readiness reviews (ORR, PRR)</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A</w:t>
            </w:r>
          </w:p>
        </w:tc>
        <w:tc>
          <w:tcPr>
            <w:tcW w:type="dxa" w:w="758"/>
            <w:tcMar>
              <w:top w:w="50" w:type="dxa"/>
              <w:bottom w:w="50" w:type="dxa"/>
              <w:left w:w="90" w:type="dxa"/>
              <w:right w:w="90" w:type="dxa"/>
            </w:tcMar>
            <w:shd w:val="clear" w:color="auto" w:fill="E5F5FF"/>
          </w:tcPr>
          <w:p>
            <w:pPr>
              <w:pStyle w:val="BDOITable"/>
            </w:pPr>
            <w:r>
              <w:rPr>
                <w:sz w:val="16"/>
              </w:rPr>
              <w:t>C</w:t>
            </w:r>
          </w:p>
        </w:tc>
        <w:tc>
          <w:tcPr>
            <w:tcW w:type="dxa" w:w="758"/>
            <w:tcMar>
              <w:top w:w="50" w:type="dxa"/>
              <w:bottom w:w="50" w:type="dxa"/>
              <w:left w:w="90" w:type="dxa"/>
              <w:right w:w="90" w:type="dxa"/>
            </w:tcMar>
            <w:shd w:val="clear" w:color="auto" w:fill="E5F5FF"/>
          </w:tcPr>
          <w:p>
            <w:pPr>
              <w:pStyle w:val="BDOITable"/>
            </w:pPr>
            <w:r>
              <w:rPr>
                <w:sz w:val="16"/>
              </w:rPr>
              <w:t>C</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149"/>
            <w:tcMar>
              <w:top w:w="50" w:type="dxa"/>
              <w:bottom w:w="50" w:type="dxa"/>
              <w:left w:w="90" w:type="dxa"/>
              <w:right w:w="90" w:type="dxa"/>
            </w:tcMar>
          </w:tcPr>
          <w:p>
            <w:pPr>
              <w:pStyle w:val="BDOITable"/>
            </w:pPr>
            <w:r>
              <w:rPr>
                <w:sz w:val="16"/>
              </w:rPr>
              <w:t>Mock migrations and dress rehearsals</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A</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R</w:t>
            </w:r>
          </w:p>
        </w:tc>
      </w:tr>
      <w:tr>
        <w:trPr>
          <w:cantSplit w:val="true"/>
        </w:trPr>
        <w:tc>
          <w:tcPr>
            <w:tcW w:type="dxa" w:w="3149"/>
            <w:tcMar>
              <w:top w:w="50" w:type="dxa"/>
              <w:bottom w:w="50" w:type="dxa"/>
              <w:left w:w="90" w:type="dxa"/>
              <w:right w:w="90" w:type="dxa"/>
            </w:tcMar>
            <w:shd w:val="clear" w:color="auto" w:fill="E5F5FF"/>
          </w:tcPr>
          <w:p>
            <w:pPr>
              <w:pStyle w:val="BDOITable"/>
            </w:pPr>
            <w:r>
              <w:rPr>
                <w:sz w:val="16"/>
              </w:rPr>
              <w:t>Production and DR environments</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w:t>
            </w:r>
          </w:p>
        </w:tc>
        <w:tc>
          <w:tcPr>
            <w:tcW w:type="dxa" w:w="758"/>
            <w:tcMar>
              <w:top w:w="50" w:type="dxa"/>
              <w:bottom w:w="50" w:type="dxa"/>
              <w:left w:w="90" w:type="dxa"/>
              <w:right w:w="90" w:type="dxa"/>
            </w:tcMar>
            <w:shd w:val="clear" w:color="auto" w:fill="E5F5FF"/>
          </w:tcPr>
          <w:p>
            <w:pPr>
              <w:pStyle w:val="BDOITable"/>
            </w:pPr>
            <w:r>
              <w:rPr>
                <w:sz w:val="16"/>
              </w:rPr>
              <w:t>A</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C</w:t>
            </w:r>
          </w:p>
        </w:tc>
        <w:tc>
          <w:tcPr>
            <w:tcW w:type="dxa" w:w="758"/>
            <w:tcMar>
              <w:top w:w="50" w:type="dxa"/>
              <w:bottom w:w="50" w:type="dxa"/>
              <w:left w:w="90" w:type="dxa"/>
              <w:right w:w="90" w:type="dxa"/>
            </w:tcMar>
            <w:shd w:val="clear" w:color="auto" w:fill="E5F5FF"/>
          </w:tcPr>
          <w:p>
            <w:pPr>
              <w:pStyle w:val="BDOITable"/>
            </w:pPr>
            <w:r>
              <w:rPr>
                <w:sz w:val="16"/>
              </w:rPr>
              <w:t>R</w:t>
            </w:r>
          </w:p>
        </w:tc>
      </w:tr>
      <w:tr>
        <w:trPr>
          <w:cantSplit w:val="true"/>
        </w:trPr>
        <w:tc>
          <w:tcPr>
            <w:tcW w:type="dxa" w:w="3149"/>
            <w:tcMar>
              <w:top w:w="50" w:type="dxa"/>
              <w:bottom w:w="50" w:type="dxa"/>
              <w:left w:w="90" w:type="dxa"/>
              <w:right w:w="90" w:type="dxa"/>
            </w:tcMar>
          </w:tcPr>
          <w:p>
            <w:pPr>
              <w:pStyle w:val="BDOITable"/>
            </w:pPr>
            <w:r>
              <w:rPr>
                <w:sz w:val="16"/>
              </w:rPr>
              <w:t>Go / no-go decisions</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A</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r>
      <w:tr>
        <w:trPr>
          <w:cantSplit w:val="true"/>
        </w:trPr>
        <w:tc>
          <w:tcPr>
            <w:tcW w:type="dxa" w:w="3149"/>
            <w:tcMar>
              <w:top w:w="50" w:type="dxa"/>
              <w:bottom w:w="50" w:type="dxa"/>
              <w:left w:w="90" w:type="dxa"/>
              <w:right w:w="90" w:type="dxa"/>
            </w:tcMar>
            <w:shd w:val="clear" w:color="auto" w:fill="E5F5FF"/>
          </w:tcPr>
          <w:p>
            <w:pPr>
              <w:pStyle w:val="BDOITable"/>
            </w:pPr>
            <w:r>
              <w:rPr>
                <w:sz w:val="16"/>
              </w:rPr>
              <w:t>Legacy freeze</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A</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C</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149"/>
            <w:tcMar>
              <w:top w:w="50" w:type="dxa"/>
              <w:bottom w:w="50" w:type="dxa"/>
              <w:left w:w="90" w:type="dxa"/>
              <w:right w:w="90" w:type="dxa"/>
            </w:tcMar>
          </w:tcPr>
          <w:p>
            <w:pPr>
              <w:pStyle w:val="BDOITable"/>
            </w:pPr>
            <w:r>
              <w:rPr>
                <w:sz w:val="16"/>
              </w:rPr>
              <w:t>Production load and reconciliation</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A</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R</w:t>
            </w:r>
          </w:p>
        </w:tc>
      </w:tr>
      <w:tr>
        <w:trPr>
          <w:cantSplit w:val="true"/>
        </w:trPr>
        <w:tc>
          <w:tcPr>
            <w:tcW w:type="dxa" w:w="3149"/>
            <w:tcMar>
              <w:top w:w="50" w:type="dxa"/>
              <w:bottom w:w="50" w:type="dxa"/>
              <w:left w:w="90" w:type="dxa"/>
              <w:right w:w="90" w:type="dxa"/>
            </w:tcMar>
            <w:shd w:val="clear" w:color="auto" w:fill="E5F5FF"/>
          </w:tcPr>
          <w:p>
            <w:pPr>
              <w:pStyle w:val="BDOITable"/>
            </w:pPr>
            <w:r>
              <w:rPr>
                <w:sz w:val="16"/>
              </w:rPr>
              <w:t>Business validation (G6)</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A</w:t>
            </w:r>
          </w:p>
        </w:tc>
        <w:tc>
          <w:tcPr>
            <w:tcW w:type="dxa" w:w="758"/>
            <w:tcMar>
              <w:top w:w="50" w:type="dxa"/>
              <w:bottom w:w="50" w:type="dxa"/>
              <w:left w:w="90" w:type="dxa"/>
              <w:right w:w="90" w:type="dxa"/>
            </w:tcMar>
            <w:shd w:val="clear" w:color="auto" w:fill="E5F5FF"/>
          </w:tcPr>
          <w:p>
            <w:pPr>
              <w:pStyle w:val="BDOITable"/>
            </w:pPr>
            <w:r>
              <w:rPr>
                <w:sz w:val="16"/>
              </w:rPr>
              <w:t>-</w:t>
            </w:r>
          </w:p>
        </w:tc>
        <w:tc>
          <w:tcPr>
            <w:tcW w:type="dxa" w:w="758"/>
            <w:tcMar>
              <w:top w:w="50" w:type="dxa"/>
              <w:bottom w:w="50" w:type="dxa"/>
              <w:left w:w="90" w:type="dxa"/>
              <w:right w:w="90" w:type="dxa"/>
            </w:tcMar>
            <w:shd w:val="clear" w:color="auto" w:fill="E5F5FF"/>
          </w:tcPr>
          <w:p>
            <w:pPr>
              <w:pStyle w:val="BDOITable"/>
            </w:pPr>
            <w:r>
              <w:rPr>
                <w:sz w:val="16"/>
              </w:rPr>
              <w:t>-</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149"/>
            <w:tcMar>
              <w:top w:w="50" w:type="dxa"/>
              <w:bottom w:w="50" w:type="dxa"/>
              <w:left w:w="90" w:type="dxa"/>
              <w:right w:w="90" w:type="dxa"/>
            </w:tcMar>
          </w:tcPr>
          <w:p>
            <w:pPr>
              <w:pStyle w:val="BDOITable"/>
            </w:pPr>
            <w:r>
              <w:rPr>
                <w:sz w:val="16"/>
              </w:rPr>
              <w:t>Technical cutover</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w:t>
            </w:r>
          </w:p>
        </w:tc>
        <w:tc>
          <w:tcPr>
            <w:tcW w:type="dxa" w:w="758"/>
            <w:tcMar>
              <w:top w:w="50" w:type="dxa"/>
              <w:bottom w:w="50" w:type="dxa"/>
              <w:left w:w="90" w:type="dxa"/>
              <w:right w:w="90" w:type="dxa"/>
            </w:tcMar>
          </w:tcPr>
          <w:p>
            <w:pPr>
              <w:pStyle w:val="BDOITable"/>
            </w:pPr>
            <w:r>
              <w:rPr>
                <w:sz w:val="16"/>
              </w:rPr>
              <w:t>A</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R</w:t>
            </w:r>
          </w:p>
        </w:tc>
      </w:tr>
      <w:tr>
        <w:trPr>
          <w:cantSplit w:val="true"/>
        </w:trPr>
        <w:tc>
          <w:tcPr>
            <w:tcW w:type="dxa" w:w="3149"/>
            <w:tcMar>
              <w:top w:w="50" w:type="dxa"/>
              <w:bottom w:w="50" w:type="dxa"/>
              <w:left w:w="90" w:type="dxa"/>
              <w:right w:w="90" w:type="dxa"/>
            </w:tcMar>
            <w:shd w:val="clear" w:color="auto" w:fill="E5F5FF"/>
          </w:tcPr>
          <w:p>
            <w:pPr>
              <w:pStyle w:val="BDOITable"/>
            </w:pPr>
            <w:r>
              <w:rPr>
                <w:sz w:val="16"/>
              </w:rPr>
              <w:t>Rollback</w:t>
            </w:r>
          </w:p>
        </w:tc>
        <w:tc>
          <w:tcPr>
            <w:tcW w:type="dxa" w:w="758"/>
            <w:tcMar>
              <w:top w:w="50" w:type="dxa"/>
              <w:bottom w:w="50" w:type="dxa"/>
              <w:left w:w="90" w:type="dxa"/>
              <w:right w:w="90" w:type="dxa"/>
            </w:tcMar>
            <w:shd w:val="clear" w:color="auto" w:fill="E5F5FF"/>
          </w:tcPr>
          <w:p>
            <w:pPr>
              <w:pStyle w:val="BDOITable"/>
            </w:pPr>
            <w:r>
              <w:rPr>
                <w:sz w:val="16"/>
              </w:rPr>
              <w:t>I</w:t>
            </w:r>
          </w:p>
        </w:tc>
        <w:tc>
          <w:tcPr>
            <w:tcW w:type="dxa" w:w="758"/>
            <w:tcMar>
              <w:top w:w="50" w:type="dxa"/>
              <w:bottom w:w="50" w:type="dxa"/>
              <w:left w:w="90" w:type="dxa"/>
              <w:right w:w="90" w:type="dxa"/>
            </w:tcMar>
            <w:shd w:val="clear" w:color="auto" w:fill="E5F5FF"/>
          </w:tcPr>
          <w:p>
            <w:pPr>
              <w:pStyle w:val="BDOITable"/>
            </w:pPr>
            <w:r>
              <w:rPr>
                <w:sz w:val="16"/>
              </w:rPr>
              <w:t>A</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C</w:t>
            </w:r>
          </w:p>
        </w:tc>
        <w:tc>
          <w:tcPr>
            <w:tcW w:type="dxa" w:w="758"/>
            <w:tcMar>
              <w:top w:w="50" w:type="dxa"/>
              <w:bottom w:w="50" w:type="dxa"/>
              <w:left w:w="90" w:type="dxa"/>
              <w:right w:w="90" w:type="dxa"/>
            </w:tcMar>
            <w:shd w:val="clear" w:color="auto" w:fill="E5F5FF"/>
          </w:tcPr>
          <w:p>
            <w:pPr>
              <w:pStyle w:val="BDOITable"/>
            </w:pPr>
            <w:r>
              <w:rPr>
                <w:sz w:val="16"/>
              </w:rPr>
              <w:t>C</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R</w:t>
            </w:r>
          </w:p>
        </w:tc>
        <w:tc>
          <w:tcPr>
            <w:tcW w:type="dxa" w:w="758"/>
            <w:tcMar>
              <w:top w:w="50" w:type="dxa"/>
              <w:bottom w:w="50" w:type="dxa"/>
              <w:left w:w="90" w:type="dxa"/>
              <w:right w:w="90" w:type="dxa"/>
            </w:tcMar>
            <w:shd w:val="clear" w:color="auto" w:fill="E5F5FF"/>
          </w:tcPr>
          <w:p>
            <w:pPr>
              <w:pStyle w:val="BDOITable"/>
            </w:pPr>
            <w:r>
              <w:rPr>
                <w:sz w:val="16"/>
              </w:rPr>
              <w:t>R</w:t>
            </w:r>
          </w:p>
        </w:tc>
      </w:tr>
      <w:tr>
        <w:trPr>
          <w:cantSplit w:val="true"/>
        </w:trPr>
        <w:tc>
          <w:tcPr>
            <w:tcW w:type="dxa" w:w="3149"/>
            <w:tcMar>
              <w:top w:w="50" w:type="dxa"/>
              <w:bottom w:w="50" w:type="dxa"/>
              <w:left w:w="90" w:type="dxa"/>
              <w:right w:w="90" w:type="dxa"/>
            </w:tcMar>
          </w:tcPr>
          <w:p>
            <w:pPr>
              <w:pStyle w:val="BDOITable"/>
            </w:pPr>
            <w:r>
              <w:rPr>
                <w:sz w:val="16"/>
              </w:rPr>
              <w:t>Communication</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I</w:t>
            </w:r>
          </w:p>
        </w:tc>
        <w:tc>
          <w:tcPr>
            <w:tcW w:type="dxa" w:w="758"/>
            <w:tcMar>
              <w:top w:w="50" w:type="dxa"/>
              <w:bottom w:w="50" w:type="dxa"/>
              <w:left w:w="90" w:type="dxa"/>
              <w:right w:w="90" w:type="dxa"/>
            </w:tcMar>
          </w:tcPr>
          <w:p>
            <w:pPr>
              <w:pStyle w:val="BDOITable"/>
            </w:pPr>
            <w:r>
              <w:rPr>
                <w:sz w:val="16"/>
              </w:rPr>
              <w:t>A</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C</w:t>
            </w:r>
          </w:p>
        </w:tc>
        <w:tc>
          <w:tcPr>
            <w:tcW w:type="dxa" w:w="758"/>
            <w:tcMar>
              <w:top w:w="50" w:type="dxa"/>
              <w:bottom w:w="50" w:type="dxa"/>
              <w:left w:w="90" w:type="dxa"/>
              <w:right w:w="90" w:type="dxa"/>
            </w:tcMar>
          </w:tcPr>
          <w:p>
            <w:pPr>
              <w:pStyle w:val="BDOITable"/>
            </w:pPr>
            <w:r>
              <w:rPr>
                <w:sz w:val="16"/>
              </w:rPr>
              <w:t>-</w:t>
            </w:r>
          </w:p>
        </w:tc>
        <w:tc>
          <w:tcPr>
            <w:tcW w:type="dxa" w:w="758"/>
            <w:tcMar>
              <w:top w:w="50" w:type="dxa"/>
              <w:bottom w:w="50" w:type="dxa"/>
              <w:left w:w="90" w:type="dxa"/>
              <w:right w:w="90" w:type="dxa"/>
            </w:tcMar>
          </w:tcPr>
          <w:p>
            <w:pPr>
              <w:pStyle w:val="BDOITable"/>
            </w:pPr>
            <w:r>
              <w:rPr>
                <w:sz w:val="16"/>
              </w:rPr>
              <w:t>R</w:t>
            </w:r>
          </w:p>
        </w:tc>
        <w:tc>
          <w:tcPr>
            <w:tcW w:type="dxa" w:w="758"/>
            <w:tcMar>
              <w:top w:w="50" w:type="dxa"/>
              <w:bottom w:w="50" w:type="dxa"/>
              <w:left w:w="90" w:type="dxa"/>
              <w:right w:w="90" w:type="dxa"/>
            </w:tcMar>
          </w:tcPr>
          <w:p>
            <w:pPr>
              <w:pStyle w:val="BDOITable"/>
            </w:pPr>
            <w:r>
              <w:rPr>
                <w:sz w:val="16"/>
              </w:rPr>
              <w:t>-</w:t>
            </w:r>
          </w:p>
        </w:tc>
      </w:tr>
    </w:tbl>
    <w:p>
      <w:pPr>
        <w:pStyle w:val="BDOISpacer"/>
      </w:pPr>
    </w:p>
    <w:p>
      <w:pPr>
        <w:pStyle w:val="Heading1"/>
        <w:pageBreakBefore/>
        <w:pBdr>
          <w:bottom w:val="single" w:sz="4" w:space="4" w:color="99C1E7"/>
        </w:pBdr>
      </w:pPr>
      <w:bookmarkStart w:id="111" w:name="_Toc000111"/>
      <w:r>
        <w:rPr/>
        <w:t>4 Go / no-go criteria</w:t>
      </w:r>
      <w:bookmarkEnd w:id="111"/>
    </w:p>
    <w:p>
      <w:pPr>
        <w:pStyle w:val="Heading2"/>
      </w:pPr>
      <w:bookmarkStart w:id="112" w:name="_Toc000112"/>
      <w:r>
        <w:rPr/>
        <w:t>4.1 Gates</w:t>
      </w:r>
      <w:bookmarkEnd w:id="112"/>
    </w:p>
    <w:p>
      <w:r>
        <w:rPr/>
        <w:t>Five gates lead to the go-live. Each gate is recorded with the value of every criterion at the time of the decision. A criterion that is not met blocks GO unless the board records a waiver with its reason; the financial and clearing criteria of GNG-3 are never waived (R1, Part D).</w:t>
      </w:r>
    </w:p>
    <w:p>
      <w:pPr>
        <w:pStyle w:val="Caption"/>
        <w:keepNext/>
        <w:spacing w:after="60"/>
      </w:pPr>
      <w:r>
        <w:rPr>
          <w:b/>
          <w:i w:val="0"/>
        </w:rPr>
        <w:t xml:space="preserve">Table 5: </w:t>
      </w:r>
      <w:r>
        <w:rPr/>
        <w:t>Readiness and go / no-go gates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2042"/>
        <w:gridCol w:w="1922"/>
        <w:gridCol w:w="4806"/>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7"/>
              </w:rPr>
              <w:t>Gate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Decides</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Criteria</w:t>
            </w:r>
          </w:p>
        </w:tc>
      </w:tr>
      <w:tr>
        <w:trPr>
          <w:cantSplit w:val="true"/>
        </w:trPr>
        <w:tc>
          <w:tcPr>
            <w:tcW w:type="dxa" w:w="1201"/>
            <w:tcMar>
              <w:top w:w="50" w:type="dxa"/>
              <w:bottom w:w="50" w:type="dxa"/>
              <w:left w:w="90" w:type="dxa"/>
              <w:right w:w="90" w:type="dxa"/>
            </w:tcMar>
          </w:tcPr>
          <w:p>
            <w:pPr>
              <w:pStyle w:val="BDOITable"/>
            </w:pPr>
            <w:r>
              <w:rPr>
                <w:b/>
                <w:sz w:val="17"/>
              </w:rPr>
              <w:t>ORR</w:t>
            </w:r>
          </w:p>
        </w:tc>
        <w:tc>
          <w:tcPr>
            <w:tcW w:type="dxa" w:w="2042"/>
            <w:tcMar>
              <w:top w:w="50" w:type="dxa"/>
              <w:bottom w:w="50" w:type="dxa"/>
              <w:left w:w="90" w:type="dxa"/>
              <w:right w:w="90" w:type="dxa"/>
            </w:tcMar>
          </w:tcPr>
          <w:p>
            <w:pPr>
              <w:pStyle w:val="BDOITable"/>
            </w:pPr>
            <w:r>
              <w:rPr>
                <w:sz w:val="17"/>
              </w:rPr>
              <w:t>15 Dec 2027</w:t>
            </w:r>
          </w:p>
        </w:tc>
        <w:tc>
          <w:tcPr>
            <w:tcW w:type="dxa" w:w="1922"/>
            <w:tcMar>
              <w:top w:w="50" w:type="dxa"/>
              <w:bottom w:w="50" w:type="dxa"/>
              <w:left w:w="90" w:type="dxa"/>
              <w:right w:w="90" w:type="dxa"/>
            </w:tcMar>
          </w:tcPr>
          <w:p>
            <w:pPr>
              <w:pStyle w:val="BDOITable"/>
            </w:pPr>
            <w:r>
              <w:rPr>
                <w:sz w:val="17"/>
              </w:rPr>
              <w:t>Operations ready</w:t>
            </w:r>
          </w:p>
        </w:tc>
        <w:tc>
          <w:tcPr>
            <w:tcW w:type="dxa" w:w="4806"/>
            <w:tcMar>
              <w:top w:w="50" w:type="dxa"/>
              <w:bottom w:w="50" w:type="dxa"/>
              <w:left w:w="90" w:type="dxa"/>
              <w:right w:w="90" w:type="dxa"/>
            </w:tcMar>
          </w:tcPr>
          <w:p>
            <w:pPr>
              <w:pStyle w:val="BDOITable"/>
            </w:pPr>
            <w:r>
              <w:rPr>
                <w:sz w:val="17"/>
              </w:rPr>
              <w:t>The Operational, Security, Performance and Support criteria of the Production Readiness Checklist (R5): monitoring and alerts live, backups and restore test passed, DR drill passed, penetration test without open Critical or High finding, performance test at 429 concurrent sessions met, support organisation trained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7"/>
              </w:rPr>
              <w:t>PRR</w:t>
            </w:r>
          </w:p>
        </w:tc>
        <w:tc>
          <w:tcPr>
            <w:tcW w:type="dxa" w:w="2042"/>
            <w:tcMar>
              <w:top w:w="50" w:type="dxa"/>
              <w:bottom w:w="50" w:type="dxa"/>
              <w:left w:w="90" w:type="dxa"/>
              <w:right w:w="90" w:type="dxa"/>
            </w:tcMar>
            <w:shd w:val="clear" w:color="auto" w:fill="E5F5FF"/>
          </w:tcPr>
          <w:p>
            <w:pPr>
              <w:pStyle w:val="BDOITable"/>
            </w:pPr>
            <w:r>
              <w:rPr>
                <w:sz w:val="17"/>
              </w:rPr>
              <w:t>17 Dec 2027</w:t>
            </w:r>
          </w:p>
        </w:tc>
        <w:tc>
          <w:tcPr>
            <w:tcW w:type="dxa" w:w="1922"/>
            <w:tcMar>
              <w:top w:w="50" w:type="dxa"/>
              <w:bottom w:w="50" w:type="dxa"/>
              <w:left w:w="90" w:type="dxa"/>
              <w:right w:w="90" w:type="dxa"/>
            </w:tcMar>
            <w:shd w:val="clear" w:color="auto" w:fill="E5F5FF"/>
          </w:tcPr>
          <w:p>
            <w:pPr>
              <w:pStyle w:val="BDOITable"/>
            </w:pPr>
            <w:r>
              <w:rPr>
                <w:sz w:val="17"/>
              </w:rPr>
              <w:t>Production ready</w:t>
            </w:r>
          </w:p>
        </w:tc>
        <w:tc>
          <w:tcPr>
            <w:tcW w:type="dxa" w:w="4806"/>
            <w:tcMar>
              <w:top w:w="50" w:type="dxa"/>
              <w:bottom w:w="50" w:type="dxa"/>
              <w:left w:w="90" w:type="dxa"/>
              <w:right w:w="90" w:type="dxa"/>
            </w:tcMar>
            <w:shd w:val="clear" w:color="auto" w:fill="E5F5FF"/>
          </w:tcPr>
          <w:p>
            <w:pPr>
              <w:pStyle w:val="BDOITable"/>
            </w:pPr>
            <w:r>
              <w:rPr>
                <w:sz w:val="17"/>
              </w:rPr>
              <w:t>Every ORR criterion met or waived; UAT acceptance certificates of all drops signed; production configuration baseline approved; compliance criteria met (BIR receipt series, retention, privacy impact assessment)</w:t>
            </w:r>
          </w:p>
        </w:tc>
      </w:tr>
      <w:tr>
        <w:trPr>
          <w:cantSplit w:val="true"/>
        </w:trPr>
        <w:tc>
          <w:tcPr>
            <w:tcW w:type="dxa" w:w="1201"/>
            <w:tcMar>
              <w:top w:w="50" w:type="dxa"/>
              <w:bottom w:w="50" w:type="dxa"/>
              <w:left w:w="90" w:type="dxa"/>
              <w:right w:w="90" w:type="dxa"/>
            </w:tcMar>
          </w:tcPr>
          <w:p>
            <w:pPr>
              <w:pStyle w:val="BDOITable"/>
            </w:pPr>
            <w:r>
              <w:rPr>
                <w:b/>
                <w:sz w:val="17"/>
              </w:rPr>
              <w:t>GNG-1</w:t>
            </w:r>
          </w:p>
        </w:tc>
        <w:tc>
          <w:tcPr>
            <w:tcW w:type="dxa" w:w="2042"/>
            <w:tcMar>
              <w:top w:w="50" w:type="dxa"/>
              <w:bottom w:w="50" w:type="dxa"/>
              <w:left w:w="90" w:type="dxa"/>
              <w:right w:w="90" w:type="dxa"/>
            </w:tcMar>
          </w:tcPr>
          <w:p>
            <w:pPr>
              <w:pStyle w:val="BDOITable"/>
            </w:pPr>
            <w:r>
              <w:rPr>
                <w:sz w:val="17"/>
              </w:rPr>
              <w:t>T-15, Sun 19 Dec 2027</w:t>
            </w:r>
          </w:p>
        </w:tc>
        <w:tc>
          <w:tcPr>
            <w:tcW w:type="dxa" w:w="1922"/>
            <w:tcMar>
              <w:top w:w="50" w:type="dxa"/>
              <w:bottom w:w="50" w:type="dxa"/>
              <w:left w:w="90" w:type="dxa"/>
              <w:right w:w="90" w:type="dxa"/>
            </w:tcMar>
          </w:tcPr>
          <w:p>
            <w:pPr>
              <w:pStyle w:val="BDOITable"/>
            </w:pPr>
            <w:r>
              <w:rPr>
                <w:sz w:val="17"/>
              </w:rPr>
              <w:t>Start the pre-load</w:t>
            </w:r>
          </w:p>
        </w:tc>
        <w:tc>
          <w:tcPr>
            <w:tcW w:type="dxa" w:w="4806"/>
            <w:tcMar>
              <w:top w:w="50" w:type="dxa"/>
              <w:bottom w:w="50" w:type="dxa"/>
              <w:left w:w="90" w:type="dxa"/>
              <w:right w:w="90" w:type="dxa"/>
            </w:tcMar>
          </w:tcPr>
          <w:p>
            <w:pPr>
              <w:pStyle w:val="BDOITable"/>
            </w:pPr>
            <w:r>
              <w:rPr>
                <w:sz w:val="17"/>
              </w:rPr>
              <w:t>As below</w:t>
            </w:r>
          </w:p>
        </w:tc>
      </w:tr>
      <w:tr>
        <w:trPr>
          <w:cantSplit w:val="true"/>
        </w:trPr>
        <w:tc>
          <w:tcPr>
            <w:tcW w:type="dxa" w:w="1201"/>
            <w:tcMar>
              <w:top w:w="50" w:type="dxa"/>
              <w:bottom w:w="50" w:type="dxa"/>
              <w:left w:w="90" w:type="dxa"/>
              <w:right w:w="90" w:type="dxa"/>
            </w:tcMar>
            <w:shd w:val="clear" w:color="auto" w:fill="E5F5FF"/>
          </w:tcPr>
          <w:p>
            <w:pPr>
              <w:pStyle w:val="BDOITable"/>
            </w:pPr>
            <w:r>
              <w:rPr>
                <w:b/>
                <w:sz w:val="17"/>
              </w:rPr>
              <w:t>GNG-2</w:t>
            </w:r>
          </w:p>
        </w:tc>
        <w:tc>
          <w:tcPr>
            <w:tcW w:type="dxa" w:w="2042"/>
            <w:tcMar>
              <w:top w:w="50" w:type="dxa"/>
              <w:bottom w:w="50" w:type="dxa"/>
              <w:left w:w="90" w:type="dxa"/>
              <w:right w:w="90" w:type="dxa"/>
            </w:tcMar>
            <w:shd w:val="clear" w:color="auto" w:fill="E5F5FF"/>
          </w:tcPr>
          <w:p>
            <w:pPr>
              <w:pStyle w:val="BDOITable"/>
            </w:pPr>
            <w:r>
              <w:rPr>
                <w:sz w:val="17"/>
              </w:rPr>
              <w:t>T-5, Wed 29 Dec 2027</w:t>
            </w:r>
          </w:p>
        </w:tc>
        <w:tc>
          <w:tcPr>
            <w:tcW w:type="dxa" w:w="1922"/>
            <w:tcMar>
              <w:top w:w="50" w:type="dxa"/>
              <w:bottom w:w="50" w:type="dxa"/>
              <w:left w:w="90" w:type="dxa"/>
              <w:right w:w="90" w:type="dxa"/>
            </w:tcMar>
            <w:shd w:val="clear" w:color="auto" w:fill="E5F5FF"/>
          </w:tcPr>
          <w:p>
            <w:pPr>
              <w:pStyle w:val="BDOITable"/>
            </w:pPr>
            <w:r>
              <w:rPr>
                <w:sz w:val="17"/>
              </w:rPr>
              <w:t>Enter the legacy freeze</w:t>
            </w:r>
          </w:p>
        </w:tc>
        <w:tc>
          <w:tcPr>
            <w:tcW w:type="dxa" w:w="4806"/>
            <w:tcMar>
              <w:top w:w="50" w:type="dxa"/>
              <w:bottom w:w="50" w:type="dxa"/>
              <w:left w:w="90" w:type="dxa"/>
              <w:right w:w="90" w:type="dxa"/>
            </w:tcMar>
            <w:shd w:val="clear" w:color="auto" w:fill="E5F5FF"/>
          </w:tcPr>
          <w:p>
            <w:pPr>
              <w:pStyle w:val="BDOITable"/>
            </w:pPr>
            <w:r>
              <w:rPr>
                <w:sz w:val="17"/>
              </w:rPr>
              <w:t>As below</w:t>
            </w:r>
          </w:p>
        </w:tc>
      </w:tr>
      <w:tr>
        <w:trPr>
          <w:cantSplit w:val="true"/>
        </w:trPr>
        <w:tc>
          <w:tcPr>
            <w:tcW w:type="dxa" w:w="1201"/>
            <w:tcMar>
              <w:top w:w="50" w:type="dxa"/>
              <w:bottom w:w="50" w:type="dxa"/>
              <w:left w:w="90" w:type="dxa"/>
              <w:right w:w="90" w:type="dxa"/>
            </w:tcMar>
          </w:tcPr>
          <w:p>
            <w:pPr>
              <w:pStyle w:val="BDOITable"/>
            </w:pPr>
            <w:r>
              <w:rPr>
                <w:b/>
                <w:sz w:val="17"/>
              </w:rPr>
              <w:t>GNG-3</w:t>
            </w:r>
          </w:p>
        </w:tc>
        <w:tc>
          <w:tcPr>
            <w:tcW w:type="dxa" w:w="2042"/>
            <w:tcMar>
              <w:top w:w="50" w:type="dxa"/>
              <w:bottom w:w="50" w:type="dxa"/>
              <w:left w:w="90" w:type="dxa"/>
              <w:right w:w="90" w:type="dxa"/>
            </w:tcMar>
          </w:tcPr>
          <w:p>
            <w:pPr>
              <w:pStyle w:val="BDOITable"/>
            </w:pPr>
            <w:r>
              <w:rPr>
                <w:sz w:val="17"/>
              </w:rPr>
              <w:t>T-1, Sun 2 Jan 2028 18:00</w:t>
            </w:r>
          </w:p>
        </w:tc>
        <w:tc>
          <w:tcPr>
            <w:tcW w:type="dxa" w:w="1922"/>
            <w:tcMar>
              <w:top w:w="50" w:type="dxa"/>
              <w:bottom w:w="50" w:type="dxa"/>
              <w:left w:w="90" w:type="dxa"/>
              <w:right w:w="90" w:type="dxa"/>
            </w:tcMar>
          </w:tcPr>
          <w:p>
            <w:pPr>
              <w:pStyle w:val="BDOITable"/>
            </w:pPr>
            <w:r>
              <w:rPr>
                <w:sz w:val="17"/>
              </w:rPr>
              <w:t>Go live</w:t>
            </w:r>
          </w:p>
        </w:tc>
        <w:tc>
          <w:tcPr>
            <w:tcW w:type="dxa" w:w="4806"/>
            <w:tcMar>
              <w:top w:w="50" w:type="dxa"/>
              <w:bottom w:w="50" w:type="dxa"/>
              <w:left w:w="90" w:type="dxa"/>
              <w:right w:w="90" w:type="dxa"/>
            </w:tcMar>
          </w:tcPr>
          <w:p>
            <w:pPr>
              <w:pStyle w:val="BDOITable"/>
            </w:pPr>
            <w:r>
              <w:rPr>
                <w:sz w:val="17"/>
              </w:rPr>
              <w:t>As below</w:t>
            </w:r>
          </w:p>
        </w:tc>
      </w:tr>
    </w:tbl>
    <w:p>
      <w:pPr>
        <w:pStyle w:val="BDOISpacer"/>
      </w:pPr>
    </w:p>
    <w:p>
      <w:pPr>
        <w:pStyle w:val="Heading2"/>
      </w:pPr>
      <w:bookmarkStart w:id="113" w:name="_Toc000113"/>
      <w:r>
        <w:rPr/>
        <w:t>4.2 Criteria of the checkpoints</w:t>
      </w:r>
      <w:bookmarkEnd w:id="113"/>
    </w:p>
    <w:p>
      <w:r>
        <w:rPr/>
        <w:t>The criteria are those of the production cutover plan (R1, Part D).</w:t>
      </w:r>
    </w:p>
    <w:p>
      <w:pPr>
        <w:pStyle w:val="Heading4"/>
      </w:pPr>
      <w:r>
        <w:rPr/>
        <w:t>GNG-1 - T-15: Start the production pre-load</w:t>
      </w:r>
    </w:p>
    <w:p>
      <w:pPr>
        <w:tabs>
          <w:tab w:pos="312" w:val="left"/>
        </w:tabs>
        <w:spacing w:after="40"/>
        <w:ind w:left="312" w:hanging="283"/>
      </w:pPr>
      <w:r>
        <w:rPr>
          <w:color w:val="004EA8"/>
        </w:rPr>
        <w:t>•</w:t>
        <w:tab/>
      </w:r>
      <w:r>
        <w:rPr/>
        <w:t>Dress rehearsal completed within the window with at least 20 percent margin, rollback rehearsed</w:t>
      </w:r>
    </w:p>
    <w:p>
      <w:pPr>
        <w:tabs>
          <w:tab w:pos="312" w:val="left"/>
        </w:tabs>
        <w:spacing w:after="40"/>
        <w:ind w:left="312" w:hanging="283"/>
      </w:pPr>
      <w:r>
        <w:rPr>
          <w:color w:val="004EA8"/>
        </w:rPr>
        <w:t>•</w:t>
        <w:tab/>
      </w:r>
      <w:r>
        <w:rPr/>
        <w:t>Production environment, roles and PH-only access ready; masking off only in production</w:t>
      </w:r>
    </w:p>
    <w:p>
      <w:pPr>
        <w:tabs>
          <w:tab w:pos="312" w:val="left"/>
        </w:tabs>
        <w:spacing w:after="40"/>
        <w:ind w:left="312" w:hanging="283"/>
      </w:pPr>
      <w:r>
        <w:rPr>
          <w:color w:val="004EA8"/>
        </w:rPr>
        <w:t>•</w:t>
        <w:tab/>
      </w:r>
      <w:r>
        <w:rPr/>
        <w:t>Legacy control accounts, Migration Clearing and the legacy accounting rules approved in production (DMQ18)</w:t>
      </w:r>
    </w:p>
    <w:p>
      <w:pPr>
        <w:tabs>
          <w:tab w:pos="312" w:val="left"/>
        </w:tabs>
        <w:spacing w:after="40"/>
        <w:ind w:left="312" w:hanging="283"/>
      </w:pPr>
      <w:r>
        <w:rPr>
          <w:color w:val="004EA8"/>
        </w:rPr>
        <w:t>•</w:t>
        <w:tab/>
      </w:r>
      <w:r>
        <w:rPr/>
        <w:t>Code map versions for production approved</w:t>
      </w:r>
    </w:p>
    <w:p>
      <w:pPr>
        <w:tabs>
          <w:tab w:pos="312" w:val="left"/>
        </w:tabs>
        <w:spacing w:after="40"/>
        <w:ind w:left="312" w:hanging="283"/>
      </w:pPr>
      <w:r>
        <w:rPr>
          <w:color w:val="004EA8"/>
        </w:rPr>
        <w:t>•</w:t>
        <w:tab/>
      </w:r>
      <w:r>
        <w:rPr/>
        <w:t>Transfer path (secure file drop or console) tested</w:t>
      </w:r>
    </w:p>
    <w:p>
      <w:pPr>
        <w:tabs>
          <w:tab w:pos="312" w:val="left"/>
        </w:tabs>
        <w:spacing w:after="40"/>
        <w:ind w:left="312" w:hanging="283"/>
      </w:pPr>
      <w:r>
        <w:rPr>
          <w:color w:val="004EA8"/>
        </w:rPr>
        <w:t>•</w:t>
        <w:tab/>
      </w:r>
      <w:r>
        <w:rPr/>
        <w:t>December soft close on track for 20 December 2027</w:t>
      </w:r>
    </w:p>
    <w:p>
      <w:pPr>
        <w:tabs>
          <w:tab w:pos="312" w:val="left"/>
        </w:tabs>
        <w:spacing w:after="40"/>
        <w:ind w:left="312" w:hanging="283"/>
      </w:pPr>
      <w:r>
        <w:rPr>
          <w:color w:val="004EA8"/>
        </w:rPr>
        <w:t>•</w:t>
        <w:tab/>
      </w:r>
      <w:r>
        <w:rPr/>
        <w:t>Renewal processing team ready - January staffing plan signed, training done, day-1 queue rehearsed</w:t>
      </w:r>
    </w:p>
    <w:p>
      <w:pPr>
        <w:tabs>
          <w:tab w:pos="312" w:val="left"/>
        </w:tabs>
        <w:spacing w:after="120"/>
        <w:ind w:left="312" w:hanging="283"/>
      </w:pPr>
      <w:r>
        <w:rPr>
          <w:color w:val="004EA8"/>
        </w:rPr>
        <w:t>•</w:t>
        <w:tab/>
      </w:r>
      <w:r>
        <w:rPr/>
        <w:t>No open Critical issue of the migration or of a Day-1 module</w:t>
      </w:r>
    </w:p>
    <w:p>
      <w:pPr>
        <w:pStyle w:val="Heading4"/>
      </w:pPr>
      <w:r>
        <w:rPr/>
        <w:t>GNG-2 - T-5: Enter the legacy freeze on T-3</w:t>
      </w:r>
    </w:p>
    <w:p>
      <w:pPr>
        <w:tabs>
          <w:tab w:pos="312" w:val="left"/>
        </w:tabs>
        <w:spacing w:after="40"/>
        <w:ind w:left="312" w:hanging="283"/>
      </w:pPr>
      <w:r>
        <w:rPr>
          <w:color w:val="004EA8"/>
        </w:rPr>
        <w:t>•</w:t>
        <w:tab/>
      </w:r>
      <w:r>
        <w:rPr/>
        <w:t>Reference data and clients loaded and accepted (G6) in production; daily deltas running</w:t>
      </w:r>
    </w:p>
    <w:p>
      <w:pPr>
        <w:tabs>
          <w:tab w:pos="312" w:val="left"/>
        </w:tabs>
        <w:spacing w:after="40"/>
        <w:ind w:left="312" w:hanging="283"/>
      </w:pPr>
      <w:r>
        <w:rPr>
          <w:color w:val="004EA8"/>
        </w:rPr>
        <w:t>•</w:t>
        <w:tab/>
      </w:r>
      <w:r>
        <w:rPr/>
        <w:t>Client review queue empty</w:t>
      </w:r>
    </w:p>
    <w:p>
      <w:pPr>
        <w:tabs>
          <w:tab w:pos="312" w:val="left"/>
        </w:tabs>
        <w:spacing w:after="40"/>
        <w:ind w:left="312" w:hanging="283"/>
      </w:pPr>
      <w:r>
        <w:rPr>
          <w:color w:val="004EA8"/>
        </w:rPr>
        <w:t>•</w:t>
        <w:tab/>
      </w:r>
      <w:r>
        <w:rPr/>
        <w:t>Final extract jobs timed within the window (dry run)</w:t>
      </w:r>
    </w:p>
    <w:p>
      <w:pPr>
        <w:tabs>
          <w:tab w:pos="312" w:val="left"/>
        </w:tabs>
        <w:spacing w:after="40"/>
        <w:ind w:left="312" w:hanging="283"/>
      </w:pPr>
      <w:r>
        <w:rPr>
          <w:color w:val="004EA8"/>
        </w:rPr>
        <w:t>•</w:t>
        <w:tab/>
      </w:r>
      <w:r>
        <w:rPr/>
        <w:t>In-flight items and remittance batches closed or listed for carry-forward</w:t>
      </w:r>
    </w:p>
    <w:p>
      <w:pPr>
        <w:tabs>
          <w:tab w:pos="312" w:val="left"/>
        </w:tabs>
        <w:spacing w:after="40"/>
        <w:ind w:left="312" w:hanging="283"/>
      </w:pPr>
      <w:r>
        <w:rPr>
          <w:color w:val="004EA8"/>
        </w:rPr>
        <w:t>•</w:t>
        <w:tab/>
      </w:r>
      <w:r>
        <w:rPr/>
        <w:t>P01 dry run covers every expiry to 31 May 2028 and every renewal term booked in legacy starting on or after T</w:t>
      </w:r>
    </w:p>
    <w:p>
      <w:pPr>
        <w:tabs>
          <w:tab w:pos="312" w:val="left"/>
        </w:tabs>
        <w:spacing w:after="40"/>
        <w:ind w:left="312" w:hanging="283"/>
      </w:pPr>
      <w:r>
        <w:rPr>
          <w:color w:val="004EA8"/>
        </w:rPr>
        <w:t>•</w:t>
        <w:tab/>
      </w:r>
      <w:r>
        <w:rPr/>
        <w:t>Draft RA-sent file validated; its rejects reviewed by the Renewal processing team</w:t>
      </w:r>
    </w:p>
    <w:p>
      <w:pPr>
        <w:tabs>
          <w:tab w:pos="312" w:val="left"/>
        </w:tabs>
        <w:spacing w:after="40"/>
        <w:ind w:left="312" w:hanging="283"/>
      </w:pPr>
      <w:r>
        <w:rPr>
          <w:color w:val="004EA8"/>
        </w:rPr>
        <w:t>•</w:t>
        <w:tab/>
      </w:r>
      <w:r>
        <w:rPr/>
        <w:t>Comptrollership access list for the legacy GL after the freeze named</w:t>
      </w:r>
    </w:p>
    <w:p>
      <w:pPr>
        <w:tabs>
          <w:tab w:pos="312" w:val="left"/>
        </w:tabs>
        <w:spacing w:after="120"/>
        <w:ind w:left="312" w:hanging="283"/>
      </w:pPr>
      <w:r>
        <w:rPr>
          <w:color w:val="004EA8"/>
        </w:rPr>
        <w:t>•</w:t>
        <w:tab/>
      </w:r>
      <w:r>
        <w:rPr/>
        <w:t>Communications sent; branches and insurers informed</w:t>
      </w:r>
    </w:p>
    <w:p>
      <w:pPr>
        <w:pStyle w:val="Heading4"/>
      </w:pPr>
      <w:r>
        <w:rPr/>
        <w:t>GNG-3 - T-1 18:00: Go live on T</w:t>
      </w:r>
    </w:p>
    <w:p>
      <w:pPr>
        <w:tabs>
          <w:tab w:pos="312" w:val="left"/>
        </w:tabs>
        <w:spacing w:after="40"/>
        <w:ind w:left="312" w:hanging="283"/>
      </w:pPr>
      <w:r>
        <w:rPr>
          <w:color w:val="004EA8"/>
        </w:rPr>
        <w:t>•</w:t>
        <w:tab/>
      </w:r>
      <w:r>
        <w:rPr/>
        <w:t>Every Day-1 object at G6 (100 percent)</w:t>
      </w:r>
    </w:p>
    <w:p>
      <w:pPr>
        <w:tabs>
          <w:tab w:pos="312" w:val="left"/>
        </w:tabs>
        <w:spacing w:after="40"/>
        <w:ind w:left="312" w:hanging="283"/>
      </w:pPr>
      <w:r>
        <w:rPr>
          <w:color w:val="004EA8"/>
        </w:rPr>
        <w:t>•</w:t>
        <w:tab/>
      </w:r>
      <w:r>
        <w:rPr/>
        <w:t>Counts - received = control and loaded + skipped + rejected + excluded = staged, for every object</w:t>
      </w:r>
    </w:p>
    <w:p>
      <w:pPr>
        <w:tabs>
          <w:tab w:pos="312" w:val="left"/>
        </w:tabs>
        <w:spacing w:after="40"/>
        <w:ind w:left="312" w:hanging="283"/>
      </w:pPr>
      <w:r>
        <w:rPr>
          <w:color w:val="004EA8"/>
        </w:rPr>
        <w:t>•</w:t>
        <w:tab/>
      </w:r>
      <w:r>
        <w:rPr/>
        <w:t>Financial rejects (F01, F02, G01) - 0, or each excluded item approved by the owner with a manual-entry plan</w:t>
      </w:r>
    </w:p>
    <w:p>
      <w:pPr>
        <w:tabs>
          <w:tab w:pos="312" w:val="left"/>
        </w:tabs>
        <w:spacing w:after="40"/>
        <w:ind w:left="312" w:hanging="283"/>
      </w:pPr>
      <w:r>
        <w:rPr>
          <w:color w:val="004EA8"/>
        </w:rPr>
        <w:t>•</w:t>
        <w:tab/>
      </w:r>
      <w:r>
        <w:rPr/>
        <w:t>Amount reconciliation of open items, UPP and trial balance - 0.00 difference per currency</w:t>
      </w:r>
    </w:p>
    <w:p>
      <w:pPr>
        <w:tabs>
          <w:tab w:pos="312" w:val="left"/>
        </w:tabs>
        <w:spacing w:after="40"/>
        <w:ind w:left="312" w:hanging="283"/>
      </w:pPr>
      <w:r>
        <w:rPr>
          <w:color w:val="004EA8"/>
        </w:rPr>
        <w:t>•</w:t>
        <w:tab/>
      </w:r>
      <w:r>
        <w:rPr/>
        <w:t>Migration Clearing - 0.00 per branch and currency</w:t>
      </w:r>
    </w:p>
    <w:p>
      <w:pPr>
        <w:tabs>
          <w:tab w:pos="312" w:val="left"/>
        </w:tabs>
        <w:spacing w:after="40"/>
        <w:ind w:left="312" w:hanging="283"/>
      </w:pPr>
      <w:r>
        <w:rPr>
          <w:color w:val="004EA8"/>
        </w:rPr>
        <w:t>•</w:t>
        <w:tab/>
      </w:r>
      <w:r>
        <w:rPr/>
        <w:t>Legacy control accounts equal their sub-ledgers (ACSL, context LEGACY) - 0.00</w:t>
      </w:r>
    </w:p>
    <w:p>
      <w:pPr>
        <w:tabs>
          <w:tab w:pos="312" w:val="left"/>
        </w:tabs>
        <w:spacing w:after="40"/>
        <w:ind w:left="312" w:hanging="283"/>
      </w:pPr>
      <w:r>
        <w:rPr>
          <w:color w:val="004EA8"/>
        </w:rPr>
        <w:t>•</w:t>
        <w:tab/>
      </w:r>
      <w:r>
        <w:rPr/>
        <w:t>Client review queue empty; screening run complete</w:t>
      </w:r>
    </w:p>
    <w:p>
      <w:pPr>
        <w:tabs>
          <w:tab w:pos="312" w:val="left"/>
        </w:tabs>
        <w:spacing w:after="40"/>
        <w:ind w:left="312" w:hanging="283"/>
      </w:pPr>
      <w:r>
        <w:rPr>
          <w:color w:val="004EA8"/>
        </w:rPr>
        <w:t>•</w:t>
        <w:tab/>
      </w:r>
      <w:r>
        <w:rPr/>
        <w:t>Business smoke test passed</w:t>
      </w:r>
    </w:p>
    <w:p>
      <w:pPr>
        <w:tabs>
          <w:tab w:pos="312" w:val="left"/>
        </w:tabs>
        <w:spacing w:after="40"/>
        <w:ind w:left="312" w:hanging="283"/>
      </w:pPr>
      <w:r>
        <w:rPr>
          <w:color w:val="004EA8"/>
        </w:rPr>
        <w:t>•</w:t>
        <w:tab/>
      </w:r>
      <w:r>
        <w:rPr/>
        <w:t>Rollback point (snapshot) taken and verified</w:t>
      </w:r>
    </w:p>
    <w:p>
      <w:pPr>
        <w:tabs>
          <w:tab w:pos="312" w:val="left"/>
        </w:tabs>
        <w:spacing w:after="40"/>
        <w:ind w:left="312" w:hanging="283"/>
      </w:pPr>
      <w:r>
        <w:rPr>
          <w:color w:val="004EA8"/>
        </w:rPr>
        <w:t>•</w:t>
        <w:tab/>
      </w:r>
      <w:r>
        <w:rPr/>
        <w:t>Hypercare roster and support channels in place</w:t>
      </w:r>
    </w:p>
    <w:p>
      <w:pPr>
        <w:tabs>
          <w:tab w:pos="312" w:val="left"/>
        </w:tabs>
        <w:spacing w:after="40"/>
        <w:ind w:left="312" w:hanging="283"/>
      </w:pPr>
      <w:r>
        <w:rPr>
          <w:color w:val="004EA8"/>
        </w:rPr>
        <w:t>•</w:t>
        <w:tab/>
      </w:r>
      <w:r>
        <w:rPr/>
        <w:t>Preliminary December TB signed as the provisional opening; legacy GL restricted to the named FY2027 adjustment users</w:t>
      </w:r>
    </w:p>
    <w:p>
      <w:pPr>
        <w:tabs>
          <w:tab w:pos="312" w:val="left"/>
        </w:tabs>
        <w:spacing w:after="120"/>
        <w:ind w:left="312" w:hanging="283"/>
      </w:pPr>
      <w:r>
        <w:rPr>
          <w:color w:val="004EA8"/>
        </w:rPr>
        <w:t>•</w:t>
        <w:tab/>
      </w:r>
      <w:r>
        <w:rPr/>
        <w:t>Headers of every expiry to 31 May 2028 loaded; RA-sent file loaded; Renewal January staffing plan confirmed</w:t>
      </w:r>
    </w:p>
    <w:p>
      <w:pPr>
        <w:pStyle w:val="Heading4"/>
      </w:pPr>
      <w:r>
        <w:rPr/>
        <w:t>POINT OF NO RETURN - T 18:00: Continue in BIBS; fallback to legacy no longer offered (DMQ32)</w:t>
      </w:r>
    </w:p>
    <w:p>
      <w:pPr>
        <w:tabs>
          <w:tab w:pos="312" w:val="left"/>
        </w:tabs>
        <w:spacing w:after="40"/>
        <w:ind w:left="312" w:hanging="283"/>
      </w:pPr>
      <w:r>
        <w:rPr>
          <w:color w:val="004EA8"/>
        </w:rPr>
        <w:t>•</w:t>
        <w:tab/>
      </w:r>
      <w:r>
        <w:rPr/>
        <w:t>No Critical issue that stops receipts, payment application, remittance or booking</w:t>
      </w:r>
    </w:p>
    <w:p>
      <w:pPr>
        <w:tabs>
          <w:tab w:pos="312" w:val="left"/>
        </w:tabs>
        <w:spacing w:after="40"/>
        <w:ind w:left="312" w:hanging="283"/>
      </w:pPr>
      <w:r>
        <w:rPr>
          <w:color w:val="004EA8"/>
        </w:rPr>
        <w:t>•</w:t>
        <w:tab/>
      </w:r>
      <w:r>
        <w:rPr/>
        <w:t>Migration Clearing still 0.00; no posting in legacy since the freeze</w:t>
      </w:r>
    </w:p>
    <w:p>
      <w:pPr>
        <w:tabs>
          <w:tab w:pos="312" w:val="left"/>
        </w:tabs>
        <w:spacing w:after="120"/>
        <w:ind w:left="312" w:hanging="283"/>
      </w:pPr>
      <w:r>
        <w:rPr>
          <w:color w:val="004EA8"/>
        </w:rPr>
        <w:t>•</w:t>
        <w:tab/>
      </w:r>
      <w:r>
        <w:rPr/>
        <w:t>Every branch has transacted in BIBS</w:t>
      </w:r>
    </w:p>
    <w:p>
      <w:pPr>
        <w:pStyle w:val="Heading4"/>
      </w:pPr>
      <w:r>
        <w:rPr/>
        <w:t>TRUE-UP CLOSED - T+120: Close the FY2027 true-ups</w:t>
      </w:r>
    </w:p>
    <w:p>
      <w:pPr>
        <w:tabs>
          <w:tab w:pos="312" w:val="left"/>
        </w:tabs>
        <w:spacing w:after="40"/>
        <w:ind w:left="312" w:hanging="283"/>
      </w:pPr>
      <w:r>
        <w:rPr>
          <w:color w:val="004EA8"/>
        </w:rPr>
        <w:t>•</w:t>
        <w:tab/>
      </w:r>
      <w:r>
        <w:rPr/>
        <w:t>Final true-up reconciled to the audited FY2027 TB and signed by the Head of Comptrollership</w:t>
      </w:r>
    </w:p>
    <w:p>
      <w:pPr>
        <w:tabs>
          <w:tab w:pos="312" w:val="left"/>
        </w:tabs>
        <w:spacing w:after="40"/>
        <w:ind w:left="312" w:hanging="283"/>
      </w:pPr>
      <w:r>
        <w:rPr>
          <w:color w:val="004EA8"/>
        </w:rPr>
        <w:t>•</w:t>
        <w:tab/>
      </w:r>
      <w:r>
        <w:rPr/>
        <w:t>Legacy GL locked for all users; FY2027 adjustment register closed</w:t>
      </w:r>
    </w:p>
    <w:p>
      <w:pPr>
        <w:tabs>
          <w:tab w:pos="312" w:val="left"/>
        </w:tabs>
        <w:spacing w:after="40"/>
        <w:ind w:left="312" w:hanging="283"/>
      </w:pPr>
      <w:r>
        <w:rPr>
          <w:color w:val="004EA8"/>
        </w:rPr>
        <w:t>•</w:t>
        <w:tab/>
      </w:r>
      <w:r>
        <w:rPr/>
        <w:t>Migration Clearing 0.00 and legacy control accounts equal their sub-ledgers after the final true-up</w:t>
      </w:r>
    </w:p>
    <w:p>
      <w:pPr>
        <w:tabs>
          <w:tab w:pos="312" w:val="left"/>
        </w:tabs>
        <w:spacing w:after="120"/>
        <w:ind w:left="312" w:hanging="283"/>
      </w:pPr>
      <w:r>
        <w:rPr>
          <w:color w:val="004EA8"/>
        </w:rPr>
        <w:t>•</w:t>
        <w:tab/>
      </w:r>
      <w:r>
        <w:rPr/>
        <w:t>Opening journals no longer marked PROVISIONAL</w:t>
      </w:r>
    </w:p>
    <w:p>
      <w:pPr>
        <w:pStyle w:val="Heading2"/>
      </w:pPr>
      <w:bookmarkStart w:id="114" w:name="_Toc000114"/>
      <w:r>
        <w:rPr/>
        <w:t>4.3 Technical criteria added at GNG-3</w:t>
      </w:r>
      <w:bookmarkEnd w:id="114"/>
    </w:p>
    <w:p>
      <w:pPr>
        <w:tabs>
          <w:tab w:pos="312" w:val="left"/>
        </w:tabs>
        <w:spacing w:after="40"/>
        <w:ind w:left="312" w:hanging="283"/>
      </w:pPr>
      <w:r>
        <w:rPr>
          <w:color w:val="004EA8"/>
        </w:rPr>
        <w:t>•</w:t>
        <w:tab/>
      </w:r>
      <w:r>
        <w:rPr/>
        <w:t>Production release identical to the one accepted in UAT and rehearsed in Pre-Prod; no release since T-7 other than an approved hotfix.</w:t>
      </w:r>
    </w:p>
    <w:p>
      <w:pPr>
        <w:tabs>
          <w:tab w:pos="312" w:val="left"/>
        </w:tabs>
        <w:spacing w:after="40"/>
        <w:ind w:left="312" w:hanging="283"/>
      </w:pPr>
      <w:r>
        <w:rPr>
          <w:color w:val="004EA8"/>
        </w:rPr>
        <w:t>•</w:t>
        <w:tab/>
      </w:r>
      <w:r>
        <w:rPr/>
        <w:t>Monitoring green: synthetic sign-in, alert routing to L1, L2, L3 and Cloud Operations tested (TC-07); dashboards live.</w:t>
      </w:r>
    </w:p>
    <w:p>
      <w:pPr>
        <w:tabs>
          <w:tab w:pos="312" w:val="left"/>
        </w:tabs>
        <w:spacing w:after="40"/>
        <w:ind w:left="312" w:hanging="283"/>
      </w:pPr>
      <w:r>
        <w:rPr>
          <w:color w:val="004EA8"/>
        </w:rPr>
        <w:t>•</w:t>
        <w:tab/>
      </w:r>
      <w:r>
        <w:rPr/>
        <w:t>Backups after the load present; DR replica in sync (lag below 1 minute); document replication within 15 minutes.</w:t>
      </w:r>
    </w:p>
    <w:p>
      <w:pPr>
        <w:tabs>
          <w:tab w:pos="312" w:val="left"/>
        </w:tabs>
        <w:spacing w:after="40"/>
        <w:ind w:left="312" w:hanging="283"/>
      </w:pPr>
      <w:r>
        <w:rPr>
          <w:color w:val="004EA8"/>
        </w:rPr>
        <w:t>•</w:t>
        <w:tab/>
      </w:r>
      <w:r>
        <w:rPr/>
        <w:t>Certificates valid for more than 30 days; production secrets in the secrets store only; break-glass accounts sealed.</w:t>
      </w:r>
    </w:p>
    <w:p>
      <w:pPr>
        <w:tabs>
          <w:tab w:pos="312" w:val="left"/>
        </w:tabs>
        <w:spacing w:after="120"/>
        <w:ind w:left="312" w:hanging="283"/>
      </w:pPr>
      <w:r>
        <w:rPr>
          <w:color w:val="004EA8"/>
        </w:rPr>
        <w:t>•</w:t>
        <w:tab/>
      </w:r>
      <w:r>
        <w:rPr/>
        <w:t>Integrations live at go-live answering their connectivity checks through Apigee X; CCM e-mail tested.</w:t>
      </w:r>
    </w:p>
    <w:p>
      <w:pPr>
        <w:pStyle w:val="Heading1"/>
        <w:pageBreakBefore/>
        <w:pBdr>
          <w:bottom w:val="single" w:sz="4" w:space="4" w:color="99C1E7"/>
        </w:pBdr>
      </w:pPr>
      <w:bookmarkStart w:id="115" w:name="_Toc000115"/>
      <w:r>
        <w:rPr/>
        <w:t>5 Cutover sequence</w:t>
      </w:r>
      <w:bookmarkEnd w:id="115"/>
    </w:p>
    <w:p>
      <w:pPr>
        <w:pStyle w:val="Heading2"/>
      </w:pPr>
      <w:bookmarkStart w:id="116" w:name="_Toc000116"/>
      <w:r>
        <w:rPr/>
        <w:t>5.1 From legacy freeze to production</w:t>
      </w:r>
      <w:bookmarkEnd w:id="116"/>
    </w:p>
    <w:p>
      <w:r>
        <w:rPr/>
        <w:t>Figure 1 shows the eight steps of the cutover with the gates of the BRD-13 handbook (G1 decision to G7 go-live) and the go / no-go checkpoints.</w:t>
      </w:r>
    </w:p>
    <w:p>
      <w:pPr>
        <w:keepNext/>
        <w:spacing w:before="80" w:after="0"/>
        <w:jc w:val="center"/>
      </w:pPr>
      <w:r>
        <w:drawing>
          <wp:inline xmlns:a="http://schemas.openxmlformats.org/drawingml/2006/main" xmlns:pic="http://schemas.openxmlformats.org/drawingml/2006/picture">
            <wp:extent cx="5220000" cy="3336495"/>
            <wp:docPr id="3" name="Picture 3"/>
            <wp:cNvGraphicFramePr>
              <a:graphicFrameLocks noChangeAspect="1"/>
            </wp:cNvGraphicFramePr>
            <a:graphic>
              <a:graphicData uri="http://schemas.openxmlformats.org/drawingml/2006/picture">
                <pic:pic>
                  <pic:nvPicPr>
                    <pic:cNvPr id="0" name="gl_sequence_970.jpg"/>
                    <pic:cNvPicPr/>
                  </pic:nvPicPr>
                  <pic:blipFill>
                    <a:blip r:embed="rId15"/>
                    <a:stretch>
                      <a:fillRect/>
                    </a:stretch>
                  </pic:blipFill>
                  <pic:spPr>
                    <a:xfrm>
                      <a:off x="0" y="0"/>
                      <a:ext cx="5220000" cy="3336495"/>
                    </a:xfrm>
                    <a:prstGeom prst="rect"/>
                  </pic:spPr>
                </pic:pic>
              </a:graphicData>
            </a:graphic>
          </wp:inline>
        </w:drawing>
      </w:r>
    </w:p>
    <w:p>
      <w:pPr>
        <w:pStyle w:val="Caption"/>
        <w:jc w:val="center"/>
      </w:pPr>
      <w:r>
        <w:rPr>
          <w:b/>
          <w:i w:val="0"/>
        </w:rPr>
        <w:t xml:space="preserve">Figure 1: </w:t>
      </w:r>
      <w:r>
        <w:rPr/>
        <w:t>Cutover sequence from legacy freeze to production</w:t>
      </w:r>
    </w:p>
    <w:p>
      <w:pPr>
        <w:pStyle w:val="Caption"/>
        <w:keepNext/>
        <w:spacing w:after="60"/>
      </w:pPr>
      <w:r>
        <w:rPr>
          <w:b/>
          <w:i w:val="0"/>
        </w:rPr>
        <w:t xml:space="preserve">Table 6: </w:t>
      </w:r>
      <w:r>
        <w:rPr/>
        <w:t>Cutover sequence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1802"/>
        <w:gridCol w:w="4325"/>
        <w:gridCol w:w="2162"/>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Evidence and gate</w:t>
            </w:r>
          </w:p>
        </w:tc>
      </w:tr>
      <w:tr>
        <w:trPr>
          <w:cantSplit w:val="true"/>
        </w:trPr>
        <w:tc>
          <w:tcPr>
            <w:tcW w:type="dxa" w:w="1682"/>
            <w:tcMar>
              <w:top w:w="50" w:type="dxa"/>
              <w:bottom w:w="50" w:type="dxa"/>
              <w:left w:w="90" w:type="dxa"/>
              <w:right w:w="90" w:type="dxa"/>
            </w:tcMar>
          </w:tcPr>
          <w:p>
            <w:pPr>
              <w:pStyle w:val="BDOITable"/>
            </w:pPr>
            <w:r>
              <w:rPr>
                <w:b/>
                <w:sz w:val="17"/>
              </w:rPr>
              <w:t>1 Legacy freeze</w:t>
            </w:r>
          </w:p>
        </w:tc>
        <w:tc>
          <w:tcPr>
            <w:tcW w:type="dxa" w:w="1802"/>
            <w:tcMar>
              <w:top w:w="50" w:type="dxa"/>
              <w:bottom w:w="50" w:type="dxa"/>
              <w:left w:w="90" w:type="dxa"/>
              <w:right w:w="90" w:type="dxa"/>
            </w:tcMar>
          </w:tcPr>
          <w:p>
            <w:pPr>
              <w:pStyle w:val="BDOITable"/>
            </w:pPr>
            <w:r>
              <w:rPr>
                <w:sz w:val="17"/>
              </w:rPr>
              <w:t>T-3 22:00 (Fri 31 Dec 2027)</w:t>
            </w:r>
          </w:p>
        </w:tc>
        <w:tc>
          <w:tcPr>
            <w:tcW w:type="dxa" w:w="4325"/>
            <w:tcMar>
              <w:top w:w="50" w:type="dxa"/>
              <w:bottom w:w="50" w:type="dxa"/>
              <w:left w:w="90" w:type="dxa"/>
              <w:right w:w="90" w:type="dxa"/>
            </w:tcMar>
          </w:tcPr>
          <w:p>
            <w:pPr>
              <w:pStyle w:val="BDOITable"/>
            </w:pPr>
            <w:r>
              <w:rPr>
                <w:sz w:val="17"/>
              </w:rPr>
              <w:t>Last legacy EOD; EBIX, QPS and CMS business modules read-only; batch jobs that post disabled; legacy GL open only for FY2027 adjustments by named Comptrollership users (CT-035, CT-036)</w:t>
            </w:r>
          </w:p>
        </w:tc>
        <w:tc>
          <w:tcPr>
            <w:tcW w:type="dxa" w:w="2163"/>
            <w:tcMar>
              <w:top w:w="50" w:type="dxa"/>
              <w:bottom w:w="50" w:type="dxa"/>
              <w:left w:w="90" w:type="dxa"/>
              <w:right w:w="90" w:type="dxa"/>
            </w:tcMar>
          </w:tcPr>
          <w:p>
            <w:pPr>
              <w:pStyle w:val="BDOITable"/>
            </w:pPr>
            <w:r>
              <w:rPr>
                <w:sz w:val="17"/>
              </w:rPr>
              <w:t>Freeze test refused in each module; GNG-2 passed</w:t>
            </w:r>
          </w:p>
        </w:tc>
      </w:tr>
      <w:tr>
        <w:trPr>
          <w:cantSplit w:val="true"/>
        </w:trPr>
        <w:tc>
          <w:tcPr>
            <w:tcW w:type="dxa" w:w="1682"/>
            <w:tcMar>
              <w:top w:w="50" w:type="dxa"/>
              <w:bottom w:w="50" w:type="dxa"/>
              <w:left w:w="90" w:type="dxa"/>
              <w:right w:w="90" w:type="dxa"/>
            </w:tcMar>
            <w:shd w:val="clear" w:color="auto" w:fill="E5F5FF"/>
          </w:tcPr>
          <w:p>
            <w:pPr>
              <w:pStyle w:val="BDOITable"/>
            </w:pPr>
            <w:r>
              <w:rPr>
                <w:b/>
                <w:sz w:val="17"/>
              </w:rPr>
              <w:t>2 Extract</w:t>
            </w:r>
          </w:p>
        </w:tc>
        <w:tc>
          <w:tcPr>
            <w:tcW w:type="dxa" w:w="1802"/>
            <w:tcMar>
              <w:top w:w="50" w:type="dxa"/>
              <w:bottom w:w="50" w:type="dxa"/>
              <w:left w:w="90" w:type="dxa"/>
              <w:right w:w="90" w:type="dxa"/>
            </w:tcMar>
            <w:shd w:val="clear" w:color="auto" w:fill="E5F5FF"/>
          </w:tcPr>
          <w:p>
            <w:pPr>
              <w:pStyle w:val="BDOITable"/>
            </w:pPr>
            <w:r>
              <w:rPr>
                <w:sz w:val="17"/>
              </w:rPr>
              <w:t>T-3 22:15 to T-2 03:00</w:t>
            </w:r>
          </w:p>
        </w:tc>
        <w:tc>
          <w:tcPr>
            <w:tcW w:type="dxa" w:w="4325"/>
            <w:tcMar>
              <w:top w:w="50" w:type="dxa"/>
              <w:bottom w:w="50" w:type="dxa"/>
              <w:left w:w="90" w:type="dxa"/>
              <w:right w:w="90" w:type="dxa"/>
            </w:tcMar>
            <w:shd w:val="clear" w:color="auto" w:fill="E5F5FF"/>
          </w:tcPr>
          <w:p>
            <w:pPr>
              <w:pStyle w:val="BDOITable"/>
            </w:pPr>
            <w:r>
              <w:rPr>
                <w:sz w:val="17"/>
              </w:rPr>
              <w:t>Final client delta; final extracts of policy headers, open invoices, unapplied payments, collection state, remittance items, PDCs, receipt series, preliminary December trial balance, RA-sent file, with control files (CT-037, CT-038)</w:t>
            </w:r>
          </w:p>
        </w:tc>
        <w:tc>
          <w:tcPr>
            <w:tcW w:type="dxa" w:w="2163"/>
            <w:tcMar>
              <w:top w:w="50" w:type="dxa"/>
              <w:bottom w:w="50" w:type="dxa"/>
              <w:left w:w="90" w:type="dxa"/>
              <w:right w:w="90" w:type="dxa"/>
            </w:tcMar>
            <w:shd w:val="clear" w:color="auto" w:fill="E5F5FF"/>
          </w:tcPr>
          <w:p>
            <w:pPr>
              <w:pStyle w:val="BDOITable"/>
            </w:pPr>
            <w:r>
              <w:rPr>
                <w:sz w:val="17"/>
              </w:rPr>
              <w:t>Every file in the intake; SHA-256 recorded</w:t>
            </w:r>
          </w:p>
        </w:tc>
      </w:tr>
      <w:tr>
        <w:trPr>
          <w:cantSplit w:val="true"/>
        </w:trPr>
        <w:tc>
          <w:tcPr>
            <w:tcW w:type="dxa" w:w="1682"/>
            <w:tcMar>
              <w:top w:w="50" w:type="dxa"/>
              <w:bottom w:w="50" w:type="dxa"/>
              <w:left w:w="90" w:type="dxa"/>
              <w:right w:w="90" w:type="dxa"/>
            </w:tcMar>
          </w:tcPr>
          <w:p>
            <w:pPr>
              <w:pStyle w:val="BDOITable"/>
            </w:pPr>
            <w:r>
              <w:rPr>
                <w:b/>
                <w:sz w:val="17"/>
              </w:rPr>
              <w:t>3 Validate</w:t>
            </w:r>
          </w:p>
        </w:tc>
        <w:tc>
          <w:tcPr>
            <w:tcW w:type="dxa" w:w="1802"/>
            <w:tcMar>
              <w:top w:w="50" w:type="dxa"/>
              <w:bottom w:w="50" w:type="dxa"/>
              <w:left w:w="90" w:type="dxa"/>
              <w:right w:w="90" w:type="dxa"/>
            </w:tcMar>
          </w:tcPr>
          <w:p>
            <w:pPr>
              <w:pStyle w:val="BDOITable"/>
            </w:pPr>
            <w:r>
              <w:rPr>
                <w:sz w:val="17"/>
              </w:rPr>
              <w:t>T-2 03:00 to 09:00</w:t>
            </w:r>
          </w:p>
        </w:tc>
        <w:tc>
          <w:tcPr>
            <w:tcW w:type="dxa" w:w="4325"/>
            <w:tcMar>
              <w:top w:w="50" w:type="dxa"/>
              <w:bottom w:w="50" w:type="dxa"/>
              <w:left w:w="90" w:type="dxa"/>
              <w:right w:w="90" w:type="dxa"/>
            </w:tcMar>
          </w:tcPr>
          <w:p>
            <w:pPr>
              <w:pStyle w:val="BDOITable"/>
            </w:pPr>
            <w:r>
              <w:rPr>
                <w:sz w:val="17"/>
              </w:rPr>
              <w:t>Intake checks against the control files; data-quality rules; code maps; resolution of issues (CT-041, CT-042, CT-044)</w:t>
            </w:r>
          </w:p>
        </w:tc>
        <w:tc>
          <w:tcPr>
            <w:tcW w:type="dxa" w:w="2163"/>
            <w:tcMar>
              <w:top w:w="50" w:type="dxa"/>
              <w:bottom w:w="50" w:type="dxa"/>
              <w:left w:w="90" w:type="dxa"/>
              <w:right w:w="90" w:type="dxa"/>
            </w:tcMar>
          </w:tcPr>
          <w:p>
            <w:pPr>
              <w:pStyle w:val="BDOITable"/>
            </w:pPr>
            <w:r>
              <w:rPr>
                <w:sz w:val="17"/>
              </w:rPr>
              <w:t>G3 per object; 0 financial errors or approved exclusions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7"/>
              </w:rPr>
              <w:t>4 Migrate</w:t>
            </w:r>
          </w:p>
        </w:tc>
        <w:tc>
          <w:tcPr>
            <w:tcW w:type="dxa" w:w="1802"/>
            <w:tcMar>
              <w:top w:w="50" w:type="dxa"/>
              <w:bottom w:w="50" w:type="dxa"/>
              <w:left w:w="90" w:type="dxa"/>
              <w:right w:w="90" w:type="dxa"/>
            </w:tcMar>
            <w:shd w:val="clear" w:color="auto" w:fill="E5F5FF"/>
          </w:tcPr>
          <w:p>
            <w:pPr>
              <w:pStyle w:val="BDOITable"/>
            </w:pPr>
            <w:r>
              <w:rPr>
                <w:sz w:val="17"/>
              </w:rPr>
              <w:t>T-2 02:00 to 18:00</w:t>
            </w:r>
          </w:p>
        </w:tc>
        <w:tc>
          <w:tcPr>
            <w:tcW w:type="dxa" w:w="4325"/>
            <w:tcMar>
              <w:top w:w="50" w:type="dxa"/>
              <w:bottom w:w="50" w:type="dxa"/>
              <w:left w:w="90" w:type="dxa"/>
              <w:right w:w="90" w:type="dxa"/>
            </w:tcMar>
            <w:shd w:val="clear" w:color="auto" w:fill="E5F5FF"/>
          </w:tcPr>
          <w:p>
            <w:pPr>
              <w:pStyle w:val="BDOITable"/>
            </w:pPr>
            <w:r>
              <w:rPr>
                <w:sz w:val="17"/>
              </w:rPr>
              <w:t>Rollback point snapshot; loads of headers, open items, UPP, collection state, remittance items, PDCs, provisional GL opening, RA-sent file, receipt series (CT-040, CT-043 to CT-050)</w:t>
            </w:r>
          </w:p>
        </w:tc>
        <w:tc>
          <w:tcPr>
            <w:tcW w:type="dxa" w:w="2163"/>
            <w:tcMar>
              <w:top w:w="50" w:type="dxa"/>
              <w:bottom w:w="50" w:type="dxa"/>
              <w:left w:w="90" w:type="dxa"/>
              <w:right w:w="90" w:type="dxa"/>
            </w:tcMar>
            <w:shd w:val="clear" w:color="auto" w:fill="E5F5FF"/>
          </w:tcPr>
          <w:p>
            <w:pPr>
              <w:pStyle w:val="BDOITable"/>
            </w:pPr>
            <w:r>
              <w:rPr>
                <w:sz w:val="17"/>
              </w:rPr>
              <w:t>G4 per batch; run logs</w:t>
            </w:r>
          </w:p>
        </w:tc>
      </w:tr>
      <w:tr>
        <w:trPr>
          <w:cantSplit w:val="true"/>
        </w:trPr>
        <w:tc>
          <w:tcPr>
            <w:tcW w:type="dxa" w:w="1682"/>
            <w:tcMar>
              <w:top w:w="50" w:type="dxa"/>
              <w:bottom w:w="50" w:type="dxa"/>
              <w:left w:w="90" w:type="dxa"/>
              <w:right w:w="90" w:type="dxa"/>
            </w:tcMar>
          </w:tcPr>
          <w:p>
            <w:pPr>
              <w:pStyle w:val="BDOITable"/>
            </w:pPr>
            <w:r>
              <w:rPr>
                <w:b/>
                <w:sz w:val="17"/>
              </w:rPr>
              <w:t>5 Reconcile</w:t>
            </w:r>
          </w:p>
        </w:tc>
        <w:tc>
          <w:tcPr>
            <w:tcW w:type="dxa" w:w="1802"/>
            <w:tcMar>
              <w:top w:w="50" w:type="dxa"/>
              <w:bottom w:w="50" w:type="dxa"/>
              <w:left w:w="90" w:type="dxa"/>
              <w:right w:w="90" w:type="dxa"/>
            </w:tcMar>
          </w:tcPr>
          <w:p>
            <w:pPr>
              <w:pStyle w:val="BDOITable"/>
            </w:pPr>
            <w:r>
              <w:rPr>
                <w:sz w:val="17"/>
              </w:rPr>
              <w:t>T-2 18:00 to T-1 04:00</w:t>
            </w:r>
          </w:p>
        </w:tc>
        <w:tc>
          <w:tcPr>
            <w:tcW w:type="dxa" w:w="4325"/>
            <w:tcMar>
              <w:top w:w="50" w:type="dxa"/>
              <w:bottom w:w="50" w:type="dxa"/>
              <w:left w:w="90" w:type="dxa"/>
              <w:right w:w="90" w:type="dxa"/>
            </w:tcMar>
          </w:tcPr>
          <w:p>
            <w:pPr>
              <w:pStyle w:val="BDOITable"/>
            </w:pPr>
            <w:r>
              <w:rPr>
                <w:sz w:val="17"/>
              </w:rPr>
              <w:t>L1 to L4 of every financial object; L5 Migration Clearing per branch and currency; breaks explained and approved (CT-051, CT-052)</w:t>
            </w:r>
          </w:p>
        </w:tc>
        <w:tc>
          <w:tcPr>
            <w:tcW w:type="dxa" w:w="2163"/>
            <w:tcMar>
              <w:top w:w="50" w:type="dxa"/>
              <w:bottom w:w="50" w:type="dxa"/>
              <w:left w:w="90" w:type="dxa"/>
              <w:right w:w="90" w:type="dxa"/>
            </w:tcMar>
          </w:tcPr>
          <w:p>
            <w:pPr>
              <w:pStyle w:val="BDOITable"/>
            </w:pPr>
            <w:r>
              <w:rPr>
                <w:sz w:val="17"/>
              </w:rPr>
              <w:t>G5 per object; Migration Clearing 0.00</w:t>
            </w:r>
          </w:p>
        </w:tc>
      </w:tr>
      <w:tr>
        <w:trPr>
          <w:cantSplit w:val="true"/>
        </w:trPr>
        <w:tc>
          <w:tcPr>
            <w:tcW w:type="dxa" w:w="1682"/>
            <w:tcMar>
              <w:top w:w="50" w:type="dxa"/>
              <w:bottom w:w="50" w:type="dxa"/>
              <w:left w:w="90" w:type="dxa"/>
              <w:right w:w="90" w:type="dxa"/>
            </w:tcMar>
            <w:shd w:val="clear" w:color="auto" w:fill="E5F5FF"/>
          </w:tcPr>
          <w:p>
            <w:pPr>
              <w:pStyle w:val="BDOITable"/>
            </w:pPr>
            <w:r>
              <w:rPr>
                <w:b/>
                <w:sz w:val="17"/>
              </w:rPr>
              <w:t>6 Business validation</w:t>
            </w:r>
          </w:p>
        </w:tc>
        <w:tc>
          <w:tcPr>
            <w:tcW w:type="dxa" w:w="1802"/>
            <w:tcMar>
              <w:top w:w="50" w:type="dxa"/>
              <w:bottom w:w="50" w:type="dxa"/>
              <w:left w:w="90" w:type="dxa"/>
              <w:right w:w="90" w:type="dxa"/>
            </w:tcMar>
            <w:shd w:val="clear" w:color="auto" w:fill="E5F5FF"/>
          </w:tcPr>
          <w:p>
            <w:pPr>
              <w:pStyle w:val="BDOITable"/>
            </w:pPr>
            <w:r>
              <w:rPr>
                <w:sz w:val="17"/>
              </w:rPr>
              <w:t>T-1 06:00 to 13:00</w:t>
            </w:r>
          </w:p>
        </w:tc>
        <w:tc>
          <w:tcPr>
            <w:tcW w:type="dxa" w:w="4325"/>
            <w:tcMar>
              <w:top w:w="50" w:type="dxa"/>
              <w:bottom w:w="50" w:type="dxa"/>
              <w:left w:w="90" w:type="dxa"/>
              <w:right w:w="90" w:type="dxa"/>
            </w:tcMar>
            <w:shd w:val="clear" w:color="auto" w:fill="E5F5FF"/>
          </w:tcPr>
          <w:p>
            <w:pPr>
              <w:pStyle w:val="BDOITable"/>
            </w:pPr>
            <w:r>
              <w:rPr>
                <w:sz w:val="17"/>
              </w:rPr>
              <w:t>Full sanction screening of migrated clients; sample checks on screen by the data owners; RA-sent rejects corrected; business smoke test (CT-053 to CT-056)</w:t>
            </w:r>
          </w:p>
        </w:tc>
        <w:tc>
          <w:tcPr>
            <w:tcW w:type="dxa" w:w="2163"/>
            <w:tcMar>
              <w:top w:w="50" w:type="dxa"/>
              <w:bottom w:w="50" w:type="dxa"/>
              <w:left w:w="90" w:type="dxa"/>
              <w:right w:w="90" w:type="dxa"/>
            </w:tcMar>
            <w:shd w:val="clear" w:color="auto" w:fill="E5F5FF"/>
          </w:tcPr>
          <w:p>
            <w:pPr>
              <w:pStyle w:val="BDOITable"/>
            </w:pPr>
            <w:r>
              <w:rPr>
                <w:sz w:val="17"/>
              </w:rPr>
              <w:t>G6 per Day-1 object; smoke test checklist</w:t>
            </w:r>
          </w:p>
        </w:tc>
      </w:tr>
      <w:tr>
        <w:trPr>
          <w:cantSplit w:val="true"/>
        </w:trPr>
        <w:tc>
          <w:tcPr>
            <w:tcW w:type="dxa" w:w="1682"/>
            <w:tcMar>
              <w:top w:w="50" w:type="dxa"/>
              <w:bottom w:w="50" w:type="dxa"/>
              <w:left w:w="90" w:type="dxa"/>
              <w:right w:w="90" w:type="dxa"/>
            </w:tcMar>
          </w:tcPr>
          <w:p>
            <w:pPr>
              <w:pStyle w:val="BDOITable"/>
            </w:pPr>
            <w:r>
              <w:rPr>
                <w:b/>
                <w:sz w:val="17"/>
              </w:rPr>
              <w:t>7 Go / no-go</w:t>
            </w:r>
          </w:p>
        </w:tc>
        <w:tc>
          <w:tcPr>
            <w:tcW w:type="dxa" w:w="1802"/>
            <w:tcMar>
              <w:top w:w="50" w:type="dxa"/>
              <w:bottom w:w="50" w:type="dxa"/>
              <w:left w:w="90" w:type="dxa"/>
              <w:right w:w="90" w:type="dxa"/>
            </w:tcMar>
          </w:tcPr>
          <w:p>
            <w:pPr>
              <w:pStyle w:val="BDOITable"/>
            </w:pPr>
            <w:r>
              <w:rPr>
                <w:sz w:val="17"/>
              </w:rPr>
              <w:t>T-1 13:00 to 18:00</w:t>
            </w:r>
          </w:p>
        </w:tc>
        <w:tc>
          <w:tcPr>
            <w:tcW w:type="dxa" w:w="4325"/>
            <w:tcMar>
              <w:top w:w="50" w:type="dxa"/>
              <w:bottom w:w="50" w:type="dxa"/>
              <w:left w:w="90" w:type="dxa"/>
              <w:right w:w="90" w:type="dxa"/>
            </w:tcMar>
          </w:tcPr>
          <w:p>
            <w:pPr>
              <w:pStyle w:val="BDOITable"/>
            </w:pPr>
            <w:r>
              <w:rPr>
                <w:sz w:val="17"/>
              </w:rPr>
              <w:t>Jobs, alerts and integrations checked; go / no-go pack; decision GNG-3 (CT-057 to CT-059)</w:t>
            </w:r>
          </w:p>
        </w:tc>
        <w:tc>
          <w:tcPr>
            <w:tcW w:type="dxa" w:w="2163"/>
            <w:tcMar>
              <w:top w:w="50" w:type="dxa"/>
              <w:bottom w:w="50" w:type="dxa"/>
              <w:left w:w="90" w:type="dxa"/>
              <w:right w:w="90" w:type="dxa"/>
            </w:tcMar>
          </w:tcPr>
          <w:p>
            <w:pPr>
              <w:pStyle w:val="BDOITable"/>
            </w:pPr>
            <w:r>
              <w:rPr>
                <w:sz w:val="17"/>
              </w:rPr>
              <w:t>GNG-3 = G7 recorded with every criterion</w:t>
            </w:r>
          </w:p>
        </w:tc>
      </w:tr>
      <w:tr>
        <w:trPr>
          <w:cantSplit w:val="true"/>
        </w:trPr>
        <w:tc>
          <w:tcPr>
            <w:tcW w:type="dxa" w:w="1682"/>
            <w:tcMar>
              <w:top w:w="50" w:type="dxa"/>
              <w:bottom w:w="50" w:type="dxa"/>
              <w:left w:w="90" w:type="dxa"/>
              <w:right w:w="90" w:type="dxa"/>
            </w:tcMar>
            <w:shd w:val="clear" w:color="auto" w:fill="E5F5FF"/>
          </w:tcPr>
          <w:p>
            <w:pPr>
              <w:pStyle w:val="BDOITable"/>
            </w:pPr>
            <w:r>
              <w:rPr>
                <w:b/>
                <w:sz w:val="17"/>
              </w:rPr>
              <w:t>8 Production</w:t>
            </w:r>
          </w:p>
        </w:tc>
        <w:tc>
          <w:tcPr>
            <w:tcW w:type="dxa" w:w="1802"/>
            <w:tcMar>
              <w:top w:w="50" w:type="dxa"/>
              <w:bottom w:w="50" w:type="dxa"/>
              <w:left w:w="90" w:type="dxa"/>
              <w:right w:w="90" w:type="dxa"/>
            </w:tcMar>
            <w:shd w:val="clear" w:color="auto" w:fill="E5F5FF"/>
          </w:tcPr>
          <w:p>
            <w:pPr>
              <w:pStyle w:val="BDOITable"/>
            </w:pPr>
            <w:r>
              <w:rPr>
                <w:sz w:val="17"/>
              </w:rPr>
              <w:t>T (Mon 3 Jan 2028)</w:t>
            </w:r>
          </w:p>
        </w:tc>
        <w:tc>
          <w:tcPr>
            <w:tcW w:type="dxa" w:w="4325"/>
            <w:tcMar>
              <w:top w:w="50" w:type="dxa"/>
              <w:bottom w:w="50" w:type="dxa"/>
              <w:left w:w="90" w:type="dxa"/>
              <w:right w:w="90" w:type="dxa"/>
            </w:tcMar>
            <w:shd w:val="clear" w:color="auto" w:fill="E5F5FF"/>
          </w:tcPr>
          <w:p>
            <w:pPr>
              <w:pStyle w:val="BDOITable"/>
            </w:pPr>
            <w:r>
              <w:rPr>
                <w:sz w:val="17"/>
              </w:rPr>
              <w:t>Renewal go-live extraction 04:00; logins 06:00; open for business 08:00; point of no return 18:00 (CT-061 to CT-069)</w:t>
            </w:r>
          </w:p>
        </w:tc>
        <w:tc>
          <w:tcPr>
            <w:tcW w:type="dxa" w:w="2163"/>
            <w:tcMar>
              <w:top w:w="50" w:type="dxa"/>
              <w:bottom w:w="50" w:type="dxa"/>
              <w:left w:w="90" w:type="dxa"/>
              <w:right w:w="90" w:type="dxa"/>
            </w:tcMar>
            <w:shd w:val="clear" w:color="auto" w:fill="E5F5FF"/>
          </w:tcPr>
          <w:p>
            <w:pPr>
              <w:pStyle w:val="BDOITable"/>
            </w:pPr>
            <w:r>
              <w:rPr>
                <w:sz w:val="17"/>
              </w:rPr>
              <w:t>Go-live notice; first transactions in every branch</w:t>
            </w:r>
          </w:p>
        </w:tc>
      </w:tr>
    </w:tbl>
    <w:p>
      <w:pPr>
        <w:pStyle w:val="BDOISpacer"/>
      </w:pPr>
    </w:p>
    <w:p>
      <w:pPr>
        <w:pStyle w:val="Heading1"/>
        <w:pageBreakBefore/>
        <w:pBdr>
          <w:bottom w:val="single" w:sz="4" w:space="4" w:color="99C1E7"/>
        </w:pBdr>
      </w:pPr>
      <w:bookmarkStart w:id="117" w:name="_Toc000117"/>
      <w:r>
        <w:rPr/>
        <w:t>6 Mock migrations and dress rehearsals</w:t>
      </w:r>
      <w:bookmarkEnd w:id="117"/>
    </w:p>
    <w:p>
      <w:pPr>
        <w:pStyle w:val="Heading2"/>
      </w:pPr>
      <w:bookmarkStart w:id="118" w:name="_Toc000118"/>
      <w:r>
        <w:rPr/>
        <w:t>6.1 Schedule</w:t>
      </w:r>
      <w:bookmarkEnd w:id="118"/>
    </w:p>
    <w:p>
      <w:r>
        <w:rPr/>
        <w:t>The migration is run five times before it counts: four trial migrations (the mock migrations) in the SIT and UAT migration windows of the BDOI timeline, and the dress rehearsal in the full migration and cutover window, with a reserve slot (R1, Migration cycles). They sit inside the test windows of the drops (Figure 2).</w:t>
      </w:r>
    </w:p>
    <w:p>
      <w:pPr>
        <w:keepNext/>
        <w:spacing w:before="80" w:after="0"/>
        <w:jc w:val="center"/>
      </w:pPr>
      <w:r>
        <w:drawing>
          <wp:inline xmlns:a="http://schemas.openxmlformats.org/drawingml/2006/main" xmlns:pic="http://schemas.openxmlformats.org/drawingml/2006/picture">
            <wp:extent cx="5580000" cy="5187194"/>
            <wp:docPr id="4" name="Picture 4"/>
            <wp:cNvGraphicFramePr>
              <a:graphicFrameLocks noChangeAspect="1"/>
            </wp:cNvGraphicFramePr>
            <a:graphic>
              <a:graphicData uri="http://schemas.openxmlformats.org/drawingml/2006/picture">
                <pic:pic>
                  <pic:nvPicPr>
                    <pic:cNvPr id="0" name="gl_cycles_1037.jpg"/>
                    <pic:cNvPicPr/>
                  </pic:nvPicPr>
                  <pic:blipFill>
                    <a:blip r:embed="rId16"/>
                    <a:stretch>
                      <a:fillRect/>
                    </a:stretch>
                  </pic:blipFill>
                  <pic:spPr>
                    <a:xfrm>
                      <a:off x="0" y="0"/>
                      <a:ext cx="5580000" cy="5187194"/>
                    </a:xfrm>
                    <a:prstGeom prst="rect"/>
                  </pic:spPr>
                </pic:pic>
              </a:graphicData>
            </a:graphic>
          </wp:inline>
        </w:drawing>
      </w:r>
    </w:p>
    <w:p>
      <w:pPr>
        <w:pStyle w:val="Caption"/>
        <w:jc w:val="center"/>
      </w:pPr>
      <w:r>
        <w:rPr>
          <w:b/>
          <w:i w:val="0"/>
        </w:rPr>
        <w:t xml:space="preserve">Figure 2: </w:t>
      </w:r>
      <w:r>
        <w:rPr/>
        <w:t>Mock migrations, dress rehearsals and drop test windows</w:t>
      </w:r>
    </w:p>
    <w:p>
      <w:pPr>
        <w:pStyle w:val="Caption"/>
        <w:keepNext/>
        <w:spacing w:after="60"/>
      </w:pPr>
      <w:r>
        <w:rPr>
          <w:b/>
          <w:i w:val="0"/>
        </w:rPr>
        <w:t xml:space="preserve">Table 7: </w:t>
      </w:r>
      <w:r>
        <w:rPr/>
        <w:t>Mock migrations and dress rehearsals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1562"/>
        <w:gridCol w:w="2162"/>
        <w:gridCol w:w="2283"/>
        <w:gridCol w:w="2283"/>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Cycle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When and where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Scope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Entry criteria</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Exit criteria</w:t>
            </w:r>
          </w:p>
        </w:tc>
      </w:tr>
      <w:tr>
        <w:trPr>
          <w:cantSplit w:val="true"/>
        </w:trPr>
        <w:tc>
          <w:tcPr>
            <w:tcW w:type="dxa" w:w="1682"/>
            <w:tcMar>
              <w:top w:w="50" w:type="dxa"/>
              <w:bottom w:w="50" w:type="dxa"/>
              <w:left w:w="90" w:type="dxa"/>
              <w:right w:w="90" w:type="dxa"/>
            </w:tcMar>
          </w:tcPr>
          <w:p>
            <w:pPr>
              <w:pStyle w:val="BDOITable"/>
            </w:pPr>
            <w:r>
              <w:rPr>
                <w:b/>
                <w:sz w:val="16"/>
              </w:rPr>
              <w:t>Mock 1 (Trial migration 1)</w:t>
            </w:r>
          </w:p>
        </w:tc>
        <w:tc>
          <w:tcPr>
            <w:tcW w:type="dxa" w:w="1562"/>
            <w:tcMar>
              <w:top w:w="50" w:type="dxa"/>
              <w:bottom w:w="50" w:type="dxa"/>
              <w:left w:w="90" w:type="dxa"/>
              <w:right w:w="90" w:type="dxa"/>
            </w:tcMar>
          </w:tcPr>
          <w:p>
            <w:pPr>
              <w:pStyle w:val="BDOITable"/>
            </w:pPr>
            <w:r>
              <w:rPr>
                <w:sz w:val="16"/>
              </w:rPr>
              <w:t>19-30 Apr 2027, SIT</w:t>
            </w:r>
          </w:p>
        </w:tc>
        <w:tc>
          <w:tcPr>
            <w:tcW w:type="dxa" w:w="2163"/>
            <w:tcMar>
              <w:top w:w="50" w:type="dxa"/>
              <w:bottom w:w="50" w:type="dxa"/>
              <w:left w:w="90" w:type="dxa"/>
              <w:right w:w="90" w:type="dxa"/>
            </w:tcMar>
          </w:tcPr>
          <w:p>
            <w:pPr>
              <w:pStyle w:val="BDOITable"/>
            </w:pPr>
            <w:r>
              <w:rPr>
                <w:sz w:val="16"/>
              </w:rPr>
              <w:t>Masked full extracts; reference data and clients first, then policy headers and the RA-sent file</w:t>
            </w:r>
          </w:p>
        </w:tc>
        <w:tc>
          <w:tcPr>
            <w:tcW w:type="dxa" w:w="2283"/>
            <w:tcMar>
              <w:top w:w="50" w:type="dxa"/>
              <w:bottom w:w="50" w:type="dxa"/>
              <w:left w:w="90" w:type="dxa"/>
              <w:right w:w="90" w:type="dxa"/>
            </w:tcMar>
          </w:tcPr>
          <w:p>
            <w:pPr>
              <w:pStyle w:val="BDOITable"/>
            </w:pPr>
            <w:r>
              <w:rPr>
                <w:sz w:val="16"/>
              </w:rPr>
              <w:t>SIT with the Migration Console and Renewal by 9 Apr 2027; layouts frozen; draft code maps; extracts received (9 Apr 2027)</w:t>
            </w:r>
          </w:p>
        </w:tc>
        <w:tc>
          <w:tcPr>
            <w:tcW w:type="dxa" w:w="2283"/>
            <w:tcMar>
              <w:top w:w="50" w:type="dxa"/>
              <w:bottom w:w="50" w:type="dxa"/>
              <w:left w:w="90" w:type="dxa"/>
              <w:right w:w="90" w:type="dxa"/>
            </w:tcMar>
          </w:tcPr>
          <w:p>
            <w:pPr>
              <w:pStyle w:val="BDOITable"/>
            </w:pPr>
            <w:r>
              <w:rPr>
                <w:sz w:val="16"/>
              </w:rPr>
              <w:t>Objects loaded; L1-L4 run; timings per object; profiling report to the owners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Mock 2 (Trial migration 2)</w:t>
            </w:r>
          </w:p>
        </w:tc>
        <w:tc>
          <w:tcPr>
            <w:tcW w:type="dxa" w:w="1562"/>
            <w:tcMar>
              <w:top w:w="50" w:type="dxa"/>
              <w:bottom w:w="50" w:type="dxa"/>
              <w:left w:w="90" w:type="dxa"/>
              <w:right w:w="90" w:type="dxa"/>
            </w:tcMar>
            <w:shd w:val="clear" w:color="auto" w:fill="E5F5FF"/>
          </w:tcPr>
          <w:p>
            <w:pPr>
              <w:pStyle w:val="BDOITable"/>
            </w:pPr>
            <w:r>
              <w:rPr>
                <w:sz w:val="16"/>
              </w:rPr>
              <w:t>5-16 Jul 2027, SIT</w:t>
            </w:r>
          </w:p>
        </w:tc>
        <w:tc>
          <w:tcPr>
            <w:tcW w:type="dxa" w:w="2163"/>
            <w:tcMar>
              <w:top w:w="50" w:type="dxa"/>
              <w:bottom w:w="50" w:type="dxa"/>
              <w:left w:w="90" w:type="dxa"/>
              <w:right w:w="90" w:type="dxa"/>
            </w:tcMar>
            <w:shd w:val="clear" w:color="auto" w:fill="E5F5FF"/>
          </w:tcPr>
          <w:p>
            <w:pPr>
              <w:pStyle w:val="BDOITable"/>
            </w:pPr>
            <w:r>
              <w:rPr>
                <w:sz w:val="16"/>
              </w:rPr>
              <w:t>All objects</w:t>
            </w:r>
          </w:p>
        </w:tc>
        <w:tc>
          <w:tcPr>
            <w:tcW w:type="dxa" w:w="2283"/>
            <w:tcMar>
              <w:top w:w="50" w:type="dxa"/>
              <w:bottom w:w="50" w:type="dxa"/>
              <w:left w:w="90" w:type="dxa"/>
              <w:right w:w="90" w:type="dxa"/>
            </w:tcMar>
            <w:shd w:val="clear" w:color="auto" w:fill="E5F5FF"/>
          </w:tcPr>
          <w:p>
            <w:pPr>
              <w:pStyle w:val="BDOITable"/>
            </w:pPr>
            <w:r>
              <w:rPr>
                <w:sz w:val="16"/>
              </w:rPr>
              <w:t>Mock 1 exit met; code maps approved (18 Jun 2027); legacy accounts and rules set up on SIT</w:t>
            </w:r>
          </w:p>
        </w:tc>
        <w:tc>
          <w:tcPr>
            <w:tcW w:type="dxa" w:w="2283"/>
            <w:tcMar>
              <w:top w:w="50" w:type="dxa"/>
              <w:bottom w:w="50" w:type="dxa"/>
              <w:left w:w="90" w:type="dxa"/>
              <w:right w:w="90" w:type="dxa"/>
            </w:tcMar>
            <w:shd w:val="clear" w:color="auto" w:fill="E5F5FF"/>
          </w:tcPr>
          <w:p>
            <w:pPr>
              <w:pStyle w:val="BDOITable"/>
            </w:pPr>
            <w:r>
              <w:rPr>
                <w:sz w:val="16"/>
              </w:rPr>
              <w:t>L1-L5 reconciled; Migration Clearing 0.00; no open Critical migration issue</w:t>
            </w:r>
          </w:p>
        </w:tc>
      </w:tr>
      <w:tr>
        <w:trPr>
          <w:cantSplit w:val="true"/>
        </w:trPr>
        <w:tc>
          <w:tcPr>
            <w:tcW w:type="dxa" w:w="1682"/>
            <w:tcMar>
              <w:top w:w="50" w:type="dxa"/>
              <w:bottom w:w="50" w:type="dxa"/>
              <w:left w:w="90" w:type="dxa"/>
              <w:right w:w="90" w:type="dxa"/>
            </w:tcMar>
          </w:tcPr>
          <w:p>
            <w:pPr>
              <w:pStyle w:val="BDOITable"/>
            </w:pPr>
            <w:r>
              <w:rPr>
                <w:b/>
                <w:sz w:val="16"/>
              </w:rPr>
              <w:t>Mock 3 (Trial migration 3, UAT load)</w:t>
            </w:r>
          </w:p>
        </w:tc>
        <w:tc>
          <w:tcPr>
            <w:tcW w:type="dxa" w:w="1562"/>
            <w:tcMar>
              <w:top w:w="50" w:type="dxa"/>
              <w:bottom w:w="50" w:type="dxa"/>
              <w:left w:w="90" w:type="dxa"/>
              <w:right w:w="90" w:type="dxa"/>
            </w:tcMar>
          </w:tcPr>
          <w:p>
            <w:pPr>
              <w:pStyle w:val="BDOITable"/>
            </w:pPr>
            <w:r>
              <w:rPr>
                <w:sz w:val="16"/>
              </w:rPr>
              <w:t>2-13 Aug 2027, UAT</w:t>
            </w:r>
          </w:p>
        </w:tc>
        <w:tc>
          <w:tcPr>
            <w:tcW w:type="dxa" w:w="2163"/>
            <w:tcMar>
              <w:top w:w="50" w:type="dxa"/>
              <w:bottom w:w="50" w:type="dxa"/>
              <w:left w:w="90" w:type="dxa"/>
              <w:right w:w="90" w:type="dxa"/>
            </w:tcMar>
          </w:tcPr>
          <w:p>
            <w:pPr>
              <w:pStyle w:val="BDOITable"/>
            </w:pPr>
            <w:r>
              <w:rPr>
                <w:sz w:val="16"/>
              </w:rPr>
              <w:t>All objects, refreshed extracts</w:t>
            </w:r>
          </w:p>
        </w:tc>
        <w:tc>
          <w:tcPr>
            <w:tcW w:type="dxa" w:w="2283"/>
            <w:tcMar>
              <w:top w:w="50" w:type="dxa"/>
              <w:bottom w:w="50" w:type="dxa"/>
              <w:left w:w="90" w:type="dxa"/>
              <w:right w:w="90" w:type="dxa"/>
            </w:tcMar>
          </w:tcPr>
          <w:p>
            <w:pPr>
              <w:pStyle w:val="BDOITable"/>
            </w:pPr>
            <w:r>
              <w:rPr>
                <w:sz w:val="16"/>
              </w:rPr>
              <w:t>Mock 2 exit met; UAT readiness statement</w:t>
            </w:r>
          </w:p>
        </w:tc>
        <w:tc>
          <w:tcPr>
            <w:tcW w:type="dxa" w:w="2283"/>
            <w:tcMar>
              <w:top w:w="50" w:type="dxa"/>
              <w:bottom w:w="50" w:type="dxa"/>
              <w:left w:w="90" w:type="dxa"/>
              <w:right w:w="90" w:type="dxa"/>
            </w:tcMar>
          </w:tcPr>
          <w:p>
            <w:pPr>
              <w:pStyle w:val="BDOITable"/>
            </w:pPr>
            <w:r>
              <w:rPr>
                <w:sz w:val="16"/>
              </w:rPr>
              <w:t>Business owners verify samples; the end-to-end UAT of Drop 1 (Aug-Dec 2027) runs on migrated data</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Mock 4 (Trial migration 4, UAT refresh)</w:t>
            </w:r>
          </w:p>
        </w:tc>
        <w:tc>
          <w:tcPr>
            <w:tcW w:type="dxa" w:w="1562"/>
            <w:tcMar>
              <w:top w:w="50" w:type="dxa"/>
              <w:bottom w:w="50" w:type="dxa"/>
              <w:left w:w="90" w:type="dxa"/>
              <w:right w:w="90" w:type="dxa"/>
            </w:tcMar>
            <w:shd w:val="clear" w:color="auto" w:fill="E5F5FF"/>
          </w:tcPr>
          <w:p>
            <w:pPr>
              <w:pStyle w:val="BDOITable"/>
            </w:pPr>
            <w:r>
              <w:rPr>
                <w:sz w:val="16"/>
              </w:rPr>
              <w:t>4-15 Oct 2027, UAT</w:t>
            </w:r>
          </w:p>
        </w:tc>
        <w:tc>
          <w:tcPr>
            <w:tcW w:type="dxa" w:w="2163"/>
            <w:tcMar>
              <w:top w:w="50" w:type="dxa"/>
              <w:bottom w:w="50" w:type="dxa"/>
              <w:left w:w="90" w:type="dxa"/>
              <w:right w:w="90" w:type="dxa"/>
            </w:tcMar>
            <w:shd w:val="clear" w:color="auto" w:fill="E5F5FF"/>
          </w:tcPr>
          <w:p>
            <w:pPr>
              <w:pStyle w:val="BDOITable"/>
            </w:pPr>
            <w:r>
              <w:rPr>
                <w:sz w:val="16"/>
              </w:rPr>
              <w:t>All objects; go-live renewal extraction; test true-up</w:t>
            </w:r>
          </w:p>
        </w:tc>
        <w:tc>
          <w:tcPr>
            <w:tcW w:type="dxa" w:w="2283"/>
            <w:tcMar>
              <w:top w:w="50" w:type="dxa"/>
              <w:bottom w:w="50" w:type="dxa"/>
              <w:left w:w="90" w:type="dxa"/>
              <w:right w:w="90" w:type="dxa"/>
            </w:tcMar>
            <w:shd w:val="clear" w:color="auto" w:fill="E5F5FF"/>
          </w:tcPr>
          <w:p>
            <w:pPr>
              <w:pStyle w:val="BDOITable"/>
            </w:pPr>
            <w:r>
              <w:rPr>
                <w:sz w:val="16"/>
              </w:rPr>
              <w:t>Mock 3 exit met; cutover date, year-end option and fallback agreed (M6, 1 Oct 2027)</w:t>
            </w:r>
          </w:p>
        </w:tc>
        <w:tc>
          <w:tcPr>
            <w:tcW w:type="dxa" w:w="2283"/>
            <w:tcMar>
              <w:top w:w="50" w:type="dxa"/>
              <w:bottom w:w="50" w:type="dxa"/>
              <w:left w:w="90" w:type="dxa"/>
              <w:right w:w="90" w:type="dxa"/>
            </w:tcMar>
            <w:shd w:val="clear" w:color="auto" w:fill="E5F5FF"/>
          </w:tcPr>
          <w:p>
            <w:pPr>
              <w:pStyle w:val="BDOITable"/>
            </w:pPr>
            <w:r>
              <w:rPr>
                <w:sz w:val="16"/>
              </w:rPr>
              <w:t>Run as a timed cutover; renewal extraction check balanced; test true-up reconciled</w:t>
            </w:r>
          </w:p>
        </w:tc>
      </w:tr>
      <w:tr>
        <w:trPr>
          <w:cantSplit w:val="true"/>
        </w:trPr>
        <w:tc>
          <w:tcPr>
            <w:tcW w:type="dxa" w:w="1682"/>
            <w:tcMar>
              <w:top w:w="50" w:type="dxa"/>
              <w:bottom w:w="50" w:type="dxa"/>
              <w:left w:w="90" w:type="dxa"/>
              <w:right w:w="90" w:type="dxa"/>
            </w:tcMar>
          </w:tcPr>
          <w:p>
            <w:pPr>
              <w:pStyle w:val="BDOITable"/>
            </w:pPr>
            <w:r>
              <w:rPr>
                <w:b/>
                <w:sz w:val="16"/>
              </w:rPr>
              <w:t>Dress rehearsal 1</w:t>
            </w:r>
          </w:p>
        </w:tc>
        <w:tc>
          <w:tcPr>
            <w:tcW w:type="dxa" w:w="1562"/>
            <w:tcMar>
              <w:top w:w="50" w:type="dxa"/>
              <w:bottom w:w="50" w:type="dxa"/>
              <w:left w:w="90" w:type="dxa"/>
              <w:right w:w="90" w:type="dxa"/>
            </w:tcMar>
          </w:tcPr>
          <w:p>
            <w:pPr>
              <w:pStyle w:val="BDOITable"/>
            </w:pPr>
            <w:r>
              <w:rPr>
                <w:sz w:val="16"/>
              </w:rPr>
              <w:t>15-26 Nov 2027, Pre-Prod (production-sized)</w:t>
            </w:r>
          </w:p>
        </w:tc>
        <w:tc>
          <w:tcPr>
            <w:tcW w:type="dxa" w:w="2163"/>
            <w:tcMar>
              <w:top w:w="50" w:type="dxa"/>
              <w:bottom w:w="50" w:type="dxa"/>
              <w:left w:w="90" w:type="dxa"/>
              <w:right w:w="90" w:type="dxa"/>
            </w:tcMar>
          </w:tcPr>
          <w:p>
            <w:pPr>
              <w:pStyle w:val="BDOITable"/>
            </w:pPr>
            <w:r>
              <w:rPr>
                <w:sz w:val="16"/>
              </w:rPr>
              <w:t>Full volume after a legacy EOD; the technical cutover tasks TC-03 to TC-17 in their order; the job hold; the rollback (snapshot restore)</w:t>
            </w:r>
          </w:p>
        </w:tc>
        <w:tc>
          <w:tcPr>
            <w:tcW w:type="dxa" w:w="2283"/>
            <w:tcMar>
              <w:top w:w="50" w:type="dxa"/>
              <w:bottom w:w="50" w:type="dxa"/>
              <w:left w:w="90" w:type="dxa"/>
              <w:right w:w="90" w:type="dxa"/>
            </w:tcMar>
          </w:tcPr>
          <w:p>
            <w:pPr>
              <w:pStyle w:val="BDOITable"/>
            </w:pPr>
            <w:r>
              <w:rPr>
                <w:sz w:val="16"/>
              </w:rPr>
              <w:t>Mock 4 exit met; Pre-Prod ready by 1 Oct 2027; cutover plan frozen</w:t>
            </w:r>
          </w:p>
        </w:tc>
        <w:tc>
          <w:tcPr>
            <w:tcW w:type="dxa" w:w="2283"/>
            <w:tcMar>
              <w:top w:w="50" w:type="dxa"/>
              <w:bottom w:w="50" w:type="dxa"/>
              <w:left w:w="90" w:type="dxa"/>
              <w:right w:w="90" w:type="dxa"/>
            </w:tcMar>
          </w:tcPr>
          <w:p>
            <w:pPr>
              <w:pStyle w:val="BDOITable"/>
            </w:pPr>
            <w:r>
              <w:rPr>
                <w:sz w:val="16"/>
              </w:rPr>
              <w:t>Whole cutover within the window with at least 20 % margin; rollback rehearsed within 6 hours; go / no-go criteria measured</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Dress rehearsal 2 (reserve)</w:t>
            </w:r>
          </w:p>
        </w:tc>
        <w:tc>
          <w:tcPr>
            <w:tcW w:type="dxa" w:w="1562"/>
            <w:tcMar>
              <w:top w:w="50" w:type="dxa"/>
              <w:bottom w:w="50" w:type="dxa"/>
              <w:left w:w="90" w:type="dxa"/>
              <w:right w:w="90" w:type="dxa"/>
            </w:tcMar>
            <w:shd w:val="clear" w:color="auto" w:fill="E5F5FF"/>
          </w:tcPr>
          <w:p>
            <w:pPr>
              <w:pStyle w:val="BDOITable"/>
            </w:pPr>
            <w:r>
              <w:rPr>
                <w:sz w:val="16"/>
              </w:rPr>
              <w:t>6-10 Dec 2027, Pre-Prod</w:t>
            </w:r>
          </w:p>
        </w:tc>
        <w:tc>
          <w:tcPr>
            <w:tcW w:type="dxa" w:w="2163"/>
            <w:tcMar>
              <w:top w:w="50" w:type="dxa"/>
              <w:bottom w:w="50" w:type="dxa"/>
              <w:left w:w="90" w:type="dxa"/>
              <w:right w:w="90" w:type="dxa"/>
            </w:tcMar>
            <w:shd w:val="clear" w:color="auto" w:fill="E5F5FF"/>
          </w:tcPr>
          <w:p>
            <w:pPr>
              <w:pStyle w:val="BDOITable"/>
            </w:pPr>
            <w:r>
              <w:rPr>
                <w:sz w:val="16"/>
              </w:rPr>
              <w:t>The steps whose exit criteria rehearsal 1 missed</w:t>
            </w:r>
          </w:p>
        </w:tc>
        <w:tc>
          <w:tcPr>
            <w:tcW w:type="dxa" w:w="2283"/>
            <w:tcMar>
              <w:top w:w="50" w:type="dxa"/>
              <w:bottom w:w="50" w:type="dxa"/>
              <w:left w:w="90" w:type="dxa"/>
              <w:right w:w="90" w:type="dxa"/>
            </w:tcMar>
            <w:shd w:val="clear" w:color="auto" w:fill="E5F5FF"/>
          </w:tcPr>
          <w:p>
            <w:pPr>
              <w:pStyle w:val="BDOITable"/>
            </w:pPr>
            <w:r>
              <w:rPr>
                <w:sz w:val="16"/>
              </w:rPr>
              <w:t>Actions of rehearsal 1 done</w:t>
            </w:r>
          </w:p>
        </w:tc>
        <w:tc>
          <w:tcPr>
            <w:tcW w:type="dxa" w:w="2283"/>
            <w:tcMar>
              <w:top w:w="50" w:type="dxa"/>
              <w:bottom w:w="50" w:type="dxa"/>
              <w:left w:w="90" w:type="dxa"/>
              <w:right w:w="90" w:type="dxa"/>
            </w:tcMar>
            <w:shd w:val="clear" w:color="auto" w:fill="E5F5FF"/>
          </w:tcPr>
          <w:p>
            <w:pPr>
              <w:pStyle w:val="BDOITable"/>
            </w:pPr>
            <w:r>
              <w:rPr>
                <w:sz w:val="16"/>
              </w:rPr>
              <w:t>Missed criteria met; plan updated with measured durations and named people</w:t>
            </w:r>
          </w:p>
        </w:tc>
      </w:tr>
    </w:tbl>
    <w:p>
      <w:pPr>
        <w:pStyle w:val="BDOISpacer"/>
      </w:pPr>
    </w:p>
    <w:p>
      <w:pPr>
        <w:pStyle w:val="Heading2"/>
      </w:pPr>
      <w:bookmarkStart w:id="119" w:name="_Toc000119"/>
      <w:r>
        <w:rPr/>
        <w:t>6.2 What every rehearsal measures</w:t>
      </w:r>
      <w:bookmarkEnd w:id="119"/>
    </w:p>
    <w:p>
      <w:pPr>
        <w:tabs>
          <w:tab w:pos="312" w:val="left"/>
        </w:tabs>
        <w:spacing w:after="40"/>
        <w:ind w:left="312" w:hanging="283"/>
      </w:pPr>
      <w:r>
        <w:rPr>
          <w:color w:val="004EA8"/>
        </w:rPr>
        <w:t>•</w:t>
        <w:tab/>
      </w:r>
      <w:r>
        <w:rPr/>
        <w:t>the elapsed time of every task against the plan, so the cutover window and its 20 % margin are proved on full volume (planning rate about 50,000 rows an hour per partition);</w:t>
      </w:r>
    </w:p>
    <w:p>
      <w:pPr>
        <w:tabs>
          <w:tab w:pos="312" w:val="left"/>
        </w:tabs>
        <w:spacing w:after="40"/>
        <w:ind w:left="312" w:hanging="283"/>
      </w:pPr>
      <w:r>
        <w:rPr>
          <w:color w:val="004EA8"/>
        </w:rPr>
        <w:t>•</w:t>
        <w:tab/>
      </w:r>
      <w:r>
        <w:rPr/>
        <w:t>the error and rejection rates per object against the thresholds (master data at most 0.5 % rejected or waived; financial objects 0 errors or approved exclusions);</w:t>
      </w:r>
    </w:p>
    <w:p>
      <w:pPr>
        <w:tabs>
          <w:tab w:pos="312" w:val="left"/>
        </w:tabs>
        <w:spacing w:after="40"/>
        <w:ind w:left="312" w:hanging="283"/>
      </w:pPr>
      <w:r>
        <w:rPr>
          <w:color w:val="004EA8"/>
        </w:rPr>
        <w:t>•</w:t>
        <w:tab/>
      </w:r>
      <w:r>
        <w:rPr/>
        <w:t>the reconciliation results L1 to L5 and the time to explain the breaks;</w:t>
      </w:r>
    </w:p>
    <w:p>
      <w:pPr>
        <w:tabs>
          <w:tab w:pos="312" w:val="left"/>
        </w:tabs>
        <w:spacing w:after="40"/>
        <w:ind w:left="312" w:hanging="283"/>
      </w:pPr>
      <w:r>
        <w:rPr>
          <w:color w:val="004EA8"/>
        </w:rPr>
        <w:t>•</w:t>
        <w:tab/>
      </w:r>
      <w:r>
        <w:rPr/>
        <w:t>the go / no-go criteria as measured values, so the board sees at GNG-3 the same report it saw in the rehearsals;</w:t>
      </w:r>
    </w:p>
    <w:p>
      <w:pPr>
        <w:tabs>
          <w:tab w:pos="312" w:val="left"/>
        </w:tabs>
        <w:spacing w:after="120"/>
        <w:ind w:left="312" w:hanging="283"/>
      </w:pPr>
      <w:r>
        <w:rPr>
          <w:color w:val="004EA8"/>
        </w:rPr>
        <w:t>•</w:t>
        <w:tab/>
      </w:r>
      <w:r>
        <w:rPr/>
        <w:t>for the dress rehearsals also the technical cutover, the job hold and release, the monitoring and the rollback.</w:t>
      </w:r>
    </w:p>
    <w:p>
      <w:pPr>
        <w:pStyle w:val="Heading2"/>
      </w:pPr>
      <w:bookmarkStart w:id="120" w:name="_Toc000120"/>
      <w:r>
        <w:rPr/>
        <w:t>6.3 Drop test windows</w:t>
      </w:r>
      <w:bookmarkEnd w:id="120"/>
    </w:p>
    <w:p>
      <w:pPr>
        <w:pStyle w:val="Caption"/>
        <w:keepNext/>
        <w:spacing w:after="60"/>
      </w:pPr>
      <w:r>
        <w:rPr>
          <w:b/>
          <w:i w:val="0"/>
        </w:rPr>
        <w:t xml:space="preserve">Table 8: </w:t>
      </w:r>
      <w:r>
        <w:rPr/>
        <w:t>SIT and UAT windows of the drops (BDOI timeline)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523"/>
        <w:gridCol w:w="528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Stream</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Window</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Link to the migration</w:t>
            </w:r>
          </w:p>
        </w:tc>
      </w:tr>
      <w:tr>
        <w:trPr>
          <w:cantSplit w:val="true"/>
        </w:trPr>
        <w:tc>
          <w:tcPr>
            <w:tcW w:type="dxa" w:w="2163"/>
            <w:tcMar>
              <w:top w:w="50" w:type="dxa"/>
              <w:bottom w:w="50" w:type="dxa"/>
              <w:left w:w="90" w:type="dxa"/>
              <w:right w:w="90" w:type="dxa"/>
            </w:tcMar>
          </w:tcPr>
          <w:p>
            <w:pPr>
              <w:pStyle w:val="BDOITable"/>
            </w:pPr>
            <w:r>
              <w:rPr>
                <w:b/>
                <w:sz w:val="17"/>
              </w:rPr>
              <w:t>SIT Drop 0 and Drop 1</w:t>
            </w:r>
          </w:p>
        </w:tc>
        <w:tc>
          <w:tcPr>
            <w:tcW w:type="dxa" w:w="2523"/>
            <w:tcMar>
              <w:top w:w="50" w:type="dxa"/>
              <w:bottom w:w="50" w:type="dxa"/>
              <w:left w:w="90" w:type="dxa"/>
              <w:right w:w="90" w:type="dxa"/>
            </w:tcMar>
          </w:tcPr>
          <w:p>
            <w:pPr>
              <w:pStyle w:val="BDOITable"/>
            </w:pPr>
            <w:r>
              <w:rPr>
                <w:sz w:val="17"/>
              </w:rPr>
              <w:t>Jan-Jul 2027</w:t>
            </w:r>
          </w:p>
        </w:tc>
        <w:tc>
          <w:tcPr>
            <w:tcW w:type="dxa" w:w="5286"/>
            <w:tcMar>
              <w:top w:w="50" w:type="dxa"/>
              <w:bottom w:w="50" w:type="dxa"/>
              <w:left w:w="90" w:type="dxa"/>
              <w:right w:w="90" w:type="dxa"/>
            </w:tcMar>
          </w:tcPr>
          <w:p>
            <w:pPr>
              <w:pStyle w:val="BDOITable"/>
            </w:pPr>
            <w:r>
              <w:rPr>
                <w:sz w:val="17"/>
              </w:rPr>
              <w:t>Mock 1 gives migrated clients and reference data to the Renewal tests; Mock 2 completes SIT migration</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SIT Drop 2</w:t>
            </w:r>
          </w:p>
        </w:tc>
        <w:tc>
          <w:tcPr>
            <w:tcW w:type="dxa" w:w="2523"/>
            <w:tcMar>
              <w:top w:w="50" w:type="dxa"/>
              <w:bottom w:w="50" w:type="dxa"/>
              <w:left w:w="90" w:type="dxa"/>
              <w:right w:w="90" w:type="dxa"/>
            </w:tcMar>
            <w:shd w:val="clear" w:color="auto" w:fill="E5F5FF"/>
          </w:tcPr>
          <w:p>
            <w:pPr>
              <w:pStyle w:val="BDOITable"/>
            </w:pPr>
            <w:r>
              <w:rPr>
                <w:sz w:val="17"/>
              </w:rPr>
              <w:t>Jul-Sep 2027</w:t>
            </w:r>
          </w:p>
        </w:tc>
        <w:tc>
          <w:tcPr>
            <w:tcW w:type="dxa" w:w="5286"/>
            <w:tcMar>
              <w:top w:w="50" w:type="dxa"/>
              <w:bottom w:w="50" w:type="dxa"/>
              <w:left w:w="90" w:type="dxa"/>
              <w:right w:w="90" w:type="dxa"/>
            </w:tcMar>
            <w:shd w:val="clear" w:color="auto" w:fill="E5F5FF"/>
          </w:tcPr>
          <w:p>
            <w:pPr>
              <w:pStyle w:val="BDOITable"/>
            </w:pPr>
            <w:r>
              <w:rPr>
                <w:sz w:val="17"/>
              </w:rPr>
              <w:t>Uses the Mock 2 data where an object of Drop 2 needs it</w:t>
            </w:r>
          </w:p>
        </w:tc>
      </w:tr>
      <w:tr>
        <w:trPr>
          <w:cantSplit w:val="true"/>
        </w:trPr>
        <w:tc>
          <w:tcPr>
            <w:tcW w:type="dxa" w:w="2163"/>
            <w:tcMar>
              <w:top w:w="50" w:type="dxa"/>
              <w:bottom w:w="50" w:type="dxa"/>
              <w:left w:w="90" w:type="dxa"/>
              <w:right w:w="90" w:type="dxa"/>
            </w:tcMar>
          </w:tcPr>
          <w:p>
            <w:pPr>
              <w:pStyle w:val="BDOITable"/>
            </w:pPr>
            <w:r>
              <w:rPr>
                <w:b/>
                <w:sz w:val="17"/>
              </w:rPr>
              <w:t>UAT Drop 0 and Drop 1, end to end</w:t>
            </w:r>
          </w:p>
        </w:tc>
        <w:tc>
          <w:tcPr>
            <w:tcW w:type="dxa" w:w="2523"/>
            <w:tcMar>
              <w:top w:w="50" w:type="dxa"/>
              <w:bottom w:w="50" w:type="dxa"/>
              <w:left w:w="90" w:type="dxa"/>
              <w:right w:w="90" w:type="dxa"/>
            </w:tcMar>
          </w:tcPr>
          <w:p>
            <w:pPr>
              <w:pStyle w:val="BDOITable"/>
            </w:pPr>
            <w:r>
              <w:rPr>
                <w:sz w:val="17"/>
              </w:rPr>
              <w:t>Aug-Dec 2027</w:t>
            </w:r>
          </w:p>
        </w:tc>
        <w:tc>
          <w:tcPr>
            <w:tcW w:type="dxa" w:w="5286"/>
            <w:tcMar>
              <w:top w:w="50" w:type="dxa"/>
              <w:bottom w:w="50" w:type="dxa"/>
              <w:left w:w="90" w:type="dxa"/>
              <w:right w:w="90" w:type="dxa"/>
            </w:tcMar>
          </w:tcPr>
          <w:p>
            <w:pPr>
              <w:pStyle w:val="BDOITable"/>
            </w:pPr>
            <w:r>
              <w:rPr>
                <w:sz w:val="17"/>
              </w:rPr>
              <w:t>Runs on the Mock 3 load, refreshed by Mock 4</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UAT Drop 2</w:t>
            </w:r>
          </w:p>
        </w:tc>
        <w:tc>
          <w:tcPr>
            <w:tcW w:type="dxa" w:w="2523"/>
            <w:tcMar>
              <w:top w:w="50" w:type="dxa"/>
              <w:bottom w:w="50" w:type="dxa"/>
              <w:left w:w="90" w:type="dxa"/>
              <w:right w:w="90" w:type="dxa"/>
            </w:tcMar>
            <w:shd w:val="clear" w:color="auto" w:fill="E5F5FF"/>
          </w:tcPr>
          <w:p>
            <w:pPr>
              <w:pStyle w:val="BDOITable"/>
            </w:pPr>
            <w:r>
              <w:rPr>
                <w:sz w:val="17"/>
              </w:rPr>
              <w:t>Oct-Nov 2027</w:t>
            </w:r>
          </w:p>
        </w:tc>
        <w:tc>
          <w:tcPr>
            <w:tcW w:type="dxa" w:w="5286"/>
            <w:tcMar>
              <w:top w:w="50" w:type="dxa"/>
              <w:bottom w:w="50" w:type="dxa"/>
              <w:left w:w="90" w:type="dxa"/>
              <w:right w:w="90" w:type="dxa"/>
            </w:tcMar>
            <w:shd w:val="clear" w:color="auto" w:fill="E5F5FF"/>
          </w:tcPr>
          <w:p>
            <w:pPr>
              <w:pStyle w:val="BDOITable"/>
            </w:pPr>
            <w:r>
              <w:rPr>
                <w:sz w:val="17"/>
              </w:rPr>
              <w:t>Runs on the Mock 4 data</w:t>
            </w:r>
          </w:p>
        </w:tc>
      </w:tr>
      <w:tr>
        <w:trPr>
          <w:cantSplit w:val="true"/>
        </w:trPr>
        <w:tc>
          <w:tcPr>
            <w:tcW w:type="dxa" w:w="2163"/>
            <w:tcMar>
              <w:top w:w="50" w:type="dxa"/>
              <w:bottom w:w="50" w:type="dxa"/>
              <w:left w:w="90" w:type="dxa"/>
              <w:right w:w="90" w:type="dxa"/>
            </w:tcMar>
          </w:tcPr>
          <w:p>
            <w:pPr>
              <w:pStyle w:val="BDOITable"/>
            </w:pPr>
            <w:r>
              <w:rPr>
                <w:b/>
                <w:sz w:val="17"/>
              </w:rPr>
              <w:t>Performance and penetration test</w:t>
            </w:r>
          </w:p>
        </w:tc>
        <w:tc>
          <w:tcPr>
            <w:tcW w:type="dxa" w:w="2523"/>
            <w:tcMar>
              <w:top w:w="50" w:type="dxa"/>
              <w:bottom w:w="50" w:type="dxa"/>
              <w:left w:w="90" w:type="dxa"/>
              <w:right w:w="90" w:type="dxa"/>
            </w:tcMar>
          </w:tcPr>
          <w:p>
            <w:pPr>
              <w:pStyle w:val="BDOITable"/>
            </w:pPr>
            <w:r>
              <w:rPr>
                <w:sz w:val="17"/>
              </w:rPr>
              <w:t>Nov-Dec 2027</w:t>
            </w:r>
          </w:p>
        </w:tc>
        <w:tc>
          <w:tcPr>
            <w:tcW w:type="dxa" w:w="5286"/>
            <w:tcMar>
              <w:top w:w="50" w:type="dxa"/>
              <w:bottom w:w="50" w:type="dxa"/>
              <w:left w:w="90" w:type="dxa"/>
              <w:right w:w="90" w:type="dxa"/>
            </w:tcMar>
          </w:tcPr>
          <w:p>
            <w:pPr>
              <w:pStyle w:val="BDOITable"/>
            </w:pPr>
            <w:r>
              <w:rPr>
                <w:sz w:val="17"/>
              </w:rPr>
              <w:t>On Pre-Prod with the dress-rehearsal volume</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ORR / PRR</w:t>
            </w:r>
          </w:p>
        </w:tc>
        <w:tc>
          <w:tcPr>
            <w:tcW w:type="dxa" w:w="2523"/>
            <w:tcMar>
              <w:top w:w="50" w:type="dxa"/>
              <w:bottom w:w="50" w:type="dxa"/>
              <w:left w:w="90" w:type="dxa"/>
              <w:right w:w="90" w:type="dxa"/>
            </w:tcMar>
            <w:shd w:val="clear" w:color="auto" w:fill="E5F5FF"/>
          </w:tcPr>
          <w:p>
            <w:pPr>
              <w:pStyle w:val="BDOITable"/>
            </w:pPr>
            <w:r>
              <w:rPr>
                <w:sz w:val="17"/>
              </w:rPr>
              <w:t>Dec 2027-Jan 2028</w:t>
            </w:r>
          </w:p>
        </w:tc>
        <w:tc>
          <w:tcPr>
            <w:tcW w:type="dxa" w:w="5286"/>
            <w:tcMar>
              <w:top w:w="50" w:type="dxa"/>
              <w:bottom w:w="50" w:type="dxa"/>
              <w:left w:w="90" w:type="dxa"/>
              <w:right w:w="90" w:type="dxa"/>
            </w:tcMar>
            <w:shd w:val="clear" w:color="auto" w:fill="E5F5FF"/>
          </w:tcPr>
          <w:p>
            <w:pPr>
              <w:pStyle w:val="BDOITable"/>
            </w:pPr>
            <w:r>
              <w:rPr>
                <w:sz w:val="17"/>
              </w:rPr>
              <w:t>Evidence pack by 15 Dec 2027</w:t>
            </w:r>
          </w:p>
        </w:tc>
      </w:tr>
    </w:tbl>
    <w:p>
      <w:pPr>
        <w:pStyle w:val="BDOISpacer"/>
      </w:pPr>
    </w:p>
    <w:p>
      <w:pPr>
        <w:pStyle w:val="Heading1"/>
        <w:pageBreakBefore/>
        <w:pBdr>
          <w:bottom w:val="single" w:sz="4" w:space="4" w:color="99C1E7"/>
        </w:pBdr>
      </w:pPr>
      <w:bookmarkStart w:id="121" w:name="_Toc000121"/>
      <w:r>
        <w:rPr/>
        <w:t>7 Data migration steps</w:t>
      </w:r>
      <w:bookmarkEnd w:id="121"/>
    </w:p>
    <w:p>
      <w:r>
        <w:rPr/>
        <w:t>The steps below are those of every object in every cycle (R1, Part A, Migration approach). The Migration Console records each step; the Migration Workbook (R2) holds the review copy.</w:t>
      </w:r>
    </w:p>
    <w:p>
      <w:pPr>
        <w:pStyle w:val="Caption"/>
        <w:keepNext/>
        <w:spacing w:after="60"/>
      </w:pPr>
      <w:r>
        <w:rPr>
          <w:b/>
          <w:i w:val="0"/>
        </w:rPr>
        <w:t xml:space="preserve">Table 9: </w:t>
      </w:r>
      <w:r>
        <w:rPr/>
        <w:t>Data migration steps and where they are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445"/>
        <w:gridCol w:w="2042"/>
        <w:gridCol w:w="1802"/>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6"/>
              </w:rPr>
              <w:t>What happens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Who</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Specified in R1</w:t>
            </w:r>
          </w:p>
        </w:tc>
      </w:tr>
      <w:tr>
        <w:trPr>
          <w:cantSplit w:val="true"/>
        </w:trPr>
        <w:tc>
          <w:tcPr>
            <w:tcW w:type="dxa" w:w="1682"/>
            <w:tcMar>
              <w:top w:w="50" w:type="dxa"/>
              <w:bottom w:w="50" w:type="dxa"/>
              <w:left w:w="90" w:type="dxa"/>
              <w:right w:w="90" w:type="dxa"/>
            </w:tcMar>
          </w:tcPr>
          <w:p>
            <w:pPr>
              <w:pStyle w:val="BDOITable"/>
            </w:pPr>
            <w:r>
              <w:rPr>
                <w:b/>
                <w:sz w:val="16"/>
              </w:rPr>
              <w:t>Download templates</w:t>
            </w:r>
          </w:p>
        </w:tc>
        <w:tc>
          <w:tcPr>
            <w:tcW w:type="dxa" w:w="4445"/>
            <w:tcMar>
              <w:top w:w="50" w:type="dxa"/>
              <w:bottom w:w="50" w:type="dxa"/>
              <w:left w:w="90" w:type="dxa"/>
              <w:right w:w="90" w:type="dxa"/>
            </w:tcMar>
          </w:tcPr>
          <w:p>
            <w:pPr>
              <w:pStyle w:val="BDOITable"/>
            </w:pPr>
            <w:r>
              <w:rPr>
                <w:sz w:val="16"/>
              </w:rPr>
              <w:t>The Migration Console exports the load templates from Layouts and Rules: one template per layout with the column names as header row, a workbook per object, one workbook of all templates with the column guide, the control-file template and the filling rules. The Migration Workbook lists every layout on its own sheet in load order (sheet Load templates)</w:t>
            </w:r>
          </w:p>
        </w:tc>
        <w:tc>
          <w:tcPr>
            <w:tcW w:type="dxa" w:w="2042"/>
            <w:tcMar>
              <w:top w:w="50" w:type="dxa"/>
              <w:bottom w:w="50" w:type="dxa"/>
              <w:left w:w="90" w:type="dxa"/>
              <w:right w:w="90" w:type="dxa"/>
            </w:tcMar>
          </w:tcPr>
          <w:p>
            <w:pPr>
              <w:pStyle w:val="BDOITable"/>
            </w:pPr>
            <w:r>
              <w:rPr>
                <w:sz w:val="16"/>
              </w:rPr>
              <w:t>BDOI IT downloads; iorta TechNXT maintains the layouts</w:t>
            </w:r>
          </w:p>
        </w:tc>
        <w:tc>
          <w:tcPr>
            <w:tcW w:type="dxa" w:w="1802"/>
            <w:tcMar>
              <w:top w:w="50" w:type="dxa"/>
              <w:bottom w:w="50" w:type="dxa"/>
              <w:left w:w="90" w:type="dxa"/>
              <w:right w:w="90" w:type="dxa"/>
            </w:tcMar>
          </w:tcPr>
          <w:p>
            <w:pPr>
              <w:pStyle w:val="BDOITable"/>
            </w:pPr>
            <w:r>
              <w:rPr>
                <w:sz w:val="16"/>
              </w:rPr>
              <w:t>Part A, Extract templates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Legacy mapping</w:t>
            </w:r>
          </w:p>
        </w:tc>
        <w:tc>
          <w:tcPr>
            <w:tcW w:type="dxa" w:w="4445"/>
            <w:tcMar>
              <w:top w:w="50" w:type="dxa"/>
              <w:bottom w:w="50" w:type="dxa"/>
              <w:left w:w="90" w:type="dxa"/>
              <w:right w:w="90" w:type="dxa"/>
            </w:tcMar>
            <w:shd w:val="clear" w:color="auto" w:fill="E5F5FF"/>
          </w:tcPr>
          <w:p>
            <w:pPr>
              <w:pStyle w:val="BDOITable"/>
            </w:pPr>
            <w:r>
              <w:rPr>
                <w:sz w:val="16"/>
              </w:rPr>
              <w:t>Legacy codes are mapped to BIBS codes in versioned code map sets (Map, Default, Create or Reject); the data steward prepares and the business owner approves each version (gate G2). Legacy packages are remapped at Renewal sanitation, not at upload (DMQ36)</w:t>
            </w:r>
          </w:p>
        </w:tc>
        <w:tc>
          <w:tcPr>
            <w:tcW w:type="dxa" w:w="2042"/>
            <w:tcMar>
              <w:top w:w="50" w:type="dxa"/>
              <w:bottom w:w="50" w:type="dxa"/>
              <w:left w:w="90" w:type="dxa"/>
              <w:right w:w="90" w:type="dxa"/>
            </w:tcMar>
            <w:shd w:val="clear" w:color="auto" w:fill="E5F5FF"/>
          </w:tcPr>
          <w:p>
            <w:pPr>
              <w:pStyle w:val="BDOITable"/>
            </w:pPr>
            <w:r>
              <w:rPr>
                <w:sz w:val="16"/>
              </w:rPr>
              <w:t>Data stewards; data owners</w:t>
            </w:r>
          </w:p>
        </w:tc>
        <w:tc>
          <w:tcPr>
            <w:tcW w:type="dxa" w:w="1802"/>
            <w:tcMar>
              <w:top w:w="50" w:type="dxa"/>
              <w:bottom w:w="50" w:type="dxa"/>
              <w:left w:w="90" w:type="dxa"/>
              <w:right w:w="90" w:type="dxa"/>
            </w:tcMar>
            <w:shd w:val="clear" w:color="auto" w:fill="E5F5FF"/>
          </w:tcPr>
          <w:p>
            <w:pPr>
              <w:pStyle w:val="BDOITable"/>
            </w:pPr>
            <w:r>
              <w:rPr>
                <w:sz w:val="16"/>
              </w:rPr>
              <w:t>Part A, Mapping and code maps</w:t>
            </w:r>
          </w:p>
        </w:tc>
      </w:tr>
      <w:tr>
        <w:trPr>
          <w:cantSplit w:val="true"/>
        </w:trPr>
        <w:tc>
          <w:tcPr>
            <w:tcW w:type="dxa" w:w="1682"/>
            <w:tcMar>
              <w:top w:w="50" w:type="dxa"/>
              <w:bottom w:w="50" w:type="dxa"/>
              <w:left w:w="90" w:type="dxa"/>
              <w:right w:w="90" w:type="dxa"/>
            </w:tcMar>
          </w:tcPr>
          <w:p>
            <w:pPr>
              <w:pStyle w:val="BDOITable"/>
            </w:pPr>
            <w:r>
              <w:rPr>
                <w:b/>
                <w:sz w:val="16"/>
              </w:rPr>
              <w:t>Cleansing</w:t>
            </w:r>
          </w:p>
        </w:tc>
        <w:tc>
          <w:tcPr>
            <w:tcW w:type="dxa" w:w="4445"/>
            <w:tcMar>
              <w:top w:w="50" w:type="dxa"/>
              <w:bottom w:w="50" w:type="dxa"/>
              <w:left w:w="90" w:type="dxa"/>
              <w:right w:w="90" w:type="dxa"/>
            </w:tcMar>
          </w:tcPr>
          <w:p>
            <w:pPr>
              <w:pStyle w:val="BDOITable"/>
            </w:pPr>
            <w:r>
              <w:rPr>
                <w:sz w:val="16"/>
              </w:rPr>
              <w:t>BDOI fixes wrong or missing business data in legacy before the next extract; format differences are handled in the extract; duplicate clients are matched by BIBS and doubtful pairs decided by the steward; what cannot be fixed is waived with a plan</w:t>
            </w:r>
          </w:p>
        </w:tc>
        <w:tc>
          <w:tcPr>
            <w:tcW w:type="dxa" w:w="2042"/>
            <w:tcMar>
              <w:top w:w="50" w:type="dxa"/>
              <w:bottom w:w="50" w:type="dxa"/>
              <w:left w:w="90" w:type="dxa"/>
              <w:right w:w="90" w:type="dxa"/>
            </w:tcMar>
          </w:tcPr>
          <w:p>
            <w:pPr>
              <w:pStyle w:val="BDOITable"/>
            </w:pPr>
            <w:r>
              <w:rPr>
                <w:sz w:val="16"/>
              </w:rPr>
              <w:t>Data stewards; BDOI IT; iorta TechNXT</w:t>
            </w:r>
          </w:p>
        </w:tc>
        <w:tc>
          <w:tcPr>
            <w:tcW w:type="dxa" w:w="1802"/>
            <w:tcMar>
              <w:top w:w="50" w:type="dxa"/>
              <w:bottom w:w="50" w:type="dxa"/>
              <w:left w:w="90" w:type="dxa"/>
              <w:right w:w="90" w:type="dxa"/>
            </w:tcMar>
          </w:tcPr>
          <w:p>
            <w:pPr>
              <w:pStyle w:val="BDOITable"/>
            </w:pPr>
            <w:r>
              <w:rPr>
                <w:sz w:val="16"/>
              </w:rPr>
              <w:t>Part A, Cleansing: who fixes what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Upload</w:t>
            </w:r>
          </w:p>
        </w:tc>
        <w:tc>
          <w:tcPr>
            <w:tcW w:type="dxa" w:w="4445"/>
            <w:tcMar>
              <w:top w:w="50" w:type="dxa"/>
              <w:bottom w:w="50" w:type="dxa"/>
              <w:left w:w="90" w:type="dxa"/>
              <w:right w:w="90" w:type="dxa"/>
            </w:tcMar>
            <w:shd w:val="clear" w:color="auto" w:fill="E5F5FF"/>
          </w:tcPr>
          <w:p>
            <w:pPr>
              <w:pStyle w:val="BDOITable"/>
            </w:pPr>
            <w:r>
              <w:rPr>
                <w:sz w:val="16"/>
              </w:rPr>
              <w:t>Files are uploaded on the Extracts screen of the Migration Console, or through the secure file drop that BDOI IT names, never by e-mail; outside production personal data is masked at intake; a file that fails its control totals is rejected as a whole</w:t>
            </w:r>
          </w:p>
        </w:tc>
        <w:tc>
          <w:tcPr>
            <w:tcW w:type="dxa" w:w="2042"/>
            <w:tcMar>
              <w:top w:w="50" w:type="dxa"/>
              <w:bottom w:w="50" w:type="dxa"/>
              <w:left w:w="90" w:type="dxa"/>
              <w:right w:w="90" w:type="dxa"/>
            </w:tcMar>
            <w:shd w:val="clear" w:color="auto" w:fill="E5F5FF"/>
          </w:tcPr>
          <w:p>
            <w:pPr>
              <w:pStyle w:val="BDOITable"/>
            </w:pPr>
            <w:r>
              <w:rPr>
                <w:sz w:val="16"/>
              </w:rPr>
              <w:t>BDOI IT; iorta Migration Operator</w:t>
            </w:r>
          </w:p>
        </w:tc>
        <w:tc>
          <w:tcPr>
            <w:tcW w:type="dxa" w:w="1802"/>
            <w:tcMar>
              <w:top w:w="50" w:type="dxa"/>
              <w:bottom w:w="50" w:type="dxa"/>
              <w:left w:w="90" w:type="dxa"/>
              <w:right w:w="90" w:type="dxa"/>
            </w:tcMar>
            <w:shd w:val="clear" w:color="auto" w:fill="E5F5FF"/>
          </w:tcPr>
          <w:p>
            <w:pPr>
              <w:pStyle w:val="BDOITable"/>
            </w:pPr>
            <w:r>
              <w:rPr>
                <w:sz w:val="16"/>
              </w:rPr>
              <w:t>Part A, Secure transfer and staging</w:t>
            </w:r>
          </w:p>
        </w:tc>
      </w:tr>
      <w:tr>
        <w:trPr>
          <w:cantSplit w:val="true"/>
        </w:trPr>
        <w:tc>
          <w:tcPr>
            <w:tcW w:type="dxa" w:w="1682"/>
            <w:tcMar>
              <w:top w:w="50" w:type="dxa"/>
              <w:bottom w:w="50" w:type="dxa"/>
              <w:left w:w="90" w:type="dxa"/>
              <w:right w:w="90" w:type="dxa"/>
            </w:tcMar>
          </w:tcPr>
          <w:p>
            <w:pPr>
              <w:pStyle w:val="BDOITable"/>
            </w:pPr>
            <w:r>
              <w:rPr>
                <w:b/>
                <w:sz w:val="16"/>
              </w:rPr>
              <w:t>Validation</w:t>
            </w:r>
          </w:p>
        </w:tc>
        <w:tc>
          <w:tcPr>
            <w:tcW w:type="dxa" w:w="4445"/>
            <w:tcMar>
              <w:top w:w="50" w:type="dxa"/>
              <w:bottom w:w="50" w:type="dxa"/>
              <w:left w:w="90" w:type="dxa"/>
              <w:right w:w="90" w:type="dxa"/>
            </w:tcMar>
          </w:tcPr>
          <w:p>
            <w:pPr>
              <w:pStyle w:val="BDOITable"/>
            </w:pPr>
            <w:r>
              <w:rPr>
                <w:sz w:val="16"/>
              </w:rPr>
              <w:t>Every staged row is checked against the data-quality rules of its layout; clients are matched and deduplicated; batches load only within the thresholds (gate G3)</w:t>
            </w:r>
          </w:p>
        </w:tc>
        <w:tc>
          <w:tcPr>
            <w:tcW w:type="dxa" w:w="2042"/>
            <w:tcMar>
              <w:top w:w="50" w:type="dxa"/>
              <w:bottom w:w="50" w:type="dxa"/>
              <w:left w:w="90" w:type="dxa"/>
              <w:right w:w="90" w:type="dxa"/>
            </w:tcMar>
          </w:tcPr>
          <w:p>
            <w:pPr>
              <w:pStyle w:val="BDOITable"/>
            </w:pPr>
            <w:r>
              <w:rPr>
                <w:sz w:val="16"/>
              </w:rPr>
              <w:t>BIBS; data stewards</w:t>
            </w:r>
          </w:p>
        </w:tc>
        <w:tc>
          <w:tcPr>
            <w:tcW w:type="dxa" w:w="1802"/>
            <w:tcMar>
              <w:top w:w="50" w:type="dxa"/>
              <w:bottom w:w="50" w:type="dxa"/>
              <w:left w:w="90" w:type="dxa"/>
              <w:right w:w="90" w:type="dxa"/>
            </w:tcMar>
          </w:tcPr>
          <w:p>
            <w:pPr>
              <w:pStyle w:val="BDOITable"/>
            </w:pPr>
            <w:r>
              <w:rPr>
                <w:sz w:val="16"/>
              </w:rPr>
              <w:t>Part A, Validation; Client matching</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Load</w:t>
            </w:r>
          </w:p>
        </w:tc>
        <w:tc>
          <w:tcPr>
            <w:tcW w:type="dxa" w:w="4445"/>
            <w:tcMar>
              <w:top w:w="50" w:type="dxa"/>
              <w:bottom w:w="50" w:type="dxa"/>
              <w:left w:w="90" w:type="dxa"/>
              <w:right w:w="90" w:type="dxa"/>
            </w:tcMar>
            <w:shd w:val="clear" w:color="auto" w:fill="E5F5FF"/>
          </w:tcPr>
          <w:p>
            <w:pPr>
              <w:pStyle w:val="BDOITable"/>
            </w:pPr>
            <w:r>
              <w:rPr>
                <w:sz w:val="16"/>
              </w:rPr>
              <w:t>Approved batches (gate G4) load through the BIBS services in chunks; a rerun skips what is already loaded; before sign-off a batch can be rolled back</w:t>
            </w:r>
          </w:p>
        </w:tc>
        <w:tc>
          <w:tcPr>
            <w:tcW w:type="dxa" w:w="2042"/>
            <w:tcMar>
              <w:top w:w="50" w:type="dxa"/>
              <w:bottom w:w="50" w:type="dxa"/>
              <w:left w:w="90" w:type="dxa"/>
              <w:right w:w="90" w:type="dxa"/>
            </w:tcMar>
            <w:shd w:val="clear" w:color="auto" w:fill="E5F5FF"/>
          </w:tcPr>
          <w:p>
            <w:pPr>
              <w:pStyle w:val="BDOITable"/>
            </w:pPr>
            <w:r>
              <w:rPr>
                <w:sz w:val="16"/>
              </w:rPr>
              <w:t>iorta Migration Operator</w:t>
            </w:r>
          </w:p>
        </w:tc>
        <w:tc>
          <w:tcPr>
            <w:tcW w:type="dxa" w:w="1802"/>
            <w:tcMar>
              <w:top w:w="50" w:type="dxa"/>
              <w:bottom w:w="50" w:type="dxa"/>
              <w:left w:w="90" w:type="dxa"/>
              <w:right w:w="90" w:type="dxa"/>
            </w:tcMar>
            <w:shd w:val="clear" w:color="auto" w:fill="E5F5FF"/>
          </w:tcPr>
          <w:p>
            <w:pPr>
              <w:pStyle w:val="BDOITable"/>
            </w:pPr>
            <w:r>
              <w:rPr>
                <w:sz w:val="16"/>
              </w:rPr>
              <w:t>Part A, Load through the BIBS services</w:t>
            </w:r>
          </w:p>
        </w:tc>
      </w:tr>
      <w:tr>
        <w:trPr>
          <w:cantSplit w:val="true"/>
        </w:trPr>
        <w:tc>
          <w:tcPr>
            <w:tcW w:type="dxa" w:w="1682"/>
            <w:tcMar>
              <w:top w:w="50" w:type="dxa"/>
              <w:bottom w:w="50" w:type="dxa"/>
              <w:left w:w="90" w:type="dxa"/>
              <w:right w:w="90" w:type="dxa"/>
            </w:tcMar>
          </w:tcPr>
          <w:p>
            <w:pPr>
              <w:pStyle w:val="BDOITable"/>
            </w:pPr>
            <w:r>
              <w:rPr>
                <w:b/>
                <w:sz w:val="16"/>
              </w:rPr>
              <w:t>Reconciliation</w:t>
            </w:r>
          </w:p>
        </w:tc>
        <w:tc>
          <w:tcPr>
            <w:tcW w:type="dxa" w:w="4445"/>
            <w:tcMar>
              <w:top w:w="50" w:type="dxa"/>
              <w:bottom w:w="50" w:type="dxa"/>
              <w:left w:w="90" w:type="dxa"/>
              <w:right w:w="90" w:type="dxa"/>
            </w:tcMar>
          </w:tcPr>
          <w:p>
            <w:pPr>
              <w:pStyle w:val="BDOITable"/>
            </w:pPr>
            <w:r>
              <w:rPr>
                <w:sz w:val="16"/>
              </w:rPr>
              <w:t>L1 counts, L2 amounts, L3 hash totals, L4 fields, L5 GL (Migration Clearing 0.00 per branch and currency); breaks explained and approved (gate G5); business verification on screen and acceptance (gate G6)</w:t>
            </w:r>
          </w:p>
        </w:tc>
        <w:tc>
          <w:tcPr>
            <w:tcW w:type="dxa" w:w="2042"/>
            <w:tcMar>
              <w:top w:w="50" w:type="dxa"/>
              <w:bottom w:w="50" w:type="dxa"/>
              <w:left w:w="90" w:type="dxa"/>
              <w:right w:w="90" w:type="dxa"/>
            </w:tcMar>
          </w:tcPr>
          <w:p>
            <w:pPr>
              <w:pStyle w:val="BDOITable"/>
            </w:pPr>
            <w:r>
              <w:rPr>
                <w:sz w:val="16"/>
              </w:rPr>
              <w:t>Reconciliation approvers; data owners</w:t>
            </w:r>
          </w:p>
        </w:tc>
        <w:tc>
          <w:tcPr>
            <w:tcW w:type="dxa" w:w="1802"/>
            <w:tcMar>
              <w:top w:w="50" w:type="dxa"/>
              <w:bottom w:w="50" w:type="dxa"/>
              <w:left w:w="90" w:type="dxa"/>
              <w:right w:w="90" w:type="dxa"/>
            </w:tcMar>
          </w:tcPr>
          <w:p>
            <w:pPr>
              <w:pStyle w:val="BDOITable"/>
            </w:pPr>
            <w:r>
              <w:rPr>
                <w:sz w:val="16"/>
              </w:rPr>
              <w:t>Part C</w:t>
            </w:r>
          </w:p>
        </w:tc>
      </w:tr>
    </w:tbl>
    <w:p>
      <w:pPr>
        <w:pStyle w:val="BDOISpacer"/>
      </w:pPr>
    </w:p>
    <w:p>
      <w:pPr>
        <w:pStyle w:val="Heading1"/>
        <w:pageBreakBefore/>
        <w:pBdr>
          <w:bottom w:val="single" w:sz="4" w:space="4" w:color="99C1E7"/>
        </w:pBdr>
      </w:pPr>
      <w:bookmarkStart w:id="122" w:name="_Toc000122"/>
      <w:r>
        <w:rPr/>
        <w:t>8 Cutover runbook</w:t>
      </w:r>
      <w:bookmarkEnd w:id="122"/>
    </w:p>
    <w:p>
      <w:pPr>
        <w:pStyle w:val="Heading2"/>
      </w:pPr>
      <w:bookmarkStart w:id="123" w:name="_Toc000123"/>
      <w:r>
        <w:rPr/>
        <w:t>8.1 Organisation</w:t>
      </w:r>
      <w:bookmarkEnd w:id="123"/>
    </w:p>
    <w:p>
      <w:r>
        <w:rPr/>
        <w:t>The command centre is a room at BDOI head office with a standing bridge line and a chat channel, open from T-3 17:00 to T+5. Status calls run every 4 hours from T-3 to T and at each checkpoint, then at 08:00 and 17:00 to T+5, then daily at 17:00 to hypercare exit. Escalation runs from the task owner to the Data Migration Lead (15 minutes), to the iorta TechNXT Project Manager and the Program Manager (30 minutes), to the go / no-go board (1 hour, or at once for a stop condition) (R1, Part D).</w:t>
      </w:r>
    </w:p>
    <w:p>
      <w:r>
        <w:rPr>
          <w:b/>
        </w:rPr>
        <w:t>Stop conditions</w:t>
      </w:r>
      <w:r>
        <w:rPr/>
        <w:t xml:space="preserve"> (the board meets at once): a rejected final extract that cannot be re-sent within 2 hours; a load failure that leaves a financial object incomplete; Migration Clearing not 0.00 after the reconciliation window; a legacy posting after the freeze; loss of the production environment or of the snapshot.</w:t>
      </w:r>
    </w:p>
    <w:p>
      <w:pPr>
        <w:pStyle w:val="Caption"/>
        <w:keepNext/>
        <w:spacing w:after="60"/>
      </w:pPr>
      <w:r>
        <w:rPr>
          <w:b/>
          <w:i w:val="0"/>
        </w:rPr>
        <w:t xml:space="preserve">Table 10: </w:t>
      </w:r>
      <w:r>
        <w:rPr/>
        <w:t>Cutover roles (Data Migration Handbook, Part 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608"/>
        <w:gridCol w:w="2403"/>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Organisation</w:t>
            </w:r>
          </w:p>
        </w:tc>
      </w:tr>
      <w:tr>
        <w:trPr>
          <w:cantSplit w:val="true"/>
        </w:trPr>
        <w:tc>
          <w:tcPr>
            <w:tcW w:type="dxa" w:w="961"/>
            <w:tcMar>
              <w:top w:w="50" w:type="dxa"/>
              <w:bottom w:w="50" w:type="dxa"/>
              <w:left w:w="90" w:type="dxa"/>
              <w:right w:w="90" w:type="dxa"/>
            </w:tcMar>
          </w:tcPr>
          <w:p>
            <w:pPr>
              <w:pStyle w:val="BDOITable"/>
            </w:pPr>
            <w:r>
              <w:rPr>
                <w:b/>
                <w:sz w:val="17"/>
              </w:rPr>
              <w:t>PM</w:t>
            </w:r>
          </w:p>
        </w:tc>
        <w:tc>
          <w:tcPr>
            <w:tcW w:type="dxa" w:w="6608"/>
            <w:tcMar>
              <w:top w:w="50" w:type="dxa"/>
              <w:bottom w:w="50" w:type="dxa"/>
              <w:left w:w="90" w:type="dxa"/>
              <w:right w:w="90" w:type="dxa"/>
            </w:tcMar>
          </w:tcPr>
          <w:p>
            <w:pPr>
              <w:pStyle w:val="BDOITable"/>
            </w:pPr>
            <w:r>
              <w:rPr>
                <w:sz w:val="17"/>
              </w:rPr>
              <w:t>BDOI Program Manager (ESG - Business Project Services)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DML</w:t>
            </w:r>
          </w:p>
        </w:tc>
        <w:tc>
          <w:tcPr>
            <w:tcW w:type="dxa" w:w="6608"/>
            <w:tcMar>
              <w:top w:w="50" w:type="dxa"/>
              <w:bottom w:w="50" w:type="dxa"/>
              <w:left w:w="90" w:type="dxa"/>
              <w:right w:w="90" w:type="dxa"/>
            </w:tcMar>
            <w:shd w:val="clear" w:color="auto" w:fill="E5F5FF"/>
          </w:tcPr>
          <w:p>
            <w:pPr>
              <w:pStyle w:val="BDOITable"/>
            </w:pPr>
            <w:r>
              <w:rPr>
                <w:sz w:val="17"/>
              </w:rPr>
              <w:t>BDOI Data Migration Lead</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OWN</w:t>
            </w:r>
          </w:p>
        </w:tc>
        <w:tc>
          <w:tcPr>
            <w:tcW w:type="dxa" w:w="6608"/>
            <w:tcMar>
              <w:top w:w="50" w:type="dxa"/>
              <w:bottom w:w="50" w:type="dxa"/>
              <w:left w:w="90" w:type="dxa"/>
              <w:right w:w="90" w:type="dxa"/>
            </w:tcMar>
          </w:tcPr>
          <w:p>
            <w:pPr>
              <w:pStyle w:val="BDOITable"/>
            </w:pPr>
            <w:r>
              <w:rPr>
                <w:sz w:val="17"/>
              </w:rPr>
              <w:t>Data owners (department heads of each object)</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STW</w:t>
            </w:r>
          </w:p>
        </w:tc>
        <w:tc>
          <w:tcPr>
            <w:tcW w:type="dxa" w:w="6608"/>
            <w:tcMar>
              <w:top w:w="50" w:type="dxa"/>
              <w:bottom w:w="50" w:type="dxa"/>
              <w:left w:w="90" w:type="dxa"/>
              <w:right w:w="90" w:type="dxa"/>
            </w:tcMar>
            <w:shd w:val="clear" w:color="auto" w:fill="E5F5FF"/>
          </w:tcPr>
          <w:p>
            <w:pPr>
              <w:pStyle w:val="BDOITable"/>
            </w:pPr>
            <w:r>
              <w:rPr>
                <w:sz w:val="17"/>
              </w:rPr>
              <w:t>Data stewards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COMP</w:t>
            </w:r>
          </w:p>
        </w:tc>
        <w:tc>
          <w:tcPr>
            <w:tcW w:type="dxa" w:w="6608"/>
            <w:tcMar>
              <w:top w:w="50" w:type="dxa"/>
              <w:bottom w:w="50" w:type="dxa"/>
              <w:left w:w="90" w:type="dxa"/>
              <w:right w:w="90" w:type="dxa"/>
            </w:tcMar>
          </w:tcPr>
          <w:p>
            <w:pPr>
              <w:pStyle w:val="BDOITable"/>
            </w:pPr>
            <w:r>
              <w:rPr>
                <w:sz w:val="17"/>
              </w:rPr>
              <w:t>Comptrollership (reconciliation approver for financial objects)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OPS</w:t>
            </w:r>
          </w:p>
        </w:tc>
        <w:tc>
          <w:tcPr>
            <w:tcW w:type="dxa" w:w="6608"/>
            <w:tcMar>
              <w:top w:w="50" w:type="dxa"/>
              <w:bottom w:w="50" w:type="dxa"/>
              <w:left w:w="90" w:type="dxa"/>
              <w:right w:w="90" w:type="dxa"/>
            </w:tcMar>
            <w:shd w:val="clear" w:color="auto" w:fill="E5F5FF"/>
          </w:tcPr>
          <w:p>
            <w:pPr>
              <w:pStyle w:val="BDOITable"/>
            </w:pPr>
            <w:r>
              <w:rPr>
                <w:sz w:val="17"/>
              </w:rPr>
              <w:t>Operations (Financial Transactions, Cashiering, Remittance, Collections)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MKT</w:t>
            </w:r>
          </w:p>
        </w:tc>
        <w:tc>
          <w:tcPr>
            <w:tcW w:type="dxa" w:w="6608"/>
            <w:tcMar>
              <w:top w:w="50" w:type="dxa"/>
              <w:bottom w:w="50" w:type="dxa"/>
              <w:left w:w="90" w:type="dxa"/>
              <w:right w:w="90" w:type="dxa"/>
            </w:tcMar>
          </w:tcPr>
          <w:p>
            <w:pPr>
              <w:pStyle w:val="BDOITable"/>
            </w:pPr>
            <w:r>
              <w:rPr>
                <w:sz w:val="17"/>
              </w:rPr>
              <w:t>Marketing (Retail and Corporate)</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RNW</w:t>
            </w:r>
          </w:p>
        </w:tc>
        <w:tc>
          <w:tcPr>
            <w:tcW w:type="dxa" w:w="6608"/>
            <w:tcMar>
              <w:top w:w="50" w:type="dxa"/>
              <w:bottom w:w="50" w:type="dxa"/>
              <w:left w:w="90" w:type="dxa"/>
              <w:right w:w="90" w:type="dxa"/>
            </w:tcMar>
            <w:shd w:val="clear" w:color="auto" w:fill="E5F5FF"/>
          </w:tcPr>
          <w:p>
            <w:pPr>
              <w:pStyle w:val="BDOITable"/>
            </w:pPr>
            <w:r>
              <w:rPr>
                <w:sz w:val="17"/>
              </w:rPr>
              <w:t>Renewal processing team (makers and checkers; Head of the Renewal processing team)</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CMP</w:t>
            </w:r>
          </w:p>
        </w:tc>
        <w:tc>
          <w:tcPr>
            <w:tcW w:type="dxa" w:w="6608"/>
            <w:tcMar>
              <w:top w:w="50" w:type="dxa"/>
              <w:bottom w:w="50" w:type="dxa"/>
              <w:left w:w="90" w:type="dxa"/>
              <w:right w:w="90" w:type="dxa"/>
            </w:tcMar>
          </w:tcPr>
          <w:p>
            <w:pPr>
              <w:pStyle w:val="BDOITable"/>
            </w:pPr>
            <w:r>
              <w:rPr>
                <w:sz w:val="17"/>
              </w:rPr>
              <w:t>Compliance and Audit</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BIT</w:t>
            </w:r>
          </w:p>
        </w:tc>
        <w:tc>
          <w:tcPr>
            <w:tcW w:type="dxa" w:w="6608"/>
            <w:tcMar>
              <w:top w:w="50" w:type="dxa"/>
              <w:bottom w:w="50" w:type="dxa"/>
              <w:left w:w="90" w:type="dxa"/>
              <w:right w:w="90" w:type="dxa"/>
            </w:tcMar>
            <w:shd w:val="clear" w:color="auto" w:fill="E5F5FF"/>
          </w:tcPr>
          <w:p>
            <w:pPr>
              <w:pStyle w:val="BDOITable"/>
            </w:pPr>
            <w:r>
              <w:rPr>
                <w:sz w:val="17"/>
              </w:rPr>
              <w:t>BDOI IT (legacy systems, extracts, network, secure file transfer)</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GNG</w:t>
            </w:r>
          </w:p>
        </w:tc>
        <w:tc>
          <w:tcPr>
            <w:tcW w:type="dxa" w:w="6608"/>
            <w:tcMar>
              <w:top w:w="50" w:type="dxa"/>
              <w:bottom w:w="50" w:type="dxa"/>
              <w:left w:w="90" w:type="dxa"/>
              <w:right w:w="90" w:type="dxa"/>
            </w:tcMar>
          </w:tcPr>
          <w:p>
            <w:pPr>
              <w:pStyle w:val="BDOITable"/>
            </w:pPr>
            <w:r>
              <w:rPr>
                <w:sz w:val="17"/>
              </w:rPr>
              <w:t>Go / no-go board (Program Manager, heads of Operations, Comptrollership, Marketing, Compliance, IT; iorta Project Manager)</w:t>
            </w:r>
          </w:p>
        </w:tc>
        <w:tc>
          <w:tcPr>
            <w:tcW w:type="dxa" w:w="2403"/>
            <w:tcMar>
              <w:top w:w="50" w:type="dxa"/>
              <w:bottom w:w="50" w:type="dxa"/>
              <w:left w:w="90" w:type="dxa"/>
              <w:right w:w="90" w:type="dxa"/>
            </w:tcMar>
          </w:tcPr>
          <w:p>
            <w:pPr>
              <w:pStyle w:val="BDOITable"/>
            </w:pPr>
            <w:r>
              <w:rPr>
                <w:sz w:val="17"/>
              </w:rPr>
              <w:t>BDOI and 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IPM</w:t>
            </w:r>
          </w:p>
        </w:tc>
        <w:tc>
          <w:tcPr>
            <w:tcW w:type="dxa" w:w="6608"/>
            <w:tcMar>
              <w:top w:w="50" w:type="dxa"/>
              <w:bottom w:w="50" w:type="dxa"/>
              <w:left w:w="90" w:type="dxa"/>
              <w:right w:w="90" w:type="dxa"/>
            </w:tcMar>
            <w:shd w:val="clear" w:color="auto" w:fill="E5F5FF"/>
          </w:tcPr>
          <w:p>
            <w:pPr>
              <w:pStyle w:val="BDOITable"/>
            </w:pPr>
            <w:r>
              <w:rPr>
                <w:sz w:val="17"/>
              </w:rPr>
              <w:t>iorta TechNXT Project Manager</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961"/>
            <w:tcMar>
              <w:top w:w="50" w:type="dxa"/>
              <w:bottom w:w="50" w:type="dxa"/>
              <w:left w:w="90" w:type="dxa"/>
              <w:right w:w="90" w:type="dxa"/>
            </w:tcMar>
          </w:tcPr>
          <w:p>
            <w:pPr>
              <w:pStyle w:val="BDOITable"/>
            </w:pPr>
            <w:r>
              <w:rPr>
                <w:b/>
                <w:sz w:val="17"/>
              </w:rPr>
              <w:t>IML</w:t>
            </w:r>
          </w:p>
        </w:tc>
        <w:tc>
          <w:tcPr>
            <w:tcW w:type="dxa" w:w="6608"/>
            <w:tcMar>
              <w:top w:w="50" w:type="dxa"/>
              <w:bottom w:w="50" w:type="dxa"/>
              <w:left w:w="90" w:type="dxa"/>
              <w:right w:w="90" w:type="dxa"/>
            </w:tcMar>
          </w:tcPr>
          <w:p>
            <w:pPr>
              <w:pStyle w:val="BDOITable"/>
            </w:pPr>
            <w:r>
              <w:rPr>
                <w:sz w:val="17"/>
              </w:rPr>
              <w:t>iorta TechNXT Migration Lead (loads, reconciliation, Migration Console)</w:t>
            </w:r>
          </w:p>
        </w:tc>
        <w:tc>
          <w:tcPr>
            <w:tcW w:type="dxa" w:w="2403"/>
            <w:tcMar>
              <w:top w:w="50" w:type="dxa"/>
              <w:bottom w:w="50" w:type="dxa"/>
              <w:left w:w="90" w:type="dxa"/>
              <w:right w:w="90" w:type="dxa"/>
            </w:tcMar>
          </w:tcPr>
          <w:p>
            <w:pPr>
              <w:pStyle w:val="BDOITable"/>
            </w:pPr>
            <w:r>
              <w:rPr>
                <w:sz w:val="17"/>
              </w:rPr>
              <w:t>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IOP</w:t>
            </w:r>
          </w:p>
        </w:tc>
        <w:tc>
          <w:tcPr>
            <w:tcW w:type="dxa" w:w="6608"/>
            <w:tcMar>
              <w:top w:w="50" w:type="dxa"/>
              <w:bottom w:w="50" w:type="dxa"/>
              <w:left w:w="90" w:type="dxa"/>
              <w:right w:w="90" w:type="dxa"/>
            </w:tcMar>
            <w:shd w:val="clear" w:color="auto" w:fill="E5F5FF"/>
          </w:tcPr>
          <w:p>
            <w:pPr>
              <w:pStyle w:val="BDOITable"/>
            </w:pPr>
            <w:r>
              <w:rPr>
                <w:sz w:val="17"/>
              </w:rPr>
              <w:t>iorta TechNXT Migration Operator (intake, validation, loads)</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961"/>
            <w:tcMar>
              <w:top w:w="50" w:type="dxa"/>
              <w:bottom w:w="50" w:type="dxa"/>
              <w:left w:w="90" w:type="dxa"/>
              <w:right w:w="90" w:type="dxa"/>
            </w:tcMar>
          </w:tcPr>
          <w:p>
            <w:pPr>
              <w:pStyle w:val="BDOITable"/>
            </w:pPr>
            <w:r>
              <w:rPr>
                <w:b/>
                <w:sz w:val="17"/>
              </w:rPr>
              <w:t>IDO</w:t>
            </w:r>
          </w:p>
        </w:tc>
        <w:tc>
          <w:tcPr>
            <w:tcW w:type="dxa" w:w="6608"/>
            <w:tcMar>
              <w:top w:w="50" w:type="dxa"/>
              <w:bottom w:w="50" w:type="dxa"/>
              <w:left w:w="90" w:type="dxa"/>
              <w:right w:w="90" w:type="dxa"/>
            </w:tcMar>
          </w:tcPr>
          <w:p>
            <w:pPr>
              <w:pStyle w:val="BDOITable"/>
            </w:pPr>
            <w:r>
              <w:rPr>
                <w:sz w:val="17"/>
              </w:rPr>
              <w:t>iorta TechNXT infrastructure team (AWS environment, snapshots, access, monitoring)</w:t>
            </w:r>
          </w:p>
        </w:tc>
        <w:tc>
          <w:tcPr>
            <w:tcW w:type="dxa" w:w="2403"/>
            <w:tcMar>
              <w:top w:w="50" w:type="dxa"/>
              <w:bottom w:w="50" w:type="dxa"/>
              <w:left w:w="90" w:type="dxa"/>
              <w:right w:w="90" w:type="dxa"/>
            </w:tcMar>
          </w:tcPr>
          <w:p>
            <w:pPr>
              <w:pStyle w:val="BDOITable"/>
            </w:pPr>
            <w:r>
              <w:rPr>
                <w:sz w:val="17"/>
              </w:rPr>
              <w:t>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IQA</w:t>
            </w:r>
          </w:p>
        </w:tc>
        <w:tc>
          <w:tcPr>
            <w:tcW w:type="dxa" w:w="6608"/>
            <w:tcMar>
              <w:top w:w="50" w:type="dxa"/>
              <w:bottom w:w="50" w:type="dxa"/>
              <w:left w:w="90" w:type="dxa"/>
              <w:right w:w="90" w:type="dxa"/>
            </w:tcMar>
            <w:shd w:val="clear" w:color="auto" w:fill="E5F5FF"/>
          </w:tcPr>
          <w:p>
            <w:pPr>
              <w:pStyle w:val="BDOITable"/>
            </w:pPr>
            <w:r>
              <w:rPr>
                <w:sz w:val="17"/>
              </w:rPr>
              <w:t>iorta TechNXT QA (smoke tests, issue triage)</w:t>
            </w:r>
          </w:p>
        </w:tc>
        <w:tc>
          <w:tcPr>
            <w:tcW w:type="dxa" w:w="2403"/>
            <w:tcMar>
              <w:top w:w="50" w:type="dxa"/>
              <w:bottom w:w="50" w:type="dxa"/>
              <w:left w:w="90" w:type="dxa"/>
              <w:right w:w="90" w:type="dxa"/>
            </w:tcMar>
            <w:shd w:val="clear" w:color="auto" w:fill="E5F5FF"/>
          </w:tcPr>
          <w:p>
            <w:pPr>
              <w:pStyle w:val="BDOITable"/>
            </w:pPr>
            <w:r>
              <w:rPr>
                <w:sz w:val="17"/>
              </w:rPr>
              <w:t>iorta TechNXT</w:t>
            </w:r>
          </w:p>
        </w:tc>
      </w:tr>
    </w:tbl>
    <w:p>
      <w:pPr>
        <w:pStyle w:val="BDOISpacer"/>
      </w:pPr>
    </w:p>
    <w:p>
      <w:r>
        <w:rPr/>
        <w:t xml:space="preserve">The technical tasks of this plan add one role: </w:t>
      </w:r>
      <w:r>
        <w:rPr>
          <w:b/>
        </w:rPr>
        <w:t>CLO</w:t>
      </w:r>
      <w:r>
        <w:rPr/>
        <w:t xml:space="preserve"> - BDO Cloud Operations (production and DR environments, secrets, backups).</w:t>
      </w:r>
    </w:p>
    <w:p>
      <w:pPr>
        <w:pStyle w:val="Heading2"/>
      </w:pPr>
      <w:bookmarkStart w:id="124" w:name="_Toc000124"/>
      <w:r>
        <w:rPr/>
        <w:t>8.2 Phases</w:t>
      </w:r>
      <w:bookmarkEnd w:id="124"/>
    </w:p>
    <w:p>
      <w:pPr>
        <w:pStyle w:val="Caption"/>
        <w:keepNext/>
        <w:spacing w:after="60"/>
      </w:pPr>
      <w:r>
        <w:rPr>
          <w:b/>
          <w:i w:val="0"/>
        </w:rPr>
        <w:t xml:space="preserve">Table 11: </w:t>
      </w:r>
      <w:r>
        <w:rPr/>
        <w:t>Cutover phases (T = Monday 3 January 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604"/>
        <w:gridCol w:w="5647"/>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Phase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Days</w:t>
            </w:r>
          </w:p>
        </w:tc>
      </w:tr>
      <w:tr>
        <w:trPr>
          <w:cantSplit w:val="true"/>
        </w:trPr>
        <w:tc>
          <w:tcPr>
            <w:tcW w:type="dxa" w:w="721"/>
            <w:tcMar>
              <w:top w:w="50" w:type="dxa"/>
              <w:bottom w:w="50" w:type="dxa"/>
              <w:left w:w="90" w:type="dxa"/>
              <w:right w:w="90" w:type="dxa"/>
            </w:tcMar>
          </w:tcPr>
          <w:p>
            <w:pPr>
              <w:pStyle w:val="BDOITable"/>
            </w:pPr>
            <w:r>
              <w:rPr>
                <w:b/>
                <w:sz w:val="17"/>
              </w:rPr>
              <w:t>A</w:t>
            </w:r>
          </w:p>
        </w:tc>
        <w:tc>
          <w:tcPr>
            <w:tcW w:type="dxa" w:w="3604"/>
            <w:tcMar>
              <w:top w:w="50" w:type="dxa"/>
              <w:bottom w:w="50" w:type="dxa"/>
              <w:left w:w="90" w:type="dxa"/>
              <w:right w:w="90" w:type="dxa"/>
            </w:tcMar>
          </w:tcPr>
          <w:p>
            <w:pPr>
              <w:pStyle w:val="BDOITable"/>
            </w:pPr>
            <w:r>
              <w:rPr>
                <w:sz w:val="17"/>
              </w:rPr>
              <w:t>Readiness</w:t>
            </w:r>
          </w:p>
        </w:tc>
        <w:tc>
          <w:tcPr>
            <w:tcW w:type="dxa" w:w="5647"/>
            <w:tcMar>
              <w:top w:w="50" w:type="dxa"/>
              <w:bottom w:w="50" w:type="dxa"/>
              <w:left w:w="90" w:type="dxa"/>
              <w:right w:w="90" w:type="dxa"/>
            </w:tcMar>
          </w:tcPr>
          <w:p>
            <w:pPr>
              <w:pStyle w:val="BDOITable"/>
            </w:pPr>
            <w:r>
              <w:rPr>
                <w:sz w:val="17"/>
              </w:rPr>
              <w:t>T-30 to T-15 (4 to 19 Dec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B</w:t>
            </w:r>
          </w:p>
        </w:tc>
        <w:tc>
          <w:tcPr>
            <w:tcW w:type="dxa" w:w="3604"/>
            <w:tcMar>
              <w:top w:w="50" w:type="dxa"/>
              <w:bottom w:w="50" w:type="dxa"/>
              <w:left w:w="90" w:type="dxa"/>
              <w:right w:w="90" w:type="dxa"/>
            </w:tcMar>
            <w:shd w:val="clear" w:color="auto" w:fill="E5F5FF"/>
          </w:tcPr>
          <w:p>
            <w:pPr>
              <w:pStyle w:val="BDOITable"/>
            </w:pPr>
            <w:r>
              <w:rPr>
                <w:sz w:val="17"/>
              </w:rPr>
              <w:t>Pre-load and daily deltas</w:t>
            </w:r>
          </w:p>
        </w:tc>
        <w:tc>
          <w:tcPr>
            <w:tcW w:type="dxa" w:w="5647"/>
            <w:tcMar>
              <w:top w:w="50" w:type="dxa"/>
              <w:bottom w:w="50" w:type="dxa"/>
              <w:left w:w="90" w:type="dxa"/>
              <w:right w:w="90" w:type="dxa"/>
            </w:tcMar>
            <w:shd w:val="clear" w:color="auto" w:fill="E5F5FF"/>
          </w:tcPr>
          <w:p>
            <w:pPr>
              <w:pStyle w:val="BDOITable"/>
            </w:pPr>
            <w:r>
              <w:rPr>
                <w:sz w:val="17"/>
              </w:rPr>
              <w:t>T-14 to T-4 (20 to 30 Dec 2027)</w:t>
            </w:r>
          </w:p>
        </w:tc>
      </w:tr>
      <w:tr>
        <w:trPr>
          <w:cantSplit w:val="true"/>
        </w:trPr>
        <w:tc>
          <w:tcPr>
            <w:tcW w:type="dxa" w:w="721"/>
            <w:tcMar>
              <w:top w:w="50" w:type="dxa"/>
              <w:bottom w:w="50" w:type="dxa"/>
              <w:left w:w="90" w:type="dxa"/>
              <w:right w:w="90" w:type="dxa"/>
            </w:tcMar>
          </w:tcPr>
          <w:p>
            <w:pPr>
              <w:pStyle w:val="BDOITable"/>
            </w:pPr>
            <w:r>
              <w:rPr>
                <w:b/>
                <w:sz w:val="17"/>
              </w:rPr>
              <w:t>C</w:t>
            </w:r>
          </w:p>
        </w:tc>
        <w:tc>
          <w:tcPr>
            <w:tcW w:type="dxa" w:w="3604"/>
            <w:tcMar>
              <w:top w:w="50" w:type="dxa"/>
              <w:bottom w:w="50" w:type="dxa"/>
              <w:left w:w="90" w:type="dxa"/>
              <w:right w:w="90" w:type="dxa"/>
            </w:tcMar>
          </w:tcPr>
          <w:p>
            <w:pPr>
              <w:pStyle w:val="BDOITable"/>
            </w:pPr>
            <w:r>
              <w:rPr>
                <w:sz w:val="17"/>
              </w:rPr>
              <w:t>Legacy freeze and final extracts</w:t>
            </w:r>
          </w:p>
        </w:tc>
        <w:tc>
          <w:tcPr>
            <w:tcW w:type="dxa" w:w="5647"/>
            <w:tcMar>
              <w:top w:w="50" w:type="dxa"/>
              <w:bottom w:w="50" w:type="dxa"/>
              <w:left w:w="90" w:type="dxa"/>
              <w:right w:w="90" w:type="dxa"/>
            </w:tcMar>
          </w:tcPr>
          <w:p>
            <w:pPr>
              <w:pStyle w:val="BDOITable"/>
            </w:pPr>
            <w:r>
              <w:rPr>
                <w:sz w:val="17"/>
              </w:rPr>
              <w:t>T-3 (Friday 31 Dec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D</w:t>
            </w:r>
          </w:p>
        </w:tc>
        <w:tc>
          <w:tcPr>
            <w:tcW w:type="dxa" w:w="3604"/>
            <w:tcMar>
              <w:top w:w="50" w:type="dxa"/>
              <w:bottom w:w="50" w:type="dxa"/>
              <w:left w:w="90" w:type="dxa"/>
              <w:right w:w="90" w:type="dxa"/>
            </w:tcMar>
            <w:shd w:val="clear" w:color="auto" w:fill="E5F5FF"/>
          </w:tcPr>
          <w:p>
            <w:pPr>
              <w:pStyle w:val="BDOITable"/>
            </w:pPr>
            <w:r>
              <w:rPr>
                <w:sz w:val="17"/>
              </w:rPr>
              <w:t>Production load</w:t>
            </w:r>
          </w:p>
        </w:tc>
        <w:tc>
          <w:tcPr>
            <w:tcW w:type="dxa" w:w="5647"/>
            <w:tcMar>
              <w:top w:w="50" w:type="dxa"/>
              <w:bottom w:w="50" w:type="dxa"/>
              <w:left w:w="90" w:type="dxa"/>
              <w:right w:w="90" w:type="dxa"/>
            </w:tcMar>
            <w:shd w:val="clear" w:color="auto" w:fill="E5F5FF"/>
          </w:tcPr>
          <w:p>
            <w:pPr>
              <w:pStyle w:val="BDOITable"/>
            </w:pPr>
            <w:r>
              <w:rPr>
                <w:sz w:val="17"/>
              </w:rPr>
              <w:t>T-2 (Saturday 1 Jan 2028)</w:t>
            </w:r>
          </w:p>
        </w:tc>
      </w:tr>
      <w:tr>
        <w:trPr>
          <w:cantSplit w:val="true"/>
        </w:trPr>
        <w:tc>
          <w:tcPr>
            <w:tcW w:type="dxa" w:w="721"/>
            <w:tcMar>
              <w:top w:w="50" w:type="dxa"/>
              <w:bottom w:w="50" w:type="dxa"/>
              <w:left w:w="90" w:type="dxa"/>
              <w:right w:w="90" w:type="dxa"/>
            </w:tcMar>
          </w:tcPr>
          <w:p>
            <w:pPr>
              <w:pStyle w:val="BDOITable"/>
            </w:pPr>
            <w:r>
              <w:rPr>
                <w:b/>
                <w:sz w:val="17"/>
              </w:rPr>
              <w:t>E</w:t>
            </w:r>
          </w:p>
        </w:tc>
        <w:tc>
          <w:tcPr>
            <w:tcW w:type="dxa" w:w="3604"/>
            <w:tcMar>
              <w:top w:w="50" w:type="dxa"/>
              <w:bottom w:w="50" w:type="dxa"/>
              <w:left w:w="90" w:type="dxa"/>
              <w:right w:w="90" w:type="dxa"/>
            </w:tcMar>
          </w:tcPr>
          <w:p>
            <w:pPr>
              <w:pStyle w:val="BDOITable"/>
            </w:pPr>
            <w:r>
              <w:rPr>
                <w:sz w:val="17"/>
              </w:rPr>
              <w:t>Reconciliation, verification and go / no-go</w:t>
            </w:r>
          </w:p>
        </w:tc>
        <w:tc>
          <w:tcPr>
            <w:tcW w:type="dxa" w:w="5647"/>
            <w:tcMar>
              <w:top w:w="50" w:type="dxa"/>
              <w:bottom w:w="50" w:type="dxa"/>
              <w:left w:w="90" w:type="dxa"/>
              <w:right w:w="90" w:type="dxa"/>
            </w:tcMar>
          </w:tcPr>
          <w:p>
            <w:pPr>
              <w:pStyle w:val="BDOITable"/>
            </w:pPr>
            <w:r>
              <w:rPr>
                <w:sz w:val="17"/>
              </w:rPr>
              <w:t>T-1 (Sunday 2 Jan 2028)</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F</w:t>
            </w:r>
          </w:p>
        </w:tc>
        <w:tc>
          <w:tcPr>
            <w:tcW w:type="dxa" w:w="3604"/>
            <w:tcMar>
              <w:top w:w="50" w:type="dxa"/>
              <w:bottom w:w="50" w:type="dxa"/>
              <w:left w:w="90" w:type="dxa"/>
              <w:right w:w="90" w:type="dxa"/>
            </w:tcMar>
            <w:shd w:val="clear" w:color="auto" w:fill="E5F5FF"/>
          </w:tcPr>
          <w:p>
            <w:pPr>
              <w:pStyle w:val="BDOITable"/>
            </w:pPr>
            <w:r>
              <w:rPr>
                <w:sz w:val="17"/>
              </w:rPr>
              <w:t>Go-live</w:t>
            </w:r>
          </w:p>
        </w:tc>
        <w:tc>
          <w:tcPr>
            <w:tcW w:type="dxa" w:w="5647"/>
            <w:tcMar>
              <w:top w:w="50" w:type="dxa"/>
              <w:bottom w:w="50" w:type="dxa"/>
              <w:left w:w="90" w:type="dxa"/>
              <w:right w:w="90" w:type="dxa"/>
            </w:tcMar>
            <w:shd w:val="clear" w:color="auto" w:fill="E5F5FF"/>
          </w:tcPr>
          <w:p>
            <w:pPr>
              <w:pStyle w:val="BDOITable"/>
            </w:pPr>
            <w:r>
              <w:rPr>
                <w:sz w:val="17"/>
              </w:rPr>
              <w:t>T (Monday 3 Jan 2028)</w:t>
            </w:r>
          </w:p>
        </w:tc>
      </w:tr>
      <w:tr>
        <w:trPr>
          <w:cantSplit w:val="true"/>
        </w:trPr>
        <w:tc>
          <w:tcPr>
            <w:tcW w:type="dxa" w:w="721"/>
            <w:tcMar>
              <w:top w:w="50" w:type="dxa"/>
              <w:bottom w:w="50" w:type="dxa"/>
              <w:left w:w="90" w:type="dxa"/>
              <w:right w:w="90" w:type="dxa"/>
            </w:tcMar>
          </w:tcPr>
          <w:p>
            <w:pPr>
              <w:pStyle w:val="BDOITable"/>
            </w:pPr>
            <w:r>
              <w:rPr>
                <w:b/>
                <w:sz w:val="17"/>
              </w:rPr>
              <w:t>G</w:t>
            </w:r>
          </w:p>
        </w:tc>
        <w:tc>
          <w:tcPr>
            <w:tcW w:type="dxa" w:w="3604"/>
            <w:tcMar>
              <w:top w:w="50" w:type="dxa"/>
              <w:bottom w:w="50" w:type="dxa"/>
              <w:left w:w="90" w:type="dxa"/>
              <w:right w:w="90" w:type="dxa"/>
            </w:tcMar>
          </w:tcPr>
          <w:p>
            <w:pPr>
              <w:pStyle w:val="BDOITable"/>
            </w:pPr>
            <w:r>
              <w:rPr>
                <w:sz w:val="17"/>
              </w:rPr>
              <w:t>Hypercare and true-up 1</w:t>
            </w:r>
          </w:p>
        </w:tc>
        <w:tc>
          <w:tcPr>
            <w:tcW w:type="dxa" w:w="5647"/>
            <w:tcMar>
              <w:top w:w="50" w:type="dxa"/>
              <w:bottom w:w="50" w:type="dxa"/>
              <w:left w:w="90" w:type="dxa"/>
              <w:right w:w="90" w:type="dxa"/>
            </w:tcMar>
          </w:tcPr>
          <w:p>
            <w:pPr>
              <w:pStyle w:val="BDOITable"/>
            </w:pPr>
            <w:r>
              <w:rPr>
                <w:sz w:val="17"/>
              </w:rPr>
              <w:t>T+1 to T+30 (4 Jan to 2 Feb 2028)</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H</w:t>
            </w:r>
          </w:p>
        </w:tc>
        <w:tc>
          <w:tcPr>
            <w:tcW w:type="dxa" w:w="3604"/>
            <w:tcMar>
              <w:top w:w="50" w:type="dxa"/>
              <w:bottom w:w="50" w:type="dxa"/>
              <w:left w:w="90" w:type="dxa"/>
              <w:right w:w="90" w:type="dxa"/>
            </w:tcMar>
            <w:shd w:val="clear" w:color="auto" w:fill="E5F5FF"/>
          </w:tcPr>
          <w:p>
            <w:pPr>
              <w:pStyle w:val="BDOITable"/>
            </w:pPr>
            <w:r>
              <w:rPr>
                <w:sz w:val="17"/>
              </w:rPr>
              <w:t>Final true-up and legacy GL close</w:t>
            </w:r>
          </w:p>
        </w:tc>
        <w:tc>
          <w:tcPr>
            <w:tcW w:type="dxa" w:w="5647"/>
            <w:tcMar>
              <w:top w:w="50" w:type="dxa"/>
              <w:bottom w:w="50" w:type="dxa"/>
              <w:left w:w="90" w:type="dxa"/>
              <w:right w:w="90" w:type="dxa"/>
            </w:tcMar>
            <w:shd w:val="clear" w:color="auto" w:fill="E5F5FF"/>
          </w:tcPr>
          <w:p>
            <w:pPr>
              <w:pStyle w:val="BDOITable"/>
            </w:pPr>
            <w:r>
              <w:rPr>
                <w:sz w:val="17"/>
              </w:rPr>
              <w:t>T+31 to T+120 (Feb to 2 May 2028)</w:t>
            </w:r>
          </w:p>
        </w:tc>
      </w:tr>
    </w:tbl>
    <w:p>
      <w:pPr>
        <w:pStyle w:val="BDOISpacer"/>
      </w:pPr>
    </w:p>
    <w:p>
      <w:r>
        <w:rPr/>
        <w:t>The full task list of phases A to H (CT-001 to CT-095) is in the handbook (R1, Part D) and on the sheet Cut-over tasks of the Migration Workbook (R2). The weekend tasks are reproduced below as the hour-by-hour template; the columns Actual start / end and Done by are filled in during the rehearsals and the cutover (the Migration Console holds the record).</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2"/>
      </w:pPr>
      <w:bookmarkStart w:id="125" w:name="_Toc000125"/>
      <w:r>
        <w:rPr/>
        <w:t>8.3 Hour-by-hour template: freeze to go-live</w:t>
      </w:r>
      <w:bookmarkEnd w:id="125"/>
    </w:p>
    <w:p>
      <w:pPr>
        <w:pStyle w:val="Caption"/>
        <w:keepNext/>
        <w:spacing w:after="60"/>
      </w:pPr>
      <w:r>
        <w:rPr>
          <w:b/>
          <w:i w:val="0"/>
        </w:rPr>
        <w:t xml:space="preserve">Table 12: </w:t>
      </w:r>
      <w:r>
        <w:rPr/>
        <w:t>Cutover weekend, hour by hour (T-3 to 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58"/>
        <w:gridCol w:w="756"/>
        <w:gridCol w:w="4036"/>
        <w:gridCol w:w="706"/>
        <w:gridCol w:w="655"/>
        <w:gridCol w:w="1009"/>
        <w:gridCol w:w="2522"/>
        <w:gridCol w:w="908"/>
        <w:gridCol w:w="1110"/>
        <w:gridCol w:w="908"/>
      </w:tblGrid>
      <w:tr>
        <w:trPr>
          <w:tblHeader w:val="true"/>
          <w:cantSplit w:val="true"/>
        </w:trPr>
        <w:tc>
          <w:tcPr>
            <w:tcW w:type="dxa" w:w="959"/>
            <w:shd w:val="clear" w:color="auto" w:fill="004EA8"/>
            <w:tcMar>
              <w:top w:w="50" w:type="dxa"/>
              <w:bottom w:w="50" w:type="dxa"/>
              <w:left w:w="90" w:type="dxa"/>
              <w:right w:w="90" w:type="dxa"/>
            </w:tcMar>
            <w:vAlign w:val="center"/>
          </w:tcPr>
          <w:p>
            <w:pPr>
              <w:pStyle w:val="BDOITableHeader"/>
            </w:pPr>
            <w:r>
              <w:rPr>
                <w:b/>
                <w:color w:val="FFFFFF"/>
                <w:sz w:val="15"/>
              </w:rPr>
              <w:t>When</w:t>
            </w:r>
          </w:p>
        </w:tc>
        <w:tc>
          <w:tcPr>
            <w:tcW w:type="dxa" w:w="757"/>
            <w:shd w:val="clear" w:color="auto" w:fill="004EA8"/>
            <w:tcMar>
              <w:top w:w="50" w:type="dxa"/>
              <w:bottom w:w="50" w:type="dxa"/>
              <w:left w:w="90" w:type="dxa"/>
              <w:right w:w="90" w:type="dxa"/>
            </w:tcMar>
            <w:vAlign w:val="center"/>
          </w:tcPr>
          <w:p>
            <w:pPr>
              <w:pStyle w:val="BDOITableHeader"/>
            </w:pPr>
            <w:r>
              <w:rPr>
                <w:b/>
                <w:color w:val="FFFFFF"/>
                <w:sz w:val="15"/>
              </w:rPr>
              <w:t>Task</w:t>
            </w:r>
          </w:p>
        </w:tc>
        <w:tc>
          <w:tcPr>
            <w:tcW w:type="dxa" w:w="4036"/>
            <w:shd w:val="clear" w:color="auto" w:fill="004EA8"/>
            <w:tcMar>
              <w:top w:w="50" w:type="dxa"/>
              <w:bottom w:w="50" w:type="dxa"/>
              <w:left w:w="90" w:type="dxa"/>
              <w:right w:w="90" w:type="dxa"/>
            </w:tcMar>
            <w:vAlign w:val="center"/>
          </w:tcPr>
          <w:p>
            <w:pPr>
              <w:pStyle w:val="BDOITableHeader"/>
            </w:pPr>
            <w:r>
              <w:rPr>
                <w:b/>
                <w:color w:val="FFFFFF"/>
                <w:sz w:val="15"/>
              </w:rPr>
              <w:t>What</w:t>
            </w:r>
          </w:p>
        </w:tc>
        <w:tc>
          <w:tcPr>
            <w:tcW w:type="dxa" w:w="706"/>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656"/>
            <w:shd w:val="clear" w:color="auto" w:fill="004EA8"/>
            <w:tcMar>
              <w:top w:w="50" w:type="dxa"/>
              <w:bottom w:w="50" w:type="dxa"/>
              <w:left w:w="90" w:type="dxa"/>
              <w:right w:w="90" w:type="dxa"/>
            </w:tcMar>
            <w:vAlign w:val="center"/>
          </w:tcPr>
          <w:p>
            <w:pPr>
              <w:pStyle w:val="BDOITableHeader"/>
            </w:pPr>
            <w:r>
              <w:rPr>
                <w:b/>
                <w:color w:val="FFFFFF"/>
                <w:sz w:val="15"/>
              </w:rPr>
              <w:t>Hours</w:t>
            </w:r>
          </w:p>
        </w:tc>
        <w:tc>
          <w:tcPr>
            <w:tcW w:type="dxa" w:w="1009"/>
            <w:shd w:val="clear" w:color="auto" w:fill="004EA8"/>
            <w:tcMar>
              <w:top w:w="50" w:type="dxa"/>
              <w:bottom w:w="50" w:type="dxa"/>
              <w:left w:w="90" w:type="dxa"/>
              <w:right w:w="90" w:type="dxa"/>
            </w:tcMar>
            <w:vAlign w:val="center"/>
          </w:tcPr>
          <w:p>
            <w:pPr>
              <w:pStyle w:val="BDOITableHeader"/>
            </w:pPr>
            <w:r>
              <w:rPr>
                <w:b/>
                <w:color w:val="FFFFFF"/>
                <w:sz w:val="15"/>
              </w:rPr>
              <w:t>After</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5"/>
              </w:rPr>
              <w:t>Evidence</w:t>
            </w:r>
          </w:p>
        </w:tc>
        <w:tc>
          <w:tcPr>
            <w:tcW w:type="dxa" w:w="908"/>
            <w:shd w:val="clear" w:color="auto" w:fill="004EA8"/>
            <w:tcMar>
              <w:top w:w="50" w:type="dxa"/>
              <w:bottom w:w="50" w:type="dxa"/>
              <w:left w:w="90" w:type="dxa"/>
              <w:right w:w="90" w:type="dxa"/>
            </w:tcMar>
            <w:vAlign w:val="center"/>
          </w:tcPr>
          <w:p>
            <w:pPr>
              <w:pStyle w:val="BDOITableHeader"/>
            </w:pPr>
            <w:r>
              <w:rPr>
                <w:b/>
                <w:color w:val="FFFFFF"/>
                <w:sz w:val="15"/>
              </w:rPr>
              <w:t>Gate</w:t>
            </w:r>
          </w:p>
        </w:tc>
        <w:tc>
          <w:tcPr>
            <w:tcW w:type="dxa" w:w="1110"/>
            <w:shd w:val="clear" w:color="auto" w:fill="004EA8"/>
            <w:tcMar>
              <w:top w:w="50" w:type="dxa"/>
              <w:bottom w:w="50" w:type="dxa"/>
              <w:left w:w="90" w:type="dxa"/>
              <w:right w:w="90" w:type="dxa"/>
            </w:tcMar>
            <w:vAlign w:val="center"/>
          </w:tcPr>
          <w:p>
            <w:pPr>
              <w:pStyle w:val="BDOITableHeader"/>
            </w:pPr>
            <w:r>
              <w:rPr>
                <w:b/>
                <w:color w:val="FFFFFF"/>
                <w:sz w:val="15"/>
              </w:rPr>
              <w:t>Actual start / end</w:t>
            </w:r>
          </w:p>
        </w:tc>
        <w:tc>
          <w:tcPr>
            <w:tcW w:type="dxa" w:w="908"/>
            <w:shd w:val="clear" w:color="auto" w:fill="004EA8"/>
            <w:tcMar>
              <w:top w:w="50" w:type="dxa"/>
              <w:bottom w:w="50" w:type="dxa"/>
              <w:left w:w="90" w:type="dxa"/>
              <w:right w:w="90" w:type="dxa"/>
            </w:tcMar>
            <w:vAlign w:val="center"/>
          </w:tcPr>
          <w:p>
            <w:pPr>
              <w:pStyle w:val="BDOITableHeader"/>
            </w:pPr>
            <w:r>
              <w:rPr>
                <w:b/>
                <w:color w:val="FFFFFF"/>
                <w:sz w:val="15"/>
              </w:rPr>
              <w:t>Done by</w:t>
            </w:r>
          </w:p>
        </w:tc>
      </w:tr>
      <w:tr>
        <w:trPr>
          <w:cantSplit w:val="true"/>
        </w:trPr>
        <w:tc>
          <w:tcPr>
            <w:tcW w:type="dxa" w:w="959"/>
            <w:tcMar>
              <w:top w:w="50" w:type="dxa"/>
              <w:bottom w:w="50" w:type="dxa"/>
              <w:left w:w="90" w:type="dxa"/>
              <w:right w:w="90" w:type="dxa"/>
            </w:tcMar>
          </w:tcPr>
          <w:p>
            <w:pPr>
              <w:pStyle w:val="BDOITable"/>
            </w:pPr>
            <w:r>
              <w:rPr>
                <w:sz w:val="15"/>
              </w:rPr>
              <w:t>T-3 20:00</w:t>
            </w:r>
          </w:p>
        </w:tc>
        <w:tc>
          <w:tcPr>
            <w:tcW w:type="dxa" w:w="757"/>
            <w:tcMar>
              <w:top w:w="50" w:type="dxa"/>
              <w:bottom w:w="50" w:type="dxa"/>
              <w:left w:w="90" w:type="dxa"/>
              <w:right w:w="90" w:type="dxa"/>
            </w:tcMar>
          </w:tcPr>
          <w:p>
            <w:pPr>
              <w:pStyle w:val="BDOITable"/>
            </w:pPr>
            <w:r>
              <w:rPr>
                <w:sz w:val="15"/>
              </w:rPr>
              <w:t>CT-035</w:t>
            </w:r>
          </w:p>
        </w:tc>
        <w:tc>
          <w:tcPr>
            <w:tcW w:type="dxa" w:w="4036"/>
            <w:tcMar>
              <w:top w:w="50" w:type="dxa"/>
              <w:bottom w:w="50" w:type="dxa"/>
              <w:left w:w="90" w:type="dxa"/>
              <w:right w:w="90" w:type="dxa"/>
            </w:tcMar>
          </w:tcPr>
          <w:p>
            <w:pPr>
              <w:pStyle w:val="BDOITable"/>
            </w:pPr>
            <w:r>
              <w:rPr>
                <w:sz w:val="15"/>
              </w:rPr>
              <w:t>Last legacy EOD (EBIX, QPS, ISYS, CMS); preliminary December 2027 trial balance run</w:t>
            </w:r>
          </w:p>
        </w:tc>
        <w:tc>
          <w:tcPr>
            <w:tcW w:type="dxa" w:w="706"/>
            <w:tcMar>
              <w:top w:w="50" w:type="dxa"/>
              <w:bottom w:w="50" w:type="dxa"/>
              <w:left w:w="90" w:type="dxa"/>
              <w:right w:w="90" w:type="dxa"/>
            </w:tcMar>
          </w:tcPr>
          <w:p>
            <w:pPr>
              <w:pStyle w:val="BDOITable"/>
            </w:pPr>
            <w:r>
              <w:rPr>
                <w:sz w:val="15"/>
              </w:rPr>
              <w:t>BIT</w:t>
            </w:r>
          </w:p>
        </w:tc>
        <w:tc>
          <w:tcPr>
            <w:tcW w:type="dxa" w:w="656"/>
            <w:tcMar>
              <w:top w:w="50" w:type="dxa"/>
              <w:bottom w:w="50" w:type="dxa"/>
              <w:left w:w="90" w:type="dxa"/>
              <w:right w:w="90" w:type="dxa"/>
            </w:tcMar>
          </w:tcPr>
          <w:p>
            <w:pPr>
              <w:pStyle w:val="BDOITable"/>
            </w:pPr>
            <w:r>
              <w:rPr>
                <w:sz w:val="15"/>
              </w:rPr>
              <w:t>2</w:t>
            </w:r>
          </w:p>
        </w:tc>
        <w:tc>
          <w:tcPr>
            <w:tcW w:type="dxa" w:w="1009"/>
            <w:tcMar>
              <w:top w:w="50" w:type="dxa"/>
              <w:bottom w:w="50" w:type="dxa"/>
              <w:left w:w="90" w:type="dxa"/>
              <w:right w:w="90" w:type="dxa"/>
            </w:tcMar>
          </w:tcPr>
          <w:p>
            <w:pPr>
              <w:pStyle w:val="BDOITable"/>
            </w:pPr>
            <w:r>
              <w:rPr>
                <w:sz w:val="15"/>
              </w:rPr>
              <w:t>CT-032</w:t>
            </w:r>
          </w:p>
        </w:tc>
        <w:tc>
          <w:tcPr>
            <w:tcW w:type="dxa" w:w="2523"/>
            <w:tcMar>
              <w:top w:w="50" w:type="dxa"/>
              <w:bottom w:w="50" w:type="dxa"/>
              <w:left w:w="90" w:type="dxa"/>
              <w:right w:w="90" w:type="dxa"/>
            </w:tcMar>
          </w:tcPr>
          <w:p>
            <w:pPr>
              <w:pStyle w:val="BDOITable"/>
            </w:pPr>
            <w:r>
              <w:rPr>
                <w:sz w:val="15"/>
              </w:rPr>
              <w:t>EOD logs complete without error; preliminary TB printed per branch and currency</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T-3 22:00</w:t>
            </w:r>
          </w:p>
        </w:tc>
        <w:tc>
          <w:tcPr>
            <w:tcW w:type="dxa" w:w="757"/>
            <w:tcMar>
              <w:top w:w="50" w:type="dxa"/>
              <w:bottom w:w="50" w:type="dxa"/>
              <w:left w:w="90" w:type="dxa"/>
              <w:right w:w="90" w:type="dxa"/>
            </w:tcMar>
            <w:shd w:val="clear" w:color="auto" w:fill="E5F5FF"/>
          </w:tcPr>
          <w:p>
            <w:pPr>
              <w:pStyle w:val="BDOITable"/>
            </w:pPr>
            <w:r>
              <w:rPr>
                <w:sz w:val="15"/>
              </w:rPr>
              <w:t>CT-036</w:t>
            </w:r>
          </w:p>
        </w:tc>
        <w:tc>
          <w:tcPr>
            <w:tcW w:type="dxa" w:w="4036"/>
            <w:tcMar>
              <w:top w:w="50" w:type="dxa"/>
              <w:bottom w:w="50" w:type="dxa"/>
              <w:left w:w="90" w:type="dxa"/>
              <w:right w:w="90" w:type="dxa"/>
            </w:tcMar>
            <w:shd w:val="clear" w:color="auto" w:fill="E5F5FF"/>
          </w:tcPr>
          <w:p>
            <w:pPr>
              <w:pStyle w:val="BDOITable"/>
            </w:pPr>
            <w:r>
              <w:rPr>
                <w:sz w:val="15"/>
              </w:rPr>
              <w:t>Legacy business freeze - EBIX, QPS, CMS business modules set to read-only; batch jobs that post are disabled; legacy GL restricted to the named Comptrollership users and to FY2027 periods (FY2028 periods are not opened in legacy)</w:t>
            </w:r>
          </w:p>
        </w:tc>
        <w:tc>
          <w:tcPr>
            <w:tcW w:type="dxa" w:w="706"/>
            <w:tcMar>
              <w:top w:w="50" w:type="dxa"/>
              <w:bottom w:w="50" w:type="dxa"/>
              <w:left w:w="90" w:type="dxa"/>
              <w:right w:w="90" w:type="dxa"/>
            </w:tcMar>
            <w:shd w:val="clear" w:color="auto" w:fill="E5F5FF"/>
          </w:tcPr>
          <w:p>
            <w:pPr>
              <w:pStyle w:val="BDOITable"/>
            </w:pPr>
            <w:r>
              <w:rPr>
                <w:sz w:val="15"/>
              </w:rPr>
              <w:t>BIT</w:t>
            </w:r>
          </w:p>
        </w:tc>
        <w:tc>
          <w:tcPr>
            <w:tcW w:type="dxa" w:w="656"/>
            <w:tcMar>
              <w:top w:w="50" w:type="dxa"/>
              <w:bottom w:w="50" w:type="dxa"/>
              <w:left w:w="90" w:type="dxa"/>
              <w:right w:w="90" w:type="dxa"/>
            </w:tcMar>
            <w:shd w:val="clear" w:color="auto" w:fill="E5F5FF"/>
          </w:tcPr>
          <w:p>
            <w:pPr>
              <w:pStyle w:val="BDOITable"/>
            </w:pPr>
            <w:r>
              <w:rPr>
                <w:sz w:val="15"/>
              </w:rPr>
              <w:t>1</w:t>
            </w:r>
          </w:p>
        </w:tc>
        <w:tc>
          <w:tcPr>
            <w:tcW w:type="dxa" w:w="1009"/>
            <w:tcMar>
              <w:top w:w="50" w:type="dxa"/>
              <w:bottom w:w="50" w:type="dxa"/>
              <w:left w:w="90" w:type="dxa"/>
              <w:right w:w="90" w:type="dxa"/>
            </w:tcMar>
            <w:shd w:val="clear" w:color="auto" w:fill="E5F5FF"/>
          </w:tcPr>
          <w:p>
            <w:pPr>
              <w:pStyle w:val="BDOITable"/>
            </w:pPr>
            <w:r>
              <w:rPr>
                <w:sz w:val="15"/>
              </w:rPr>
              <w:t>CT-035, CT-034</w:t>
            </w:r>
          </w:p>
        </w:tc>
        <w:tc>
          <w:tcPr>
            <w:tcW w:type="dxa" w:w="2523"/>
            <w:tcMar>
              <w:top w:w="50" w:type="dxa"/>
              <w:bottom w:w="50" w:type="dxa"/>
              <w:left w:w="90" w:type="dxa"/>
              <w:right w:w="90" w:type="dxa"/>
            </w:tcMar>
            <w:shd w:val="clear" w:color="auto" w:fill="E5F5FF"/>
          </w:tcPr>
          <w:p>
            <w:pPr>
              <w:pStyle w:val="BDOITable"/>
            </w:pPr>
            <w:r>
              <w:rPr>
                <w:sz w:val="15"/>
              </w:rPr>
              <w:t>Test posting refused in each business module and by a GL user not on the list; job list shows disabled jobs</w:t>
            </w:r>
          </w:p>
        </w:tc>
        <w:tc>
          <w:tcPr>
            <w:tcW w:type="dxa" w:w="908"/>
            <w:tcMar>
              <w:top w:w="50" w:type="dxa"/>
              <w:bottom w:w="50" w:type="dxa"/>
              <w:left w:w="90" w:type="dxa"/>
              <w:right w:w="90" w:type="dxa"/>
            </w:tcMar>
            <w:shd w:val="clear" w:color="auto" w:fill="E5F5FF"/>
          </w:tcPr>
          <w:p>
            <w:pPr>
              <w:pStyle w:val="BDOITable"/>
            </w:pPr>
            <w:r>
              <w:rPr>
                <w:sz w:val="15"/>
              </w:rPr>
              <w:t>FREEZE</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T-3 22:15</w:t>
            </w:r>
          </w:p>
        </w:tc>
        <w:tc>
          <w:tcPr>
            <w:tcW w:type="dxa" w:w="757"/>
            <w:tcMar>
              <w:top w:w="50" w:type="dxa"/>
              <w:bottom w:w="50" w:type="dxa"/>
              <w:left w:w="90" w:type="dxa"/>
              <w:right w:w="90" w:type="dxa"/>
            </w:tcMar>
          </w:tcPr>
          <w:p>
            <w:pPr>
              <w:pStyle w:val="BDOITable"/>
            </w:pPr>
            <w:r>
              <w:rPr>
                <w:sz w:val="15"/>
              </w:rPr>
              <w:t>CT-037</w:t>
            </w:r>
          </w:p>
        </w:tc>
        <w:tc>
          <w:tcPr>
            <w:tcW w:type="dxa" w:w="4036"/>
            <w:tcMar>
              <w:top w:w="50" w:type="dxa"/>
              <w:bottom w:w="50" w:type="dxa"/>
              <w:left w:w="90" w:type="dxa"/>
              <w:right w:w="90" w:type="dxa"/>
            </w:tcMar>
          </w:tcPr>
          <w:p>
            <w:pPr>
              <w:pStyle w:val="BDOITable"/>
            </w:pPr>
            <w:r>
              <w:rPr>
                <w:sz w:val="15"/>
              </w:rPr>
              <w:t>Final client delta (last changes of the day) extracted and loaded</w:t>
            </w:r>
          </w:p>
        </w:tc>
        <w:tc>
          <w:tcPr>
            <w:tcW w:type="dxa" w:w="706"/>
            <w:tcMar>
              <w:top w:w="50" w:type="dxa"/>
              <w:bottom w:w="50" w:type="dxa"/>
              <w:left w:w="90" w:type="dxa"/>
              <w:right w:w="90" w:type="dxa"/>
            </w:tcMar>
          </w:tcPr>
          <w:p>
            <w:pPr>
              <w:pStyle w:val="BDOITable"/>
            </w:pPr>
            <w:r>
              <w:rPr>
                <w:sz w:val="15"/>
              </w:rPr>
              <w:t>IOP</w:t>
            </w:r>
          </w:p>
        </w:tc>
        <w:tc>
          <w:tcPr>
            <w:tcW w:type="dxa" w:w="656"/>
            <w:tcMar>
              <w:top w:w="50" w:type="dxa"/>
              <w:bottom w:w="50" w:type="dxa"/>
              <w:left w:w="90" w:type="dxa"/>
              <w:right w:w="90" w:type="dxa"/>
            </w:tcMar>
          </w:tcPr>
          <w:p>
            <w:pPr>
              <w:pStyle w:val="BDOITable"/>
            </w:pPr>
            <w:r>
              <w:rPr>
                <w:sz w:val="15"/>
              </w:rPr>
              <w:t>2</w:t>
            </w:r>
          </w:p>
        </w:tc>
        <w:tc>
          <w:tcPr>
            <w:tcW w:type="dxa" w:w="1009"/>
            <w:tcMar>
              <w:top w:w="50" w:type="dxa"/>
              <w:bottom w:w="50" w:type="dxa"/>
              <w:left w:w="90" w:type="dxa"/>
              <w:right w:w="90" w:type="dxa"/>
            </w:tcMar>
          </w:tcPr>
          <w:p>
            <w:pPr>
              <w:pStyle w:val="BDOITable"/>
            </w:pPr>
            <w:r>
              <w:rPr>
                <w:sz w:val="15"/>
              </w:rPr>
              <w:t>CT-036</w:t>
            </w:r>
          </w:p>
        </w:tc>
        <w:tc>
          <w:tcPr>
            <w:tcW w:type="dxa" w:w="2523"/>
            <w:tcMar>
              <w:top w:w="50" w:type="dxa"/>
              <w:bottom w:w="50" w:type="dxa"/>
              <w:left w:w="90" w:type="dxa"/>
              <w:right w:w="90" w:type="dxa"/>
            </w:tcMar>
          </w:tcPr>
          <w:p>
            <w:pPr>
              <w:pStyle w:val="BDOITable"/>
            </w:pPr>
            <w:r>
              <w:rPr>
                <w:sz w:val="15"/>
              </w:rPr>
              <w:t>Last delta batch accepted</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T-3 22:30</w:t>
            </w:r>
          </w:p>
        </w:tc>
        <w:tc>
          <w:tcPr>
            <w:tcW w:type="dxa" w:w="757"/>
            <w:tcMar>
              <w:top w:w="50" w:type="dxa"/>
              <w:bottom w:w="50" w:type="dxa"/>
              <w:left w:w="90" w:type="dxa"/>
              <w:right w:w="90" w:type="dxa"/>
            </w:tcMar>
            <w:shd w:val="clear" w:color="auto" w:fill="E5F5FF"/>
          </w:tcPr>
          <w:p>
            <w:pPr>
              <w:pStyle w:val="BDOITable"/>
            </w:pPr>
            <w:r>
              <w:rPr>
                <w:sz w:val="15"/>
              </w:rPr>
              <w:t>CT-038</w:t>
            </w:r>
          </w:p>
        </w:tc>
        <w:tc>
          <w:tcPr>
            <w:tcW w:type="dxa" w:w="4036"/>
            <w:tcMar>
              <w:top w:w="50" w:type="dxa"/>
              <w:bottom w:w="50" w:type="dxa"/>
              <w:left w:w="90" w:type="dxa"/>
              <w:right w:w="90" w:type="dxa"/>
            </w:tcMar>
            <w:shd w:val="clear" w:color="auto" w:fill="E5F5FF"/>
          </w:tcPr>
          <w:p>
            <w:pPr>
              <w:pStyle w:val="BDOITable"/>
            </w:pPr>
            <w:r>
              <w:rPr>
                <w:sz w:val="15"/>
              </w:rPr>
              <w:t>Final extracts after the EOD - P01, P01S, P03 (the RA-sent file of the Renewal processing team), F01, F01S, F01C, F02, F03, F04, F06, R11 (final numbers), G01 preliminary December TB (version PROVISIONAL)</w:t>
            </w:r>
          </w:p>
        </w:tc>
        <w:tc>
          <w:tcPr>
            <w:tcW w:type="dxa" w:w="706"/>
            <w:tcMar>
              <w:top w:w="50" w:type="dxa"/>
              <w:bottom w:w="50" w:type="dxa"/>
              <w:left w:w="90" w:type="dxa"/>
              <w:right w:w="90" w:type="dxa"/>
            </w:tcMar>
            <w:shd w:val="clear" w:color="auto" w:fill="E5F5FF"/>
          </w:tcPr>
          <w:p>
            <w:pPr>
              <w:pStyle w:val="BDOITable"/>
            </w:pPr>
            <w:r>
              <w:rPr>
                <w:sz w:val="15"/>
              </w:rPr>
              <w:t>BIT</w:t>
            </w:r>
          </w:p>
        </w:tc>
        <w:tc>
          <w:tcPr>
            <w:tcW w:type="dxa" w:w="656"/>
            <w:tcMar>
              <w:top w:w="50" w:type="dxa"/>
              <w:bottom w:w="50" w:type="dxa"/>
              <w:left w:w="90" w:type="dxa"/>
              <w:right w:w="90" w:type="dxa"/>
            </w:tcMar>
            <w:shd w:val="clear" w:color="auto" w:fill="E5F5FF"/>
          </w:tcPr>
          <w:p>
            <w:pPr>
              <w:pStyle w:val="BDOITable"/>
            </w:pPr>
            <w:r>
              <w:rPr>
                <w:sz w:val="15"/>
              </w:rPr>
              <w:t>5</w:t>
            </w:r>
          </w:p>
        </w:tc>
        <w:tc>
          <w:tcPr>
            <w:tcW w:type="dxa" w:w="1009"/>
            <w:tcMar>
              <w:top w:w="50" w:type="dxa"/>
              <w:bottom w:w="50" w:type="dxa"/>
              <w:left w:w="90" w:type="dxa"/>
              <w:right w:w="90" w:type="dxa"/>
            </w:tcMar>
            <w:shd w:val="clear" w:color="auto" w:fill="E5F5FF"/>
          </w:tcPr>
          <w:p>
            <w:pPr>
              <w:pStyle w:val="BDOITable"/>
            </w:pPr>
            <w:r>
              <w:rPr>
                <w:sz w:val="15"/>
              </w:rPr>
              <w:t>CT-036, CT-033</w:t>
            </w:r>
          </w:p>
        </w:tc>
        <w:tc>
          <w:tcPr>
            <w:tcW w:type="dxa" w:w="2523"/>
            <w:tcMar>
              <w:top w:w="50" w:type="dxa"/>
              <w:bottom w:w="50" w:type="dxa"/>
              <w:left w:w="90" w:type="dxa"/>
              <w:right w:w="90" w:type="dxa"/>
            </w:tcMar>
            <w:shd w:val="clear" w:color="auto" w:fill="E5F5FF"/>
          </w:tcPr>
          <w:p>
            <w:pPr>
              <w:pStyle w:val="BDOITable"/>
            </w:pPr>
            <w:r>
              <w:rPr>
                <w:sz w:val="15"/>
              </w:rPr>
              <w:t>Every file and control file in the intake; SHA-256 recorded</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T-3 23:30</w:t>
            </w:r>
          </w:p>
        </w:tc>
        <w:tc>
          <w:tcPr>
            <w:tcW w:type="dxa" w:w="757"/>
            <w:tcMar>
              <w:top w:w="50" w:type="dxa"/>
              <w:bottom w:w="50" w:type="dxa"/>
              <w:left w:w="90" w:type="dxa"/>
              <w:right w:w="90" w:type="dxa"/>
            </w:tcMar>
          </w:tcPr>
          <w:p>
            <w:pPr>
              <w:pStyle w:val="BDOITable"/>
            </w:pPr>
            <w:r>
              <w:rPr>
                <w:sz w:val="15"/>
              </w:rPr>
              <w:t>CT-039</w:t>
            </w:r>
          </w:p>
        </w:tc>
        <w:tc>
          <w:tcPr>
            <w:tcW w:type="dxa" w:w="4036"/>
            <w:tcMar>
              <w:top w:w="50" w:type="dxa"/>
              <w:bottom w:w="50" w:type="dxa"/>
              <w:left w:w="90" w:type="dxa"/>
              <w:right w:w="90" w:type="dxa"/>
            </w:tcMar>
          </w:tcPr>
          <w:p>
            <w:pPr>
              <w:pStyle w:val="BDOITable"/>
            </w:pPr>
            <w:r>
              <w:rPr>
                <w:sz w:val="15"/>
              </w:rPr>
              <w:t>Comptrollership signs the preliminary December trial balance as the provisional opening - balanced per branch and currency, with the FY2027 result per branch and currency</w:t>
            </w:r>
          </w:p>
        </w:tc>
        <w:tc>
          <w:tcPr>
            <w:tcW w:type="dxa" w:w="706"/>
            <w:tcMar>
              <w:top w:w="50" w:type="dxa"/>
              <w:bottom w:w="50" w:type="dxa"/>
              <w:left w:w="90" w:type="dxa"/>
              <w:right w:w="90" w:type="dxa"/>
            </w:tcMar>
          </w:tcPr>
          <w:p>
            <w:pPr>
              <w:pStyle w:val="BDOITable"/>
            </w:pPr>
            <w:r>
              <w:rPr>
                <w:sz w:val="15"/>
              </w:rPr>
              <w:t>COMP</w:t>
            </w:r>
          </w:p>
        </w:tc>
        <w:tc>
          <w:tcPr>
            <w:tcW w:type="dxa" w:w="656"/>
            <w:tcMar>
              <w:top w:w="50" w:type="dxa"/>
              <w:bottom w:w="50" w:type="dxa"/>
              <w:left w:w="90" w:type="dxa"/>
              <w:right w:w="90" w:type="dxa"/>
            </w:tcMar>
          </w:tcPr>
          <w:p>
            <w:pPr>
              <w:pStyle w:val="BDOITable"/>
            </w:pPr>
            <w:r>
              <w:rPr>
                <w:sz w:val="15"/>
              </w:rPr>
              <w:t>2</w:t>
            </w:r>
          </w:p>
        </w:tc>
        <w:tc>
          <w:tcPr>
            <w:tcW w:type="dxa" w:w="1009"/>
            <w:tcMar>
              <w:top w:w="50" w:type="dxa"/>
              <w:bottom w:w="50" w:type="dxa"/>
              <w:left w:w="90" w:type="dxa"/>
              <w:right w:w="90" w:type="dxa"/>
            </w:tcMar>
          </w:tcPr>
          <w:p>
            <w:pPr>
              <w:pStyle w:val="BDOITable"/>
            </w:pPr>
            <w:r>
              <w:rPr>
                <w:sz w:val="15"/>
              </w:rPr>
              <w:t>CT-035</w:t>
            </w:r>
          </w:p>
        </w:tc>
        <w:tc>
          <w:tcPr>
            <w:tcW w:type="dxa" w:w="2523"/>
            <w:tcMar>
              <w:top w:w="50" w:type="dxa"/>
              <w:bottom w:w="50" w:type="dxa"/>
              <w:left w:w="90" w:type="dxa"/>
              <w:right w:w="90" w:type="dxa"/>
            </w:tcMar>
          </w:tcPr>
          <w:p>
            <w:pPr>
              <w:pStyle w:val="BDOITable"/>
            </w:pPr>
            <w:r>
              <w:rPr>
                <w:sz w:val="15"/>
              </w:rPr>
              <w:t>Signed TB totals and FY2027 result per branch and currency</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T-2 02:00</w:t>
            </w:r>
          </w:p>
        </w:tc>
        <w:tc>
          <w:tcPr>
            <w:tcW w:type="dxa" w:w="757"/>
            <w:tcMar>
              <w:top w:w="50" w:type="dxa"/>
              <w:bottom w:w="50" w:type="dxa"/>
              <w:left w:w="90" w:type="dxa"/>
              <w:right w:w="90" w:type="dxa"/>
            </w:tcMar>
            <w:shd w:val="clear" w:color="auto" w:fill="E5F5FF"/>
          </w:tcPr>
          <w:p>
            <w:pPr>
              <w:pStyle w:val="BDOITable"/>
            </w:pPr>
            <w:r>
              <w:rPr>
                <w:sz w:val="15"/>
              </w:rPr>
              <w:t>CT-040</w:t>
            </w:r>
          </w:p>
        </w:tc>
        <w:tc>
          <w:tcPr>
            <w:tcW w:type="dxa" w:w="4036"/>
            <w:tcMar>
              <w:top w:w="50" w:type="dxa"/>
              <w:bottom w:w="50" w:type="dxa"/>
              <w:left w:w="90" w:type="dxa"/>
              <w:right w:w="90" w:type="dxa"/>
            </w:tcMar>
            <w:shd w:val="clear" w:color="auto" w:fill="E5F5FF"/>
          </w:tcPr>
          <w:p>
            <w:pPr>
              <w:pStyle w:val="BDOITable"/>
            </w:pPr>
            <w:r>
              <w:rPr>
                <w:sz w:val="15"/>
              </w:rPr>
              <w:t>Take the full backup (snapshot) of production - the rollback point</w:t>
            </w:r>
          </w:p>
        </w:tc>
        <w:tc>
          <w:tcPr>
            <w:tcW w:type="dxa" w:w="706"/>
            <w:tcMar>
              <w:top w:w="50" w:type="dxa"/>
              <w:bottom w:w="50" w:type="dxa"/>
              <w:left w:w="90" w:type="dxa"/>
              <w:right w:w="90" w:type="dxa"/>
            </w:tcMar>
            <w:shd w:val="clear" w:color="auto" w:fill="E5F5FF"/>
          </w:tcPr>
          <w:p>
            <w:pPr>
              <w:pStyle w:val="BDOITable"/>
            </w:pPr>
            <w:r>
              <w:rPr>
                <w:sz w:val="15"/>
              </w:rPr>
              <w:t>IDO</w:t>
            </w:r>
          </w:p>
        </w:tc>
        <w:tc>
          <w:tcPr>
            <w:tcW w:type="dxa" w:w="656"/>
            <w:tcMar>
              <w:top w:w="50" w:type="dxa"/>
              <w:bottom w:w="50" w:type="dxa"/>
              <w:left w:w="90" w:type="dxa"/>
              <w:right w:w="90" w:type="dxa"/>
            </w:tcMar>
            <w:shd w:val="clear" w:color="auto" w:fill="E5F5FF"/>
          </w:tcPr>
          <w:p>
            <w:pPr>
              <w:pStyle w:val="BDOITable"/>
            </w:pPr>
            <w:r>
              <w:rPr>
                <w:sz w:val="15"/>
              </w:rPr>
              <w:t>1</w:t>
            </w:r>
          </w:p>
        </w:tc>
        <w:tc>
          <w:tcPr>
            <w:tcW w:type="dxa" w:w="1009"/>
            <w:tcMar>
              <w:top w:w="50" w:type="dxa"/>
              <w:bottom w:w="50" w:type="dxa"/>
              <w:left w:w="90" w:type="dxa"/>
              <w:right w:w="90" w:type="dxa"/>
            </w:tcMar>
            <w:shd w:val="clear" w:color="auto" w:fill="E5F5FF"/>
          </w:tcPr>
          <w:p>
            <w:pPr>
              <w:pStyle w:val="BDOITable"/>
            </w:pPr>
            <w:r>
              <w:rPr>
                <w:sz w:val="15"/>
              </w:rPr>
              <w:t>CT-037, CT-038</w:t>
            </w:r>
          </w:p>
        </w:tc>
        <w:tc>
          <w:tcPr>
            <w:tcW w:type="dxa" w:w="2523"/>
            <w:tcMar>
              <w:top w:w="50" w:type="dxa"/>
              <w:bottom w:w="50" w:type="dxa"/>
              <w:left w:w="90" w:type="dxa"/>
              <w:right w:w="90" w:type="dxa"/>
            </w:tcMar>
            <w:shd w:val="clear" w:color="auto" w:fill="E5F5FF"/>
          </w:tcPr>
          <w:p>
            <w:pPr>
              <w:pStyle w:val="BDOITable"/>
            </w:pPr>
            <w:r>
              <w:rPr>
                <w:sz w:val="15"/>
              </w:rPr>
              <w:t>Snapshot ID and restore test of the snapshot metadata recorded</w:t>
            </w:r>
          </w:p>
        </w:tc>
        <w:tc>
          <w:tcPr>
            <w:tcW w:type="dxa" w:w="908"/>
            <w:tcMar>
              <w:top w:w="50" w:type="dxa"/>
              <w:bottom w:w="50" w:type="dxa"/>
              <w:left w:w="90" w:type="dxa"/>
              <w:right w:w="90" w:type="dxa"/>
            </w:tcMar>
            <w:shd w:val="clear" w:color="auto" w:fill="E5F5FF"/>
          </w:tcPr>
          <w:p>
            <w:pPr>
              <w:pStyle w:val="BDOITable"/>
            </w:pPr>
            <w:r>
              <w:rPr>
                <w:sz w:val="15"/>
              </w:rPr>
              <w:t>ROLLBACK POINT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T-2 03:00</w:t>
            </w:r>
          </w:p>
        </w:tc>
        <w:tc>
          <w:tcPr>
            <w:tcW w:type="dxa" w:w="757"/>
            <w:tcMar>
              <w:top w:w="50" w:type="dxa"/>
              <w:bottom w:w="50" w:type="dxa"/>
              <w:left w:w="90" w:type="dxa"/>
              <w:right w:w="90" w:type="dxa"/>
            </w:tcMar>
          </w:tcPr>
          <w:p>
            <w:pPr>
              <w:pStyle w:val="BDOITable"/>
            </w:pPr>
            <w:r>
              <w:rPr>
                <w:sz w:val="15"/>
              </w:rPr>
              <w:t>CT-041</w:t>
            </w:r>
          </w:p>
        </w:tc>
        <w:tc>
          <w:tcPr>
            <w:tcW w:type="dxa" w:w="4036"/>
            <w:tcMar>
              <w:top w:w="50" w:type="dxa"/>
              <w:bottom w:w="50" w:type="dxa"/>
              <w:left w:w="90" w:type="dxa"/>
              <w:right w:w="90" w:type="dxa"/>
            </w:tcMar>
          </w:tcPr>
          <w:p>
            <w:pPr>
              <w:pStyle w:val="BDOITable"/>
            </w:pPr>
            <w:r>
              <w:rPr>
                <w:sz w:val="15"/>
              </w:rPr>
              <w:t>Intake checks of all final extracts (checksum, layout, row count, control totals, hash totals)</w:t>
            </w:r>
          </w:p>
        </w:tc>
        <w:tc>
          <w:tcPr>
            <w:tcW w:type="dxa" w:w="706"/>
            <w:tcMar>
              <w:top w:w="50" w:type="dxa"/>
              <w:bottom w:w="50" w:type="dxa"/>
              <w:left w:w="90" w:type="dxa"/>
              <w:right w:w="90" w:type="dxa"/>
            </w:tcMar>
          </w:tcPr>
          <w:p>
            <w:pPr>
              <w:pStyle w:val="BDOITable"/>
            </w:pPr>
            <w:r>
              <w:rPr>
                <w:sz w:val="15"/>
              </w:rPr>
              <w:t>IOP</w:t>
            </w:r>
          </w:p>
        </w:tc>
        <w:tc>
          <w:tcPr>
            <w:tcW w:type="dxa" w:w="656"/>
            <w:tcMar>
              <w:top w:w="50" w:type="dxa"/>
              <w:bottom w:w="50" w:type="dxa"/>
              <w:left w:w="90" w:type="dxa"/>
              <w:right w:w="90" w:type="dxa"/>
            </w:tcMar>
          </w:tcPr>
          <w:p>
            <w:pPr>
              <w:pStyle w:val="BDOITable"/>
            </w:pPr>
            <w:r>
              <w:rPr>
                <w:sz w:val="15"/>
              </w:rPr>
              <w:t>1</w:t>
            </w:r>
          </w:p>
        </w:tc>
        <w:tc>
          <w:tcPr>
            <w:tcW w:type="dxa" w:w="1009"/>
            <w:tcMar>
              <w:top w:w="50" w:type="dxa"/>
              <w:bottom w:w="50" w:type="dxa"/>
              <w:left w:w="90" w:type="dxa"/>
              <w:right w:w="90" w:type="dxa"/>
            </w:tcMar>
          </w:tcPr>
          <w:p>
            <w:pPr>
              <w:pStyle w:val="BDOITable"/>
            </w:pPr>
            <w:r>
              <w:rPr>
                <w:sz w:val="15"/>
              </w:rPr>
              <w:t>CT-040</w:t>
            </w:r>
          </w:p>
        </w:tc>
        <w:tc>
          <w:tcPr>
            <w:tcW w:type="dxa" w:w="2523"/>
            <w:tcMar>
              <w:top w:w="50" w:type="dxa"/>
              <w:bottom w:w="50" w:type="dxa"/>
              <w:left w:w="90" w:type="dxa"/>
              <w:right w:w="90" w:type="dxa"/>
            </w:tcMar>
          </w:tcPr>
          <w:p>
            <w:pPr>
              <w:pStyle w:val="BDOITable"/>
            </w:pPr>
            <w:r>
              <w:rPr>
                <w:sz w:val="15"/>
              </w:rPr>
              <w:t>Every extract CHECKED; rejected files re-sent within 1 hour</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T-2 04:00</w:t>
            </w:r>
          </w:p>
        </w:tc>
        <w:tc>
          <w:tcPr>
            <w:tcW w:type="dxa" w:w="757"/>
            <w:tcMar>
              <w:top w:w="50" w:type="dxa"/>
              <w:bottom w:w="50" w:type="dxa"/>
              <w:left w:w="90" w:type="dxa"/>
              <w:right w:w="90" w:type="dxa"/>
            </w:tcMar>
            <w:shd w:val="clear" w:color="auto" w:fill="E5F5FF"/>
          </w:tcPr>
          <w:p>
            <w:pPr>
              <w:pStyle w:val="BDOITable"/>
            </w:pPr>
            <w:r>
              <w:rPr>
                <w:sz w:val="15"/>
              </w:rPr>
              <w:t>CT-042</w:t>
            </w:r>
          </w:p>
        </w:tc>
        <w:tc>
          <w:tcPr>
            <w:tcW w:type="dxa" w:w="4036"/>
            <w:tcMar>
              <w:top w:w="50" w:type="dxa"/>
              <w:bottom w:w="50" w:type="dxa"/>
              <w:left w:w="90" w:type="dxa"/>
              <w:right w:w="90" w:type="dxa"/>
            </w:tcMar>
            <w:shd w:val="clear" w:color="auto" w:fill="E5F5FF"/>
          </w:tcPr>
          <w:p>
            <w:pPr>
              <w:pStyle w:val="BDOITable"/>
            </w:pPr>
            <w:r>
              <w:rPr>
                <w:sz w:val="15"/>
              </w:rPr>
              <w:t>Validate P01 and P01S; resolve issues; approve load (G3, G4)</w:t>
            </w:r>
          </w:p>
        </w:tc>
        <w:tc>
          <w:tcPr>
            <w:tcW w:type="dxa" w:w="706"/>
            <w:tcMar>
              <w:top w:w="50" w:type="dxa"/>
              <w:bottom w:w="50" w:type="dxa"/>
              <w:left w:w="90" w:type="dxa"/>
              <w:right w:w="90" w:type="dxa"/>
            </w:tcMar>
            <w:shd w:val="clear" w:color="auto" w:fill="E5F5FF"/>
          </w:tcPr>
          <w:p>
            <w:pPr>
              <w:pStyle w:val="BDOITable"/>
            </w:pPr>
            <w:r>
              <w:rPr>
                <w:sz w:val="15"/>
              </w:rPr>
              <w:t>IOP</w:t>
            </w:r>
          </w:p>
        </w:tc>
        <w:tc>
          <w:tcPr>
            <w:tcW w:type="dxa" w:w="656"/>
            <w:tcMar>
              <w:top w:w="50" w:type="dxa"/>
              <w:bottom w:w="50" w:type="dxa"/>
              <w:left w:w="90" w:type="dxa"/>
              <w:right w:w="90" w:type="dxa"/>
            </w:tcMar>
            <w:shd w:val="clear" w:color="auto" w:fill="E5F5FF"/>
          </w:tcPr>
          <w:p>
            <w:pPr>
              <w:pStyle w:val="BDOITable"/>
            </w:pPr>
            <w:r>
              <w:rPr>
                <w:sz w:val="15"/>
              </w:rPr>
              <w:t>2</w:t>
            </w:r>
          </w:p>
        </w:tc>
        <w:tc>
          <w:tcPr>
            <w:tcW w:type="dxa" w:w="1009"/>
            <w:tcMar>
              <w:top w:w="50" w:type="dxa"/>
              <w:bottom w:w="50" w:type="dxa"/>
              <w:left w:w="90" w:type="dxa"/>
              <w:right w:w="90" w:type="dxa"/>
            </w:tcMar>
            <w:shd w:val="clear" w:color="auto" w:fill="E5F5FF"/>
          </w:tcPr>
          <w:p>
            <w:pPr>
              <w:pStyle w:val="BDOITable"/>
            </w:pPr>
            <w:r>
              <w:rPr>
                <w:sz w:val="15"/>
              </w:rPr>
              <w:t>CT-041</w:t>
            </w:r>
          </w:p>
        </w:tc>
        <w:tc>
          <w:tcPr>
            <w:tcW w:type="dxa" w:w="2523"/>
            <w:tcMar>
              <w:top w:w="50" w:type="dxa"/>
              <w:bottom w:w="50" w:type="dxa"/>
              <w:left w:w="90" w:type="dxa"/>
              <w:right w:w="90" w:type="dxa"/>
            </w:tcMar>
            <w:shd w:val="clear" w:color="auto" w:fill="E5F5FF"/>
          </w:tcPr>
          <w:p>
            <w:pPr>
              <w:pStyle w:val="BDOITable"/>
            </w:pPr>
            <w:r>
              <w:rPr>
                <w:sz w:val="15"/>
              </w:rPr>
              <w:t>Error rate within the master threshold; every expiry to 31-May-2028 present against the legacy in-force list; G4 signed by the Data Migration Lead</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T-2 06:00</w:t>
            </w:r>
          </w:p>
        </w:tc>
        <w:tc>
          <w:tcPr>
            <w:tcW w:type="dxa" w:w="757"/>
            <w:tcMar>
              <w:top w:w="50" w:type="dxa"/>
              <w:bottom w:w="50" w:type="dxa"/>
              <w:left w:w="90" w:type="dxa"/>
              <w:right w:w="90" w:type="dxa"/>
            </w:tcMar>
          </w:tcPr>
          <w:p>
            <w:pPr>
              <w:pStyle w:val="BDOITable"/>
            </w:pPr>
            <w:r>
              <w:rPr>
                <w:sz w:val="15"/>
              </w:rPr>
              <w:t>CT-043</w:t>
            </w:r>
          </w:p>
        </w:tc>
        <w:tc>
          <w:tcPr>
            <w:tcW w:type="dxa" w:w="4036"/>
            <w:tcMar>
              <w:top w:w="50" w:type="dxa"/>
              <w:bottom w:w="50" w:type="dxa"/>
              <w:left w:w="90" w:type="dxa"/>
              <w:right w:w="90" w:type="dxa"/>
            </w:tcMar>
          </w:tcPr>
          <w:p>
            <w:pPr>
              <w:pStyle w:val="BDOITable"/>
            </w:pPr>
            <w:r>
              <w:rPr>
                <w:sz w:val="15"/>
              </w:rPr>
              <w:t>Load policy headers P01; reconcile L1-L4</w:t>
            </w:r>
          </w:p>
        </w:tc>
        <w:tc>
          <w:tcPr>
            <w:tcW w:type="dxa" w:w="706"/>
            <w:tcMar>
              <w:top w:w="50" w:type="dxa"/>
              <w:bottom w:w="50" w:type="dxa"/>
              <w:left w:w="90" w:type="dxa"/>
              <w:right w:w="90" w:type="dxa"/>
            </w:tcMar>
          </w:tcPr>
          <w:p>
            <w:pPr>
              <w:pStyle w:val="BDOITable"/>
            </w:pPr>
            <w:r>
              <w:rPr>
                <w:sz w:val="15"/>
              </w:rPr>
              <w:t>IOP</w:t>
            </w:r>
          </w:p>
        </w:tc>
        <w:tc>
          <w:tcPr>
            <w:tcW w:type="dxa" w:w="656"/>
            <w:tcMar>
              <w:top w:w="50" w:type="dxa"/>
              <w:bottom w:w="50" w:type="dxa"/>
              <w:left w:w="90" w:type="dxa"/>
              <w:right w:w="90" w:type="dxa"/>
            </w:tcMar>
          </w:tcPr>
          <w:p>
            <w:pPr>
              <w:pStyle w:val="BDOITable"/>
            </w:pPr>
            <w:r>
              <w:rPr>
                <w:sz w:val="15"/>
              </w:rPr>
              <w:t>3</w:t>
            </w:r>
          </w:p>
        </w:tc>
        <w:tc>
          <w:tcPr>
            <w:tcW w:type="dxa" w:w="1009"/>
            <w:tcMar>
              <w:top w:w="50" w:type="dxa"/>
              <w:bottom w:w="50" w:type="dxa"/>
              <w:left w:w="90" w:type="dxa"/>
              <w:right w:w="90" w:type="dxa"/>
            </w:tcMar>
          </w:tcPr>
          <w:p>
            <w:pPr>
              <w:pStyle w:val="BDOITable"/>
            </w:pPr>
            <w:r>
              <w:rPr>
                <w:sz w:val="15"/>
              </w:rPr>
              <w:t>CT-042</w:t>
            </w:r>
          </w:p>
        </w:tc>
        <w:tc>
          <w:tcPr>
            <w:tcW w:type="dxa" w:w="2523"/>
            <w:tcMar>
              <w:top w:w="50" w:type="dxa"/>
              <w:bottom w:w="50" w:type="dxa"/>
              <w:left w:w="90" w:type="dxa"/>
              <w:right w:w="90" w:type="dxa"/>
            </w:tcMar>
          </w:tcPr>
          <w:p>
            <w:pPr>
              <w:pStyle w:val="BDOITable"/>
            </w:pPr>
            <w:r>
              <w:rPr>
                <w:sz w:val="15"/>
              </w:rPr>
              <w:t>the Reconciliation Summary report for P01 matched</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T-2 06:00</w:t>
            </w:r>
          </w:p>
        </w:tc>
        <w:tc>
          <w:tcPr>
            <w:tcW w:type="dxa" w:w="757"/>
            <w:tcMar>
              <w:top w:w="50" w:type="dxa"/>
              <w:bottom w:w="50" w:type="dxa"/>
              <w:left w:w="90" w:type="dxa"/>
              <w:right w:w="90" w:type="dxa"/>
            </w:tcMar>
            <w:shd w:val="clear" w:color="auto" w:fill="E5F5FF"/>
          </w:tcPr>
          <w:p>
            <w:pPr>
              <w:pStyle w:val="BDOITable"/>
            </w:pPr>
            <w:r>
              <w:rPr>
                <w:sz w:val="15"/>
              </w:rPr>
              <w:t>CT-044</w:t>
            </w:r>
          </w:p>
        </w:tc>
        <w:tc>
          <w:tcPr>
            <w:tcW w:type="dxa" w:w="4036"/>
            <w:tcMar>
              <w:top w:w="50" w:type="dxa"/>
              <w:bottom w:w="50" w:type="dxa"/>
              <w:left w:w="90" w:type="dxa"/>
              <w:right w:w="90" w:type="dxa"/>
            </w:tcMar>
            <w:shd w:val="clear" w:color="auto" w:fill="E5F5FF"/>
          </w:tcPr>
          <w:p>
            <w:pPr>
              <w:pStyle w:val="BDOITable"/>
            </w:pPr>
            <w:r>
              <w:rPr>
                <w:sz w:val="15"/>
              </w:rPr>
              <w:t>Validate F01, F01S, F01C; resolve issues; approve load (G3, G4)</w:t>
            </w:r>
          </w:p>
        </w:tc>
        <w:tc>
          <w:tcPr>
            <w:tcW w:type="dxa" w:w="706"/>
            <w:tcMar>
              <w:top w:w="50" w:type="dxa"/>
              <w:bottom w:w="50" w:type="dxa"/>
              <w:left w:w="90" w:type="dxa"/>
              <w:right w:w="90" w:type="dxa"/>
            </w:tcMar>
            <w:shd w:val="clear" w:color="auto" w:fill="E5F5FF"/>
          </w:tcPr>
          <w:p>
            <w:pPr>
              <w:pStyle w:val="BDOITable"/>
            </w:pPr>
            <w:r>
              <w:rPr>
                <w:sz w:val="15"/>
              </w:rPr>
              <w:t>IOP</w:t>
            </w:r>
          </w:p>
        </w:tc>
        <w:tc>
          <w:tcPr>
            <w:tcW w:type="dxa" w:w="656"/>
            <w:tcMar>
              <w:top w:w="50" w:type="dxa"/>
              <w:bottom w:w="50" w:type="dxa"/>
              <w:left w:w="90" w:type="dxa"/>
              <w:right w:w="90" w:type="dxa"/>
            </w:tcMar>
            <w:shd w:val="clear" w:color="auto" w:fill="E5F5FF"/>
          </w:tcPr>
          <w:p>
            <w:pPr>
              <w:pStyle w:val="BDOITable"/>
            </w:pPr>
            <w:r>
              <w:rPr>
                <w:sz w:val="15"/>
              </w:rPr>
              <w:t>3</w:t>
            </w:r>
          </w:p>
        </w:tc>
        <w:tc>
          <w:tcPr>
            <w:tcW w:type="dxa" w:w="1009"/>
            <w:tcMar>
              <w:top w:w="50" w:type="dxa"/>
              <w:bottom w:w="50" w:type="dxa"/>
              <w:left w:w="90" w:type="dxa"/>
              <w:right w:w="90" w:type="dxa"/>
            </w:tcMar>
            <w:shd w:val="clear" w:color="auto" w:fill="E5F5FF"/>
          </w:tcPr>
          <w:p>
            <w:pPr>
              <w:pStyle w:val="BDOITable"/>
            </w:pPr>
            <w:r>
              <w:rPr>
                <w:sz w:val="15"/>
              </w:rPr>
              <w:t>CT-041</w:t>
            </w:r>
          </w:p>
        </w:tc>
        <w:tc>
          <w:tcPr>
            <w:tcW w:type="dxa" w:w="2523"/>
            <w:tcMar>
              <w:top w:w="50" w:type="dxa"/>
              <w:bottom w:w="50" w:type="dxa"/>
              <w:left w:w="90" w:type="dxa"/>
              <w:right w:w="90" w:type="dxa"/>
            </w:tcMar>
            <w:shd w:val="clear" w:color="auto" w:fill="E5F5FF"/>
          </w:tcPr>
          <w:p>
            <w:pPr>
              <w:pStyle w:val="BDOITable"/>
            </w:pPr>
            <w:r>
              <w:rPr>
                <w:sz w:val="15"/>
              </w:rPr>
              <w:t>0 financial errors or owner-approved exclusions with manual-entry plan</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T-2 09:00</w:t>
            </w:r>
          </w:p>
        </w:tc>
        <w:tc>
          <w:tcPr>
            <w:tcW w:type="dxa" w:w="757"/>
            <w:tcMar>
              <w:top w:w="50" w:type="dxa"/>
              <w:bottom w:w="50" w:type="dxa"/>
              <w:left w:w="90" w:type="dxa"/>
              <w:right w:w="90" w:type="dxa"/>
            </w:tcMar>
          </w:tcPr>
          <w:p>
            <w:pPr>
              <w:pStyle w:val="BDOITable"/>
            </w:pPr>
            <w:r>
              <w:rPr>
                <w:sz w:val="15"/>
              </w:rPr>
              <w:t>CT-045</w:t>
            </w:r>
          </w:p>
        </w:tc>
        <w:tc>
          <w:tcPr>
            <w:tcW w:type="dxa" w:w="4036"/>
            <w:tcMar>
              <w:top w:w="50" w:type="dxa"/>
              <w:bottom w:w="50" w:type="dxa"/>
              <w:left w:w="90" w:type="dxa"/>
              <w:right w:w="90" w:type="dxa"/>
            </w:tcMar>
          </w:tcPr>
          <w:p>
            <w:pPr>
              <w:pStyle w:val="BDOITable"/>
            </w:pPr>
            <w:r>
              <w:rPr>
                <w:sz w:val="15"/>
              </w:rPr>
              <w:t>Load open legacy invoices F01 with their opening entries</w:t>
            </w:r>
          </w:p>
        </w:tc>
        <w:tc>
          <w:tcPr>
            <w:tcW w:type="dxa" w:w="706"/>
            <w:tcMar>
              <w:top w:w="50" w:type="dxa"/>
              <w:bottom w:w="50" w:type="dxa"/>
              <w:left w:w="90" w:type="dxa"/>
              <w:right w:w="90" w:type="dxa"/>
            </w:tcMar>
          </w:tcPr>
          <w:p>
            <w:pPr>
              <w:pStyle w:val="BDOITable"/>
            </w:pPr>
            <w:r>
              <w:rPr>
                <w:sz w:val="15"/>
              </w:rPr>
              <w:t>IOP</w:t>
            </w:r>
          </w:p>
        </w:tc>
        <w:tc>
          <w:tcPr>
            <w:tcW w:type="dxa" w:w="656"/>
            <w:tcMar>
              <w:top w:w="50" w:type="dxa"/>
              <w:bottom w:w="50" w:type="dxa"/>
              <w:left w:w="90" w:type="dxa"/>
              <w:right w:w="90" w:type="dxa"/>
            </w:tcMar>
          </w:tcPr>
          <w:p>
            <w:pPr>
              <w:pStyle w:val="BDOITable"/>
            </w:pPr>
            <w:r>
              <w:rPr>
                <w:sz w:val="15"/>
              </w:rPr>
              <w:t>5</w:t>
            </w:r>
          </w:p>
        </w:tc>
        <w:tc>
          <w:tcPr>
            <w:tcW w:type="dxa" w:w="1009"/>
            <w:tcMar>
              <w:top w:w="50" w:type="dxa"/>
              <w:bottom w:w="50" w:type="dxa"/>
              <w:left w:w="90" w:type="dxa"/>
              <w:right w:w="90" w:type="dxa"/>
            </w:tcMar>
          </w:tcPr>
          <w:p>
            <w:pPr>
              <w:pStyle w:val="BDOITable"/>
            </w:pPr>
            <w:r>
              <w:rPr>
                <w:sz w:val="15"/>
              </w:rPr>
              <w:t>CT-043, CT-044</w:t>
            </w:r>
          </w:p>
        </w:tc>
        <w:tc>
          <w:tcPr>
            <w:tcW w:type="dxa" w:w="2523"/>
            <w:tcMar>
              <w:top w:w="50" w:type="dxa"/>
              <w:bottom w:w="50" w:type="dxa"/>
              <w:left w:w="90" w:type="dxa"/>
              <w:right w:w="90" w:type="dxa"/>
            </w:tcMar>
          </w:tcPr>
          <w:p>
            <w:pPr>
              <w:pStyle w:val="BDOITable"/>
            </w:pPr>
            <w:r>
              <w:rPr>
                <w:sz w:val="15"/>
              </w:rPr>
              <w:t>Batch loaded without rejects</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T-2 09:00</w:t>
            </w:r>
          </w:p>
        </w:tc>
        <w:tc>
          <w:tcPr>
            <w:tcW w:type="dxa" w:w="757"/>
            <w:tcMar>
              <w:top w:w="50" w:type="dxa"/>
              <w:bottom w:w="50" w:type="dxa"/>
              <w:left w:w="90" w:type="dxa"/>
              <w:right w:w="90" w:type="dxa"/>
            </w:tcMar>
            <w:shd w:val="clear" w:color="auto" w:fill="E5F5FF"/>
          </w:tcPr>
          <w:p>
            <w:pPr>
              <w:pStyle w:val="BDOITable"/>
            </w:pPr>
            <w:r>
              <w:rPr>
                <w:sz w:val="15"/>
              </w:rPr>
              <w:t>CT-046</w:t>
            </w:r>
          </w:p>
        </w:tc>
        <w:tc>
          <w:tcPr>
            <w:tcW w:type="dxa" w:w="4036"/>
            <w:tcMar>
              <w:top w:w="50" w:type="dxa"/>
              <w:bottom w:w="50" w:type="dxa"/>
              <w:left w:w="90" w:type="dxa"/>
              <w:right w:w="90" w:type="dxa"/>
            </w:tcMar>
            <w:shd w:val="clear" w:color="auto" w:fill="E5F5FF"/>
          </w:tcPr>
          <w:p>
            <w:pPr>
              <w:pStyle w:val="BDOITable"/>
            </w:pPr>
            <w:r>
              <w:rPr>
                <w:sz w:val="15"/>
              </w:rPr>
              <w:t>Validate and load UPP F02 with their opening entries</w:t>
            </w:r>
          </w:p>
        </w:tc>
        <w:tc>
          <w:tcPr>
            <w:tcW w:type="dxa" w:w="706"/>
            <w:tcMar>
              <w:top w:w="50" w:type="dxa"/>
              <w:bottom w:w="50" w:type="dxa"/>
              <w:left w:w="90" w:type="dxa"/>
              <w:right w:w="90" w:type="dxa"/>
            </w:tcMar>
            <w:shd w:val="clear" w:color="auto" w:fill="E5F5FF"/>
          </w:tcPr>
          <w:p>
            <w:pPr>
              <w:pStyle w:val="BDOITable"/>
            </w:pPr>
            <w:r>
              <w:rPr>
                <w:sz w:val="15"/>
              </w:rPr>
              <w:t>IOP</w:t>
            </w:r>
          </w:p>
        </w:tc>
        <w:tc>
          <w:tcPr>
            <w:tcW w:type="dxa" w:w="656"/>
            <w:tcMar>
              <w:top w:w="50" w:type="dxa"/>
              <w:bottom w:w="50" w:type="dxa"/>
              <w:left w:w="90" w:type="dxa"/>
              <w:right w:w="90" w:type="dxa"/>
            </w:tcMar>
            <w:shd w:val="clear" w:color="auto" w:fill="E5F5FF"/>
          </w:tcPr>
          <w:p>
            <w:pPr>
              <w:pStyle w:val="BDOITable"/>
            </w:pPr>
            <w:r>
              <w:rPr>
                <w:sz w:val="15"/>
              </w:rPr>
              <w:t>3</w:t>
            </w:r>
          </w:p>
        </w:tc>
        <w:tc>
          <w:tcPr>
            <w:tcW w:type="dxa" w:w="1009"/>
            <w:tcMar>
              <w:top w:w="50" w:type="dxa"/>
              <w:bottom w:w="50" w:type="dxa"/>
              <w:left w:w="90" w:type="dxa"/>
              <w:right w:w="90" w:type="dxa"/>
            </w:tcMar>
            <w:shd w:val="clear" w:color="auto" w:fill="E5F5FF"/>
          </w:tcPr>
          <w:p>
            <w:pPr>
              <w:pStyle w:val="BDOITable"/>
            </w:pPr>
            <w:r>
              <w:rPr>
                <w:sz w:val="15"/>
              </w:rPr>
              <w:t>CT-041, CT-023</w:t>
            </w:r>
          </w:p>
        </w:tc>
        <w:tc>
          <w:tcPr>
            <w:tcW w:type="dxa" w:w="2523"/>
            <w:tcMar>
              <w:top w:w="50" w:type="dxa"/>
              <w:bottom w:w="50" w:type="dxa"/>
              <w:left w:w="90" w:type="dxa"/>
              <w:right w:w="90" w:type="dxa"/>
            </w:tcMar>
            <w:shd w:val="clear" w:color="auto" w:fill="E5F5FF"/>
          </w:tcPr>
          <w:p>
            <w:pPr>
              <w:pStyle w:val="BDOITable"/>
            </w:pPr>
            <w:r>
              <w:rPr>
                <w:sz w:val="15"/>
              </w:rPr>
              <w:t>Batch loaded without rejects</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T-2 14:00</w:t>
            </w:r>
          </w:p>
        </w:tc>
        <w:tc>
          <w:tcPr>
            <w:tcW w:type="dxa" w:w="757"/>
            <w:tcMar>
              <w:top w:w="50" w:type="dxa"/>
              <w:bottom w:w="50" w:type="dxa"/>
              <w:left w:w="90" w:type="dxa"/>
              <w:right w:w="90" w:type="dxa"/>
            </w:tcMar>
          </w:tcPr>
          <w:p>
            <w:pPr>
              <w:pStyle w:val="BDOITable"/>
            </w:pPr>
            <w:r>
              <w:rPr>
                <w:sz w:val="15"/>
              </w:rPr>
              <w:t>CT-047</w:t>
            </w:r>
          </w:p>
        </w:tc>
        <w:tc>
          <w:tcPr>
            <w:tcW w:type="dxa" w:w="4036"/>
            <w:tcMar>
              <w:top w:w="50" w:type="dxa"/>
              <w:bottom w:w="50" w:type="dxa"/>
              <w:left w:w="90" w:type="dxa"/>
              <w:right w:w="90" w:type="dxa"/>
            </w:tcMar>
          </w:tcPr>
          <w:p>
            <w:pPr>
              <w:pStyle w:val="BDOITable"/>
            </w:pPr>
            <w:r>
              <w:rPr>
                <w:sz w:val="15"/>
              </w:rPr>
              <w:t>Load collection state F03, remittance items F04, PDCs and pick-ups F06</w:t>
            </w:r>
          </w:p>
        </w:tc>
        <w:tc>
          <w:tcPr>
            <w:tcW w:type="dxa" w:w="706"/>
            <w:tcMar>
              <w:top w:w="50" w:type="dxa"/>
              <w:bottom w:w="50" w:type="dxa"/>
              <w:left w:w="90" w:type="dxa"/>
              <w:right w:w="90" w:type="dxa"/>
            </w:tcMar>
          </w:tcPr>
          <w:p>
            <w:pPr>
              <w:pStyle w:val="BDOITable"/>
            </w:pPr>
            <w:r>
              <w:rPr>
                <w:sz w:val="15"/>
              </w:rPr>
              <w:t>IOP</w:t>
            </w:r>
          </w:p>
        </w:tc>
        <w:tc>
          <w:tcPr>
            <w:tcW w:type="dxa" w:w="656"/>
            <w:tcMar>
              <w:top w:w="50" w:type="dxa"/>
              <w:bottom w:w="50" w:type="dxa"/>
              <w:left w:w="90" w:type="dxa"/>
              <w:right w:w="90" w:type="dxa"/>
            </w:tcMar>
          </w:tcPr>
          <w:p>
            <w:pPr>
              <w:pStyle w:val="BDOITable"/>
            </w:pPr>
            <w:r>
              <w:rPr>
                <w:sz w:val="15"/>
              </w:rPr>
              <w:t>3</w:t>
            </w:r>
          </w:p>
        </w:tc>
        <w:tc>
          <w:tcPr>
            <w:tcW w:type="dxa" w:w="1009"/>
            <w:tcMar>
              <w:top w:w="50" w:type="dxa"/>
              <w:bottom w:w="50" w:type="dxa"/>
              <w:left w:w="90" w:type="dxa"/>
              <w:right w:w="90" w:type="dxa"/>
            </w:tcMar>
          </w:tcPr>
          <w:p>
            <w:pPr>
              <w:pStyle w:val="BDOITable"/>
            </w:pPr>
            <w:r>
              <w:rPr>
                <w:sz w:val="15"/>
              </w:rPr>
              <w:t>CT-045</w:t>
            </w:r>
          </w:p>
        </w:tc>
        <w:tc>
          <w:tcPr>
            <w:tcW w:type="dxa" w:w="2523"/>
            <w:tcMar>
              <w:top w:w="50" w:type="dxa"/>
              <w:bottom w:w="50" w:type="dxa"/>
              <w:left w:w="90" w:type="dxa"/>
              <w:right w:w="90" w:type="dxa"/>
            </w:tcMar>
          </w:tcPr>
          <w:p>
            <w:pPr>
              <w:pStyle w:val="BDOITable"/>
            </w:pPr>
            <w:r>
              <w:rPr>
                <w:sz w:val="15"/>
              </w:rPr>
              <w:t>Batches loaded</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T-2 15:00</w:t>
            </w:r>
          </w:p>
        </w:tc>
        <w:tc>
          <w:tcPr>
            <w:tcW w:type="dxa" w:w="757"/>
            <w:tcMar>
              <w:top w:w="50" w:type="dxa"/>
              <w:bottom w:w="50" w:type="dxa"/>
              <w:left w:w="90" w:type="dxa"/>
              <w:right w:w="90" w:type="dxa"/>
            </w:tcMar>
            <w:shd w:val="clear" w:color="auto" w:fill="E5F5FF"/>
          </w:tcPr>
          <w:p>
            <w:pPr>
              <w:pStyle w:val="BDOITable"/>
            </w:pPr>
            <w:r>
              <w:rPr>
                <w:sz w:val="15"/>
              </w:rPr>
              <w:t>CT-048</w:t>
            </w:r>
          </w:p>
        </w:tc>
        <w:tc>
          <w:tcPr>
            <w:tcW w:type="dxa" w:w="4036"/>
            <w:tcMar>
              <w:top w:w="50" w:type="dxa"/>
              <w:bottom w:w="50" w:type="dxa"/>
              <w:left w:w="90" w:type="dxa"/>
              <w:right w:w="90" w:type="dxa"/>
            </w:tcMar>
            <w:shd w:val="clear" w:color="auto" w:fill="E5F5FF"/>
          </w:tcPr>
          <w:p>
            <w:pPr>
              <w:pStyle w:val="BDOITable"/>
            </w:pPr>
            <w:r>
              <w:rPr>
                <w:sz w:val="15"/>
              </w:rPr>
              <w:t>Load the provisional GL opening G01 - OPENING journals per branch and currency, value date 1-Jan-2028; balance-sheet lines; FY2027 result to retained earnings; legacy control-account lines to Migration Clearing</w:t>
            </w:r>
          </w:p>
        </w:tc>
        <w:tc>
          <w:tcPr>
            <w:tcW w:type="dxa" w:w="706"/>
            <w:tcMar>
              <w:top w:w="50" w:type="dxa"/>
              <w:bottom w:w="50" w:type="dxa"/>
              <w:left w:w="90" w:type="dxa"/>
              <w:right w:w="90" w:type="dxa"/>
            </w:tcMar>
            <w:shd w:val="clear" w:color="auto" w:fill="E5F5FF"/>
          </w:tcPr>
          <w:p>
            <w:pPr>
              <w:pStyle w:val="BDOITable"/>
            </w:pPr>
            <w:r>
              <w:rPr>
                <w:sz w:val="15"/>
              </w:rPr>
              <w:t>IOP</w:t>
            </w:r>
          </w:p>
        </w:tc>
        <w:tc>
          <w:tcPr>
            <w:tcW w:type="dxa" w:w="656"/>
            <w:tcMar>
              <w:top w:w="50" w:type="dxa"/>
              <w:bottom w:w="50" w:type="dxa"/>
              <w:left w:w="90" w:type="dxa"/>
              <w:right w:w="90" w:type="dxa"/>
            </w:tcMar>
            <w:shd w:val="clear" w:color="auto" w:fill="E5F5FF"/>
          </w:tcPr>
          <w:p>
            <w:pPr>
              <w:pStyle w:val="BDOITable"/>
            </w:pPr>
            <w:r>
              <w:rPr>
                <w:sz w:val="15"/>
              </w:rPr>
              <w:t>2</w:t>
            </w:r>
          </w:p>
        </w:tc>
        <w:tc>
          <w:tcPr>
            <w:tcW w:type="dxa" w:w="1009"/>
            <w:tcMar>
              <w:top w:w="50" w:type="dxa"/>
              <w:bottom w:w="50" w:type="dxa"/>
              <w:left w:w="90" w:type="dxa"/>
              <w:right w:w="90" w:type="dxa"/>
            </w:tcMar>
            <w:shd w:val="clear" w:color="auto" w:fill="E5F5FF"/>
          </w:tcPr>
          <w:p>
            <w:pPr>
              <w:pStyle w:val="BDOITable"/>
            </w:pPr>
            <w:r>
              <w:rPr>
                <w:sz w:val="15"/>
              </w:rPr>
              <w:t>CT-039, CT-045, CT-046</w:t>
            </w:r>
          </w:p>
        </w:tc>
        <w:tc>
          <w:tcPr>
            <w:tcW w:type="dxa" w:w="2523"/>
            <w:tcMar>
              <w:top w:w="50" w:type="dxa"/>
              <w:bottom w:w="50" w:type="dxa"/>
              <w:left w:w="90" w:type="dxa"/>
              <w:right w:w="90" w:type="dxa"/>
            </w:tcMar>
            <w:shd w:val="clear" w:color="auto" w:fill="E5F5FF"/>
          </w:tcPr>
          <w:p>
            <w:pPr>
              <w:pStyle w:val="BDOITable"/>
            </w:pPr>
            <w:r>
              <w:rPr>
                <w:sz w:val="15"/>
              </w:rPr>
              <w:t>Journals posted and flagged PROVISIONAL; balance sheet in BIBS equals the preliminary TB; P&amp;L accounts 0.00</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T-2 16:00</w:t>
            </w:r>
          </w:p>
        </w:tc>
        <w:tc>
          <w:tcPr>
            <w:tcW w:type="dxa" w:w="757"/>
            <w:tcMar>
              <w:top w:w="50" w:type="dxa"/>
              <w:bottom w:w="50" w:type="dxa"/>
              <w:left w:w="90" w:type="dxa"/>
              <w:right w:w="90" w:type="dxa"/>
            </w:tcMar>
          </w:tcPr>
          <w:p>
            <w:pPr>
              <w:pStyle w:val="BDOITable"/>
            </w:pPr>
            <w:r>
              <w:rPr>
                <w:sz w:val="15"/>
              </w:rPr>
              <w:t>CT-049</w:t>
            </w:r>
          </w:p>
        </w:tc>
        <w:tc>
          <w:tcPr>
            <w:tcW w:type="dxa" w:w="4036"/>
            <w:tcMar>
              <w:top w:w="50" w:type="dxa"/>
              <w:bottom w:w="50" w:type="dxa"/>
              <w:left w:w="90" w:type="dxa"/>
              <w:right w:w="90" w:type="dxa"/>
            </w:tcMar>
          </w:tcPr>
          <w:p>
            <w:pPr>
              <w:pStyle w:val="BDOITable"/>
            </w:pPr>
            <w:r>
              <w:rPr>
                <w:sz w:val="15"/>
              </w:rPr>
              <w:t>Validate and load the RA-sent file P03; send the Rejected Rows report of P03 to the Renewal processing team (maker and checker)</w:t>
            </w:r>
          </w:p>
        </w:tc>
        <w:tc>
          <w:tcPr>
            <w:tcW w:type="dxa" w:w="706"/>
            <w:tcMar>
              <w:top w:w="50" w:type="dxa"/>
              <w:bottom w:w="50" w:type="dxa"/>
              <w:left w:w="90" w:type="dxa"/>
              <w:right w:w="90" w:type="dxa"/>
            </w:tcMar>
          </w:tcPr>
          <w:p>
            <w:pPr>
              <w:pStyle w:val="BDOITable"/>
            </w:pPr>
            <w:r>
              <w:rPr>
                <w:sz w:val="15"/>
              </w:rPr>
              <w:t>IOP</w:t>
            </w:r>
          </w:p>
        </w:tc>
        <w:tc>
          <w:tcPr>
            <w:tcW w:type="dxa" w:w="656"/>
            <w:tcMar>
              <w:top w:w="50" w:type="dxa"/>
              <w:bottom w:w="50" w:type="dxa"/>
              <w:left w:w="90" w:type="dxa"/>
              <w:right w:w="90" w:type="dxa"/>
            </w:tcMar>
          </w:tcPr>
          <w:p>
            <w:pPr>
              <w:pStyle w:val="BDOITable"/>
            </w:pPr>
            <w:r>
              <w:rPr>
                <w:sz w:val="15"/>
              </w:rPr>
              <w:t>2</w:t>
            </w:r>
          </w:p>
        </w:tc>
        <w:tc>
          <w:tcPr>
            <w:tcW w:type="dxa" w:w="1009"/>
            <w:tcMar>
              <w:top w:w="50" w:type="dxa"/>
              <w:bottom w:w="50" w:type="dxa"/>
              <w:left w:w="90" w:type="dxa"/>
              <w:right w:w="90" w:type="dxa"/>
            </w:tcMar>
          </w:tcPr>
          <w:p>
            <w:pPr>
              <w:pStyle w:val="BDOITable"/>
            </w:pPr>
            <w:r>
              <w:rPr>
                <w:sz w:val="15"/>
              </w:rPr>
              <w:t>CT-043</w:t>
            </w:r>
          </w:p>
        </w:tc>
        <w:tc>
          <w:tcPr>
            <w:tcW w:type="dxa" w:w="2523"/>
            <w:tcMar>
              <w:top w:w="50" w:type="dxa"/>
              <w:bottom w:w="50" w:type="dxa"/>
              <w:left w:w="90" w:type="dxa"/>
              <w:right w:w="90" w:type="dxa"/>
            </w:tcMar>
          </w:tcPr>
          <w:p>
            <w:pPr>
              <w:pStyle w:val="BDOITable"/>
            </w:pPr>
            <w:r>
              <w:rPr>
                <w:sz w:val="15"/>
              </w:rPr>
              <w:t>Batch loaded, or loaded with rejects; rejection report with correction columns sent</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T-2 17:00</w:t>
            </w:r>
          </w:p>
        </w:tc>
        <w:tc>
          <w:tcPr>
            <w:tcW w:type="dxa" w:w="757"/>
            <w:tcMar>
              <w:top w:w="50" w:type="dxa"/>
              <w:bottom w:w="50" w:type="dxa"/>
              <w:left w:w="90" w:type="dxa"/>
              <w:right w:w="90" w:type="dxa"/>
            </w:tcMar>
            <w:shd w:val="clear" w:color="auto" w:fill="E5F5FF"/>
          </w:tcPr>
          <w:p>
            <w:pPr>
              <w:pStyle w:val="BDOITable"/>
            </w:pPr>
            <w:r>
              <w:rPr>
                <w:sz w:val="15"/>
              </w:rPr>
              <w:t>CT-050</w:t>
            </w:r>
          </w:p>
        </w:tc>
        <w:tc>
          <w:tcPr>
            <w:tcW w:type="dxa" w:w="4036"/>
            <w:tcMar>
              <w:top w:w="50" w:type="dxa"/>
              <w:bottom w:w="50" w:type="dxa"/>
              <w:left w:w="90" w:type="dxa"/>
              <w:right w:w="90" w:type="dxa"/>
            </w:tcMar>
            <w:shd w:val="clear" w:color="auto" w:fill="E5F5FF"/>
          </w:tcPr>
          <w:p>
            <w:pPr>
              <w:pStyle w:val="BDOITable"/>
            </w:pPr>
            <w:r>
              <w:rPr>
                <w:sz w:val="15"/>
              </w:rPr>
              <w:t>Update the receipt series R11 to the final next numbers</w:t>
            </w:r>
          </w:p>
        </w:tc>
        <w:tc>
          <w:tcPr>
            <w:tcW w:type="dxa" w:w="706"/>
            <w:tcMar>
              <w:top w:w="50" w:type="dxa"/>
              <w:bottom w:w="50" w:type="dxa"/>
              <w:left w:w="90" w:type="dxa"/>
              <w:right w:w="90" w:type="dxa"/>
            </w:tcMar>
            <w:shd w:val="clear" w:color="auto" w:fill="E5F5FF"/>
          </w:tcPr>
          <w:p>
            <w:pPr>
              <w:pStyle w:val="BDOITable"/>
            </w:pPr>
            <w:r>
              <w:rPr>
                <w:sz w:val="15"/>
              </w:rPr>
              <w:t>IOP</w:t>
            </w:r>
          </w:p>
        </w:tc>
        <w:tc>
          <w:tcPr>
            <w:tcW w:type="dxa" w:w="656"/>
            <w:tcMar>
              <w:top w:w="50" w:type="dxa"/>
              <w:bottom w:w="50" w:type="dxa"/>
              <w:left w:w="90" w:type="dxa"/>
              <w:right w:w="90" w:type="dxa"/>
            </w:tcMar>
            <w:shd w:val="clear" w:color="auto" w:fill="E5F5FF"/>
          </w:tcPr>
          <w:p>
            <w:pPr>
              <w:pStyle w:val="BDOITable"/>
            </w:pPr>
            <w:r>
              <w:rPr>
                <w:sz w:val="15"/>
              </w:rPr>
              <w:t>1</w:t>
            </w:r>
          </w:p>
        </w:tc>
        <w:tc>
          <w:tcPr>
            <w:tcW w:type="dxa" w:w="1009"/>
            <w:tcMar>
              <w:top w:w="50" w:type="dxa"/>
              <w:bottom w:w="50" w:type="dxa"/>
              <w:left w:w="90" w:type="dxa"/>
              <w:right w:w="90" w:type="dxa"/>
            </w:tcMar>
            <w:shd w:val="clear" w:color="auto" w:fill="E5F5FF"/>
          </w:tcPr>
          <w:p>
            <w:pPr>
              <w:pStyle w:val="BDOITable"/>
            </w:pPr>
            <w:r>
              <w:rPr>
                <w:sz w:val="15"/>
              </w:rPr>
              <w:t>CT-041</w:t>
            </w:r>
          </w:p>
        </w:tc>
        <w:tc>
          <w:tcPr>
            <w:tcW w:type="dxa" w:w="2523"/>
            <w:tcMar>
              <w:top w:w="50" w:type="dxa"/>
              <w:bottom w:w="50" w:type="dxa"/>
              <w:left w:w="90" w:type="dxa"/>
              <w:right w:w="90" w:type="dxa"/>
            </w:tcMar>
            <w:shd w:val="clear" w:color="auto" w:fill="E5F5FF"/>
          </w:tcPr>
          <w:p>
            <w:pPr>
              <w:pStyle w:val="BDOITable"/>
            </w:pPr>
            <w:r>
              <w:rPr>
                <w:sz w:val="15"/>
              </w:rPr>
              <w:t>Next AR / OR numbers = legacy last used + 1 per branch</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T-2 18:00</w:t>
            </w:r>
          </w:p>
        </w:tc>
        <w:tc>
          <w:tcPr>
            <w:tcW w:type="dxa" w:w="757"/>
            <w:tcMar>
              <w:top w:w="50" w:type="dxa"/>
              <w:bottom w:w="50" w:type="dxa"/>
              <w:left w:w="90" w:type="dxa"/>
              <w:right w:w="90" w:type="dxa"/>
            </w:tcMar>
          </w:tcPr>
          <w:p>
            <w:pPr>
              <w:pStyle w:val="BDOITable"/>
            </w:pPr>
            <w:r>
              <w:rPr>
                <w:sz w:val="15"/>
              </w:rPr>
              <w:t>CT-051</w:t>
            </w:r>
          </w:p>
        </w:tc>
        <w:tc>
          <w:tcPr>
            <w:tcW w:type="dxa" w:w="4036"/>
            <w:tcMar>
              <w:top w:w="50" w:type="dxa"/>
              <w:bottom w:w="50" w:type="dxa"/>
              <w:left w:w="90" w:type="dxa"/>
              <w:right w:w="90" w:type="dxa"/>
            </w:tcMar>
          </w:tcPr>
          <w:p>
            <w:pPr>
              <w:pStyle w:val="BDOITable"/>
            </w:pPr>
            <w:r>
              <w:rPr>
                <w:sz w:val="15"/>
              </w:rPr>
              <w:t>Reconcile L1-L4 of every financial object; run L5 - Migration Clearing per branch and currency, legacy control accounts vs sub-ledgers (ACSL, context LEGACY)</w:t>
            </w:r>
          </w:p>
        </w:tc>
        <w:tc>
          <w:tcPr>
            <w:tcW w:type="dxa" w:w="706"/>
            <w:tcMar>
              <w:top w:w="50" w:type="dxa"/>
              <w:bottom w:w="50" w:type="dxa"/>
              <w:left w:w="90" w:type="dxa"/>
              <w:right w:w="90" w:type="dxa"/>
            </w:tcMar>
          </w:tcPr>
          <w:p>
            <w:pPr>
              <w:pStyle w:val="BDOITable"/>
            </w:pPr>
            <w:r>
              <w:rPr>
                <w:sz w:val="15"/>
              </w:rPr>
              <w:t>IML</w:t>
            </w:r>
          </w:p>
        </w:tc>
        <w:tc>
          <w:tcPr>
            <w:tcW w:type="dxa" w:w="656"/>
            <w:tcMar>
              <w:top w:w="50" w:type="dxa"/>
              <w:bottom w:w="50" w:type="dxa"/>
              <w:left w:w="90" w:type="dxa"/>
              <w:right w:w="90" w:type="dxa"/>
            </w:tcMar>
          </w:tcPr>
          <w:p>
            <w:pPr>
              <w:pStyle w:val="BDOITable"/>
            </w:pPr>
            <w:r>
              <w:rPr>
                <w:sz w:val="15"/>
              </w:rPr>
              <w:t>4</w:t>
            </w:r>
          </w:p>
        </w:tc>
        <w:tc>
          <w:tcPr>
            <w:tcW w:type="dxa" w:w="1009"/>
            <w:tcMar>
              <w:top w:w="50" w:type="dxa"/>
              <w:bottom w:w="50" w:type="dxa"/>
              <w:left w:w="90" w:type="dxa"/>
              <w:right w:w="90" w:type="dxa"/>
            </w:tcMar>
          </w:tcPr>
          <w:p>
            <w:pPr>
              <w:pStyle w:val="BDOITable"/>
            </w:pPr>
            <w:r>
              <w:rPr>
                <w:sz w:val="15"/>
              </w:rPr>
              <w:t>CT-047, CT-048</w:t>
            </w:r>
          </w:p>
        </w:tc>
        <w:tc>
          <w:tcPr>
            <w:tcW w:type="dxa" w:w="2523"/>
            <w:tcMar>
              <w:top w:w="50" w:type="dxa"/>
              <w:bottom w:w="50" w:type="dxa"/>
              <w:left w:w="90" w:type="dxa"/>
              <w:right w:w="90" w:type="dxa"/>
            </w:tcMar>
          </w:tcPr>
          <w:p>
            <w:pPr>
              <w:pStyle w:val="BDOITable"/>
            </w:pPr>
            <w:r>
              <w:rPr>
                <w:sz w:val="15"/>
              </w:rPr>
              <w:t>the Migration Clearing report shows 0.00 per branch and currency</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T-2 22:00</w:t>
            </w:r>
          </w:p>
        </w:tc>
        <w:tc>
          <w:tcPr>
            <w:tcW w:type="dxa" w:w="757"/>
            <w:tcMar>
              <w:top w:w="50" w:type="dxa"/>
              <w:bottom w:w="50" w:type="dxa"/>
              <w:left w:w="90" w:type="dxa"/>
              <w:right w:w="90" w:type="dxa"/>
            </w:tcMar>
            <w:shd w:val="clear" w:color="auto" w:fill="E5F5FF"/>
          </w:tcPr>
          <w:p>
            <w:pPr>
              <w:pStyle w:val="BDOITable"/>
            </w:pPr>
            <w:r>
              <w:rPr>
                <w:sz w:val="15"/>
              </w:rPr>
              <w:t>CT-052</w:t>
            </w:r>
          </w:p>
        </w:tc>
        <w:tc>
          <w:tcPr>
            <w:tcW w:type="dxa" w:w="4036"/>
            <w:tcMar>
              <w:top w:w="50" w:type="dxa"/>
              <w:bottom w:w="50" w:type="dxa"/>
              <w:left w:w="90" w:type="dxa"/>
              <w:right w:w="90" w:type="dxa"/>
            </w:tcMar>
            <w:shd w:val="clear" w:color="auto" w:fill="E5F5FF"/>
          </w:tcPr>
          <w:p>
            <w:pPr>
              <w:pStyle w:val="BDOITable"/>
            </w:pPr>
            <w:r>
              <w:rPr>
                <w:sz w:val="15"/>
              </w:rPr>
              <w:t>Explain or fix every break (rerun batches); reconciliation approver signs G5 per object</w:t>
            </w:r>
          </w:p>
        </w:tc>
        <w:tc>
          <w:tcPr>
            <w:tcW w:type="dxa" w:w="706"/>
            <w:tcMar>
              <w:top w:w="50" w:type="dxa"/>
              <w:bottom w:w="50" w:type="dxa"/>
              <w:left w:w="90" w:type="dxa"/>
              <w:right w:w="90" w:type="dxa"/>
            </w:tcMar>
            <w:shd w:val="clear" w:color="auto" w:fill="E5F5FF"/>
          </w:tcPr>
          <w:p>
            <w:pPr>
              <w:pStyle w:val="BDOITable"/>
            </w:pPr>
            <w:r>
              <w:rPr>
                <w:sz w:val="15"/>
              </w:rPr>
              <w:t>COMP</w:t>
            </w:r>
          </w:p>
        </w:tc>
        <w:tc>
          <w:tcPr>
            <w:tcW w:type="dxa" w:w="656"/>
            <w:tcMar>
              <w:top w:w="50" w:type="dxa"/>
              <w:bottom w:w="50" w:type="dxa"/>
              <w:left w:w="90" w:type="dxa"/>
              <w:right w:w="90" w:type="dxa"/>
            </w:tcMar>
            <w:shd w:val="clear" w:color="auto" w:fill="E5F5FF"/>
          </w:tcPr>
          <w:p>
            <w:pPr>
              <w:pStyle w:val="BDOITable"/>
            </w:pPr>
            <w:r>
              <w:rPr>
                <w:sz w:val="15"/>
              </w:rPr>
              <w:t>6</w:t>
            </w:r>
          </w:p>
        </w:tc>
        <w:tc>
          <w:tcPr>
            <w:tcW w:type="dxa" w:w="1009"/>
            <w:tcMar>
              <w:top w:w="50" w:type="dxa"/>
              <w:bottom w:w="50" w:type="dxa"/>
              <w:left w:w="90" w:type="dxa"/>
              <w:right w:w="90" w:type="dxa"/>
            </w:tcMar>
            <w:shd w:val="clear" w:color="auto" w:fill="E5F5FF"/>
          </w:tcPr>
          <w:p>
            <w:pPr>
              <w:pStyle w:val="BDOITable"/>
            </w:pPr>
            <w:r>
              <w:rPr>
                <w:sz w:val="15"/>
              </w:rPr>
              <w:t>CT-051</w:t>
            </w:r>
          </w:p>
        </w:tc>
        <w:tc>
          <w:tcPr>
            <w:tcW w:type="dxa" w:w="2523"/>
            <w:tcMar>
              <w:top w:w="50" w:type="dxa"/>
              <w:bottom w:w="50" w:type="dxa"/>
              <w:left w:w="90" w:type="dxa"/>
              <w:right w:w="90" w:type="dxa"/>
            </w:tcMar>
            <w:shd w:val="clear" w:color="auto" w:fill="E5F5FF"/>
          </w:tcPr>
          <w:p>
            <w:pPr>
              <w:pStyle w:val="BDOITable"/>
            </w:pPr>
            <w:r>
              <w:rPr>
                <w:sz w:val="15"/>
              </w:rPr>
              <w:t>the Reconciliation Summary report all matched or explained with approval</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T-1 06:00</w:t>
            </w:r>
          </w:p>
        </w:tc>
        <w:tc>
          <w:tcPr>
            <w:tcW w:type="dxa" w:w="757"/>
            <w:tcMar>
              <w:top w:w="50" w:type="dxa"/>
              <w:bottom w:w="50" w:type="dxa"/>
              <w:left w:w="90" w:type="dxa"/>
              <w:right w:w="90" w:type="dxa"/>
            </w:tcMar>
          </w:tcPr>
          <w:p>
            <w:pPr>
              <w:pStyle w:val="BDOITable"/>
            </w:pPr>
            <w:r>
              <w:rPr>
                <w:sz w:val="15"/>
              </w:rPr>
              <w:t>CT-053</w:t>
            </w:r>
          </w:p>
        </w:tc>
        <w:tc>
          <w:tcPr>
            <w:tcW w:type="dxa" w:w="4036"/>
            <w:tcMar>
              <w:top w:w="50" w:type="dxa"/>
              <w:bottom w:w="50" w:type="dxa"/>
              <w:left w:w="90" w:type="dxa"/>
              <w:right w:w="90" w:type="dxa"/>
            </w:tcMar>
          </w:tcPr>
          <w:p>
            <w:pPr>
              <w:pStyle w:val="BDOITable"/>
            </w:pPr>
            <w:r>
              <w:rPr>
                <w:sz w:val="15"/>
              </w:rPr>
              <w:t>Start the full sanction screening run of migrated clients (periodic screening job with the full re-screen option)</w:t>
            </w:r>
          </w:p>
        </w:tc>
        <w:tc>
          <w:tcPr>
            <w:tcW w:type="dxa" w:w="706"/>
            <w:tcMar>
              <w:top w:w="50" w:type="dxa"/>
              <w:bottom w:w="50" w:type="dxa"/>
              <w:left w:w="90" w:type="dxa"/>
              <w:right w:w="90" w:type="dxa"/>
            </w:tcMar>
          </w:tcPr>
          <w:p>
            <w:pPr>
              <w:pStyle w:val="BDOITable"/>
            </w:pPr>
            <w:r>
              <w:rPr>
                <w:sz w:val="15"/>
              </w:rPr>
              <w:t>IOP</w:t>
            </w:r>
          </w:p>
        </w:tc>
        <w:tc>
          <w:tcPr>
            <w:tcW w:type="dxa" w:w="656"/>
            <w:tcMar>
              <w:top w:w="50" w:type="dxa"/>
              <w:bottom w:w="50" w:type="dxa"/>
              <w:left w:w="90" w:type="dxa"/>
              <w:right w:w="90" w:type="dxa"/>
            </w:tcMar>
          </w:tcPr>
          <w:p>
            <w:pPr>
              <w:pStyle w:val="BDOITable"/>
            </w:pPr>
            <w:r>
              <w:rPr>
                <w:sz w:val="15"/>
              </w:rPr>
              <w:t>6</w:t>
            </w:r>
          </w:p>
        </w:tc>
        <w:tc>
          <w:tcPr>
            <w:tcW w:type="dxa" w:w="1009"/>
            <w:tcMar>
              <w:top w:w="50" w:type="dxa"/>
              <w:bottom w:w="50" w:type="dxa"/>
              <w:left w:w="90" w:type="dxa"/>
              <w:right w:w="90" w:type="dxa"/>
            </w:tcMar>
          </w:tcPr>
          <w:p>
            <w:pPr>
              <w:pStyle w:val="BDOITable"/>
            </w:pPr>
            <w:r>
              <w:rPr>
                <w:sz w:val="15"/>
              </w:rPr>
              <w:t>CT-023</w:t>
            </w:r>
          </w:p>
        </w:tc>
        <w:tc>
          <w:tcPr>
            <w:tcW w:type="dxa" w:w="2523"/>
            <w:tcMar>
              <w:top w:w="50" w:type="dxa"/>
              <w:bottom w:w="50" w:type="dxa"/>
              <w:left w:w="90" w:type="dxa"/>
              <w:right w:w="90" w:type="dxa"/>
            </w:tcMar>
          </w:tcPr>
          <w:p>
            <w:pPr>
              <w:pStyle w:val="BDOITable"/>
            </w:pPr>
            <w:r>
              <w:rPr>
                <w:sz w:val="15"/>
              </w:rPr>
              <w:t>Run completed; hits in the screening queue for Compliance</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T-1 07:00</w:t>
            </w:r>
          </w:p>
        </w:tc>
        <w:tc>
          <w:tcPr>
            <w:tcW w:type="dxa" w:w="757"/>
            <w:tcMar>
              <w:top w:w="50" w:type="dxa"/>
              <w:bottom w:w="50" w:type="dxa"/>
              <w:left w:w="90" w:type="dxa"/>
              <w:right w:w="90" w:type="dxa"/>
            </w:tcMar>
            <w:shd w:val="clear" w:color="auto" w:fill="E5F5FF"/>
          </w:tcPr>
          <w:p>
            <w:pPr>
              <w:pStyle w:val="BDOITable"/>
            </w:pPr>
            <w:r>
              <w:rPr>
                <w:sz w:val="15"/>
              </w:rPr>
              <w:t>CT-054</w:t>
            </w:r>
          </w:p>
        </w:tc>
        <w:tc>
          <w:tcPr>
            <w:tcW w:type="dxa" w:w="4036"/>
            <w:tcMar>
              <w:top w:w="50" w:type="dxa"/>
              <w:bottom w:w="50" w:type="dxa"/>
              <w:left w:w="90" w:type="dxa"/>
              <w:right w:w="90" w:type="dxa"/>
            </w:tcMar>
            <w:shd w:val="clear" w:color="auto" w:fill="E5F5FF"/>
          </w:tcPr>
          <w:p>
            <w:pPr>
              <w:pStyle w:val="BDOITable"/>
            </w:pPr>
            <w:r>
              <w:rPr>
                <w:sz w:val="15"/>
              </w:rPr>
              <w:t>Business verification of samples per object on the BIBS screens (Reconciliation Approach, sample plan); data owners sign G6</w:t>
            </w:r>
          </w:p>
        </w:tc>
        <w:tc>
          <w:tcPr>
            <w:tcW w:type="dxa" w:w="706"/>
            <w:tcMar>
              <w:top w:w="50" w:type="dxa"/>
              <w:bottom w:w="50" w:type="dxa"/>
              <w:left w:w="90" w:type="dxa"/>
              <w:right w:w="90" w:type="dxa"/>
            </w:tcMar>
            <w:shd w:val="clear" w:color="auto" w:fill="E5F5FF"/>
          </w:tcPr>
          <w:p>
            <w:pPr>
              <w:pStyle w:val="BDOITable"/>
            </w:pPr>
            <w:r>
              <w:rPr>
                <w:sz w:val="15"/>
              </w:rPr>
              <w:t>OWN</w:t>
            </w:r>
          </w:p>
        </w:tc>
        <w:tc>
          <w:tcPr>
            <w:tcW w:type="dxa" w:w="656"/>
            <w:tcMar>
              <w:top w:w="50" w:type="dxa"/>
              <w:bottom w:w="50" w:type="dxa"/>
              <w:left w:w="90" w:type="dxa"/>
              <w:right w:w="90" w:type="dxa"/>
            </w:tcMar>
            <w:shd w:val="clear" w:color="auto" w:fill="E5F5FF"/>
          </w:tcPr>
          <w:p>
            <w:pPr>
              <w:pStyle w:val="BDOITable"/>
            </w:pPr>
            <w:r>
              <w:rPr>
                <w:sz w:val="15"/>
              </w:rPr>
              <w:t>6</w:t>
            </w:r>
          </w:p>
        </w:tc>
        <w:tc>
          <w:tcPr>
            <w:tcW w:type="dxa" w:w="1009"/>
            <w:tcMar>
              <w:top w:w="50" w:type="dxa"/>
              <w:bottom w:w="50" w:type="dxa"/>
              <w:left w:w="90" w:type="dxa"/>
              <w:right w:w="90" w:type="dxa"/>
            </w:tcMar>
            <w:shd w:val="clear" w:color="auto" w:fill="E5F5FF"/>
          </w:tcPr>
          <w:p>
            <w:pPr>
              <w:pStyle w:val="BDOITable"/>
            </w:pPr>
            <w:r>
              <w:rPr>
                <w:sz w:val="15"/>
              </w:rPr>
              <w:t>CT-052</w:t>
            </w:r>
          </w:p>
        </w:tc>
        <w:tc>
          <w:tcPr>
            <w:tcW w:type="dxa" w:w="2523"/>
            <w:tcMar>
              <w:top w:w="50" w:type="dxa"/>
              <w:bottom w:w="50" w:type="dxa"/>
              <w:left w:w="90" w:type="dxa"/>
              <w:right w:w="90" w:type="dxa"/>
            </w:tcMar>
            <w:shd w:val="clear" w:color="auto" w:fill="E5F5FF"/>
          </w:tcPr>
          <w:p>
            <w:pPr>
              <w:pStyle w:val="BDOITable"/>
            </w:pPr>
            <w:r>
              <w:rPr>
                <w:sz w:val="15"/>
              </w:rPr>
              <w:t>Sample checklists signed; G6 for every Day-1 object</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T-1 08:00</w:t>
            </w:r>
          </w:p>
        </w:tc>
        <w:tc>
          <w:tcPr>
            <w:tcW w:type="dxa" w:w="757"/>
            <w:tcMar>
              <w:top w:w="50" w:type="dxa"/>
              <w:bottom w:w="50" w:type="dxa"/>
              <w:left w:w="90" w:type="dxa"/>
              <w:right w:w="90" w:type="dxa"/>
            </w:tcMar>
          </w:tcPr>
          <w:p>
            <w:pPr>
              <w:pStyle w:val="BDOITable"/>
            </w:pPr>
            <w:r>
              <w:rPr>
                <w:sz w:val="15"/>
              </w:rPr>
              <w:t>CT-055</w:t>
            </w:r>
          </w:p>
        </w:tc>
        <w:tc>
          <w:tcPr>
            <w:tcW w:type="dxa" w:w="4036"/>
            <w:tcMar>
              <w:top w:w="50" w:type="dxa"/>
              <w:bottom w:w="50" w:type="dxa"/>
              <w:left w:w="90" w:type="dxa"/>
              <w:right w:w="90" w:type="dxa"/>
            </w:tcMar>
          </w:tcPr>
          <w:p>
            <w:pPr>
              <w:pStyle w:val="BDOITable"/>
            </w:pPr>
            <w:r>
              <w:rPr>
                <w:sz w:val="15"/>
              </w:rPr>
              <w:t>P03 rejects - the maker corrects each row and prepares the resubmission; the checker approves it by 12:00 (resubmission deadline); the operator loads the rerun batch; rows still rejected are listed for the day-1 queue</w:t>
            </w:r>
          </w:p>
        </w:tc>
        <w:tc>
          <w:tcPr>
            <w:tcW w:type="dxa" w:w="706"/>
            <w:tcMar>
              <w:top w:w="50" w:type="dxa"/>
              <w:bottom w:w="50" w:type="dxa"/>
              <w:left w:w="90" w:type="dxa"/>
              <w:right w:w="90" w:type="dxa"/>
            </w:tcMar>
          </w:tcPr>
          <w:p>
            <w:pPr>
              <w:pStyle w:val="BDOITable"/>
            </w:pPr>
            <w:r>
              <w:rPr>
                <w:sz w:val="15"/>
              </w:rPr>
              <w:t>RNW</w:t>
            </w:r>
          </w:p>
        </w:tc>
        <w:tc>
          <w:tcPr>
            <w:tcW w:type="dxa" w:w="656"/>
            <w:tcMar>
              <w:top w:w="50" w:type="dxa"/>
              <w:bottom w:w="50" w:type="dxa"/>
              <w:left w:w="90" w:type="dxa"/>
              <w:right w:w="90" w:type="dxa"/>
            </w:tcMar>
          </w:tcPr>
          <w:p>
            <w:pPr>
              <w:pStyle w:val="BDOITable"/>
            </w:pPr>
            <w:r>
              <w:rPr>
                <w:sz w:val="15"/>
              </w:rPr>
              <w:t>4</w:t>
            </w:r>
          </w:p>
        </w:tc>
        <w:tc>
          <w:tcPr>
            <w:tcW w:type="dxa" w:w="1009"/>
            <w:tcMar>
              <w:top w:w="50" w:type="dxa"/>
              <w:bottom w:w="50" w:type="dxa"/>
              <w:left w:w="90" w:type="dxa"/>
              <w:right w:w="90" w:type="dxa"/>
            </w:tcMar>
          </w:tcPr>
          <w:p>
            <w:pPr>
              <w:pStyle w:val="BDOITable"/>
            </w:pPr>
            <w:r>
              <w:rPr>
                <w:sz w:val="15"/>
              </w:rPr>
              <w:t>CT-049</w:t>
            </w:r>
          </w:p>
        </w:tc>
        <w:tc>
          <w:tcPr>
            <w:tcW w:type="dxa" w:w="2523"/>
            <w:tcMar>
              <w:top w:w="50" w:type="dxa"/>
              <w:bottom w:w="50" w:type="dxa"/>
              <w:left w:w="90" w:type="dxa"/>
              <w:right w:w="90" w:type="dxa"/>
            </w:tcMar>
          </w:tcPr>
          <w:p>
            <w:pPr>
              <w:pStyle w:val="BDOITable"/>
            </w:pPr>
            <w:r>
              <w:rPr>
                <w:sz w:val="15"/>
              </w:rPr>
              <w:t>Resubmission approved by a checker other than the maker; rerun reconciled; list of rows still rejected</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T-1 09:00</w:t>
            </w:r>
          </w:p>
        </w:tc>
        <w:tc>
          <w:tcPr>
            <w:tcW w:type="dxa" w:w="757"/>
            <w:tcMar>
              <w:top w:w="50" w:type="dxa"/>
              <w:bottom w:w="50" w:type="dxa"/>
              <w:left w:w="90" w:type="dxa"/>
              <w:right w:w="90" w:type="dxa"/>
            </w:tcMar>
            <w:shd w:val="clear" w:color="auto" w:fill="E5F5FF"/>
          </w:tcPr>
          <w:p>
            <w:pPr>
              <w:pStyle w:val="BDOITable"/>
            </w:pPr>
            <w:r>
              <w:rPr>
                <w:sz w:val="15"/>
              </w:rPr>
              <w:t>CT-056</w:t>
            </w:r>
          </w:p>
        </w:tc>
        <w:tc>
          <w:tcPr>
            <w:tcW w:type="dxa" w:w="4036"/>
            <w:tcMar>
              <w:top w:w="50" w:type="dxa"/>
              <w:bottom w:w="50" w:type="dxa"/>
              <w:left w:w="90" w:type="dxa"/>
              <w:right w:w="90" w:type="dxa"/>
            </w:tcMar>
            <w:shd w:val="clear" w:color="auto" w:fill="E5F5FF"/>
          </w:tcPr>
          <w:p>
            <w:pPr>
              <w:pStyle w:val="BDOITable"/>
            </w:pPr>
            <w:r>
              <w:rPr>
                <w:sz w:val="15"/>
              </w:rPr>
              <w:t>Business smoke test on production with test-marked transactions reversed afterwards - OTC payment preview on a legacy invoice, automatch preview, remittance extraction preview, Invoice 360, client and policy search by legacy reference</w:t>
            </w:r>
          </w:p>
        </w:tc>
        <w:tc>
          <w:tcPr>
            <w:tcW w:type="dxa" w:w="706"/>
            <w:tcMar>
              <w:top w:w="50" w:type="dxa"/>
              <w:bottom w:w="50" w:type="dxa"/>
              <w:left w:w="90" w:type="dxa"/>
              <w:right w:w="90" w:type="dxa"/>
            </w:tcMar>
            <w:shd w:val="clear" w:color="auto" w:fill="E5F5FF"/>
          </w:tcPr>
          <w:p>
            <w:pPr>
              <w:pStyle w:val="BDOITable"/>
            </w:pPr>
            <w:r>
              <w:rPr>
                <w:sz w:val="15"/>
              </w:rPr>
              <w:t>IQA</w:t>
            </w:r>
          </w:p>
        </w:tc>
        <w:tc>
          <w:tcPr>
            <w:tcW w:type="dxa" w:w="656"/>
            <w:tcMar>
              <w:top w:w="50" w:type="dxa"/>
              <w:bottom w:w="50" w:type="dxa"/>
              <w:left w:w="90" w:type="dxa"/>
              <w:right w:w="90" w:type="dxa"/>
            </w:tcMar>
            <w:shd w:val="clear" w:color="auto" w:fill="E5F5FF"/>
          </w:tcPr>
          <w:p>
            <w:pPr>
              <w:pStyle w:val="BDOITable"/>
            </w:pPr>
            <w:r>
              <w:rPr>
                <w:sz w:val="15"/>
              </w:rPr>
              <w:t>4</w:t>
            </w:r>
          </w:p>
        </w:tc>
        <w:tc>
          <w:tcPr>
            <w:tcW w:type="dxa" w:w="1009"/>
            <w:tcMar>
              <w:top w:w="50" w:type="dxa"/>
              <w:bottom w:w="50" w:type="dxa"/>
              <w:left w:w="90" w:type="dxa"/>
              <w:right w:w="90" w:type="dxa"/>
            </w:tcMar>
            <w:shd w:val="clear" w:color="auto" w:fill="E5F5FF"/>
          </w:tcPr>
          <w:p>
            <w:pPr>
              <w:pStyle w:val="BDOITable"/>
            </w:pPr>
            <w:r>
              <w:rPr>
                <w:sz w:val="15"/>
              </w:rPr>
              <w:t>CT-052</w:t>
            </w:r>
          </w:p>
        </w:tc>
        <w:tc>
          <w:tcPr>
            <w:tcW w:type="dxa" w:w="2523"/>
            <w:tcMar>
              <w:top w:w="50" w:type="dxa"/>
              <w:bottom w:w="50" w:type="dxa"/>
              <w:left w:w="90" w:type="dxa"/>
              <w:right w:w="90" w:type="dxa"/>
            </w:tcMar>
            <w:shd w:val="clear" w:color="auto" w:fill="E5F5FF"/>
          </w:tcPr>
          <w:p>
            <w:pPr>
              <w:pStyle w:val="BDOITable"/>
            </w:pPr>
            <w:r>
              <w:rPr>
                <w:sz w:val="15"/>
              </w:rPr>
              <w:t>Smoke test checklist passed; no posting left open</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T-1 13:00</w:t>
            </w:r>
          </w:p>
        </w:tc>
        <w:tc>
          <w:tcPr>
            <w:tcW w:type="dxa" w:w="757"/>
            <w:tcMar>
              <w:top w:w="50" w:type="dxa"/>
              <w:bottom w:w="50" w:type="dxa"/>
              <w:left w:w="90" w:type="dxa"/>
              <w:right w:w="90" w:type="dxa"/>
            </w:tcMar>
          </w:tcPr>
          <w:p>
            <w:pPr>
              <w:pStyle w:val="BDOITable"/>
            </w:pPr>
            <w:r>
              <w:rPr>
                <w:sz w:val="15"/>
              </w:rPr>
              <w:t>CT-057</w:t>
            </w:r>
          </w:p>
        </w:tc>
        <w:tc>
          <w:tcPr>
            <w:tcW w:type="dxa" w:w="4036"/>
            <w:tcMar>
              <w:top w:w="50" w:type="dxa"/>
              <w:bottom w:w="50" w:type="dxa"/>
              <w:left w:w="90" w:type="dxa"/>
              <w:right w:w="90" w:type="dxa"/>
            </w:tcMar>
          </w:tcPr>
          <w:p>
            <w:pPr>
              <w:pStyle w:val="BDOITable"/>
            </w:pPr>
            <w:r>
              <w:rPr>
                <w:sz w:val="15"/>
              </w:rPr>
              <w:t>Check jobs, alerts and integrations for Monday (Renewal go-live extraction at T 04:00, payment automatch hourly, payment file uploads, daily Renewal extraction, e-mail)</w:t>
            </w:r>
          </w:p>
        </w:tc>
        <w:tc>
          <w:tcPr>
            <w:tcW w:type="dxa" w:w="706"/>
            <w:tcMar>
              <w:top w:w="50" w:type="dxa"/>
              <w:bottom w:w="50" w:type="dxa"/>
              <w:left w:w="90" w:type="dxa"/>
              <w:right w:w="90" w:type="dxa"/>
            </w:tcMar>
          </w:tcPr>
          <w:p>
            <w:pPr>
              <w:pStyle w:val="BDOITable"/>
            </w:pPr>
            <w:r>
              <w:rPr>
                <w:sz w:val="15"/>
              </w:rPr>
              <w:t>IDO</w:t>
            </w:r>
          </w:p>
        </w:tc>
        <w:tc>
          <w:tcPr>
            <w:tcW w:type="dxa" w:w="656"/>
            <w:tcMar>
              <w:top w:w="50" w:type="dxa"/>
              <w:bottom w:w="50" w:type="dxa"/>
              <w:left w:w="90" w:type="dxa"/>
              <w:right w:w="90" w:type="dxa"/>
            </w:tcMar>
          </w:tcPr>
          <w:p>
            <w:pPr>
              <w:pStyle w:val="BDOITable"/>
            </w:pPr>
            <w:r>
              <w:rPr>
                <w:sz w:val="15"/>
              </w:rPr>
              <w:t>2</w:t>
            </w:r>
          </w:p>
        </w:tc>
        <w:tc>
          <w:tcPr>
            <w:tcW w:type="dxa" w:w="1009"/>
            <w:tcMar>
              <w:top w:w="50" w:type="dxa"/>
              <w:bottom w:w="50" w:type="dxa"/>
              <w:left w:w="90" w:type="dxa"/>
              <w:right w:w="90" w:type="dxa"/>
            </w:tcMar>
          </w:tcPr>
          <w:p>
            <w:pPr>
              <w:pStyle w:val="BDOITable"/>
            </w:pPr>
            <w:r>
              <w:rPr>
                <w:sz w:val="15"/>
              </w:rPr>
              <w:t>CT-056</w:t>
            </w:r>
          </w:p>
        </w:tc>
        <w:tc>
          <w:tcPr>
            <w:tcW w:type="dxa" w:w="2523"/>
            <w:tcMar>
              <w:top w:w="50" w:type="dxa"/>
              <w:bottom w:w="50" w:type="dxa"/>
              <w:left w:w="90" w:type="dxa"/>
              <w:right w:w="90" w:type="dxa"/>
            </w:tcMar>
          </w:tcPr>
          <w:p>
            <w:pPr>
              <w:pStyle w:val="BDOITable"/>
            </w:pPr>
            <w:r>
              <w:rPr>
                <w:sz w:val="15"/>
              </w:rPr>
              <w:t>Job schedule and alert routing checked</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T-1 15:00</w:t>
            </w:r>
          </w:p>
        </w:tc>
        <w:tc>
          <w:tcPr>
            <w:tcW w:type="dxa" w:w="757"/>
            <w:tcMar>
              <w:top w:w="50" w:type="dxa"/>
              <w:bottom w:w="50" w:type="dxa"/>
              <w:left w:w="90" w:type="dxa"/>
              <w:right w:w="90" w:type="dxa"/>
            </w:tcMar>
            <w:shd w:val="clear" w:color="auto" w:fill="E5F5FF"/>
          </w:tcPr>
          <w:p>
            <w:pPr>
              <w:pStyle w:val="BDOITable"/>
            </w:pPr>
            <w:r>
              <w:rPr>
                <w:sz w:val="15"/>
              </w:rPr>
              <w:t>CT-058</w:t>
            </w:r>
          </w:p>
        </w:tc>
        <w:tc>
          <w:tcPr>
            <w:tcW w:type="dxa" w:w="4036"/>
            <w:tcMar>
              <w:top w:w="50" w:type="dxa"/>
              <w:bottom w:w="50" w:type="dxa"/>
              <w:left w:w="90" w:type="dxa"/>
              <w:right w:w="90" w:type="dxa"/>
            </w:tcMar>
            <w:shd w:val="clear" w:color="auto" w:fill="E5F5FF"/>
          </w:tcPr>
          <w:p>
            <w:pPr>
              <w:pStyle w:val="BDOITable"/>
            </w:pPr>
            <w:r>
              <w:rPr>
                <w:sz w:val="15"/>
              </w:rPr>
              <w:t>Prepare the go / no-go pack - the Go / No-Go report with measured criteria, open issues, sign-off status</w:t>
            </w:r>
          </w:p>
        </w:tc>
        <w:tc>
          <w:tcPr>
            <w:tcW w:type="dxa" w:w="706"/>
            <w:tcMar>
              <w:top w:w="50" w:type="dxa"/>
              <w:bottom w:w="50" w:type="dxa"/>
              <w:left w:w="90" w:type="dxa"/>
              <w:right w:w="90" w:type="dxa"/>
            </w:tcMar>
            <w:shd w:val="clear" w:color="auto" w:fill="E5F5FF"/>
          </w:tcPr>
          <w:p>
            <w:pPr>
              <w:pStyle w:val="BDOITable"/>
            </w:pPr>
            <w:r>
              <w:rPr>
                <w:sz w:val="15"/>
              </w:rPr>
              <w:t>IML</w:t>
            </w:r>
          </w:p>
        </w:tc>
        <w:tc>
          <w:tcPr>
            <w:tcW w:type="dxa" w:w="656"/>
            <w:tcMar>
              <w:top w:w="50" w:type="dxa"/>
              <w:bottom w:w="50" w:type="dxa"/>
              <w:left w:w="90" w:type="dxa"/>
              <w:right w:w="90" w:type="dxa"/>
            </w:tcMar>
            <w:shd w:val="clear" w:color="auto" w:fill="E5F5FF"/>
          </w:tcPr>
          <w:p>
            <w:pPr>
              <w:pStyle w:val="BDOITable"/>
            </w:pPr>
            <w:r>
              <w:rPr>
                <w:sz w:val="15"/>
              </w:rPr>
              <w:t>2</w:t>
            </w:r>
          </w:p>
        </w:tc>
        <w:tc>
          <w:tcPr>
            <w:tcW w:type="dxa" w:w="1009"/>
            <w:tcMar>
              <w:top w:w="50" w:type="dxa"/>
              <w:bottom w:w="50" w:type="dxa"/>
              <w:left w:w="90" w:type="dxa"/>
              <w:right w:w="90" w:type="dxa"/>
            </w:tcMar>
            <w:shd w:val="clear" w:color="auto" w:fill="E5F5FF"/>
          </w:tcPr>
          <w:p>
            <w:pPr>
              <w:pStyle w:val="BDOITable"/>
            </w:pPr>
            <w:r>
              <w:rPr>
                <w:sz w:val="15"/>
              </w:rPr>
              <w:t>CT-053, CT-054, CT-055, CT-056, CT-057</w:t>
            </w:r>
          </w:p>
        </w:tc>
        <w:tc>
          <w:tcPr>
            <w:tcW w:type="dxa" w:w="2523"/>
            <w:tcMar>
              <w:top w:w="50" w:type="dxa"/>
              <w:bottom w:w="50" w:type="dxa"/>
              <w:left w:w="90" w:type="dxa"/>
              <w:right w:w="90" w:type="dxa"/>
            </w:tcMar>
            <w:shd w:val="clear" w:color="auto" w:fill="E5F5FF"/>
          </w:tcPr>
          <w:p>
            <w:pPr>
              <w:pStyle w:val="BDOITable"/>
            </w:pPr>
            <w:r>
              <w:rPr>
                <w:sz w:val="15"/>
              </w:rPr>
              <w:t>Pack circulated to the board by 17:00</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T-1 18:00</w:t>
            </w:r>
          </w:p>
        </w:tc>
        <w:tc>
          <w:tcPr>
            <w:tcW w:type="dxa" w:w="757"/>
            <w:tcMar>
              <w:top w:w="50" w:type="dxa"/>
              <w:bottom w:w="50" w:type="dxa"/>
              <w:left w:w="90" w:type="dxa"/>
              <w:right w:w="90" w:type="dxa"/>
            </w:tcMar>
          </w:tcPr>
          <w:p>
            <w:pPr>
              <w:pStyle w:val="BDOITable"/>
            </w:pPr>
            <w:r>
              <w:rPr>
                <w:sz w:val="15"/>
              </w:rPr>
              <w:t>CT-059</w:t>
            </w:r>
          </w:p>
        </w:tc>
        <w:tc>
          <w:tcPr>
            <w:tcW w:type="dxa" w:w="4036"/>
            <w:tcMar>
              <w:top w:w="50" w:type="dxa"/>
              <w:bottom w:w="50" w:type="dxa"/>
              <w:left w:w="90" w:type="dxa"/>
              <w:right w:w="90" w:type="dxa"/>
            </w:tcMar>
          </w:tcPr>
          <w:p>
            <w:pPr>
              <w:pStyle w:val="BDOITable"/>
            </w:pPr>
            <w:r>
              <w:rPr>
                <w:sz w:val="15"/>
              </w:rPr>
              <w:t>Go / no-go decision GNG-3 (go-live)</w:t>
            </w:r>
          </w:p>
        </w:tc>
        <w:tc>
          <w:tcPr>
            <w:tcW w:type="dxa" w:w="706"/>
            <w:tcMar>
              <w:top w:w="50" w:type="dxa"/>
              <w:bottom w:w="50" w:type="dxa"/>
              <w:left w:w="90" w:type="dxa"/>
              <w:right w:w="90" w:type="dxa"/>
            </w:tcMar>
          </w:tcPr>
          <w:p>
            <w:pPr>
              <w:pStyle w:val="BDOITable"/>
            </w:pPr>
            <w:r>
              <w:rPr>
                <w:sz w:val="15"/>
              </w:rPr>
              <w:t>GNG</w:t>
            </w:r>
          </w:p>
        </w:tc>
        <w:tc>
          <w:tcPr>
            <w:tcW w:type="dxa" w:w="656"/>
            <w:tcMar>
              <w:top w:w="50" w:type="dxa"/>
              <w:bottom w:w="50" w:type="dxa"/>
              <w:left w:w="90" w:type="dxa"/>
              <w:right w:w="90" w:type="dxa"/>
            </w:tcMar>
          </w:tcPr>
          <w:p>
            <w:pPr>
              <w:pStyle w:val="BDOITable"/>
            </w:pPr>
            <w:r>
              <w:rPr>
                <w:sz w:val="15"/>
              </w:rPr>
              <w:t>1</w:t>
            </w:r>
          </w:p>
        </w:tc>
        <w:tc>
          <w:tcPr>
            <w:tcW w:type="dxa" w:w="1009"/>
            <w:tcMar>
              <w:top w:w="50" w:type="dxa"/>
              <w:bottom w:w="50" w:type="dxa"/>
              <w:left w:w="90" w:type="dxa"/>
              <w:right w:w="90" w:type="dxa"/>
            </w:tcMar>
          </w:tcPr>
          <w:p>
            <w:pPr>
              <w:pStyle w:val="BDOITable"/>
            </w:pPr>
            <w:r>
              <w:rPr>
                <w:sz w:val="15"/>
              </w:rPr>
              <w:t>CT-058</w:t>
            </w:r>
          </w:p>
        </w:tc>
        <w:tc>
          <w:tcPr>
            <w:tcW w:type="dxa" w:w="2523"/>
            <w:tcMar>
              <w:top w:w="50" w:type="dxa"/>
              <w:bottom w:w="50" w:type="dxa"/>
              <w:left w:w="90" w:type="dxa"/>
              <w:right w:w="90" w:type="dxa"/>
            </w:tcMar>
          </w:tcPr>
          <w:p>
            <w:pPr>
              <w:pStyle w:val="BDOITable"/>
            </w:pPr>
            <w:r>
              <w:rPr>
                <w:sz w:val="15"/>
              </w:rPr>
              <w:t>Decision recorded in the console with every criterion value</w:t>
            </w:r>
          </w:p>
        </w:tc>
        <w:tc>
          <w:tcPr>
            <w:tcW w:type="dxa" w:w="908"/>
            <w:tcMar>
              <w:top w:w="50" w:type="dxa"/>
              <w:bottom w:w="50" w:type="dxa"/>
              <w:left w:w="90" w:type="dxa"/>
              <w:right w:w="90" w:type="dxa"/>
            </w:tcMar>
          </w:tcPr>
          <w:p>
            <w:pPr>
              <w:pStyle w:val="BDOITable"/>
            </w:pPr>
            <w:r>
              <w:rPr>
                <w:sz w:val="15"/>
              </w:rPr>
              <w:t>GNG-3</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T-1 19:00</w:t>
            </w:r>
          </w:p>
        </w:tc>
        <w:tc>
          <w:tcPr>
            <w:tcW w:type="dxa" w:w="757"/>
            <w:tcMar>
              <w:top w:w="50" w:type="dxa"/>
              <w:bottom w:w="50" w:type="dxa"/>
              <w:left w:w="90" w:type="dxa"/>
              <w:right w:w="90" w:type="dxa"/>
            </w:tcMar>
            <w:shd w:val="clear" w:color="auto" w:fill="E5F5FF"/>
          </w:tcPr>
          <w:p>
            <w:pPr>
              <w:pStyle w:val="BDOITable"/>
            </w:pPr>
            <w:r>
              <w:rPr>
                <w:sz w:val="15"/>
              </w:rPr>
              <w:t>CT-060</w:t>
            </w:r>
          </w:p>
        </w:tc>
        <w:tc>
          <w:tcPr>
            <w:tcW w:type="dxa" w:w="4036"/>
            <w:tcMar>
              <w:top w:w="50" w:type="dxa"/>
              <w:bottom w:w="50" w:type="dxa"/>
              <w:left w:w="90" w:type="dxa"/>
              <w:right w:w="90" w:type="dxa"/>
            </w:tcMar>
            <w:shd w:val="clear" w:color="auto" w:fill="E5F5FF"/>
          </w:tcPr>
          <w:p>
            <w:pPr>
              <w:pStyle w:val="BDOITable"/>
            </w:pPr>
            <w:r>
              <w:rPr>
                <w:sz w:val="15"/>
              </w:rPr>
              <w:t>If NO-GO - execute the rollback procedure (section Rollback) and reopen legacy for Monday</w:t>
            </w:r>
          </w:p>
        </w:tc>
        <w:tc>
          <w:tcPr>
            <w:tcW w:type="dxa" w:w="706"/>
            <w:tcMar>
              <w:top w:w="50" w:type="dxa"/>
              <w:bottom w:w="50" w:type="dxa"/>
              <w:left w:w="90" w:type="dxa"/>
              <w:right w:w="90" w:type="dxa"/>
            </w:tcMar>
            <w:shd w:val="clear" w:color="auto" w:fill="E5F5FF"/>
          </w:tcPr>
          <w:p>
            <w:pPr>
              <w:pStyle w:val="BDOITable"/>
            </w:pPr>
            <w:r>
              <w:rPr>
                <w:sz w:val="15"/>
              </w:rPr>
              <w:t>IDO</w:t>
            </w:r>
          </w:p>
        </w:tc>
        <w:tc>
          <w:tcPr>
            <w:tcW w:type="dxa" w:w="656"/>
            <w:tcMar>
              <w:top w:w="50" w:type="dxa"/>
              <w:bottom w:w="50" w:type="dxa"/>
              <w:left w:w="90" w:type="dxa"/>
              <w:right w:w="90" w:type="dxa"/>
            </w:tcMar>
            <w:shd w:val="clear" w:color="auto" w:fill="E5F5FF"/>
          </w:tcPr>
          <w:p>
            <w:pPr>
              <w:pStyle w:val="BDOITable"/>
            </w:pPr>
            <w:r>
              <w:rPr>
                <w:sz w:val="15"/>
              </w:rPr>
              <w:t>6</w:t>
            </w:r>
          </w:p>
        </w:tc>
        <w:tc>
          <w:tcPr>
            <w:tcW w:type="dxa" w:w="1009"/>
            <w:tcMar>
              <w:top w:w="50" w:type="dxa"/>
              <w:bottom w:w="50" w:type="dxa"/>
              <w:left w:w="90" w:type="dxa"/>
              <w:right w:w="90" w:type="dxa"/>
            </w:tcMar>
            <w:shd w:val="clear" w:color="auto" w:fill="E5F5FF"/>
          </w:tcPr>
          <w:p>
            <w:pPr>
              <w:pStyle w:val="BDOITable"/>
            </w:pPr>
            <w:r>
              <w:rPr>
                <w:sz w:val="15"/>
              </w:rPr>
              <w:t>CT-059</w:t>
            </w:r>
          </w:p>
        </w:tc>
        <w:tc>
          <w:tcPr>
            <w:tcW w:type="dxa" w:w="2523"/>
            <w:tcMar>
              <w:top w:w="50" w:type="dxa"/>
              <w:bottom w:w="50" w:type="dxa"/>
              <w:left w:w="90" w:type="dxa"/>
              <w:right w:w="90" w:type="dxa"/>
            </w:tcMar>
            <w:shd w:val="clear" w:color="auto" w:fill="E5F5FF"/>
          </w:tcPr>
          <w:p>
            <w:pPr>
              <w:pStyle w:val="BDOITable"/>
            </w:pPr>
            <w:r>
              <w:rPr>
                <w:sz w:val="15"/>
              </w:rPr>
              <w:t>Legacy open for business Monday 08:00; BIBS restored to the rollback point</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T-1 19:00</w:t>
            </w:r>
          </w:p>
        </w:tc>
        <w:tc>
          <w:tcPr>
            <w:tcW w:type="dxa" w:w="757"/>
            <w:tcMar>
              <w:top w:w="50" w:type="dxa"/>
              <w:bottom w:w="50" w:type="dxa"/>
              <w:left w:w="90" w:type="dxa"/>
              <w:right w:w="90" w:type="dxa"/>
            </w:tcMar>
          </w:tcPr>
          <w:p>
            <w:pPr>
              <w:pStyle w:val="BDOITable"/>
            </w:pPr>
            <w:r>
              <w:rPr>
                <w:sz w:val="15"/>
              </w:rPr>
              <w:t>CT-061</w:t>
            </w:r>
          </w:p>
        </w:tc>
        <w:tc>
          <w:tcPr>
            <w:tcW w:type="dxa" w:w="4036"/>
            <w:tcMar>
              <w:top w:w="50" w:type="dxa"/>
              <w:bottom w:w="50" w:type="dxa"/>
              <w:left w:w="90" w:type="dxa"/>
              <w:right w:w="90" w:type="dxa"/>
            </w:tcMar>
          </w:tcPr>
          <w:p>
            <w:pPr>
              <w:pStyle w:val="BDOITable"/>
            </w:pPr>
            <w:r>
              <w:rPr>
                <w:sz w:val="15"/>
              </w:rPr>
              <w:t>If GO - send the go-live notice; open BIBS roles for business users from 06:00 Monday</w:t>
            </w:r>
          </w:p>
        </w:tc>
        <w:tc>
          <w:tcPr>
            <w:tcW w:type="dxa" w:w="706"/>
            <w:tcMar>
              <w:top w:w="50" w:type="dxa"/>
              <w:bottom w:w="50" w:type="dxa"/>
              <w:left w:w="90" w:type="dxa"/>
              <w:right w:w="90" w:type="dxa"/>
            </w:tcMar>
          </w:tcPr>
          <w:p>
            <w:pPr>
              <w:pStyle w:val="BDOITable"/>
            </w:pPr>
            <w:r>
              <w:rPr>
                <w:sz w:val="15"/>
              </w:rPr>
              <w:t>PM</w:t>
            </w:r>
          </w:p>
        </w:tc>
        <w:tc>
          <w:tcPr>
            <w:tcW w:type="dxa" w:w="656"/>
            <w:tcMar>
              <w:top w:w="50" w:type="dxa"/>
              <w:bottom w:w="50" w:type="dxa"/>
              <w:left w:w="90" w:type="dxa"/>
              <w:right w:w="90" w:type="dxa"/>
            </w:tcMar>
          </w:tcPr>
          <w:p>
            <w:pPr>
              <w:pStyle w:val="BDOITable"/>
            </w:pPr>
            <w:r>
              <w:rPr>
                <w:sz w:val="15"/>
              </w:rPr>
              <w:t>1</w:t>
            </w:r>
          </w:p>
        </w:tc>
        <w:tc>
          <w:tcPr>
            <w:tcW w:type="dxa" w:w="1009"/>
            <w:tcMar>
              <w:top w:w="50" w:type="dxa"/>
              <w:bottom w:w="50" w:type="dxa"/>
              <w:left w:w="90" w:type="dxa"/>
              <w:right w:w="90" w:type="dxa"/>
            </w:tcMar>
          </w:tcPr>
          <w:p>
            <w:pPr>
              <w:pStyle w:val="BDOITable"/>
            </w:pPr>
            <w:r>
              <w:rPr>
                <w:sz w:val="15"/>
              </w:rPr>
              <w:t>CT-059</w:t>
            </w:r>
          </w:p>
        </w:tc>
        <w:tc>
          <w:tcPr>
            <w:tcW w:type="dxa" w:w="2523"/>
            <w:tcMar>
              <w:top w:w="50" w:type="dxa"/>
              <w:bottom w:w="50" w:type="dxa"/>
              <w:left w:w="90" w:type="dxa"/>
              <w:right w:w="90" w:type="dxa"/>
            </w:tcMar>
          </w:tcPr>
          <w:p>
            <w:pPr>
              <w:pStyle w:val="BDOITable"/>
            </w:pPr>
            <w:r>
              <w:rPr>
                <w:sz w:val="15"/>
              </w:rPr>
              <w:t>Communication plan item 8 sent</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 04:00</w:t>
            </w:r>
          </w:p>
        </w:tc>
        <w:tc>
          <w:tcPr>
            <w:tcW w:type="dxa" w:w="757"/>
            <w:tcMar>
              <w:top w:w="50" w:type="dxa"/>
              <w:bottom w:w="50" w:type="dxa"/>
              <w:left w:w="90" w:type="dxa"/>
              <w:right w:w="90" w:type="dxa"/>
            </w:tcMar>
            <w:shd w:val="clear" w:color="auto" w:fill="E5F5FF"/>
          </w:tcPr>
          <w:p>
            <w:pPr>
              <w:pStyle w:val="BDOITable"/>
            </w:pPr>
            <w:r>
              <w:rPr>
                <w:sz w:val="15"/>
              </w:rPr>
              <w:t>CT-062</w:t>
            </w:r>
          </w:p>
        </w:tc>
        <w:tc>
          <w:tcPr>
            <w:tcW w:type="dxa" w:w="4036"/>
            <w:tcMar>
              <w:top w:w="50" w:type="dxa"/>
              <w:bottom w:w="50" w:type="dxa"/>
              <w:left w:w="90" w:type="dxa"/>
              <w:right w:w="90" w:type="dxa"/>
            </w:tcMar>
            <w:shd w:val="clear" w:color="auto" w:fill="E5F5FF"/>
          </w:tcPr>
          <w:p>
            <w:pPr>
              <w:pStyle w:val="BDOITable"/>
            </w:pPr>
            <w:r>
              <w:rPr>
                <w:sz w:val="15"/>
              </w:rPr>
              <w:t>Renewal go-live extraction - a candidate for every migrated header expiring 3-Jan to 31-May-2028 that was not renewed in legacy; priority by expiry date, January expiries flagged URGENT; RAs already sent recorded from P03; extraction check the go-live renewal extraction check</w:t>
            </w:r>
          </w:p>
        </w:tc>
        <w:tc>
          <w:tcPr>
            <w:tcW w:type="dxa" w:w="706"/>
            <w:tcMar>
              <w:top w:w="50" w:type="dxa"/>
              <w:bottom w:w="50" w:type="dxa"/>
              <w:left w:w="90" w:type="dxa"/>
              <w:right w:w="90" w:type="dxa"/>
            </w:tcMar>
            <w:shd w:val="clear" w:color="auto" w:fill="E5F5FF"/>
          </w:tcPr>
          <w:p>
            <w:pPr>
              <w:pStyle w:val="BDOITable"/>
            </w:pPr>
            <w:r>
              <w:rPr>
                <w:sz w:val="15"/>
              </w:rPr>
              <w:t>IOP</w:t>
            </w:r>
          </w:p>
        </w:tc>
        <w:tc>
          <w:tcPr>
            <w:tcW w:type="dxa" w:w="656"/>
            <w:tcMar>
              <w:top w:w="50" w:type="dxa"/>
              <w:bottom w:w="50" w:type="dxa"/>
              <w:left w:w="90" w:type="dxa"/>
              <w:right w:w="90" w:type="dxa"/>
            </w:tcMar>
            <w:shd w:val="clear" w:color="auto" w:fill="E5F5FF"/>
          </w:tcPr>
          <w:p>
            <w:pPr>
              <w:pStyle w:val="BDOITable"/>
            </w:pPr>
            <w:r>
              <w:rPr>
                <w:sz w:val="15"/>
              </w:rPr>
              <w:t>2</w:t>
            </w:r>
          </w:p>
        </w:tc>
        <w:tc>
          <w:tcPr>
            <w:tcW w:type="dxa" w:w="1009"/>
            <w:tcMar>
              <w:top w:w="50" w:type="dxa"/>
              <w:bottom w:w="50" w:type="dxa"/>
              <w:left w:w="90" w:type="dxa"/>
              <w:right w:w="90" w:type="dxa"/>
            </w:tcMar>
            <w:shd w:val="clear" w:color="auto" w:fill="E5F5FF"/>
          </w:tcPr>
          <w:p>
            <w:pPr>
              <w:pStyle w:val="BDOITable"/>
            </w:pPr>
            <w:r>
              <w:rPr>
                <w:sz w:val="15"/>
              </w:rPr>
              <w:t>CT-061</w:t>
            </w:r>
          </w:p>
        </w:tc>
        <w:tc>
          <w:tcPr>
            <w:tcW w:type="dxa" w:w="2523"/>
            <w:tcMar>
              <w:top w:w="50" w:type="dxa"/>
              <w:bottom w:w="50" w:type="dxa"/>
              <w:left w:w="90" w:type="dxa"/>
              <w:right w:w="90" w:type="dxa"/>
            </w:tcMar>
            <w:shd w:val="clear" w:color="auto" w:fill="E5F5FF"/>
          </w:tcPr>
          <w:p>
            <w:pPr>
              <w:pStyle w:val="BDOITable"/>
            </w:pPr>
            <w:r>
              <w:rPr>
                <w:sz w:val="15"/>
              </w:rPr>
              <w:t>the go-live renewal extraction check balances for every month January-May 2028; URGENT count = January headers</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 06:00</w:t>
            </w:r>
          </w:p>
        </w:tc>
        <w:tc>
          <w:tcPr>
            <w:tcW w:type="dxa" w:w="757"/>
            <w:tcMar>
              <w:top w:w="50" w:type="dxa"/>
              <w:bottom w:w="50" w:type="dxa"/>
              <w:left w:w="90" w:type="dxa"/>
              <w:right w:w="90" w:type="dxa"/>
            </w:tcMar>
          </w:tcPr>
          <w:p>
            <w:pPr>
              <w:pStyle w:val="BDOITable"/>
            </w:pPr>
            <w:r>
              <w:rPr>
                <w:sz w:val="15"/>
              </w:rPr>
              <w:t>CT-063</w:t>
            </w:r>
          </w:p>
        </w:tc>
        <w:tc>
          <w:tcPr>
            <w:tcW w:type="dxa" w:w="4036"/>
            <w:tcMar>
              <w:top w:w="50" w:type="dxa"/>
              <w:bottom w:w="50" w:type="dxa"/>
              <w:left w:w="90" w:type="dxa"/>
              <w:right w:w="90" w:type="dxa"/>
            </w:tcMar>
          </w:tcPr>
          <w:p>
            <w:pPr>
              <w:pStyle w:val="BDOITable"/>
            </w:pPr>
            <w:r>
              <w:rPr>
                <w:sz w:val="15"/>
              </w:rPr>
              <w:t>Enable business logins; confirm legacy business modules stay read-only; legacy links shown in BIBS</w:t>
            </w:r>
          </w:p>
        </w:tc>
        <w:tc>
          <w:tcPr>
            <w:tcW w:type="dxa" w:w="706"/>
            <w:tcMar>
              <w:top w:w="50" w:type="dxa"/>
              <w:bottom w:w="50" w:type="dxa"/>
              <w:left w:w="90" w:type="dxa"/>
              <w:right w:w="90" w:type="dxa"/>
            </w:tcMar>
          </w:tcPr>
          <w:p>
            <w:pPr>
              <w:pStyle w:val="BDOITable"/>
            </w:pPr>
            <w:r>
              <w:rPr>
                <w:sz w:val="15"/>
              </w:rPr>
              <w:t>IDO</w:t>
            </w:r>
          </w:p>
        </w:tc>
        <w:tc>
          <w:tcPr>
            <w:tcW w:type="dxa" w:w="656"/>
            <w:tcMar>
              <w:top w:w="50" w:type="dxa"/>
              <w:bottom w:w="50" w:type="dxa"/>
              <w:left w:w="90" w:type="dxa"/>
              <w:right w:w="90" w:type="dxa"/>
            </w:tcMar>
          </w:tcPr>
          <w:p>
            <w:pPr>
              <w:pStyle w:val="BDOITable"/>
            </w:pPr>
            <w:r>
              <w:rPr>
                <w:sz w:val="15"/>
              </w:rPr>
              <w:t>1</w:t>
            </w:r>
          </w:p>
        </w:tc>
        <w:tc>
          <w:tcPr>
            <w:tcW w:type="dxa" w:w="1009"/>
            <w:tcMar>
              <w:top w:w="50" w:type="dxa"/>
              <w:bottom w:w="50" w:type="dxa"/>
              <w:left w:w="90" w:type="dxa"/>
              <w:right w:w="90" w:type="dxa"/>
            </w:tcMar>
          </w:tcPr>
          <w:p>
            <w:pPr>
              <w:pStyle w:val="BDOITable"/>
            </w:pPr>
            <w:r>
              <w:rPr>
                <w:sz w:val="15"/>
              </w:rPr>
              <w:t>CT-061</w:t>
            </w:r>
          </w:p>
        </w:tc>
        <w:tc>
          <w:tcPr>
            <w:tcW w:type="dxa" w:w="2523"/>
            <w:tcMar>
              <w:top w:w="50" w:type="dxa"/>
              <w:bottom w:w="50" w:type="dxa"/>
              <w:left w:w="90" w:type="dxa"/>
              <w:right w:w="90" w:type="dxa"/>
            </w:tcMar>
          </w:tcPr>
          <w:p>
            <w:pPr>
              <w:pStyle w:val="BDOITable"/>
            </w:pPr>
            <w:r>
              <w:rPr>
                <w:sz w:val="15"/>
              </w:rPr>
              <w:t>Log-in test per persona; legacy posting refused</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 07:00</w:t>
            </w:r>
          </w:p>
        </w:tc>
        <w:tc>
          <w:tcPr>
            <w:tcW w:type="dxa" w:w="757"/>
            <w:tcMar>
              <w:top w:w="50" w:type="dxa"/>
              <w:bottom w:w="50" w:type="dxa"/>
              <w:left w:w="90" w:type="dxa"/>
              <w:right w:w="90" w:type="dxa"/>
            </w:tcMar>
            <w:shd w:val="clear" w:color="auto" w:fill="E5F5FF"/>
          </w:tcPr>
          <w:p>
            <w:pPr>
              <w:pStyle w:val="BDOITable"/>
            </w:pPr>
            <w:r>
              <w:rPr>
                <w:sz w:val="15"/>
              </w:rPr>
              <w:t>CT-064</w:t>
            </w:r>
          </w:p>
        </w:tc>
        <w:tc>
          <w:tcPr>
            <w:tcW w:type="dxa" w:w="4036"/>
            <w:tcMar>
              <w:top w:w="50" w:type="dxa"/>
              <w:bottom w:w="50" w:type="dxa"/>
              <w:left w:w="90" w:type="dxa"/>
              <w:right w:w="90" w:type="dxa"/>
            </w:tcMar>
            <w:shd w:val="clear" w:color="auto" w:fill="E5F5FF"/>
          </w:tcPr>
          <w:p>
            <w:pPr>
              <w:pStyle w:val="BDOITable"/>
            </w:pPr>
            <w:r>
              <w:rPr>
                <w:sz w:val="15"/>
              </w:rPr>
              <w:t>Command centre opens; hypercare roster on duty</w:t>
            </w:r>
          </w:p>
        </w:tc>
        <w:tc>
          <w:tcPr>
            <w:tcW w:type="dxa" w:w="706"/>
            <w:tcMar>
              <w:top w:w="50" w:type="dxa"/>
              <w:bottom w:w="50" w:type="dxa"/>
              <w:left w:w="90" w:type="dxa"/>
              <w:right w:w="90" w:type="dxa"/>
            </w:tcMar>
            <w:shd w:val="clear" w:color="auto" w:fill="E5F5FF"/>
          </w:tcPr>
          <w:p>
            <w:pPr>
              <w:pStyle w:val="BDOITable"/>
            </w:pPr>
            <w:r>
              <w:rPr>
                <w:sz w:val="15"/>
              </w:rPr>
              <w:t>IPM</w:t>
            </w:r>
          </w:p>
        </w:tc>
        <w:tc>
          <w:tcPr>
            <w:tcW w:type="dxa" w:w="656"/>
            <w:tcMar>
              <w:top w:w="50" w:type="dxa"/>
              <w:bottom w:w="50" w:type="dxa"/>
              <w:left w:w="90" w:type="dxa"/>
              <w:right w:w="90" w:type="dxa"/>
            </w:tcMar>
            <w:shd w:val="clear" w:color="auto" w:fill="E5F5FF"/>
          </w:tcPr>
          <w:p>
            <w:pPr>
              <w:pStyle w:val="BDOITable"/>
            </w:pPr>
            <w:r>
              <w:rPr>
                <w:sz w:val="15"/>
              </w:rPr>
              <w:t>1</w:t>
            </w:r>
          </w:p>
        </w:tc>
        <w:tc>
          <w:tcPr>
            <w:tcW w:type="dxa" w:w="1009"/>
            <w:tcMar>
              <w:top w:w="50" w:type="dxa"/>
              <w:bottom w:w="50" w:type="dxa"/>
              <w:left w:w="90" w:type="dxa"/>
              <w:right w:w="90" w:type="dxa"/>
            </w:tcMar>
            <w:shd w:val="clear" w:color="auto" w:fill="E5F5FF"/>
          </w:tcPr>
          <w:p>
            <w:pPr>
              <w:pStyle w:val="BDOITable"/>
            </w:pPr>
            <w:r>
              <w:rPr>
                <w:sz w:val="15"/>
              </w:rPr>
              <w:t>CT-063</w:t>
            </w:r>
          </w:p>
        </w:tc>
        <w:tc>
          <w:tcPr>
            <w:tcW w:type="dxa" w:w="2523"/>
            <w:tcMar>
              <w:top w:w="50" w:type="dxa"/>
              <w:bottom w:w="50" w:type="dxa"/>
              <w:left w:w="90" w:type="dxa"/>
              <w:right w:w="90" w:type="dxa"/>
            </w:tcMar>
            <w:shd w:val="clear" w:color="auto" w:fill="E5F5FF"/>
          </w:tcPr>
          <w:p>
            <w:pPr>
              <w:pStyle w:val="BDOITable"/>
            </w:pPr>
            <w:r>
              <w:rPr>
                <w:sz w:val="15"/>
              </w:rPr>
              <w:t>Attendance on the bridge</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 08:00</w:t>
            </w:r>
          </w:p>
        </w:tc>
        <w:tc>
          <w:tcPr>
            <w:tcW w:type="dxa" w:w="757"/>
            <w:tcMar>
              <w:top w:w="50" w:type="dxa"/>
              <w:bottom w:w="50" w:type="dxa"/>
              <w:left w:w="90" w:type="dxa"/>
              <w:right w:w="90" w:type="dxa"/>
            </w:tcMar>
          </w:tcPr>
          <w:p>
            <w:pPr>
              <w:pStyle w:val="BDOITable"/>
            </w:pPr>
            <w:r>
              <w:rPr>
                <w:sz w:val="15"/>
              </w:rPr>
              <w:t>CT-065</w:t>
            </w:r>
          </w:p>
        </w:tc>
        <w:tc>
          <w:tcPr>
            <w:tcW w:type="dxa" w:w="4036"/>
            <w:tcMar>
              <w:top w:w="50" w:type="dxa"/>
              <w:bottom w:w="50" w:type="dxa"/>
              <w:left w:w="90" w:type="dxa"/>
              <w:right w:w="90" w:type="dxa"/>
            </w:tcMar>
          </w:tcPr>
          <w:p>
            <w:pPr>
              <w:pStyle w:val="BDOITable"/>
            </w:pPr>
            <w:r>
              <w:rPr>
                <w:sz w:val="15"/>
              </w:rPr>
              <w:t>BIBS open for business</w:t>
            </w:r>
          </w:p>
        </w:tc>
        <w:tc>
          <w:tcPr>
            <w:tcW w:type="dxa" w:w="706"/>
            <w:tcMar>
              <w:top w:w="50" w:type="dxa"/>
              <w:bottom w:w="50" w:type="dxa"/>
              <w:left w:w="90" w:type="dxa"/>
              <w:right w:w="90" w:type="dxa"/>
            </w:tcMar>
          </w:tcPr>
          <w:p>
            <w:pPr>
              <w:pStyle w:val="BDOITable"/>
            </w:pPr>
            <w:r>
              <w:rPr>
                <w:sz w:val="15"/>
              </w:rPr>
              <w:t>PM</w:t>
            </w:r>
          </w:p>
        </w:tc>
        <w:tc>
          <w:tcPr>
            <w:tcW w:type="dxa" w:w="656"/>
            <w:tcMar>
              <w:top w:w="50" w:type="dxa"/>
              <w:bottom w:w="50" w:type="dxa"/>
              <w:left w:w="90" w:type="dxa"/>
              <w:right w:w="90" w:type="dxa"/>
            </w:tcMar>
          </w:tcPr>
          <w:p>
            <w:pPr>
              <w:pStyle w:val="BDOITable"/>
            </w:pPr>
            <w:r>
              <w:rPr>
                <w:sz w:val="15"/>
              </w:rPr>
              <w:t>0</w:t>
            </w:r>
          </w:p>
        </w:tc>
        <w:tc>
          <w:tcPr>
            <w:tcW w:type="dxa" w:w="1009"/>
            <w:tcMar>
              <w:top w:w="50" w:type="dxa"/>
              <w:bottom w:w="50" w:type="dxa"/>
              <w:left w:w="90" w:type="dxa"/>
              <w:right w:w="90" w:type="dxa"/>
            </w:tcMar>
          </w:tcPr>
          <w:p>
            <w:pPr>
              <w:pStyle w:val="BDOITable"/>
            </w:pPr>
            <w:r>
              <w:rPr>
                <w:sz w:val="15"/>
              </w:rPr>
              <w:t>CT-064</w:t>
            </w:r>
          </w:p>
        </w:tc>
        <w:tc>
          <w:tcPr>
            <w:tcW w:type="dxa" w:w="2523"/>
            <w:tcMar>
              <w:top w:w="50" w:type="dxa"/>
              <w:bottom w:w="50" w:type="dxa"/>
              <w:left w:w="90" w:type="dxa"/>
              <w:right w:w="90" w:type="dxa"/>
            </w:tcMar>
          </w:tcPr>
          <w:p>
            <w:pPr>
              <w:pStyle w:val="BDOITable"/>
            </w:pPr>
            <w:r>
              <w:rPr>
                <w:sz w:val="15"/>
              </w:rPr>
              <w:t>First transactions observed in each branch</w:t>
            </w:r>
          </w:p>
        </w:tc>
        <w:tc>
          <w:tcPr>
            <w:tcW w:type="dxa" w:w="908"/>
            <w:tcMar>
              <w:top w:w="50" w:type="dxa"/>
              <w:bottom w:w="50" w:type="dxa"/>
              <w:left w:w="90" w:type="dxa"/>
              <w:right w:w="90" w:type="dxa"/>
            </w:tcMar>
          </w:tcPr>
          <w:p>
            <w:pPr>
              <w:pStyle w:val="BDOITable"/>
            </w:pPr>
            <w:r>
              <w:rPr>
                <w:sz w:val="15"/>
              </w:rPr>
              <w:t>GO-LIVE</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 08:00</w:t>
            </w:r>
          </w:p>
        </w:tc>
        <w:tc>
          <w:tcPr>
            <w:tcW w:type="dxa" w:w="757"/>
            <w:tcMar>
              <w:top w:w="50" w:type="dxa"/>
              <w:bottom w:w="50" w:type="dxa"/>
              <w:left w:w="90" w:type="dxa"/>
              <w:right w:w="90" w:type="dxa"/>
            </w:tcMar>
            <w:shd w:val="clear" w:color="auto" w:fill="E5F5FF"/>
          </w:tcPr>
          <w:p>
            <w:pPr>
              <w:pStyle w:val="BDOITable"/>
            </w:pPr>
            <w:r>
              <w:rPr>
                <w:sz w:val="15"/>
              </w:rPr>
              <w:t>CT-066</w:t>
            </w:r>
          </w:p>
        </w:tc>
        <w:tc>
          <w:tcPr>
            <w:tcW w:type="dxa" w:w="4036"/>
            <w:tcMar>
              <w:top w:w="50" w:type="dxa"/>
              <w:bottom w:w="50" w:type="dxa"/>
              <w:left w:w="90" w:type="dxa"/>
              <w:right w:w="90" w:type="dxa"/>
            </w:tcMar>
            <w:shd w:val="clear" w:color="auto" w:fill="E5F5FF"/>
          </w:tcPr>
          <w:p>
            <w:pPr>
              <w:pStyle w:val="BDOITable"/>
            </w:pPr>
            <w:r>
              <w:rPr>
                <w:sz w:val="15"/>
              </w:rPr>
              <w:t>Renewal processing team works the day-1 priority queue - URGENT January expiries first, earliest expiry first; insurer requests and RAs for the expiries without an RA; the tracker is checked first for rows still rejected in P03</w:t>
            </w:r>
          </w:p>
        </w:tc>
        <w:tc>
          <w:tcPr>
            <w:tcW w:type="dxa" w:w="706"/>
            <w:tcMar>
              <w:top w:w="50" w:type="dxa"/>
              <w:bottom w:w="50" w:type="dxa"/>
              <w:left w:w="90" w:type="dxa"/>
              <w:right w:w="90" w:type="dxa"/>
            </w:tcMar>
            <w:shd w:val="clear" w:color="auto" w:fill="E5F5FF"/>
          </w:tcPr>
          <w:p>
            <w:pPr>
              <w:pStyle w:val="BDOITable"/>
            </w:pPr>
            <w:r>
              <w:rPr>
                <w:sz w:val="15"/>
              </w:rPr>
              <w:t>RNW</w:t>
            </w:r>
          </w:p>
        </w:tc>
        <w:tc>
          <w:tcPr>
            <w:tcW w:type="dxa" w:w="656"/>
            <w:tcMar>
              <w:top w:w="50" w:type="dxa"/>
              <w:bottom w:w="50" w:type="dxa"/>
              <w:left w:w="90" w:type="dxa"/>
              <w:right w:w="90" w:type="dxa"/>
            </w:tcMar>
            <w:shd w:val="clear" w:color="auto" w:fill="E5F5FF"/>
          </w:tcPr>
          <w:p>
            <w:pPr>
              <w:pStyle w:val="BDOITable"/>
            </w:pPr>
            <w:r>
              <w:rPr>
                <w:sz w:val="15"/>
              </w:rPr>
              <w:t>10</w:t>
            </w:r>
          </w:p>
        </w:tc>
        <w:tc>
          <w:tcPr>
            <w:tcW w:type="dxa" w:w="1009"/>
            <w:tcMar>
              <w:top w:w="50" w:type="dxa"/>
              <w:bottom w:w="50" w:type="dxa"/>
              <w:left w:w="90" w:type="dxa"/>
              <w:right w:w="90" w:type="dxa"/>
            </w:tcMar>
            <w:shd w:val="clear" w:color="auto" w:fill="E5F5FF"/>
          </w:tcPr>
          <w:p>
            <w:pPr>
              <w:pStyle w:val="BDOITable"/>
            </w:pPr>
            <w:r>
              <w:rPr>
                <w:sz w:val="15"/>
              </w:rPr>
              <w:t>CT-062, CT-065</w:t>
            </w:r>
          </w:p>
        </w:tc>
        <w:tc>
          <w:tcPr>
            <w:tcW w:type="dxa" w:w="2523"/>
            <w:tcMar>
              <w:top w:w="50" w:type="dxa"/>
              <w:bottom w:w="50" w:type="dxa"/>
              <w:left w:w="90" w:type="dxa"/>
              <w:right w:w="90" w:type="dxa"/>
            </w:tcMar>
            <w:shd w:val="clear" w:color="auto" w:fill="E5F5FF"/>
          </w:tcPr>
          <w:p>
            <w:pPr>
              <w:pStyle w:val="BDOITable"/>
            </w:pPr>
            <w:r>
              <w:rPr>
                <w:sz w:val="15"/>
              </w:rPr>
              <w:t>End-of-day count of URGENT candidates with an RA sent or an insurer request made</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 09:00</w:t>
            </w:r>
          </w:p>
        </w:tc>
        <w:tc>
          <w:tcPr>
            <w:tcW w:type="dxa" w:w="757"/>
            <w:tcMar>
              <w:top w:w="50" w:type="dxa"/>
              <w:bottom w:w="50" w:type="dxa"/>
              <w:left w:w="90" w:type="dxa"/>
              <w:right w:w="90" w:type="dxa"/>
            </w:tcMar>
          </w:tcPr>
          <w:p>
            <w:pPr>
              <w:pStyle w:val="BDOITable"/>
            </w:pPr>
            <w:r>
              <w:rPr>
                <w:sz w:val="15"/>
              </w:rPr>
              <w:t>CT-067</w:t>
            </w:r>
          </w:p>
        </w:tc>
        <w:tc>
          <w:tcPr>
            <w:tcW w:type="dxa" w:w="4036"/>
            <w:tcMar>
              <w:top w:w="50" w:type="dxa"/>
              <w:bottom w:w="50" w:type="dxa"/>
              <w:left w:w="90" w:type="dxa"/>
              <w:right w:w="90" w:type="dxa"/>
            </w:tcMar>
          </w:tcPr>
          <w:p>
            <w:pPr>
              <w:pStyle w:val="BDOITable"/>
            </w:pPr>
            <w:r>
              <w:rPr>
                <w:sz w:val="15"/>
              </w:rPr>
              <w:t>First payment file uploads and the first automatch run including migrated UPP; review results</w:t>
            </w:r>
          </w:p>
        </w:tc>
        <w:tc>
          <w:tcPr>
            <w:tcW w:type="dxa" w:w="706"/>
            <w:tcMar>
              <w:top w:w="50" w:type="dxa"/>
              <w:bottom w:w="50" w:type="dxa"/>
              <w:left w:w="90" w:type="dxa"/>
              <w:right w:w="90" w:type="dxa"/>
            </w:tcMar>
          </w:tcPr>
          <w:p>
            <w:pPr>
              <w:pStyle w:val="BDOITable"/>
            </w:pPr>
            <w:r>
              <w:rPr>
                <w:sz w:val="15"/>
              </w:rPr>
              <w:t>OPS</w:t>
            </w:r>
          </w:p>
        </w:tc>
        <w:tc>
          <w:tcPr>
            <w:tcW w:type="dxa" w:w="656"/>
            <w:tcMar>
              <w:top w:w="50" w:type="dxa"/>
              <w:bottom w:w="50" w:type="dxa"/>
              <w:left w:w="90" w:type="dxa"/>
              <w:right w:w="90" w:type="dxa"/>
            </w:tcMar>
          </w:tcPr>
          <w:p>
            <w:pPr>
              <w:pStyle w:val="BDOITable"/>
            </w:pPr>
            <w:r>
              <w:rPr>
                <w:sz w:val="15"/>
              </w:rPr>
              <w:t>2</w:t>
            </w:r>
          </w:p>
        </w:tc>
        <w:tc>
          <w:tcPr>
            <w:tcW w:type="dxa" w:w="1009"/>
            <w:tcMar>
              <w:top w:w="50" w:type="dxa"/>
              <w:bottom w:w="50" w:type="dxa"/>
              <w:left w:w="90" w:type="dxa"/>
              <w:right w:w="90" w:type="dxa"/>
            </w:tcMar>
          </w:tcPr>
          <w:p>
            <w:pPr>
              <w:pStyle w:val="BDOITable"/>
            </w:pPr>
            <w:r>
              <w:rPr>
                <w:sz w:val="15"/>
              </w:rPr>
              <w:t>CT-065</w:t>
            </w:r>
          </w:p>
        </w:tc>
        <w:tc>
          <w:tcPr>
            <w:tcW w:type="dxa" w:w="2523"/>
            <w:tcMar>
              <w:top w:w="50" w:type="dxa"/>
              <w:bottom w:w="50" w:type="dxa"/>
              <w:left w:w="90" w:type="dxa"/>
              <w:right w:w="90" w:type="dxa"/>
            </w:tcMar>
          </w:tcPr>
          <w:p>
            <w:pPr>
              <w:pStyle w:val="BDOITable"/>
            </w:pPr>
            <w:r>
              <w:rPr>
                <w:sz w:val="15"/>
              </w:rPr>
              <w:t>Run summary; legacy and new postings in the right accounts</w:t>
            </w:r>
          </w:p>
        </w:tc>
        <w:tc>
          <w:tcPr>
            <w:tcW w:type="dxa" w:w="908"/>
            <w:tcMar>
              <w:top w:w="50" w:type="dxa"/>
              <w:bottom w:w="50" w:type="dxa"/>
              <w:left w:w="90" w:type="dxa"/>
              <w:right w:w="90" w:type="dxa"/>
            </w:tcMar>
          </w:tcPr>
          <w:p>
            <w:pPr>
              <w:pStyle w:val="BDOITable"/>
            </w:pPr>
            <w:r>
              <w:rPr>
                <w:sz w:val="15"/>
              </w:rPr>
              <w:t>-</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 12:00</w:t>
            </w:r>
          </w:p>
        </w:tc>
        <w:tc>
          <w:tcPr>
            <w:tcW w:type="dxa" w:w="757"/>
            <w:tcMar>
              <w:top w:w="50" w:type="dxa"/>
              <w:bottom w:w="50" w:type="dxa"/>
              <w:left w:w="90" w:type="dxa"/>
              <w:right w:w="90" w:type="dxa"/>
            </w:tcMar>
            <w:shd w:val="clear" w:color="auto" w:fill="E5F5FF"/>
          </w:tcPr>
          <w:p>
            <w:pPr>
              <w:pStyle w:val="BDOITable"/>
            </w:pPr>
            <w:r>
              <w:rPr>
                <w:sz w:val="15"/>
              </w:rPr>
              <w:t>CT-068</w:t>
            </w:r>
          </w:p>
        </w:tc>
        <w:tc>
          <w:tcPr>
            <w:tcW w:type="dxa" w:w="4036"/>
            <w:tcMar>
              <w:top w:w="50" w:type="dxa"/>
              <w:bottom w:w="50" w:type="dxa"/>
              <w:left w:w="90" w:type="dxa"/>
              <w:right w:w="90" w:type="dxa"/>
            </w:tcMar>
            <w:shd w:val="clear" w:color="auto" w:fill="E5F5FF"/>
          </w:tcPr>
          <w:p>
            <w:pPr>
              <w:pStyle w:val="BDOITable"/>
            </w:pPr>
            <w:r>
              <w:rPr>
                <w:sz w:val="15"/>
              </w:rPr>
              <w:t>Midday check - issues, queues, Migration Clearing still 0.00, no legacy business posting</w:t>
            </w:r>
          </w:p>
        </w:tc>
        <w:tc>
          <w:tcPr>
            <w:tcW w:type="dxa" w:w="706"/>
            <w:tcMar>
              <w:top w:w="50" w:type="dxa"/>
              <w:bottom w:w="50" w:type="dxa"/>
              <w:left w:w="90" w:type="dxa"/>
              <w:right w:w="90" w:type="dxa"/>
            </w:tcMar>
            <w:shd w:val="clear" w:color="auto" w:fill="E5F5FF"/>
          </w:tcPr>
          <w:p>
            <w:pPr>
              <w:pStyle w:val="BDOITable"/>
            </w:pPr>
            <w:r>
              <w:rPr>
                <w:sz w:val="15"/>
              </w:rPr>
              <w:t>IML</w:t>
            </w:r>
          </w:p>
        </w:tc>
        <w:tc>
          <w:tcPr>
            <w:tcW w:type="dxa" w:w="656"/>
            <w:tcMar>
              <w:top w:w="50" w:type="dxa"/>
              <w:bottom w:w="50" w:type="dxa"/>
              <w:left w:w="90" w:type="dxa"/>
              <w:right w:w="90" w:type="dxa"/>
            </w:tcMar>
            <w:shd w:val="clear" w:color="auto" w:fill="E5F5FF"/>
          </w:tcPr>
          <w:p>
            <w:pPr>
              <w:pStyle w:val="BDOITable"/>
            </w:pPr>
            <w:r>
              <w:rPr>
                <w:sz w:val="15"/>
              </w:rPr>
              <w:t>1</w:t>
            </w:r>
          </w:p>
        </w:tc>
        <w:tc>
          <w:tcPr>
            <w:tcW w:type="dxa" w:w="1009"/>
            <w:tcMar>
              <w:top w:w="50" w:type="dxa"/>
              <w:bottom w:w="50" w:type="dxa"/>
              <w:left w:w="90" w:type="dxa"/>
              <w:right w:w="90" w:type="dxa"/>
            </w:tcMar>
            <w:shd w:val="clear" w:color="auto" w:fill="E5F5FF"/>
          </w:tcPr>
          <w:p>
            <w:pPr>
              <w:pStyle w:val="BDOITable"/>
            </w:pPr>
            <w:r>
              <w:rPr>
                <w:sz w:val="15"/>
              </w:rPr>
              <w:t>CT-065</w:t>
            </w:r>
          </w:p>
        </w:tc>
        <w:tc>
          <w:tcPr>
            <w:tcW w:type="dxa" w:w="2523"/>
            <w:tcMar>
              <w:top w:w="50" w:type="dxa"/>
              <w:bottom w:w="50" w:type="dxa"/>
              <w:left w:w="90" w:type="dxa"/>
              <w:right w:w="90" w:type="dxa"/>
            </w:tcMar>
            <w:shd w:val="clear" w:color="auto" w:fill="E5F5FF"/>
          </w:tcPr>
          <w:p>
            <w:pPr>
              <w:pStyle w:val="BDOITable"/>
            </w:pPr>
            <w:r>
              <w:rPr>
                <w:sz w:val="15"/>
              </w:rPr>
              <w:t>Midday report to the board</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r>
        <w:trPr>
          <w:cantSplit w:val="true"/>
        </w:trPr>
        <w:tc>
          <w:tcPr>
            <w:tcW w:type="dxa" w:w="959"/>
            <w:tcMar>
              <w:top w:w="50" w:type="dxa"/>
              <w:bottom w:w="50" w:type="dxa"/>
              <w:left w:w="90" w:type="dxa"/>
              <w:right w:w="90" w:type="dxa"/>
            </w:tcMar>
          </w:tcPr>
          <w:p>
            <w:pPr>
              <w:pStyle w:val="BDOITable"/>
            </w:pPr>
            <w:r>
              <w:rPr>
                <w:sz w:val="15"/>
              </w:rPr>
              <w:t>T 18:00</w:t>
            </w:r>
          </w:p>
        </w:tc>
        <w:tc>
          <w:tcPr>
            <w:tcW w:type="dxa" w:w="757"/>
            <w:tcMar>
              <w:top w:w="50" w:type="dxa"/>
              <w:bottom w:w="50" w:type="dxa"/>
              <w:left w:w="90" w:type="dxa"/>
              <w:right w:w="90" w:type="dxa"/>
            </w:tcMar>
          </w:tcPr>
          <w:p>
            <w:pPr>
              <w:pStyle w:val="BDOITable"/>
            </w:pPr>
            <w:r>
              <w:rPr>
                <w:sz w:val="15"/>
              </w:rPr>
              <w:t>CT-069</w:t>
            </w:r>
          </w:p>
        </w:tc>
        <w:tc>
          <w:tcPr>
            <w:tcW w:type="dxa" w:w="4036"/>
            <w:tcMar>
              <w:top w:w="50" w:type="dxa"/>
              <w:bottom w:w="50" w:type="dxa"/>
              <w:left w:w="90" w:type="dxa"/>
              <w:right w:w="90" w:type="dxa"/>
            </w:tcMar>
          </w:tcPr>
          <w:p>
            <w:pPr>
              <w:pStyle w:val="BDOITable"/>
            </w:pPr>
            <w:r>
              <w:rPr>
                <w:sz w:val="15"/>
              </w:rPr>
              <w:t>End-of-day review - point of no return (DMQ32); decide continue or fallback</w:t>
            </w:r>
          </w:p>
        </w:tc>
        <w:tc>
          <w:tcPr>
            <w:tcW w:type="dxa" w:w="706"/>
            <w:tcMar>
              <w:top w:w="50" w:type="dxa"/>
              <w:bottom w:w="50" w:type="dxa"/>
              <w:left w:w="90" w:type="dxa"/>
              <w:right w:w="90" w:type="dxa"/>
            </w:tcMar>
          </w:tcPr>
          <w:p>
            <w:pPr>
              <w:pStyle w:val="BDOITable"/>
            </w:pPr>
            <w:r>
              <w:rPr>
                <w:sz w:val="15"/>
              </w:rPr>
              <w:t>GNG</w:t>
            </w:r>
          </w:p>
        </w:tc>
        <w:tc>
          <w:tcPr>
            <w:tcW w:type="dxa" w:w="656"/>
            <w:tcMar>
              <w:top w:w="50" w:type="dxa"/>
              <w:bottom w:w="50" w:type="dxa"/>
              <w:left w:w="90" w:type="dxa"/>
              <w:right w:w="90" w:type="dxa"/>
            </w:tcMar>
          </w:tcPr>
          <w:p>
            <w:pPr>
              <w:pStyle w:val="BDOITable"/>
            </w:pPr>
            <w:r>
              <w:rPr>
                <w:sz w:val="15"/>
              </w:rPr>
              <w:t>1</w:t>
            </w:r>
          </w:p>
        </w:tc>
        <w:tc>
          <w:tcPr>
            <w:tcW w:type="dxa" w:w="1009"/>
            <w:tcMar>
              <w:top w:w="50" w:type="dxa"/>
              <w:bottom w:w="50" w:type="dxa"/>
              <w:left w:w="90" w:type="dxa"/>
              <w:right w:w="90" w:type="dxa"/>
            </w:tcMar>
          </w:tcPr>
          <w:p>
            <w:pPr>
              <w:pStyle w:val="BDOITable"/>
            </w:pPr>
            <w:r>
              <w:rPr>
                <w:sz w:val="15"/>
              </w:rPr>
              <w:t>CT-068</w:t>
            </w:r>
          </w:p>
        </w:tc>
        <w:tc>
          <w:tcPr>
            <w:tcW w:type="dxa" w:w="2523"/>
            <w:tcMar>
              <w:top w:w="50" w:type="dxa"/>
              <w:bottom w:w="50" w:type="dxa"/>
              <w:left w:w="90" w:type="dxa"/>
              <w:right w:w="90" w:type="dxa"/>
            </w:tcMar>
          </w:tcPr>
          <w:p>
            <w:pPr>
              <w:pStyle w:val="BDOITable"/>
            </w:pPr>
            <w:r>
              <w:rPr>
                <w:sz w:val="15"/>
              </w:rPr>
              <w:t>Decision recorded</w:t>
            </w:r>
          </w:p>
        </w:tc>
        <w:tc>
          <w:tcPr>
            <w:tcW w:type="dxa" w:w="908"/>
            <w:tcMar>
              <w:top w:w="50" w:type="dxa"/>
              <w:bottom w:w="50" w:type="dxa"/>
              <w:left w:w="90" w:type="dxa"/>
              <w:right w:w="90" w:type="dxa"/>
            </w:tcMar>
          </w:tcPr>
          <w:p>
            <w:pPr>
              <w:pStyle w:val="BDOITable"/>
            </w:pPr>
            <w:r>
              <w:rPr>
                <w:sz w:val="15"/>
              </w:rPr>
              <w:t>POINT OF NO RETURN</w:t>
            </w:r>
          </w:p>
        </w:tc>
        <w:tc>
          <w:tcPr>
            <w:tcW w:type="dxa" w:w="1110"/>
            <w:tcMar>
              <w:top w:w="50" w:type="dxa"/>
              <w:bottom w:w="50" w:type="dxa"/>
              <w:left w:w="90" w:type="dxa"/>
              <w:right w:w="90" w:type="dxa"/>
            </w:tcMar>
          </w:tcPr>
          <w:p>
            <w:pPr>
              <w:pStyle w:val="BDOITable"/>
            </w:pPr>
          </w:p>
        </w:tc>
        <w:tc>
          <w:tcPr>
            <w:tcW w:type="dxa" w:w="908"/>
            <w:tcMar>
              <w:top w:w="50" w:type="dxa"/>
              <w:bottom w:w="50" w:type="dxa"/>
              <w:left w:w="90" w:type="dxa"/>
              <w:right w:w="90" w:type="dxa"/>
            </w:tcMar>
          </w:tcPr>
          <w:p>
            <w:pPr>
              <w:pStyle w:val="BDOITable"/>
            </w:pPr>
          </w:p>
        </w:tc>
      </w:tr>
      <w:tr>
        <w:trPr>
          <w:cantSplit w:val="true"/>
        </w:trPr>
        <w:tc>
          <w:tcPr>
            <w:tcW w:type="dxa" w:w="959"/>
            <w:tcMar>
              <w:top w:w="50" w:type="dxa"/>
              <w:bottom w:w="50" w:type="dxa"/>
              <w:left w:w="90" w:type="dxa"/>
              <w:right w:w="90" w:type="dxa"/>
            </w:tcMar>
            <w:shd w:val="clear" w:color="auto" w:fill="E5F5FF"/>
          </w:tcPr>
          <w:p>
            <w:pPr>
              <w:pStyle w:val="BDOITable"/>
            </w:pPr>
            <w:r>
              <w:rPr>
                <w:sz w:val="15"/>
              </w:rPr>
              <w:t>T 20:00</w:t>
            </w:r>
          </w:p>
        </w:tc>
        <w:tc>
          <w:tcPr>
            <w:tcW w:type="dxa" w:w="757"/>
            <w:tcMar>
              <w:top w:w="50" w:type="dxa"/>
              <w:bottom w:w="50" w:type="dxa"/>
              <w:left w:w="90" w:type="dxa"/>
              <w:right w:w="90" w:type="dxa"/>
            </w:tcMar>
            <w:shd w:val="clear" w:color="auto" w:fill="E5F5FF"/>
          </w:tcPr>
          <w:p>
            <w:pPr>
              <w:pStyle w:val="BDOITable"/>
            </w:pPr>
            <w:r>
              <w:rPr>
                <w:sz w:val="15"/>
              </w:rPr>
              <w:t>CT-070</w:t>
            </w:r>
          </w:p>
        </w:tc>
        <w:tc>
          <w:tcPr>
            <w:tcW w:type="dxa" w:w="4036"/>
            <w:tcMar>
              <w:top w:w="50" w:type="dxa"/>
              <w:bottom w:w="50" w:type="dxa"/>
              <w:left w:w="90" w:type="dxa"/>
              <w:right w:w="90" w:type="dxa"/>
            </w:tcMar>
            <w:shd w:val="clear" w:color="auto" w:fill="E5F5FF"/>
          </w:tcPr>
          <w:p>
            <w:pPr>
              <w:pStyle w:val="BDOITable"/>
            </w:pPr>
            <w:r>
              <w:rPr>
                <w:sz w:val="15"/>
              </w:rPr>
              <w:t>First BIBS EOD jobs; check GL posting, sub-ledgers and the Cash Receipts Book</w:t>
            </w:r>
          </w:p>
        </w:tc>
        <w:tc>
          <w:tcPr>
            <w:tcW w:type="dxa" w:w="706"/>
            <w:tcMar>
              <w:top w:w="50" w:type="dxa"/>
              <w:bottom w:w="50" w:type="dxa"/>
              <w:left w:w="90" w:type="dxa"/>
              <w:right w:w="90" w:type="dxa"/>
            </w:tcMar>
            <w:shd w:val="clear" w:color="auto" w:fill="E5F5FF"/>
          </w:tcPr>
          <w:p>
            <w:pPr>
              <w:pStyle w:val="BDOITable"/>
            </w:pPr>
            <w:r>
              <w:rPr>
                <w:sz w:val="15"/>
              </w:rPr>
              <w:t>IDO</w:t>
            </w:r>
          </w:p>
        </w:tc>
        <w:tc>
          <w:tcPr>
            <w:tcW w:type="dxa" w:w="656"/>
            <w:tcMar>
              <w:top w:w="50" w:type="dxa"/>
              <w:bottom w:w="50" w:type="dxa"/>
              <w:left w:w="90" w:type="dxa"/>
              <w:right w:w="90" w:type="dxa"/>
            </w:tcMar>
            <w:shd w:val="clear" w:color="auto" w:fill="E5F5FF"/>
          </w:tcPr>
          <w:p>
            <w:pPr>
              <w:pStyle w:val="BDOITable"/>
            </w:pPr>
            <w:r>
              <w:rPr>
                <w:sz w:val="15"/>
              </w:rPr>
              <w:t>2</w:t>
            </w:r>
          </w:p>
        </w:tc>
        <w:tc>
          <w:tcPr>
            <w:tcW w:type="dxa" w:w="1009"/>
            <w:tcMar>
              <w:top w:w="50" w:type="dxa"/>
              <w:bottom w:w="50" w:type="dxa"/>
              <w:left w:w="90" w:type="dxa"/>
              <w:right w:w="90" w:type="dxa"/>
            </w:tcMar>
            <w:shd w:val="clear" w:color="auto" w:fill="E5F5FF"/>
          </w:tcPr>
          <w:p>
            <w:pPr>
              <w:pStyle w:val="BDOITable"/>
            </w:pPr>
            <w:r>
              <w:rPr>
                <w:sz w:val="15"/>
              </w:rPr>
              <w:t>CT-069</w:t>
            </w:r>
          </w:p>
        </w:tc>
        <w:tc>
          <w:tcPr>
            <w:tcW w:type="dxa" w:w="2523"/>
            <w:tcMar>
              <w:top w:w="50" w:type="dxa"/>
              <w:bottom w:w="50" w:type="dxa"/>
              <w:left w:w="90" w:type="dxa"/>
              <w:right w:w="90" w:type="dxa"/>
            </w:tcMar>
            <w:shd w:val="clear" w:color="auto" w:fill="E5F5FF"/>
          </w:tcPr>
          <w:p>
            <w:pPr>
              <w:pStyle w:val="BDOITable"/>
            </w:pPr>
            <w:r>
              <w:rPr>
                <w:sz w:val="15"/>
              </w:rPr>
              <w:t>Job run log; CRB lists the day's receipts</w:t>
            </w:r>
          </w:p>
        </w:tc>
        <w:tc>
          <w:tcPr>
            <w:tcW w:type="dxa" w:w="908"/>
            <w:tcMar>
              <w:top w:w="50" w:type="dxa"/>
              <w:bottom w:w="50" w:type="dxa"/>
              <w:left w:w="90" w:type="dxa"/>
              <w:right w:w="90" w:type="dxa"/>
            </w:tcMar>
            <w:shd w:val="clear" w:color="auto" w:fill="E5F5FF"/>
          </w:tcPr>
          <w:p>
            <w:pPr>
              <w:pStyle w:val="BDOITable"/>
            </w:pPr>
            <w:r>
              <w:rPr>
                <w:sz w:val="15"/>
              </w:rPr>
              <w:t>-</w:t>
            </w:r>
          </w:p>
        </w:tc>
        <w:tc>
          <w:tcPr>
            <w:tcW w:type="dxa" w:w="1110"/>
            <w:tcMar>
              <w:top w:w="50" w:type="dxa"/>
              <w:bottom w:w="50" w:type="dxa"/>
              <w:left w:w="90" w:type="dxa"/>
              <w:right w:w="90" w:type="dxa"/>
            </w:tcMar>
            <w:shd w:val="clear" w:color="auto" w:fill="E5F5FF"/>
          </w:tcPr>
          <w:p>
            <w:pPr>
              <w:pStyle w:val="BDOITable"/>
            </w:pPr>
          </w:p>
        </w:tc>
        <w:tc>
          <w:tcPr>
            <w:tcW w:type="dxa" w:w="908"/>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8.4 Technical cutover tasks</w:t>
      </w:r>
      <w:bookmarkEnd w:id="126"/>
    </w:p>
    <w:p>
      <w:pPr>
        <w:pStyle w:val="Caption"/>
        <w:keepNext/>
        <w:spacing w:after="60"/>
      </w:pPr>
      <w:r>
        <w:rPr>
          <w:b/>
          <w:i w:val="0"/>
        </w:rPr>
        <w:t xml:space="preserve">Table 13: </w:t>
      </w:r>
      <w:r>
        <w:rPr/>
        <w:t>Technical cutover tasks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36"/>
        <w:gridCol w:w="896"/>
        <w:gridCol w:w="4544"/>
        <w:gridCol w:w="837"/>
        <w:gridCol w:w="777"/>
        <w:gridCol w:w="2989"/>
        <w:gridCol w:w="1315"/>
        <w:gridCol w:w="1076"/>
      </w:tblGrid>
      <w:tr>
        <w:trPr>
          <w:tblHeader w:val="true"/>
          <w:cantSplit w:val="true"/>
        </w:trPr>
        <w:tc>
          <w:tcPr>
            <w:tcW w:type="dxa" w:w="1136"/>
            <w:shd w:val="clear" w:color="auto" w:fill="004EA8"/>
            <w:tcMar>
              <w:top w:w="50" w:type="dxa"/>
              <w:bottom w:w="50" w:type="dxa"/>
              <w:left w:w="90" w:type="dxa"/>
              <w:right w:w="90" w:type="dxa"/>
            </w:tcMar>
            <w:vAlign w:val="center"/>
          </w:tcPr>
          <w:p>
            <w:pPr>
              <w:pStyle w:val="BDOITableHeader"/>
            </w:pPr>
            <w:r>
              <w:rPr>
                <w:b/>
                <w:color w:val="FFFFFF"/>
                <w:sz w:val="15"/>
              </w:rPr>
              <w:t>When</w:t>
            </w:r>
          </w:p>
        </w:tc>
        <w:tc>
          <w:tcPr>
            <w:tcW w:type="dxa" w:w="897"/>
            <w:shd w:val="clear" w:color="auto" w:fill="004EA8"/>
            <w:tcMar>
              <w:top w:w="50" w:type="dxa"/>
              <w:bottom w:w="50" w:type="dxa"/>
              <w:left w:w="90" w:type="dxa"/>
              <w:right w:w="90" w:type="dxa"/>
            </w:tcMar>
            <w:vAlign w:val="center"/>
          </w:tcPr>
          <w:p>
            <w:pPr>
              <w:pStyle w:val="BDOITableHeader"/>
            </w:pPr>
            <w:r>
              <w:rPr>
                <w:b/>
                <w:color w:val="FFFFFF"/>
                <w:sz w:val="15"/>
              </w:rPr>
              <w:t>Task</w:t>
            </w:r>
          </w:p>
        </w:tc>
        <w:tc>
          <w:tcPr>
            <w:tcW w:type="dxa" w:w="4544"/>
            <w:shd w:val="clear" w:color="auto" w:fill="004EA8"/>
            <w:tcMar>
              <w:top w:w="50" w:type="dxa"/>
              <w:bottom w:w="50" w:type="dxa"/>
              <w:left w:w="90" w:type="dxa"/>
              <w:right w:w="90" w:type="dxa"/>
            </w:tcMar>
            <w:vAlign w:val="center"/>
          </w:tcPr>
          <w:p>
            <w:pPr>
              <w:pStyle w:val="BDOITableHeader"/>
            </w:pPr>
            <w:r>
              <w:rPr>
                <w:b/>
                <w:color w:val="FFFFFF"/>
                <w:sz w:val="15"/>
              </w:rPr>
              <w:t>What</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777"/>
            <w:shd w:val="clear" w:color="auto" w:fill="004EA8"/>
            <w:tcMar>
              <w:top w:w="50" w:type="dxa"/>
              <w:bottom w:w="50" w:type="dxa"/>
              <w:left w:w="90" w:type="dxa"/>
              <w:right w:w="90" w:type="dxa"/>
            </w:tcMar>
            <w:vAlign w:val="center"/>
          </w:tcPr>
          <w:p>
            <w:pPr>
              <w:pStyle w:val="BDOITableHeader"/>
            </w:pPr>
            <w:r>
              <w:rPr>
                <w:b/>
                <w:color w:val="FFFFFF"/>
                <w:sz w:val="15"/>
              </w:rPr>
              <w:t>Hours</w:t>
            </w:r>
          </w:p>
        </w:tc>
        <w:tc>
          <w:tcPr>
            <w:tcW w:type="dxa" w:w="2989"/>
            <w:shd w:val="clear" w:color="auto" w:fill="004EA8"/>
            <w:tcMar>
              <w:top w:w="50" w:type="dxa"/>
              <w:bottom w:w="50" w:type="dxa"/>
              <w:left w:w="90" w:type="dxa"/>
              <w:right w:w="90" w:type="dxa"/>
            </w:tcMar>
            <w:vAlign w:val="center"/>
          </w:tcPr>
          <w:p>
            <w:pPr>
              <w:pStyle w:val="BDOITableHeader"/>
            </w:pPr>
            <w:r>
              <w:rPr>
                <w:b/>
                <w:color w:val="FFFFFF"/>
                <w:sz w:val="15"/>
              </w:rPr>
              <w:t>Evidence</w:t>
            </w:r>
          </w:p>
        </w:tc>
        <w:tc>
          <w:tcPr>
            <w:tcW w:type="dxa" w:w="1315"/>
            <w:shd w:val="clear" w:color="auto" w:fill="004EA8"/>
            <w:tcMar>
              <w:top w:w="50" w:type="dxa"/>
              <w:bottom w:w="50" w:type="dxa"/>
              <w:left w:w="90" w:type="dxa"/>
              <w:right w:w="90" w:type="dxa"/>
            </w:tcMar>
            <w:vAlign w:val="center"/>
          </w:tcPr>
          <w:p>
            <w:pPr>
              <w:pStyle w:val="BDOITableHeader"/>
            </w:pPr>
            <w:r>
              <w:rPr>
                <w:b/>
                <w:color w:val="FFFFFF"/>
                <w:sz w:val="15"/>
              </w:rPr>
              <w:t>Actual start / end</w:t>
            </w:r>
          </w:p>
        </w:tc>
        <w:tc>
          <w:tcPr>
            <w:tcW w:type="dxa" w:w="1076"/>
            <w:shd w:val="clear" w:color="auto" w:fill="004EA8"/>
            <w:tcMar>
              <w:top w:w="50" w:type="dxa"/>
              <w:bottom w:w="50" w:type="dxa"/>
              <w:left w:w="90" w:type="dxa"/>
              <w:right w:w="90" w:type="dxa"/>
            </w:tcMar>
            <w:vAlign w:val="center"/>
          </w:tcPr>
          <w:p>
            <w:pPr>
              <w:pStyle w:val="BDOITableHeader"/>
            </w:pPr>
            <w:r>
              <w:rPr>
                <w:b/>
                <w:color w:val="FFFFFF"/>
                <w:sz w:val="15"/>
              </w:rPr>
              <w:t>Done by</w:t>
            </w:r>
          </w:p>
        </w:tc>
      </w:tr>
      <w:tr>
        <w:trPr>
          <w:cantSplit w:val="true"/>
        </w:trPr>
        <w:tc>
          <w:tcPr>
            <w:tcW w:type="dxa" w:w="1136"/>
            <w:tcMar>
              <w:top w:w="50" w:type="dxa"/>
              <w:bottom w:w="50" w:type="dxa"/>
              <w:left w:w="90" w:type="dxa"/>
              <w:right w:w="90" w:type="dxa"/>
            </w:tcMar>
          </w:tcPr>
          <w:p>
            <w:pPr>
              <w:pStyle w:val="BDOITable"/>
            </w:pPr>
            <w:r>
              <w:rPr>
                <w:sz w:val="15"/>
              </w:rPr>
              <w:t>T-35</w:t>
            </w:r>
          </w:p>
        </w:tc>
        <w:tc>
          <w:tcPr>
            <w:tcW w:type="dxa" w:w="897"/>
            <w:tcMar>
              <w:top w:w="50" w:type="dxa"/>
              <w:bottom w:w="50" w:type="dxa"/>
              <w:left w:w="90" w:type="dxa"/>
              <w:right w:w="90" w:type="dxa"/>
            </w:tcMar>
          </w:tcPr>
          <w:p>
            <w:pPr>
              <w:pStyle w:val="BDOITable"/>
            </w:pPr>
            <w:r>
              <w:rPr>
                <w:sz w:val="15"/>
              </w:rPr>
              <w:t>TC-01</w:t>
            </w:r>
          </w:p>
        </w:tc>
        <w:tc>
          <w:tcPr>
            <w:tcW w:type="dxa" w:w="4544"/>
            <w:tcMar>
              <w:top w:w="50" w:type="dxa"/>
              <w:bottom w:w="50" w:type="dxa"/>
              <w:left w:w="90" w:type="dxa"/>
              <w:right w:w="90" w:type="dxa"/>
            </w:tcMar>
          </w:tcPr>
          <w:p>
            <w:pPr>
              <w:pStyle w:val="BDOITable"/>
            </w:pPr>
            <w:r>
              <w:rPr>
                <w:sz w:val="15"/>
              </w:rPr>
              <w:t>Production and DR environments accepted - EKS clusters, RDS PostgreSQL 16 Multi-AZ with the cross-region replica, ElastiCache for Valkey 8, MSK Kafka 3.9, S3 buckets with versioning, Object Lock and replication, KMS keys, WAF, Gateway, private DNS record</w:t>
            </w:r>
          </w:p>
        </w:tc>
        <w:tc>
          <w:tcPr>
            <w:tcW w:type="dxa" w:w="837"/>
            <w:tcMar>
              <w:top w:w="50" w:type="dxa"/>
              <w:bottom w:w="50" w:type="dxa"/>
              <w:left w:w="90" w:type="dxa"/>
              <w:right w:w="90" w:type="dxa"/>
            </w:tcMar>
          </w:tcPr>
          <w:p>
            <w:pPr>
              <w:pStyle w:val="BDOITable"/>
            </w:pPr>
            <w:r>
              <w:rPr>
                <w:sz w:val="15"/>
              </w:rPr>
              <w:t>CLO</w:t>
            </w:r>
          </w:p>
        </w:tc>
        <w:tc>
          <w:tcPr>
            <w:tcW w:type="dxa" w:w="777"/>
            <w:tcMar>
              <w:top w:w="50" w:type="dxa"/>
              <w:bottom w:w="50" w:type="dxa"/>
              <w:left w:w="90" w:type="dxa"/>
              <w:right w:w="90" w:type="dxa"/>
            </w:tcMar>
          </w:tcPr>
          <w:p>
            <w:pPr>
              <w:pStyle w:val="BDOITable"/>
            </w:pPr>
            <w:r>
              <w:rPr>
                <w:sz w:val="15"/>
              </w:rPr>
              <w:t>16</w:t>
            </w:r>
          </w:p>
        </w:tc>
        <w:tc>
          <w:tcPr>
            <w:tcW w:type="dxa" w:w="2989"/>
            <w:tcMar>
              <w:top w:w="50" w:type="dxa"/>
              <w:bottom w:w="50" w:type="dxa"/>
              <w:left w:w="90" w:type="dxa"/>
              <w:right w:w="90" w:type="dxa"/>
            </w:tcMar>
          </w:tcPr>
          <w:p>
            <w:pPr>
              <w:pStyle w:val="BDOITable"/>
            </w:pPr>
            <w:r>
              <w:rPr>
                <w:sz w:val="15"/>
              </w:rPr>
              <w:t>Environment acceptance checklist signed (readiness items OPS-01 to OPS-06)</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r>
        <w:trPr>
          <w:cantSplit w:val="true"/>
        </w:trPr>
        <w:tc>
          <w:tcPr>
            <w:tcW w:type="dxa" w:w="1136"/>
            <w:tcMar>
              <w:top w:w="50" w:type="dxa"/>
              <w:bottom w:w="50" w:type="dxa"/>
              <w:left w:w="90" w:type="dxa"/>
              <w:right w:w="90" w:type="dxa"/>
            </w:tcMar>
            <w:shd w:val="clear" w:color="auto" w:fill="E5F5FF"/>
          </w:tcPr>
          <w:p>
            <w:pPr>
              <w:pStyle w:val="BDOITable"/>
            </w:pPr>
            <w:r>
              <w:rPr>
                <w:sz w:val="15"/>
              </w:rPr>
              <w:t>T-30</w:t>
            </w:r>
          </w:p>
        </w:tc>
        <w:tc>
          <w:tcPr>
            <w:tcW w:type="dxa" w:w="897"/>
            <w:tcMar>
              <w:top w:w="50" w:type="dxa"/>
              <w:bottom w:w="50" w:type="dxa"/>
              <w:left w:w="90" w:type="dxa"/>
              <w:right w:w="90" w:type="dxa"/>
            </w:tcMar>
            <w:shd w:val="clear" w:color="auto" w:fill="E5F5FF"/>
          </w:tcPr>
          <w:p>
            <w:pPr>
              <w:pStyle w:val="BDOITable"/>
            </w:pPr>
            <w:r>
              <w:rPr>
                <w:sz w:val="15"/>
              </w:rPr>
              <w:t>TC-02</w:t>
            </w:r>
          </w:p>
        </w:tc>
        <w:tc>
          <w:tcPr>
            <w:tcW w:type="dxa" w:w="4544"/>
            <w:tcMar>
              <w:top w:w="50" w:type="dxa"/>
              <w:bottom w:w="50" w:type="dxa"/>
              <w:left w:w="90" w:type="dxa"/>
              <w:right w:w="90" w:type="dxa"/>
            </w:tcMar>
            <w:shd w:val="clear" w:color="auto" w:fill="E5F5FF"/>
          </w:tcPr>
          <w:p>
            <w:pPr>
              <w:pStyle w:val="BDOITable"/>
            </w:pPr>
            <w:r>
              <w:rPr>
                <w:sz w:val="15"/>
              </w:rPr>
              <w:t>Production secrets created in the secrets store (signing key, second-factor key, database owner and application logins, Valkey and Kafka credentials, single sign-on client secret, mail); nothing in files</w:t>
            </w:r>
          </w:p>
        </w:tc>
        <w:tc>
          <w:tcPr>
            <w:tcW w:type="dxa" w:w="837"/>
            <w:tcMar>
              <w:top w:w="50" w:type="dxa"/>
              <w:bottom w:w="50" w:type="dxa"/>
              <w:left w:w="90" w:type="dxa"/>
              <w:right w:w="90" w:type="dxa"/>
            </w:tcMar>
            <w:shd w:val="clear" w:color="auto" w:fill="E5F5FF"/>
          </w:tcPr>
          <w:p>
            <w:pPr>
              <w:pStyle w:val="BDOITable"/>
            </w:pPr>
            <w:r>
              <w:rPr>
                <w:sz w:val="15"/>
              </w:rPr>
              <w:t>CLO</w:t>
            </w:r>
          </w:p>
        </w:tc>
        <w:tc>
          <w:tcPr>
            <w:tcW w:type="dxa" w:w="777"/>
            <w:tcMar>
              <w:top w:w="50" w:type="dxa"/>
              <w:bottom w:w="50" w:type="dxa"/>
              <w:left w:w="90" w:type="dxa"/>
              <w:right w:w="90" w:type="dxa"/>
            </w:tcMar>
            <w:shd w:val="clear" w:color="auto" w:fill="E5F5FF"/>
          </w:tcPr>
          <w:p>
            <w:pPr>
              <w:pStyle w:val="BDOITable"/>
            </w:pPr>
            <w:r>
              <w:rPr>
                <w:sz w:val="15"/>
              </w:rPr>
              <w:t>4</w:t>
            </w:r>
          </w:p>
        </w:tc>
        <w:tc>
          <w:tcPr>
            <w:tcW w:type="dxa" w:w="2989"/>
            <w:tcMar>
              <w:top w:w="50" w:type="dxa"/>
              <w:bottom w:w="50" w:type="dxa"/>
              <w:left w:w="90" w:type="dxa"/>
              <w:right w:w="90" w:type="dxa"/>
            </w:tcMar>
            <w:shd w:val="clear" w:color="auto" w:fill="E5F5FF"/>
          </w:tcPr>
          <w:p>
            <w:pPr>
              <w:pStyle w:val="BDOITable"/>
            </w:pPr>
            <w:r>
              <w:rPr>
                <w:sz w:val="15"/>
              </w:rPr>
              <w:t>Secret inventory without values; start-up safeguards pass</w:t>
            </w:r>
          </w:p>
        </w:tc>
        <w:tc>
          <w:tcPr>
            <w:tcW w:type="dxa" w:w="1315"/>
            <w:tcMar>
              <w:top w:w="50" w:type="dxa"/>
              <w:bottom w:w="50" w:type="dxa"/>
              <w:left w:w="90" w:type="dxa"/>
              <w:right w:w="90" w:type="dxa"/>
            </w:tcMar>
            <w:shd w:val="clear" w:color="auto" w:fill="E5F5FF"/>
          </w:tcPr>
          <w:p>
            <w:pPr>
              <w:pStyle w:val="BDOITable"/>
            </w:pPr>
          </w:p>
        </w:tc>
        <w:tc>
          <w:tcPr>
            <w:tcW w:type="dxa" w:w="1076"/>
            <w:tcMar>
              <w:top w:w="50" w:type="dxa"/>
              <w:bottom w:w="50" w:type="dxa"/>
              <w:left w:w="90" w:type="dxa"/>
              <w:right w:w="90" w:type="dxa"/>
            </w:tcMar>
            <w:shd w:val="clear" w:color="auto" w:fill="E5F5FF"/>
          </w:tcPr>
          <w:p>
            <w:pPr>
              <w:pStyle w:val="BDOITable"/>
            </w:pPr>
          </w:p>
        </w:tc>
      </w:tr>
      <w:tr>
        <w:trPr>
          <w:cantSplit w:val="true"/>
        </w:trPr>
        <w:tc>
          <w:tcPr>
            <w:tcW w:type="dxa" w:w="1136"/>
            <w:tcMar>
              <w:top w:w="50" w:type="dxa"/>
              <w:bottom w:w="50" w:type="dxa"/>
              <w:left w:w="90" w:type="dxa"/>
              <w:right w:w="90" w:type="dxa"/>
            </w:tcMar>
          </w:tcPr>
          <w:p>
            <w:pPr>
              <w:pStyle w:val="BDOITable"/>
            </w:pPr>
            <w:r>
              <w:rPr>
                <w:sz w:val="15"/>
              </w:rPr>
              <w:t>T-28</w:t>
            </w:r>
          </w:p>
        </w:tc>
        <w:tc>
          <w:tcPr>
            <w:tcW w:type="dxa" w:w="897"/>
            <w:tcMar>
              <w:top w:w="50" w:type="dxa"/>
              <w:bottom w:w="50" w:type="dxa"/>
              <w:left w:w="90" w:type="dxa"/>
              <w:right w:w="90" w:type="dxa"/>
            </w:tcMar>
          </w:tcPr>
          <w:p>
            <w:pPr>
              <w:pStyle w:val="BDOITable"/>
            </w:pPr>
            <w:r>
              <w:rPr>
                <w:sz w:val="15"/>
              </w:rPr>
              <w:t>TC-03</w:t>
            </w:r>
          </w:p>
        </w:tc>
        <w:tc>
          <w:tcPr>
            <w:tcW w:type="dxa" w:w="4544"/>
            <w:tcMar>
              <w:top w:w="50" w:type="dxa"/>
              <w:bottom w:w="50" w:type="dxa"/>
              <w:left w:w="90" w:type="dxa"/>
              <w:right w:w="90" w:type="dxa"/>
            </w:tcMar>
          </w:tcPr>
          <w:p>
            <w:pPr>
              <w:pStyle w:val="BDOITable"/>
            </w:pPr>
            <w:r>
              <w:rPr>
                <w:sz w:val="15"/>
              </w:rPr>
              <w:t>Go-live release installed in production (with CT-005); release package identical to the one accepted in UAT and rehearsed in Pre-Prod</w:t>
            </w:r>
          </w:p>
        </w:tc>
        <w:tc>
          <w:tcPr>
            <w:tcW w:type="dxa" w:w="837"/>
            <w:tcMar>
              <w:top w:w="50" w:type="dxa"/>
              <w:bottom w:w="50" w:type="dxa"/>
              <w:left w:w="90" w:type="dxa"/>
              <w:right w:w="90" w:type="dxa"/>
            </w:tcMar>
          </w:tcPr>
          <w:p>
            <w:pPr>
              <w:pStyle w:val="BDOITable"/>
            </w:pPr>
            <w:r>
              <w:rPr>
                <w:sz w:val="15"/>
              </w:rPr>
              <w:t>IDO</w:t>
            </w:r>
          </w:p>
        </w:tc>
        <w:tc>
          <w:tcPr>
            <w:tcW w:type="dxa" w:w="777"/>
            <w:tcMar>
              <w:top w:w="50" w:type="dxa"/>
              <w:bottom w:w="50" w:type="dxa"/>
              <w:left w:w="90" w:type="dxa"/>
              <w:right w:w="90" w:type="dxa"/>
            </w:tcMar>
          </w:tcPr>
          <w:p>
            <w:pPr>
              <w:pStyle w:val="BDOITable"/>
            </w:pPr>
            <w:r>
              <w:rPr>
                <w:sz w:val="15"/>
              </w:rPr>
              <w:t>4</w:t>
            </w:r>
          </w:p>
        </w:tc>
        <w:tc>
          <w:tcPr>
            <w:tcW w:type="dxa" w:w="2989"/>
            <w:tcMar>
              <w:top w:w="50" w:type="dxa"/>
              <w:bottom w:w="50" w:type="dxa"/>
              <w:left w:w="90" w:type="dxa"/>
              <w:right w:w="90" w:type="dxa"/>
            </w:tcMar>
          </w:tcPr>
          <w:p>
            <w:pPr>
              <w:pStyle w:val="BDOITable"/>
            </w:pPr>
            <w:r>
              <w:rPr>
                <w:sz w:val="15"/>
              </w:rPr>
              <w:t>Deployment record; Application Info shows the release</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r>
        <w:trPr>
          <w:cantSplit w:val="true"/>
        </w:trPr>
        <w:tc>
          <w:tcPr>
            <w:tcW w:type="dxa" w:w="1136"/>
            <w:tcMar>
              <w:top w:w="50" w:type="dxa"/>
              <w:bottom w:w="50" w:type="dxa"/>
              <w:left w:w="90" w:type="dxa"/>
              <w:right w:w="90" w:type="dxa"/>
            </w:tcMar>
            <w:shd w:val="clear" w:color="auto" w:fill="E5F5FF"/>
          </w:tcPr>
          <w:p>
            <w:pPr>
              <w:pStyle w:val="BDOITable"/>
            </w:pPr>
            <w:r>
              <w:rPr>
                <w:sz w:val="15"/>
              </w:rPr>
              <w:t>T-28</w:t>
            </w:r>
          </w:p>
        </w:tc>
        <w:tc>
          <w:tcPr>
            <w:tcW w:type="dxa" w:w="897"/>
            <w:tcMar>
              <w:top w:w="50" w:type="dxa"/>
              <w:bottom w:w="50" w:type="dxa"/>
              <w:left w:w="90" w:type="dxa"/>
              <w:right w:w="90" w:type="dxa"/>
            </w:tcMar>
            <w:shd w:val="clear" w:color="auto" w:fill="E5F5FF"/>
          </w:tcPr>
          <w:p>
            <w:pPr>
              <w:pStyle w:val="BDOITable"/>
            </w:pPr>
            <w:r>
              <w:rPr>
                <w:sz w:val="15"/>
              </w:rPr>
              <w:t>TC-04</w:t>
            </w:r>
          </w:p>
        </w:tc>
        <w:tc>
          <w:tcPr>
            <w:tcW w:type="dxa" w:w="4544"/>
            <w:tcMar>
              <w:top w:w="50" w:type="dxa"/>
              <w:bottom w:w="50" w:type="dxa"/>
              <w:left w:w="90" w:type="dxa"/>
              <w:right w:w="90" w:type="dxa"/>
            </w:tcMar>
            <w:shd w:val="clear" w:color="auto" w:fill="E5F5FF"/>
          </w:tcPr>
          <w:p>
            <w:pPr>
              <w:pStyle w:val="BDOITable"/>
            </w:pPr>
            <w:r>
              <w:rPr>
                <w:sz w:val="15"/>
              </w:rPr>
              <w:t>Break-glass administrators created and enrolled with the second factor; recovery codes sealed in the safe; initial administrator password removed from the secrets store</w:t>
            </w:r>
          </w:p>
        </w:tc>
        <w:tc>
          <w:tcPr>
            <w:tcW w:type="dxa" w:w="837"/>
            <w:tcMar>
              <w:top w:w="50" w:type="dxa"/>
              <w:bottom w:w="50" w:type="dxa"/>
              <w:left w:w="90" w:type="dxa"/>
              <w:right w:w="90" w:type="dxa"/>
            </w:tcMar>
            <w:shd w:val="clear" w:color="auto" w:fill="E5F5FF"/>
          </w:tcPr>
          <w:p>
            <w:pPr>
              <w:pStyle w:val="BDOITable"/>
            </w:pPr>
            <w:r>
              <w:rPr>
                <w:sz w:val="15"/>
              </w:rPr>
              <w:t>BIT</w:t>
            </w:r>
          </w:p>
        </w:tc>
        <w:tc>
          <w:tcPr>
            <w:tcW w:type="dxa" w:w="777"/>
            <w:tcMar>
              <w:top w:w="50" w:type="dxa"/>
              <w:bottom w:w="50" w:type="dxa"/>
              <w:left w:w="90" w:type="dxa"/>
              <w:right w:w="90" w:type="dxa"/>
            </w:tcMar>
            <w:shd w:val="clear" w:color="auto" w:fill="E5F5FF"/>
          </w:tcPr>
          <w:p>
            <w:pPr>
              <w:pStyle w:val="BDOITable"/>
            </w:pPr>
            <w:r>
              <w:rPr>
                <w:sz w:val="15"/>
              </w:rPr>
              <w:t>2</w:t>
            </w:r>
          </w:p>
        </w:tc>
        <w:tc>
          <w:tcPr>
            <w:tcW w:type="dxa" w:w="2989"/>
            <w:tcMar>
              <w:top w:w="50" w:type="dxa"/>
              <w:bottom w:w="50" w:type="dxa"/>
              <w:left w:w="90" w:type="dxa"/>
              <w:right w:w="90" w:type="dxa"/>
            </w:tcMar>
            <w:shd w:val="clear" w:color="auto" w:fill="E5F5FF"/>
          </w:tcPr>
          <w:p>
            <w:pPr>
              <w:pStyle w:val="BDOITable"/>
            </w:pPr>
            <w:r>
              <w:rPr>
                <w:sz w:val="15"/>
              </w:rPr>
              <w:t>Sealed envelope log; secret removed</w:t>
            </w:r>
          </w:p>
        </w:tc>
        <w:tc>
          <w:tcPr>
            <w:tcW w:type="dxa" w:w="1315"/>
            <w:tcMar>
              <w:top w:w="50" w:type="dxa"/>
              <w:bottom w:w="50" w:type="dxa"/>
              <w:left w:w="90" w:type="dxa"/>
              <w:right w:w="90" w:type="dxa"/>
            </w:tcMar>
            <w:shd w:val="clear" w:color="auto" w:fill="E5F5FF"/>
          </w:tcPr>
          <w:p>
            <w:pPr>
              <w:pStyle w:val="BDOITable"/>
            </w:pPr>
          </w:p>
        </w:tc>
        <w:tc>
          <w:tcPr>
            <w:tcW w:type="dxa" w:w="1076"/>
            <w:tcMar>
              <w:top w:w="50" w:type="dxa"/>
              <w:bottom w:w="50" w:type="dxa"/>
              <w:left w:w="90" w:type="dxa"/>
              <w:right w:w="90" w:type="dxa"/>
            </w:tcMar>
            <w:shd w:val="clear" w:color="auto" w:fill="E5F5FF"/>
          </w:tcPr>
          <w:p>
            <w:pPr>
              <w:pStyle w:val="BDOITable"/>
            </w:pPr>
          </w:p>
        </w:tc>
      </w:tr>
      <w:tr>
        <w:trPr>
          <w:cantSplit w:val="true"/>
        </w:trPr>
        <w:tc>
          <w:tcPr>
            <w:tcW w:type="dxa" w:w="1136"/>
            <w:tcMar>
              <w:top w:w="50" w:type="dxa"/>
              <w:bottom w:w="50" w:type="dxa"/>
              <w:left w:w="90" w:type="dxa"/>
              <w:right w:w="90" w:type="dxa"/>
            </w:tcMar>
          </w:tcPr>
          <w:p>
            <w:pPr>
              <w:pStyle w:val="BDOITable"/>
            </w:pPr>
            <w:r>
              <w:rPr>
                <w:sz w:val="15"/>
              </w:rPr>
              <w:t>T-27</w:t>
            </w:r>
          </w:p>
        </w:tc>
        <w:tc>
          <w:tcPr>
            <w:tcW w:type="dxa" w:w="897"/>
            <w:tcMar>
              <w:top w:w="50" w:type="dxa"/>
              <w:bottom w:w="50" w:type="dxa"/>
              <w:left w:w="90" w:type="dxa"/>
              <w:right w:w="90" w:type="dxa"/>
            </w:tcMar>
          </w:tcPr>
          <w:p>
            <w:pPr>
              <w:pStyle w:val="BDOITable"/>
            </w:pPr>
            <w:r>
              <w:rPr>
                <w:sz w:val="15"/>
              </w:rPr>
              <w:t>TC-05</w:t>
            </w:r>
          </w:p>
        </w:tc>
        <w:tc>
          <w:tcPr>
            <w:tcW w:type="dxa" w:w="4544"/>
            <w:tcMar>
              <w:top w:w="50" w:type="dxa"/>
              <w:bottom w:w="50" w:type="dxa"/>
              <w:left w:w="90" w:type="dxa"/>
              <w:right w:w="90" w:type="dxa"/>
            </w:tcMar>
          </w:tcPr>
          <w:p>
            <w:pPr>
              <w:pStyle w:val="BDOITable"/>
            </w:pPr>
            <w:r>
              <w:rPr>
                <w:sz w:val="15"/>
              </w:rPr>
              <w:t>EIAM production application (OpenID Connect) registered; group gate set; sign-in tested with one user per persona</w:t>
            </w:r>
          </w:p>
        </w:tc>
        <w:tc>
          <w:tcPr>
            <w:tcW w:type="dxa" w:w="837"/>
            <w:tcMar>
              <w:top w:w="50" w:type="dxa"/>
              <w:bottom w:w="50" w:type="dxa"/>
              <w:left w:w="90" w:type="dxa"/>
              <w:right w:w="90" w:type="dxa"/>
            </w:tcMar>
          </w:tcPr>
          <w:p>
            <w:pPr>
              <w:pStyle w:val="BDOITable"/>
            </w:pPr>
            <w:r>
              <w:rPr>
                <w:sz w:val="15"/>
              </w:rPr>
              <w:t>BIT</w:t>
            </w:r>
          </w:p>
        </w:tc>
        <w:tc>
          <w:tcPr>
            <w:tcW w:type="dxa" w:w="777"/>
            <w:tcMar>
              <w:top w:w="50" w:type="dxa"/>
              <w:bottom w:w="50" w:type="dxa"/>
              <w:left w:w="90" w:type="dxa"/>
              <w:right w:w="90" w:type="dxa"/>
            </w:tcMar>
          </w:tcPr>
          <w:p>
            <w:pPr>
              <w:pStyle w:val="BDOITable"/>
            </w:pPr>
            <w:r>
              <w:rPr>
                <w:sz w:val="15"/>
              </w:rPr>
              <w:t>4</w:t>
            </w:r>
          </w:p>
        </w:tc>
        <w:tc>
          <w:tcPr>
            <w:tcW w:type="dxa" w:w="2989"/>
            <w:tcMar>
              <w:top w:w="50" w:type="dxa"/>
              <w:bottom w:w="50" w:type="dxa"/>
              <w:left w:w="90" w:type="dxa"/>
              <w:right w:w="90" w:type="dxa"/>
            </w:tcMar>
          </w:tcPr>
          <w:p>
            <w:pPr>
              <w:pStyle w:val="BDOITable"/>
            </w:pPr>
            <w:r>
              <w:rPr>
                <w:sz w:val="15"/>
              </w:rPr>
              <w:t>Sign-in test record per persona</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r>
        <w:trPr>
          <w:cantSplit w:val="true"/>
        </w:trPr>
        <w:tc>
          <w:tcPr>
            <w:tcW w:type="dxa" w:w="1136"/>
            <w:tcMar>
              <w:top w:w="50" w:type="dxa"/>
              <w:bottom w:w="50" w:type="dxa"/>
              <w:left w:w="90" w:type="dxa"/>
              <w:right w:w="90" w:type="dxa"/>
            </w:tcMar>
            <w:shd w:val="clear" w:color="auto" w:fill="E5F5FF"/>
          </w:tcPr>
          <w:p>
            <w:pPr>
              <w:pStyle w:val="BDOITable"/>
            </w:pPr>
            <w:r>
              <w:rPr>
                <w:sz w:val="15"/>
              </w:rPr>
              <w:t>T-26</w:t>
            </w:r>
          </w:p>
        </w:tc>
        <w:tc>
          <w:tcPr>
            <w:tcW w:type="dxa" w:w="897"/>
            <w:tcMar>
              <w:top w:w="50" w:type="dxa"/>
              <w:bottom w:w="50" w:type="dxa"/>
              <w:left w:w="90" w:type="dxa"/>
              <w:right w:w="90" w:type="dxa"/>
            </w:tcMar>
            <w:shd w:val="clear" w:color="auto" w:fill="E5F5FF"/>
          </w:tcPr>
          <w:p>
            <w:pPr>
              <w:pStyle w:val="BDOITable"/>
            </w:pPr>
            <w:r>
              <w:rPr>
                <w:sz w:val="15"/>
              </w:rPr>
              <w:t>TC-06</w:t>
            </w:r>
          </w:p>
        </w:tc>
        <w:tc>
          <w:tcPr>
            <w:tcW w:type="dxa" w:w="4544"/>
            <w:tcMar>
              <w:top w:w="50" w:type="dxa"/>
              <w:bottom w:w="50" w:type="dxa"/>
              <w:left w:w="90" w:type="dxa"/>
              <w:right w:w="90" w:type="dxa"/>
            </w:tcMar>
            <w:shd w:val="clear" w:color="auto" w:fill="E5F5FF"/>
          </w:tcPr>
          <w:p>
            <w:pPr>
              <w:pStyle w:val="BDOITable"/>
            </w:pPr>
            <w:r>
              <w:rPr>
                <w:sz w:val="15"/>
              </w:rPr>
              <w:t>Apigee X production proxies, credentials and scopes; connectivity check through Apigee from each BDO system that calls BIBS; outbound targets of BIBS reachable through Apigee</w:t>
            </w:r>
          </w:p>
        </w:tc>
        <w:tc>
          <w:tcPr>
            <w:tcW w:type="dxa" w:w="837"/>
            <w:tcMar>
              <w:top w:w="50" w:type="dxa"/>
              <w:bottom w:w="50" w:type="dxa"/>
              <w:left w:w="90" w:type="dxa"/>
              <w:right w:w="90" w:type="dxa"/>
            </w:tcMar>
            <w:shd w:val="clear" w:color="auto" w:fill="E5F5FF"/>
          </w:tcPr>
          <w:p>
            <w:pPr>
              <w:pStyle w:val="BDOITable"/>
            </w:pPr>
            <w:r>
              <w:rPr>
                <w:sz w:val="15"/>
              </w:rPr>
              <w:t>BIT</w:t>
            </w:r>
          </w:p>
        </w:tc>
        <w:tc>
          <w:tcPr>
            <w:tcW w:type="dxa" w:w="777"/>
            <w:tcMar>
              <w:top w:w="50" w:type="dxa"/>
              <w:bottom w:w="50" w:type="dxa"/>
              <w:left w:w="90" w:type="dxa"/>
              <w:right w:w="90" w:type="dxa"/>
            </w:tcMar>
            <w:shd w:val="clear" w:color="auto" w:fill="E5F5FF"/>
          </w:tcPr>
          <w:p>
            <w:pPr>
              <w:pStyle w:val="BDOITable"/>
            </w:pPr>
            <w:r>
              <w:rPr>
                <w:sz w:val="15"/>
              </w:rPr>
              <w:t>8</w:t>
            </w:r>
          </w:p>
        </w:tc>
        <w:tc>
          <w:tcPr>
            <w:tcW w:type="dxa" w:w="2989"/>
            <w:tcMar>
              <w:top w:w="50" w:type="dxa"/>
              <w:bottom w:w="50" w:type="dxa"/>
              <w:left w:w="90" w:type="dxa"/>
              <w:right w:w="90" w:type="dxa"/>
            </w:tcMar>
            <w:shd w:val="clear" w:color="auto" w:fill="E5F5FF"/>
          </w:tcPr>
          <w:p>
            <w:pPr>
              <w:pStyle w:val="BDOITable"/>
            </w:pPr>
            <w:r>
              <w:rPr>
                <w:sz w:val="15"/>
              </w:rPr>
              <w:t>Connectivity check record per interface</w:t>
            </w:r>
          </w:p>
        </w:tc>
        <w:tc>
          <w:tcPr>
            <w:tcW w:type="dxa" w:w="1315"/>
            <w:tcMar>
              <w:top w:w="50" w:type="dxa"/>
              <w:bottom w:w="50" w:type="dxa"/>
              <w:left w:w="90" w:type="dxa"/>
              <w:right w:w="90" w:type="dxa"/>
            </w:tcMar>
            <w:shd w:val="clear" w:color="auto" w:fill="E5F5FF"/>
          </w:tcPr>
          <w:p>
            <w:pPr>
              <w:pStyle w:val="BDOITable"/>
            </w:pPr>
          </w:p>
        </w:tc>
        <w:tc>
          <w:tcPr>
            <w:tcW w:type="dxa" w:w="1076"/>
            <w:tcMar>
              <w:top w:w="50" w:type="dxa"/>
              <w:bottom w:w="50" w:type="dxa"/>
              <w:left w:w="90" w:type="dxa"/>
              <w:right w:w="90" w:type="dxa"/>
            </w:tcMar>
            <w:shd w:val="clear" w:color="auto" w:fill="E5F5FF"/>
          </w:tcPr>
          <w:p>
            <w:pPr>
              <w:pStyle w:val="BDOITable"/>
            </w:pPr>
          </w:p>
        </w:tc>
      </w:tr>
      <w:tr>
        <w:trPr>
          <w:cantSplit w:val="true"/>
        </w:trPr>
        <w:tc>
          <w:tcPr>
            <w:tcW w:type="dxa" w:w="1136"/>
            <w:tcMar>
              <w:top w:w="50" w:type="dxa"/>
              <w:bottom w:w="50" w:type="dxa"/>
              <w:left w:w="90" w:type="dxa"/>
              <w:right w:w="90" w:type="dxa"/>
            </w:tcMar>
          </w:tcPr>
          <w:p>
            <w:pPr>
              <w:pStyle w:val="BDOITable"/>
            </w:pPr>
            <w:r>
              <w:rPr>
                <w:sz w:val="15"/>
              </w:rPr>
              <w:t>T-25</w:t>
            </w:r>
          </w:p>
        </w:tc>
        <w:tc>
          <w:tcPr>
            <w:tcW w:type="dxa" w:w="897"/>
            <w:tcMar>
              <w:top w:w="50" w:type="dxa"/>
              <w:bottom w:w="50" w:type="dxa"/>
              <w:left w:w="90" w:type="dxa"/>
              <w:right w:w="90" w:type="dxa"/>
            </w:tcMar>
          </w:tcPr>
          <w:p>
            <w:pPr>
              <w:pStyle w:val="BDOITable"/>
            </w:pPr>
            <w:r>
              <w:rPr>
                <w:sz w:val="15"/>
              </w:rPr>
              <w:t>TC-07</w:t>
            </w:r>
          </w:p>
        </w:tc>
        <w:tc>
          <w:tcPr>
            <w:tcW w:type="dxa" w:w="4544"/>
            <w:tcMar>
              <w:top w:w="50" w:type="dxa"/>
              <w:bottom w:w="50" w:type="dxa"/>
              <w:left w:w="90" w:type="dxa"/>
              <w:right w:w="90" w:type="dxa"/>
            </w:tcMar>
          </w:tcPr>
          <w:p>
            <w:pPr>
              <w:pStyle w:val="BDOITable"/>
            </w:pPr>
            <w:r>
              <w:rPr>
                <w:sz w:val="15"/>
              </w:rPr>
              <w:t>Monitoring live - synthetic checks, alert rules and routing to L1, L2, L3 and Cloud Operations, dashboards, log shipping; one test alert per responder group</w:t>
            </w:r>
          </w:p>
        </w:tc>
        <w:tc>
          <w:tcPr>
            <w:tcW w:type="dxa" w:w="837"/>
            <w:tcMar>
              <w:top w:w="50" w:type="dxa"/>
              <w:bottom w:w="50" w:type="dxa"/>
              <w:left w:w="90" w:type="dxa"/>
              <w:right w:w="90" w:type="dxa"/>
            </w:tcMar>
          </w:tcPr>
          <w:p>
            <w:pPr>
              <w:pStyle w:val="BDOITable"/>
            </w:pPr>
            <w:r>
              <w:rPr>
                <w:sz w:val="15"/>
              </w:rPr>
              <w:t>IDO</w:t>
            </w:r>
          </w:p>
        </w:tc>
        <w:tc>
          <w:tcPr>
            <w:tcW w:type="dxa" w:w="777"/>
            <w:tcMar>
              <w:top w:w="50" w:type="dxa"/>
              <w:bottom w:w="50" w:type="dxa"/>
              <w:left w:w="90" w:type="dxa"/>
              <w:right w:w="90" w:type="dxa"/>
            </w:tcMar>
          </w:tcPr>
          <w:p>
            <w:pPr>
              <w:pStyle w:val="BDOITable"/>
            </w:pPr>
            <w:r>
              <w:rPr>
                <w:sz w:val="15"/>
              </w:rPr>
              <w:t>8</w:t>
            </w:r>
          </w:p>
        </w:tc>
        <w:tc>
          <w:tcPr>
            <w:tcW w:type="dxa" w:w="2989"/>
            <w:tcMar>
              <w:top w:w="50" w:type="dxa"/>
              <w:bottom w:w="50" w:type="dxa"/>
              <w:left w:w="90" w:type="dxa"/>
              <w:right w:w="90" w:type="dxa"/>
            </w:tcMar>
          </w:tcPr>
          <w:p>
            <w:pPr>
              <w:pStyle w:val="BDOITable"/>
            </w:pPr>
            <w:r>
              <w:rPr>
                <w:sz w:val="15"/>
              </w:rPr>
              <w:t>Alert test record; dashboard links</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r>
        <w:trPr>
          <w:cantSplit w:val="true"/>
        </w:trPr>
        <w:tc>
          <w:tcPr>
            <w:tcW w:type="dxa" w:w="1136"/>
            <w:tcMar>
              <w:top w:w="50" w:type="dxa"/>
              <w:bottom w:w="50" w:type="dxa"/>
              <w:left w:w="90" w:type="dxa"/>
              <w:right w:w="90" w:type="dxa"/>
            </w:tcMar>
            <w:shd w:val="clear" w:color="auto" w:fill="E5F5FF"/>
          </w:tcPr>
          <w:p>
            <w:pPr>
              <w:pStyle w:val="BDOITable"/>
            </w:pPr>
            <w:r>
              <w:rPr>
                <w:sz w:val="15"/>
              </w:rPr>
              <w:t>T-21</w:t>
            </w:r>
          </w:p>
        </w:tc>
        <w:tc>
          <w:tcPr>
            <w:tcW w:type="dxa" w:w="897"/>
            <w:tcMar>
              <w:top w:w="50" w:type="dxa"/>
              <w:bottom w:w="50" w:type="dxa"/>
              <w:left w:w="90" w:type="dxa"/>
              <w:right w:w="90" w:type="dxa"/>
            </w:tcMar>
            <w:shd w:val="clear" w:color="auto" w:fill="E5F5FF"/>
          </w:tcPr>
          <w:p>
            <w:pPr>
              <w:pStyle w:val="BDOITable"/>
            </w:pPr>
            <w:r>
              <w:rPr>
                <w:sz w:val="15"/>
              </w:rPr>
              <w:t>TC-08</w:t>
            </w:r>
          </w:p>
        </w:tc>
        <w:tc>
          <w:tcPr>
            <w:tcW w:type="dxa" w:w="4544"/>
            <w:tcMar>
              <w:top w:w="50" w:type="dxa"/>
              <w:bottom w:w="50" w:type="dxa"/>
              <w:left w:w="90" w:type="dxa"/>
              <w:right w:w="90" w:type="dxa"/>
            </w:tcMar>
            <w:shd w:val="clear" w:color="auto" w:fill="E5F5FF"/>
          </w:tcPr>
          <w:p>
            <w:pPr>
              <w:pStyle w:val="BDOITable"/>
            </w:pPr>
            <w:r>
              <w:rPr>
                <w:sz w:val="15"/>
              </w:rPr>
              <w:t>Backups - automated backups and point-in-time recovery on; snapshot restore test into an isolated instance; S3 replication and replica lag within 15 minutes</w:t>
            </w:r>
          </w:p>
        </w:tc>
        <w:tc>
          <w:tcPr>
            <w:tcW w:type="dxa" w:w="837"/>
            <w:tcMar>
              <w:top w:w="50" w:type="dxa"/>
              <w:bottom w:w="50" w:type="dxa"/>
              <w:left w:w="90" w:type="dxa"/>
              <w:right w:w="90" w:type="dxa"/>
            </w:tcMar>
            <w:shd w:val="clear" w:color="auto" w:fill="E5F5FF"/>
          </w:tcPr>
          <w:p>
            <w:pPr>
              <w:pStyle w:val="BDOITable"/>
            </w:pPr>
            <w:r>
              <w:rPr>
                <w:sz w:val="15"/>
              </w:rPr>
              <w:t>CLO</w:t>
            </w:r>
          </w:p>
        </w:tc>
        <w:tc>
          <w:tcPr>
            <w:tcW w:type="dxa" w:w="777"/>
            <w:tcMar>
              <w:top w:w="50" w:type="dxa"/>
              <w:bottom w:w="50" w:type="dxa"/>
              <w:left w:w="90" w:type="dxa"/>
              <w:right w:w="90" w:type="dxa"/>
            </w:tcMar>
            <w:shd w:val="clear" w:color="auto" w:fill="E5F5FF"/>
          </w:tcPr>
          <w:p>
            <w:pPr>
              <w:pStyle w:val="BDOITable"/>
            </w:pPr>
            <w:r>
              <w:rPr>
                <w:sz w:val="15"/>
              </w:rPr>
              <w:t>6</w:t>
            </w:r>
          </w:p>
        </w:tc>
        <w:tc>
          <w:tcPr>
            <w:tcW w:type="dxa" w:w="2989"/>
            <w:tcMar>
              <w:top w:w="50" w:type="dxa"/>
              <w:bottom w:w="50" w:type="dxa"/>
              <w:left w:w="90" w:type="dxa"/>
              <w:right w:w="90" w:type="dxa"/>
            </w:tcMar>
            <w:shd w:val="clear" w:color="auto" w:fill="E5F5FF"/>
          </w:tcPr>
          <w:p>
            <w:pPr>
              <w:pStyle w:val="BDOITable"/>
            </w:pPr>
            <w:r>
              <w:rPr>
                <w:sz w:val="15"/>
              </w:rPr>
              <w:t>Restore test record (time, recovery point, row counts)</w:t>
            </w:r>
          </w:p>
        </w:tc>
        <w:tc>
          <w:tcPr>
            <w:tcW w:type="dxa" w:w="1315"/>
            <w:tcMar>
              <w:top w:w="50" w:type="dxa"/>
              <w:bottom w:w="50" w:type="dxa"/>
              <w:left w:w="90" w:type="dxa"/>
              <w:right w:w="90" w:type="dxa"/>
            </w:tcMar>
            <w:shd w:val="clear" w:color="auto" w:fill="E5F5FF"/>
          </w:tcPr>
          <w:p>
            <w:pPr>
              <w:pStyle w:val="BDOITable"/>
            </w:pPr>
          </w:p>
        </w:tc>
        <w:tc>
          <w:tcPr>
            <w:tcW w:type="dxa" w:w="1076"/>
            <w:tcMar>
              <w:top w:w="50" w:type="dxa"/>
              <w:bottom w:w="50" w:type="dxa"/>
              <w:left w:w="90" w:type="dxa"/>
              <w:right w:w="90" w:type="dxa"/>
            </w:tcMar>
            <w:shd w:val="clear" w:color="auto" w:fill="E5F5FF"/>
          </w:tcPr>
          <w:p>
            <w:pPr>
              <w:pStyle w:val="BDOITable"/>
            </w:pPr>
          </w:p>
        </w:tc>
      </w:tr>
      <w:tr>
        <w:trPr>
          <w:cantSplit w:val="true"/>
        </w:trPr>
        <w:tc>
          <w:tcPr>
            <w:tcW w:type="dxa" w:w="1136"/>
            <w:tcMar>
              <w:top w:w="50" w:type="dxa"/>
              <w:bottom w:w="50" w:type="dxa"/>
              <w:left w:w="90" w:type="dxa"/>
              <w:right w:w="90" w:type="dxa"/>
            </w:tcMar>
          </w:tcPr>
          <w:p>
            <w:pPr>
              <w:pStyle w:val="BDOITable"/>
            </w:pPr>
            <w:r>
              <w:rPr>
                <w:sz w:val="15"/>
              </w:rPr>
              <w:t>T-18</w:t>
            </w:r>
          </w:p>
        </w:tc>
        <w:tc>
          <w:tcPr>
            <w:tcW w:type="dxa" w:w="897"/>
            <w:tcMar>
              <w:top w:w="50" w:type="dxa"/>
              <w:bottom w:w="50" w:type="dxa"/>
              <w:left w:w="90" w:type="dxa"/>
              <w:right w:w="90" w:type="dxa"/>
            </w:tcMar>
          </w:tcPr>
          <w:p>
            <w:pPr>
              <w:pStyle w:val="BDOITable"/>
            </w:pPr>
            <w:r>
              <w:rPr>
                <w:sz w:val="15"/>
              </w:rPr>
              <w:t>TC-09</w:t>
            </w:r>
          </w:p>
        </w:tc>
        <w:tc>
          <w:tcPr>
            <w:tcW w:type="dxa" w:w="4544"/>
            <w:tcMar>
              <w:top w:w="50" w:type="dxa"/>
              <w:bottom w:w="50" w:type="dxa"/>
              <w:left w:w="90" w:type="dxa"/>
              <w:right w:w="90" w:type="dxa"/>
            </w:tcMar>
          </w:tcPr>
          <w:p>
            <w:pPr>
              <w:pStyle w:val="BDOITable"/>
            </w:pPr>
            <w:r>
              <w:rPr>
                <w:sz w:val="15"/>
              </w:rPr>
              <w:t>Performance and penetration test findings of severity Critical and High closed or accepted by the Information Security Officer</w:t>
            </w:r>
          </w:p>
        </w:tc>
        <w:tc>
          <w:tcPr>
            <w:tcW w:type="dxa" w:w="837"/>
            <w:tcMar>
              <w:top w:w="50" w:type="dxa"/>
              <w:bottom w:w="50" w:type="dxa"/>
              <w:left w:w="90" w:type="dxa"/>
              <w:right w:w="90" w:type="dxa"/>
            </w:tcMar>
          </w:tcPr>
          <w:p>
            <w:pPr>
              <w:pStyle w:val="BDOITable"/>
            </w:pPr>
            <w:r>
              <w:rPr>
                <w:sz w:val="15"/>
              </w:rPr>
              <w:t>IQA</w:t>
            </w:r>
          </w:p>
        </w:tc>
        <w:tc>
          <w:tcPr>
            <w:tcW w:type="dxa" w:w="777"/>
            <w:tcMar>
              <w:top w:w="50" w:type="dxa"/>
              <w:bottom w:w="50" w:type="dxa"/>
              <w:left w:w="90" w:type="dxa"/>
              <w:right w:w="90" w:type="dxa"/>
            </w:tcMar>
          </w:tcPr>
          <w:p>
            <w:pPr>
              <w:pStyle w:val="BDOITable"/>
            </w:pPr>
            <w:r>
              <w:rPr>
                <w:sz w:val="15"/>
              </w:rPr>
              <w:t>4</w:t>
            </w:r>
          </w:p>
        </w:tc>
        <w:tc>
          <w:tcPr>
            <w:tcW w:type="dxa" w:w="2989"/>
            <w:tcMar>
              <w:top w:w="50" w:type="dxa"/>
              <w:bottom w:w="50" w:type="dxa"/>
              <w:left w:w="90" w:type="dxa"/>
              <w:right w:w="90" w:type="dxa"/>
            </w:tcMar>
          </w:tcPr>
          <w:p>
            <w:pPr>
              <w:pStyle w:val="BDOITable"/>
            </w:pPr>
            <w:r>
              <w:rPr>
                <w:sz w:val="15"/>
              </w:rPr>
              <w:t>Findings register</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r>
        <w:trPr>
          <w:cantSplit w:val="true"/>
        </w:trPr>
        <w:tc>
          <w:tcPr>
            <w:tcW w:type="dxa" w:w="1136"/>
            <w:tcMar>
              <w:top w:w="50" w:type="dxa"/>
              <w:bottom w:w="50" w:type="dxa"/>
              <w:left w:w="90" w:type="dxa"/>
              <w:right w:w="90" w:type="dxa"/>
            </w:tcMar>
            <w:shd w:val="clear" w:color="auto" w:fill="E5F5FF"/>
          </w:tcPr>
          <w:p>
            <w:pPr>
              <w:pStyle w:val="BDOITable"/>
            </w:pPr>
            <w:r>
              <w:rPr>
                <w:sz w:val="15"/>
              </w:rPr>
              <w:t>T-15</w:t>
            </w:r>
          </w:p>
        </w:tc>
        <w:tc>
          <w:tcPr>
            <w:tcW w:type="dxa" w:w="897"/>
            <w:tcMar>
              <w:top w:w="50" w:type="dxa"/>
              <w:bottom w:w="50" w:type="dxa"/>
              <w:left w:w="90" w:type="dxa"/>
              <w:right w:w="90" w:type="dxa"/>
            </w:tcMar>
            <w:shd w:val="clear" w:color="auto" w:fill="E5F5FF"/>
          </w:tcPr>
          <w:p>
            <w:pPr>
              <w:pStyle w:val="BDOITable"/>
            </w:pPr>
            <w:r>
              <w:rPr>
                <w:sz w:val="15"/>
              </w:rPr>
              <w:t>TC-10</w:t>
            </w:r>
          </w:p>
        </w:tc>
        <w:tc>
          <w:tcPr>
            <w:tcW w:type="dxa" w:w="4544"/>
            <w:tcMar>
              <w:top w:w="50" w:type="dxa"/>
              <w:bottom w:w="50" w:type="dxa"/>
              <w:left w:w="90" w:type="dxa"/>
              <w:right w:w="90" w:type="dxa"/>
            </w:tcMar>
            <w:shd w:val="clear" w:color="auto" w:fill="E5F5FF"/>
          </w:tcPr>
          <w:p>
            <w:pPr>
              <w:pStyle w:val="BDOITable"/>
            </w:pPr>
            <w:r>
              <w:rPr>
                <w:sz w:val="15"/>
              </w:rPr>
              <w:t>Production schedules of the scheduled jobs checked against the jobs catalogue (Philippine times, non-production overrides removed, switched-off jobs as planned)</w:t>
            </w:r>
          </w:p>
        </w:tc>
        <w:tc>
          <w:tcPr>
            <w:tcW w:type="dxa" w:w="837"/>
            <w:tcMar>
              <w:top w:w="50" w:type="dxa"/>
              <w:bottom w:w="50" w:type="dxa"/>
              <w:left w:w="90" w:type="dxa"/>
              <w:right w:w="90" w:type="dxa"/>
            </w:tcMar>
            <w:shd w:val="clear" w:color="auto" w:fill="E5F5FF"/>
          </w:tcPr>
          <w:p>
            <w:pPr>
              <w:pStyle w:val="BDOITable"/>
            </w:pPr>
            <w:r>
              <w:rPr>
                <w:sz w:val="15"/>
              </w:rPr>
              <w:t>IDO</w:t>
            </w:r>
          </w:p>
        </w:tc>
        <w:tc>
          <w:tcPr>
            <w:tcW w:type="dxa" w:w="777"/>
            <w:tcMar>
              <w:top w:w="50" w:type="dxa"/>
              <w:bottom w:w="50" w:type="dxa"/>
              <w:left w:w="90" w:type="dxa"/>
              <w:right w:w="90" w:type="dxa"/>
            </w:tcMar>
            <w:shd w:val="clear" w:color="auto" w:fill="E5F5FF"/>
          </w:tcPr>
          <w:p>
            <w:pPr>
              <w:pStyle w:val="BDOITable"/>
            </w:pPr>
            <w:r>
              <w:rPr>
                <w:sz w:val="15"/>
              </w:rPr>
              <w:t>2</w:t>
            </w:r>
          </w:p>
        </w:tc>
        <w:tc>
          <w:tcPr>
            <w:tcW w:type="dxa" w:w="2989"/>
            <w:tcMar>
              <w:top w:w="50" w:type="dxa"/>
              <w:bottom w:w="50" w:type="dxa"/>
              <w:left w:w="90" w:type="dxa"/>
              <w:right w:w="90" w:type="dxa"/>
            </w:tcMar>
            <w:shd w:val="clear" w:color="auto" w:fill="E5F5FF"/>
          </w:tcPr>
          <w:p>
            <w:pPr>
              <w:pStyle w:val="BDOITable"/>
            </w:pPr>
            <w:r>
              <w:rPr>
                <w:sz w:val="15"/>
              </w:rPr>
              <w:t>Job list printed from Scheduled Jobs</w:t>
            </w:r>
          </w:p>
        </w:tc>
        <w:tc>
          <w:tcPr>
            <w:tcW w:type="dxa" w:w="1315"/>
            <w:tcMar>
              <w:top w:w="50" w:type="dxa"/>
              <w:bottom w:w="50" w:type="dxa"/>
              <w:left w:w="90" w:type="dxa"/>
              <w:right w:w="90" w:type="dxa"/>
            </w:tcMar>
            <w:shd w:val="clear" w:color="auto" w:fill="E5F5FF"/>
          </w:tcPr>
          <w:p>
            <w:pPr>
              <w:pStyle w:val="BDOITable"/>
            </w:pPr>
          </w:p>
        </w:tc>
        <w:tc>
          <w:tcPr>
            <w:tcW w:type="dxa" w:w="1076"/>
            <w:tcMar>
              <w:top w:w="50" w:type="dxa"/>
              <w:bottom w:w="50" w:type="dxa"/>
              <w:left w:w="90" w:type="dxa"/>
              <w:right w:w="90" w:type="dxa"/>
            </w:tcMar>
            <w:shd w:val="clear" w:color="auto" w:fill="E5F5FF"/>
          </w:tcPr>
          <w:p>
            <w:pPr>
              <w:pStyle w:val="BDOITable"/>
            </w:pPr>
          </w:p>
        </w:tc>
      </w:tr>
      <w:tr>
        <w:trPr>
          <w:cantSplit w:val="true"/>
        </w:trPr>
        <w:tc>
          <w:tcPr>
            <w:tcW w:type="dxa" w:w="1136"/>
            <w:tcMar>
              <w:top w:w="50" w:type="dxa"/>
              <w:bottom w:w="50" w:type="dxa"/>
              <w:left w:w="90" w:type="dxa"/>
              <w:right w:w="90" w:type="dxa"/>
            </w:tcMar>
          </w:tcPr>
          <w:p>
            <w:pPr>
              <w:pStyle w:val="BDOITable"/>
            </w:pPr>
            <w:r>
              <w:rPr>
                <w:sz w:val="15"/>
              </w:rPr>
              <w:t>T-7</w:t>
            </w:r>
          </w:p>
        </w:tc>
        <w:tc>
          <w:tcPr>
            <w:tcW w:type="dxa" w:w="897"/>
            <w:tcMar>
              <w:top w:w="50" w:type="dxa"/>
              <w:bottom w:w="50" w:type="dxa"/>
              <w:left w:w="90" w:type="dxa"/>
              <w:right w:w="90" w:type="dxa"/>
            </w:tcMar>
          </w:tcPr>
          <w:p>
            <w:pPr>
              <w:pStyle w:val="BDOITable"/>
            </w:pPr>
            <w:r>
              <w:rPr>
                <w:sz w:val="15"/>
              </w:rPr>
              <w:t>TC-11</w:t>
            </w:r>
          </w:p>
        </w:tc>
        <w:tc>
          <w:tcPr>
            <w:tcW w:type="dxa" w:w="4544"/>
            <w:tcMar>
              <w:top w:w="50" w:type="dxa"/>
              <w:bottom w:w="50" w:type="dxa"/>
              <w:left w:w="90" w:type="dxa"/>
              <w:right w:w="90" w:type="dxa"/>
            </w:tcMar>
          </w:tcPr>
          <w:p>
            <w:pPr>
              <w:pStyle w:val="BDOITable"/>
            </w:pPr>
            <w:r>
              <w:rPr>
                <w:sz w:val="15"/>
              </w:rPr>
              <w:t>Production release freeze; configuration baseline exported (parameters, lists of values, accounting rules, workflows, code map versions)</w:t>
            </w:r>
          </w:p>
        </w:tc>
        <w:tc>
          <w:tcPr>
            <w:tcW w:type="dxa" w:w="837"/>
            <w:tcMar>
              <w:top w:w="50" w:type="dxa"/>
              <w:bottom w:w="50" w:type="dxa"/>
              <w:left w:w="90" w:type="dxa"/>
              <w:right w:w="90" w:type="dxa"/>
            </w:tcMar>
          </w:tcPr>
          <w:p>
            <w:pPr>
              <w:pStyle w:val="BDOITable"/>
            </w:pPr>
            <w:r>
              <w:rPr>
                <w:sz w:val="15"/>
              </w:rPr>
              <w:t>IDO</w:t>
            </w:r>
          </w:p>
        </w:tc>
        <w:tc>
          <w:tcPr>
            <w:tcW w:type="dxa" w:w="777"/>
            <w:tcMar>
              <w:top w:w="50" w:type="dxa"/>
              <w:bottom w:w="50" w:type="dxa"/>
              <w:left w:w="90" w:type="dxa"/>
              <w:right w:w="90" w:type="dxa"/>
            </w:tcMar>
          </w:tcPr>
          <w:p>
            <w:pPr>
              <w:pStyle w:val="BDOITable"/>
            </w:pPr>
            <w:r>
              <w:rPr>
                <w:sz w:val="15"/>
              </w:rPr>
              <w:t>2</w:t>
            </w:r>
          </w:p>
        </w:tc>
        <w:tc>
          <w:tcPr>
            <w:tcW w:type="dxa" w:w="2989"/>
            <w:tcMar>
              <w:top w:w="50" w:type="dxa"/>
              <w:bottom w:w="50" w:type="dxa"/>
              <w:left w:w="90" w:type="dxa"/>
              <w:right w:w="90" w:type="dxa"/>
            </w:tcMar>
          </w:tcPr>
          <w:p>
            <w:pPr>
              <w:pStyle w:val="BDOITable"/>
            </w:pPr>
            <w:r>
              <w:rPr>
                <w:sz w:val="15"/>
              </w:rPr>
              <w:t>Baseline export kept with the cutover records</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r>
        <w:trPr>
          <w:cantSplit w:val="true"/>
        </w:trPr>
        <w:tc>
          <w:tcPr>
            <w:tcW w:type="dxa" w:w="1136"/>
            <w:tcMar>
              <w:top w:w="50" w:type="dxa"/>
              <w:bottom w:w="50" w:type="dxa"/>
              <w:left w:w="90" w:type="dxa"/>
              <w:right w:w="90" w:type="dxa"/>
            </w:tcMar>
            <w:shd w:val="clear" w:color="auto" w:fill="E5F5FF"/>
          </w:tcPr>
          <w:p>
            <w:pPr>
              <w:pStyle w:val="BDOITable"/>
            </w:pPr>
            <w:r>
              <w:rPr>
                <w:sz w:val="15"/>
              </w:rPr>
              <w:t>T-3 21:30</w:t>
            </w:r>
          </w:p>
        </w:tc>
        <w:tc>
          <w:tcPr>
            <w:tcW w:type="dxa" w:w="897"/>
            <w:tcMar>
              <w:top w:w="50" w:type="dxa"/>
              <w:bottom w:w="50" w:type="dxa"/>
              <w:left w:w="90" w:type="dxa"/>
              <w:right w:w="90" w:type="dxa"/>
            </w:tcMar>
            <w:shd w:val="clear" w:color="auto" w:fill="E5F5FF"/>
          </w:tcPr>
          <w:p>
            <w:pPr>
              <w:pStyle w:val="BDOITable"/>
            </w:pPr>
            <w:r>
              <w:rPr>
                <w:sz w:val="15"/>
              </w:rPr>
              <w:t>TC-12</w:t>
            </w:r>
          </w:p>
        </w:tc>
        <w:tc>
          <w:tcPr>
            <w:tcW w:type="dxa" w:w="4544"/>
            <w:tcMar>
              <w:top w:w="50" w:type="dxa"/>
              <w:bottom w:w="50" w:type="dxa"/>
              <w:left w:w="90" w:type="dxa"/>
              <w:right w:w="90" w:type="dxa"/>
            </w:tcMar>
            <w:shd w:val="clear" w:color="auto" w:fill="E5F5FF"/>
          </w:tcPr>
          <w:p>
            <w:pPr>
              <w:pStyle w:val="BDOITable"/>
            </w:pPr>
            <w:r>
              <w:rPr>
                <w:sz w:val="15"/>
              </w:rPr>
              <w:t>Hold the scheduled jobs for the load window: the jobs workload is scaled to zero; the Migration Console loads and the integration workload are not affected</w:t>
            </w:r>
          </w:p>
        </w:tc>
        <w:tc>
          <w:tcPr>
            <w:tcW w:type="dxa" w:w="837"/>
            <w:tcMar>
              <w:top w:w="50" w:type="dxa"/>
              <w:bottom w:w="50" w:type="dxa"/>
              <w:left w:w="90" w:type="dxa"/>
              <w:right w:w="90" w:type="dxa"/>
            </w:tcMar>
            <w:shd w:val="clear" w:color="auto" w:fill="E5F5FF"/>
          </w:tcPr>
          <w:p>
            <w:pPr>
              <w:pStyle w:val="BDOITable"/>
            </w:pPr>
            <w:r>
              <w:rPr>
                <w:sz w:val="15"/>
              </w:rPr>
              <w:t>IDO</w:t>
            </w:r>
          </w:p>
        </w:tc>
        <w:tc>
          <w:tcPr>
            <w:tcW w:type="dxa" w:w="777"/>
            <w:tcMar>
              <w:top w:w="50" w:type="dxa"/>
              <w:bottom w:w="50" w:type="dxa"/>
              <w:left w:w="90" w:type="dxa"/>
              <w:right w:w="90" w:type="dxa"/>
            </w:tcMar>
            <w:shd w:val="clear" w:color="auto" w:fill="E5F5FF"/>
          </w:tcPr>
          <w:p>
            <w:pPr>
              <w:pStyle w:val="BDOITable"/>
            </w:pPr>
            <w:r>
              <w:rPr>
                <w:sz w:val="15"/>
              </w:rPr>
              <w:t>0.5</w:t>
            </w:r>
          </w:p>
        </w:tc>
        <w:tc>
          <w:tcPr>
            <w:tcW w:type="dxa" w:w="2989"/>
            <w:tcMar>
              <w:top w:w="50" w:type="dxa"/>
              <w:bottom w:w="50" w:type="dxa"/>
              <w:left w:w="90" w:type="dxa"/>
              <w:right w:w="90" w:type="dxa"/>
            </w:tcMar>
            <w:shd w:val="clear" w:color="auto" w:fill="E5F5FF"/>
          </w:tcPr>
          <w:p>
            <w:pPr>
              <w:pStyle w:val="BDOITable"/>
            </w:pPr>
            <w:r>
              <w:rPr>
                <w:sz w:val="15"/>
              </w:rPr>
              <w:t>Scheduled Jobs shows no run after 21:30</w:t>
            </w:r>
          </w:p>
        </w:tc>
        <w:tc>
          <w:tcPr>
            <w:tcW w:type="dxa" w:w="1315"/>
            <w:tcMar>
              <w:top w:w="50" w:type="dxa"/>
              <w:bottom w:w="50" w:type="dxa"/>
              <w:left w:w="90" w:type="dxa"/>
              <w:right w:w="90" w:type="dxa"/>
            </w:tcMar>
            <w:shd w:val="clear" w:color="auto" w:fill="E5F5FF"/>
          </w:tcPr>
          <w:p>
            <w:pPr>
              <w:pStyle w:val="BDOITable"/>
            </w:pPr>
          </w:p>
        </w:tc>
        <w:tc>
          <w:tcPr>
            <w:tcW w:type="dxa" w:w="1076"/>
            <w:tcMar>
              <w:top w:w="50" w:type="dxa"/>
              <w:bottom w:w="50" w:type="dxa"/>
              <w:left w:w="90" w:type="dxa"/>
              <w:right w:w="90" w:type="dxa"/>
            </w:tcMar>
            <w:shd w:val="clear" w:color="auto" w:fill="E5F5FF"/>
          </w:tcPr>
          <w:p>
            <w:pPr>
              <w:pStyle w:val="BDOITable"/>
            </w:pPr>
          </w:p>
        </w:tc>
      </w:tr>
      <w:tr>
        <w:trPr>
          <w:cantSplit w:val="true"/>
        </w:trPr>
        <w:tc>
          <w:tcPr>
            <w:tcW w:type="dxa" w:w="1136"/>
            <w:tcMar>
              <w:top w:w="50" w:type="dxa"/>
              <w:bottom w:w="50" w:type="dxa"/>
              <w:left w:w="90" w:type="dxa"/>
              <w:right w:w="90" w:type="dxa"/>
            </w:tcMar>
          </w:tcPr>
          <w:p>
            <w:pPr>
              <w:pStyle w:val="BDOITable"/>
            </w:pPr>
            <w:r>
              <w:rPr>
                <w:sz w:val="15"/>
              </w:rPr>
              <w:t>T-2 01:30</w:t>
            </w:r>
          </w:p>
        </w:tc>
        <w:tc>
          <w:tcPr>
            <w:tcW w:type="dxa" w:w="897"/>
            <w:tcMar>
              <w:top w:w="50" w:type="dxa"/>
              <w:bottom w:w="50" w:type="dxa"/>
              <w:left w:w="90" w:type="dxa"/>
              <w:right w:w="90" w:type="dxa"/>
            </w:tcMar>
          </w:tcPr>
          <w:p>
            <w:pPr>
              <w:pStyle w:val="BDOITable"/>
            </w:pPr>
            <w:r>
              <w:rPr>
                <w:sz w:val="15"/>
              </w:rPr>
              <w:t>TC-13</w:t>
            </w:r>
          </w:p>
        </w:tc>
        <w:tc>
          <w:tcPr>
            <w:tcW w:type="dxa" w:w="4544"/>
            <w:tcMar>
              <w:top w:w="50" w:type="dxa"/>
              <w:bottom w:w="50" w:type="dxa"/>
              <w:left w:w="90" w:type="dxa"/>
              <w:right w:w="90" w:type="dxa"/>
            </w:tcMar>
          </w:tcPr>
          <w:p>
            <w:pPr>
              <w:pStyle w:val="BDOITable"/>
            </w:pPr>
            <w:r>
              <w:rPr>
                <w:sz w:val="15"/>
              </w:rPr>
              <w:t>Pre-snapshot checks - no job running, outbox empty, replica lag below 1 minute; then CT-040 takes the rollback point</w:t>
            </w:r>
          </w:p>
        </w:tc>
        <w:tc>
          <w:tcPr>
            <w:tcW w:type="dxa" w:w="837"/>
            <w:tcMar>
              <w:top w:w="50" w:type="dxa"/>
              <w:bottom w:w="50" w:type="dxa"/>
              <w:left w:w="90" w:type="dxa"/>
              <w:right w:w="90" w:type="dxa"/>
            </w:tcMar>
          </w:tcPr>
          <w:p>
            <w:pPr>
              <w:pStyle w:val="BDOITable"/>
            </w:pPr>
            <w:r>
              <w:rPr>
                <w:sz w:val="15"/>
              </w:rPr>
              <w:t>IDO</w:t>
            </w:r>
          </w:p>
        </w:tc>
        <w:tc>
          <w:tcPr>
            <w:tcW w:type="dxa" w:w="777"/>
            <w:tcMar>
              <w:top w:w="50" w:type="dxa"/>
              <w:bottom w:w="50" w:type="dxa"/>
              <w:left w:w="90" w:type="dxa"/>
              <w:right w:w="90" w:type="dxa"/>
            </w:tcMar>
          </w:tcPr>
          <w:p>
            <w:pPr>
              <w:pStyle w:val="BDOITable"/>
            </w:pPr>
            <w:r>
              <w:rPr>
                <w:sz w:val="15"/>
              </w:rPr>
              <w:t>0.5</w:t>
            </w:r>
          </w:p>
        </w:tc>
        <w:tc>
          <w:tcPr>
            <w:tcW w:type="dxa" w:w="2989"/>
            <w:tcMar>
              <w:top w:w="50" w:type="dxa"/>
              <w:bottom w:w="50" w:type="dxa"/>
              <w:left w:w="90" w:type="dxa"/>
              <w:right w:w="90" w:type="dxa"/>
            </w:tcMar>
          </w:tcPr>
          <w:p>
            <w:pPr>
              <w:pStyle w:val="BDOITable"/>
            </w:pPr>
            <w:r>
              <w:rPr>
                <w:sz w:val="15"/>
              </w:rPr>
              <w:t>Check record</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r>
        <w:trPr>
          <w:cantSplit w:val="true"/>
        </w:trPr>
        <w:tc>
          <w:tcPr>
            <w:tcW w:type="dxa" w:w="1136"/>
            <w:tcMar>
              <w:top w:w="50" w:type="dxa"/>
              <w:bottom w:w="50" w:type="dxa"/>
              <w:left w:w="90" w:type="dxa"/>
              <w:right w:w="90" w:type="dxa"/>
            </w:tcMar>
            <w:shd w:val="clear" w:color="auto" w:fill="E5F5FF"/>
          </w:tcPr>
          <w:p>
            <w:pPr>
              <w:pStyle w:val="BDOITable"/>
            </w:pPr>
            <w:r>
              <w:rPr>
                <w:sz w:val="15"/>
              </w:rPr>
              <w:t>T-1 13:00</w:t>
            </w:r>
          </w:p>
        </w:tc>
        <w:tc>
          <w:tcPr>
            <w:tcW w:type="dxa" w:w="897"/>
            <w:tcMar>
              <w:top w:w="50" w:type="dxa"/>
              <w:bottom w:w="50" w:type="dxa"/>
              <w:left w:w="90" w:type="dxa"/>
              <w:right w:w="90" w:type="dxa"/>
            </w:tcMar>
            <w:shd w:val="clear" w:color="auto" w:fill="E5F5FF"/>
          </w:tcPr>
          <w:p>
            <w:pPr>
              <w:pStyle w:val="BDOITable"/>
            </w:pPr>
            <w:r>
              <w:rPr>
                <w:sz w:val="15"/>
              </w:rPr>
              <w:t>TC-14</w:t>
            </w:r>
          </w:p>
        </w:tc>
        <w:tc>
          <w:tcPr>
            <w:tcW w:type="dxa" w:w="4544"/>
            <w:tcMar>
              <w:top w:w="50" w:type="dxa"/>
              <w:bottom w:w="50" w:type="dxa"/>
              <w:left w:w="90" w:type="dxa"/>
              <w:right w:w="90" w:type="dxa"/>
            </w:tcMar>
            <w:shd w:val="clear" w:color="auto" w:fill="E5F5FF"/>
          </w:tcPr>
          <w:p>
            <w:pPr>
              <w:pStyle w:val="BDOITable"/>
            </w:pPr>
            <w:r>
              <w:rPr>
                <w:sz w:val="15"/>
              </w:rPr>
              <w:t>Technical readiness for Monday (with CT-057) - alerts green, backups after the load completed, DR replica in sync, certificates valid for more than 30 days</w:t>
            </w:r>
          </w:p>
        </w:tc>
        <w:tc>
          <w:tcPr>
            <w:tcW w:type="dxa" w:w="837"/>
            <w:tcMar>
              <w:top w:w="50" w:type="dxa"/>
              <w:bottom w:w="50" w:type="dxa"/>
              <w:left w:w="90" w:type="dxa"/>
              <w:right w:w="90" w:type="dxa"/>
            </w:tcMar>
            <w:shd w:val="clear" w:color="auto" w:fill="E5F5FF"/>
          </w:tcPr>
          <w:p>
            <w:pPr>
              <w:pStyle w:val="BDOITable"/>
            </w:pPr>
            <w:r>
              <w:rPr>
                <w:sz w:val="15"/>
              </w:rPr>
              <w:t>IDO</w:t>
            </w:r>
          </w:p>
        </w:tc>
        <w:tc>
          <w:tcPr>
            <w:tcW w:type="dxa" w:w="777"/>
            <w:tcMar>
              <w:top w:w="50" w:type="dxa"/>
              <w:bottom w:w="50" w:type="dxa"/>
              <w:left w:w="90" w:type="dxa"/>
              <w:right w:w="90" w:type="dxa"/>
            </w:tcMar>
            <w:shd w:val="clear" w:color="auto" w:fill="E5F5FF"/>
          </w:tcPr>
          <w:p>
            <w:pPr>
              <w:pStyle w:val="BDOITable"/>
            </w:pPr>
            <w:r>
              <w:rPr>
                <w:sz w:val="15"/>
              </w:rPr>
              <w:t>2</w:t>
            </w:r>
          </w:p>
        </w:tc>
        <w:tc>
          <w:tcPr>
            <w:tcW w:type="dxa" w:w="2989"/>
            <w:tcMar>
              <w:top w:w="50" w:type="dxa"/>
              <w:bottom w:w="50" w:type="dxa"/>
              <w:left w:w="90" w:type="dxa"/>
              <w:right w:w="90" w:type="dxa"/>
            </w:tcMar>
            <w:shd w:val="clear" w:color="auto" w:fill="E5F5FF"/>
          </w:tcPr>
          <w:p>
            <w:pPr>
              <w:pStyle w:val="BDOITable"/>
            </w:pPr>
            <w:r>
              <w:rPr>
                <w:sz w:val="15"/>
              </w:rPr>
              <w:t>Technical readiness record for GNG-3</w:t>
            </w:r>
          </w:p>
        </w:tc>
        <w:tc>
          <w:tcPr>
            <w:tcW w:type="dxa" w:w="1315"/>
            <w:tcMar>
              <w:top w:w="50" w:type="dxa"/>
              <w:bottom w:w="50" w:type="dxa"/>
              <w:left w:w="90" w:type="dxa"/>
              <w:right w:w="90" w:type="dxa"/>
            </w:tcMar>
            <w:shd w:val="clear" w:color="auto" w:fill="E5F5FF"/>
          </w:tcPr>
          <w:p>
            <w:pPr>
              <w:pStyle w:val="BDOITable"/>
            </w:pPr>
          </w:p>
        </w:tc>
        <w:tc>
          <w:tcPr>
            <w:tcW w:type="dxa" w:w="1076"/>
            <w:tcMar>
              <w:top w:w="50" w:type="dxa"/>
              <w:bottom w:w="50" w:type="dxa"/>
              <w:left w:w="90" w:type="dxa"/>
              <w:right w:w="90" w:type="dxa"/>
            </w:tcMar>
            <w:shd w:val="clear" w:color="auto" w:fill="E5F5FF"/>
          </w:tcPr>
          <w:p>
            <w:pPr>
              <w:pStyle w:val="BDOITable"/>
            </w:pPr>
          </w:p>
        </w:tc>
      </w:tr>
      <w:tr>
        <w:trPr>
          <w:cantSplit w:val="true"/>
        </w:trPr>
        <w:tc>
          <w:tcPr>
            <w:tcW w:type="dxa" w:w="1136"/>
            <w:tcMar>
              <w:top w:w="50" w:type="dxa"/>
              <w:bottom w:w="50" w:type="dxa"/>
              <w:left w:w="90" w:type="dxa"/>
              <w:right w:w="90" w:type="dxa"/>
            </w:tcMar>
          </w:tcPr>
          <w:p>
            <w:pPr>
              <w:pStyle w:val="BDOITable"/>
            </w:pPr>
            <w:r>
              <w:rPr>
                <w:sz w:val="15"/>
              </w:rPr>
              <w:t>T 03:30</w:t>
            </w:r>
          </w:p>
        </w:tc>
        <w:tc>
          <w:tcPr>
            <w:tcW w:type="dxa" w:w="897"/>
            <w:tcMar>
              <w:top w:w="50" w:type="dxa"/>
              <w:bottom w:w="50" w:type="dxa"/>
              <w:left w:w="90" w:type="dxa"/>
              <w:right w:w="90" w:type="dxa"/>
            </w:tcMar>
          </w:tcPr>
          <w:p>
            <w:pPr>
              <w:pStyle w:val="BDOITable"/>
            </w:pPr>
            <w:r>
              <w:rPr>
                <w:sz w:val="15"/>
              </w:rPr>
              <w:t>TC-15</w:t>
            </w:r>
          </w:p>
        </w:tc>
        <w:tc>
          <w:tcPr>
            <w:tcW w:type="dxa" w:w="4544"/>
            <w:tcMar>
              <w:top w:w="50" w:type="dxa"/>
              <w:bottom w:w="50" w:type="dxa"/>
              <w:left w:w="90" w:type="dxa"/>
              <w:right w:w="90" w:type="dxa"/>
            </w:tcMar>
          </w:tcPr>
          <w:p>
            <w:pPr>
              <w:pStyle w:val="BDOITable"/>
            </w:pPr>
            <w:r>
              <w:rPr>
                <w:sz w:val="15"/>
              </w:rPr>
              <w:t>Release the job hold - jobs workload scaled back; one-off runs decided at GNG-3 (KYC_REVIEW_DUE and MIG_RUNOFF_SNAPSHOT of 1 January deferred to 3 January 10:00; BOOK rates of January checked by Comptrollership)</w:t>
            </w:r>
          </w:p>
        </w:tc>
        <w:tc>
          <w:tcPr>
            <w:tcW w:type="dxa" w:w="837"/>
            <w:tcMar>
              <w:top w:w="50" w:type="dxa"/>
              <w:bottom w:w="50" w:type="dxa"/>
              <w:left w:w="90" w:type="dxa"/>
              <w:right w:w="90" w:type="dxa"/>
            </w:tcMar>
          </w:tcPr>
          <w:p>
            <w:pPr>
              <w:pStyle w:val="BDOITable"/>
            </w:pPr>
            <w:r>
              <w:rPr>
                <w:sz w:val="15"/>
              </w:rPr>
              <w:t>IDO</w:t>
            </w:r>
          </w:p>
        </w:tc>
        <w:tc>
          <w:tcPr>
            <w:tcW w:type="dxa" w:w="777"/>
            <w:tcMar>
              <w:top w:w="50" w:type="dxa"/>
              <w:bottom w:w="50" w:type="dxa"/>
              <w:left w:w="90" w:type="dxa"/>
              <w:right w:w="90" w:type="dxa"/>
            </w:tcMar>
          </w:tcPr>
          <w:p>
            <w:pPr>
              <w:pStyle w:val="BDOITable"/>
            </w:pPr>
            <w:r>
              <w:rPr>
                <w:sz w:val="15"/>
              </w:rPr>
              <w:t>0.5</w:t>
            </w:r>
          </w:p>
        </w:tc>
        <w:tc>
          <w:tcPr>
            <w:tcW w:type="dxa" w:w="2989"/>
            <w:tcMar>
              <w:top w:w="50" w:type="dxa"/>
              <w:bottom w:w="50" w:type="dxa"/>
              <w:left w:w="90" w:type="dxa"/>
              <w:right w:w="90" w:type="dxa"/>
            </w:tcMar>
          </w:tcPr>
          <w:p>
            <w:pPr>
              <w:pStyle w:val="BDOITable"/>
            </w:pPr>
            <w:r>
              <w:rPr>
                <w:sz w:val="15"/>
              </w:rPr>
              <w:t>Scheduled Jobs shows the next runs</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r>
        <w:trPr>
          <w:cantSplit w:val="true"/>
        </w:trPr>
        <w:tc>
          <w:tcPr>
            <w:tcW w:type="dxa" w:w="1136"/>
            <w:tcMar>
              <w:top w:w="50" w:type="dxa"/>
              <w:bottom w:w="50" w:type="dxa"/>
              <w:left w:w="90" w:type="dxa"/>
              <w:right w:w="90" w:type="dxa"/>
            </w:tcMar>
            <w:shd w:val="clear" w:color="auto" w:fill="E5F5FF"/>
          </w:tcPr>
          <w:p>
            <w:pPr>
              <w:pStyle w:val="BDOITable"/>
            </w:pPr>
            <w:r>
              <w:rPr>
                <w:sz w:val="15"/>
              </w:rPr>
              <w:t>T 05:30</w:t>
            </w:r>
          </w:p>
        </w:tc>
        <w:tc>
          <w:tcPr>
            <w:tcW w:type="dxa" w:w="897"/>
            <w:tcMar>
              <w:top w:w="50" w:type="dxa"/>
              <w:bottom w:w="50" w:type="dxa"/>
              <w:left w:w="90" w:type="dxa"/>
              <w:right w:w="90" w:type="dxa"/>
            </w:tcMar>
            <w:shd w:val="clear" w:color="auto" w:fill="E5F5FF"/>
          </w:tcPr>
          <w:p>
            <w:pPr>
              <w:pStyle w:val="BDOITable"/>
            </w:pPr>
            <w:r>
              <w:rPr>
                <w:sz w:val="15"/>
              </w:rPr>
              <w:t>TC-16</w:t>
            </w:r>
          </w:p>
        </w:tc>
        <w:tc>
          <w:tcPr>
            <w:tcW w:type="dxa" w:w="4544"/>
            <w:tcMar>
              <w:top w:w="50" w:type="dxa"/>
              <w:bottom w:w="50" w:type="dxa"/>
              <w:left w:w="90" w:type="dxa"/>
              <w:right w:w="90" w:type="dxa"/>
            </w:tcMar>
            <w:shd w:val="clear" w:color="auto" w:fill="E5F5FF"/>
          </w:tcPr>
          <w:p>
            <w:pPr>
              <w:pStyle w:val="BDOITable"/>
            </w:pPr>
            <w:r>
              <w:rPr>
                <w:sz w:val="15"/>
              </w:rPr>
              <w:t>Synthetic checks green; error-budget clock starts at 06:00; L1 and L2 queues staffed</w:t>
            </w:r>
          </w:p>
        </w:tc>
        <w:tc>
          <w:tcPr>
            <w:tcW w:type="dxa" w:w="837"/>
            <w:tcMar>
              <w:top w:w="50" w:type="dxa"/>
              <w:bottom w:w="50" w:type="dxa"/>
              <w:left w:w="90" w:type="dxa"/>
              <w:right w:w="90" w:type="dxa"/>
            </w:tcMar>
            <w:shd w:val="clear" w:color="auto" w:fill="E5F5FF"/>
          </w:tcPr>
          <w:p>
            <w:pPr>
              <w:pStyle w:val="BDOITable"/>
            </w:pPr>
            <w:r>
              <w:rPr>
                <w:sz w:val="15"/>
              </w:rPr>
              <w:t>IDO</w:t>
            </w:r>
          </w:p>
        </w:tc>
        <w:tc>
          <w:tcPr>
            <w:tcW w:type="dxa" w:w="777"/>
            <w:tcMar>
              <w:top w:w="50" w:type="dxa"/>
              <w:bottom w:w="50" w:type="dxa"/>
              <w:left w:w="90" w:type="dxa"/>
              <w:right w:w="90" w:type="dxa"/>
            </w:tcMar>
            <w:shd w:val="clear" w:color="auto" w:fill="E5F5FF"/>
          </w:tcPr>
          <w:p>
            <w:pPr>
              <w:pStyle w:val="BDOITable"/>
            </w:pPr>
            <w:r>
              <w:rPr>
                <w:sz w:val="15"/>
              </w:rPr>
              <w:t>0.5</w:t>
            </w:r>
          </w:p>
        </w:tc>
        <w:tc>
          <w:tcPr>
            <w:tcW w:type="dxa" w:w="2989"/>
            <w:tcMar>
              <w:top w:w="50" w:type="dxa"/>
              <w:bottom w:w="50" w:type="dxa"/>
              <w:left w:w="90" w:type="dxa"/>
              <w:right w:w="90" w:type="dxa"/>
            </w:tcMar>
            <w:shd w:val="clear" w:color="auto" w:fill="E5F5FF"/>
          </w:tcPr>
          <w:p>
            <w:pPr>
              <w:pStyle w:val="BDOITable"/>
            </w:pPr>
            <w:r>
              <w:rPr>
                <w:sz w:val="15"/>
              </w:rPr>
              <w:t>Dashboard screenshot in the cutover records</w:t>
            </w:r>
          </w:p>
        </w:tc>
        <w:tc>
          <w:tcPr>
            <w:tcW w:type="dxa" w:w="1315"/>
            <w:tcMar>
              <w:top w:w="50" w:type="dxa"/>
              <w:bottom w:w="50" w:type="dxa"/>
              <w:left w:w="90" w:type="dxa"/>
              <w:right w:w="90" w:type="dxa"/>
            </w:tcMar>
            <w:shd w:val="clear" w:color="auto" w:fill="E5F5FF"/>
          </w:tcPr>
          <w:p>
            <w:pPr>
              <w:pStyle w:val="BDOITable"/>
            </w:pPr>
          </w:p>
        </w:tc>
        <w:tc>
          <w:tcPr>
            <w:tcW w:type="dxa" w:w="1076"/>
            <w:tcMar>
              <w:top w:w="50" w:type="dxa"/>
              <w:bottom w:w="50" w:type="dxa"/>
              <w:left w:w="90" w:type="dxa"/>
              <w:right w:w="90" w:type="dxa"/>
            </w:tcMar>
            <w:shd w:val="clear" w:color="auto" w:fill="E5F5FF"/>
          </w:tcPr>
          <w:p>
            <w:pPr>
              <w:pStyle w:val="BDOITable"/>
            </w:pPr>
          </w:p>
        </w:tc>
      </w:tr>
      <w:tr>
        <w:trPr>
          <w:cantSplit w:val="true"/>
        </w:trPr>
        <w:tc>
          <w:tcPr>
            <w:tcW w:type="dxa" w:w="1136"/>
            <w:tcMar>
              <w:top w:w="50" w:type="dxa"/>
              <w:bottom w:w="50" w:type="dxa"/>
              <w:left w:w="90" w:type="dxa"/>
              <w:right w:w="90" w:type="dxa"/>
            </w:tcMar>
          </w:tcPr>
          <w:p>
            <w:pPr>
              <w:pStyle w:val="BDOITable"/>
            </w:pPr>
            <w:r>
              <w:rPr>
                <w:sz w:val="15"/>
              </w:rPr>
              <w:t>T+1 07:00</w:t>
            </w:r>
          </w:p>
        </w:tc>
        <w:tc>
          <w:tcPr>
            <w:tcW w:type="dxa" w:w="897"/>
            <w:tcMar>
              <w:top w:w="50" w:type="dxa"/>
              <w:bottom w:w="50" w:type="dxa"/>
              <w:left w:w="90" w:type="dxa"/>
              <w:right w:w="90" w:type="dxa"/>
            </w:tcMar>
          </w:tcPr>
          <w:p>
            <w:pPr>
              <w:pStyle w:val="BDOITable"/>
            </w:pPr>
            <w:r>
              <w:rPr>
                <w:sz w:val="15"/>
              </w:rPr>
              <w:t>TC-17</w:t>
            </w:r>
          </w:p>
        </w:tc>
        <w:tc>
          <w:tcPr>
            <w:tcW w:type="dxa" w:w="4544"/>
            <w:tcMar>
              <w:top w:w="50" w:type="dxa"/>
              <w:bottom w:w="50" w:type="dxa"/>
              <w:left w:w="90" w:type="dxa"/>
              <w:right w:w="90" w:type="dxa"/>
            </w:tcMar>
          </w:tcPr>
          <w:p>
            <w:pPr>
              <w:pStyle w:val="BDOITable"/>
            </w:pPr>
            <w:r>
              <w:rPr>
                <w:sz w:val="15"/>
              </w:rPr>
              <w:t>First daily operations check of the runbook (jobs of the night, alerts, backups, replication, certificates)</w:t>
            </w:r>
          </w:p>
        </w:tc>
        <w:tc>
          <w:tcPr>
            <w:tcW w:type="dxa" w:w="837"/>
            <w:tcMar>
              <w:top w:w="50" w:type="dxa"/>
              <w:bottom w:w="50" w:type="dxa"/>
              <w:left w:w="90" w:type="dxa"/>
              <w:right w:w="90" w:type="dxa"/>
            </w:tcMar>
          </w:tcPr>
          <w:p>
            <w:pPr>
              <w:pStyle w:val="BDOITable"/>
            </w:pPr>
            <w:r>
              <w:rPr>
                <w:sz w:val="15"/>
              </w:rPr>
              <w:t>IDO</w:t>
            </w:r>
          </w:p>
        </w:tc>
        <w:tc>
          <w:tcPr>
            <w:tcW w:type="dxa" w:w="777"/>
            <w:tcMar>
              <w:top w:w="50" w:type="dxa"/>
              <w:bottom w:w="50" w:type="dxa"/>
              <w:left w:w="90" w:type="dxa"/>
              <w:right w:w="90" w:type="dxa"/>
            </w:tcMar>
          </w:tcPr>
          <w:p>
            <w:pPr>
              <w:pStyle w:val="BDOITable"/>
            </w:pPr>
            <w:r>
              <w:rPr>
                <w:sz w:val="15"/>
              </w:rPr>
              <w:t>1</w:t>
            </w:r>
          </w:p>
        </w:tc>
        <w:tc>
          <w:tcPr>
            <w:tcW w:type="dxa" w:w="2989"/>
            <w:tcMar>
              <w:top w:w="50" w:type="dxa"/>
              <w:bottom w:w="50" w:type="dxa"/>
              <w:left w:w="90" w:type="dxa"/>
              <w:right w:w="90" w:type="dxa"/>
            </w:tcMar>
          </w:tcPr>
          <w:p>
            <w:pPr>
              <w:pStyle w:val="BDOITable"/>
            </w:pPr>
            <w:r>
              <w:rPr>
                <w:sz w:val="15"/>
              </w:rPr>
              <w:t>Daily operations check record</w:t>
            </w:r>
          </w:p>
        </w:tc>
        <w:tc>
          <w:tcPr>
            <w:tcW w:type="dxa" w:w="1315"/>
            <w:tcMar>
              <w:top w:w="50" w:type="dxa"/>
              <w:bottom w:w="50" w:type="dxa"/>
              <w:left w:w="90" w:type="dxa"/>
              <w:right w:w="90" w:type="dxa"/>
            </w:tcMar>
          </w:tcPr>
          <w:p>
            <w:pPr>
              <w:pStyle w:val="BDOITable"/>
            </w:pPr>
          </w:p>
        </w:tc>
        <w:tc>
          <w:tcPr>
            <w:tcW w:type="dxa" w:w="1076"/>
            <w:tcMar>
              <w:top w:w="50" w:type="dxa"/>
              <w:bottom w:w="50" w:type="dxa"/>
              <w:left w:w="90" w:type="dxa"/>
              <w:right w:w="90" w:type="dxa"/>
            </w:tcMar>
          </w:tcPr>
          <w:p>
            <w:pPr>
              <w:pStyle w:val="BDOITable"/>
            </w:pPr>
          </w:p>
        </w:tc>
      </w:tr>
    </w:tbl>
    <w:p>
      <w:pPr>
        <w:pStyle w:val="BDOISpacer"/>
      </w:pPr>
    </w:p>
    <w:p>
      <w:pPr>
        <w:pStyle w:val="Heading2"/>
      </w:pPr>
      <w:bookmarkStart w:id="127" w:name="_Toc000127"/>
      <w:r>
        <w:rPr/>
        <w:t>8.5 Freeze windows</w:t>
      </w:r>
      <w:bookmarkEnd w:id="127"/>
    </w:p>
    <w:p>
      <w:pPr>
        <w:pStyle w:val="Caption"/>
        <w:keepNext/>
        <w:spacing w:after="60"/>
      </w:pPr>
      <w:r>
        <w:rPr>
          <w:b/>
          <w:i w:val="0"/>
        </w:rPr>
        <w:t xml:space="preserve">Table 14: </w:t>
      </w:r>
      <w:r>
        <w:rPr/>
        <w:t>Freeze windows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6"/>
        <w:gridCol w:w="2126"/>
        <w:gridCol w:w="1798"/>
        <w:gridCol w:w="4252"/>
        <w:gridCol w:w="3270"/>
      </w:tblGrid>
      <w:tr>
        <w:trPr>
          <w:tblHeader w:val="true"/>
          <w:cantSplit w:val="true"/>
        </w:trPr>
        <w:tc>
          <w:tcPr>
            <w:tcW w:type="dxa" w:w="2126"/>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2126"/>
            <w:shd w:val="clear" w:color="auto" w:fill="004EA8"/>
            <w:tcMar>
              <w:top w:w="50" w:type="dxa"/>
              <w:bottom w:w="50" w:type="dxa"/>
              <w:left w:w="90" w:type="dxa"/>
              <w:right w:w="90" w:type="dxa"/>
            </w:tcMar>
            <w:vAlign w:val="center"/>
          </w:tcPr>
          <w:p>
            <w:pPr>
              <w:pStyle w:val="BDOITableHeader"/>
            </w:pPr>
            <w:r>
              <w:rPr>
                <w:b/>
                <w:color w:val="FFFFFF"/>
                <w:sz w:val="16"/>
              </w:rPr>
              <w:t>Freeze from</w:t>
            </w:r>
          </w:p>
        </w:tc>
        <w:tc>
          <w:tcPr>
            <w:tcW w:type="dxa" w:w="1799"/>
            <w:shd w:val="clear" w:color="auto" w:fill="004EA8"/>
            <w:tcMar>
              <w:top w:w="50" w:type="dxa"/>
              <w:bottom w:w="50" w:type="dxa"/>
              <w:left w:w="90" w:type="dxa"/>
              <w:right w:w="90" w:type="dxa"/>
            </w:tcMar>
            <w:vAlign w:val="center"/>
          </w:tcPr>
          <w:p>
            <w:pPr>
              <w:pStyle w:val="BDOITableHeader"/>
            </w:pPr>
            <w:r>
              <w:rPr>
                <w:b/>
                <w:color w:val="FFFFFF"/>
                <w:sz w:val="16"/>
              </w:rPr>
              <w:t>Until</w:t>
            </w:r>
          </w:p>
        </w:tc>
        <w:tc>
          <w:tcPr>
            <w:tcW w:type="dxa" w:w="4251"/>
            <w:shd w:val="clear" w:color="auto" w:fill="004EA8"/>
            <w:tcMar>
              <w:top w:w="50" w:type="dxa"/>
              <w:bottom w:w="50" w:type="dxa"/>
              <w:left w:w="90" w:type="dxa"/>
              <w:right w:w="90" w:type="dxa"/>
            </w:tcMar>
            <w:vAlign w:val="center"/>
          </w:tcPr>
          <w:p>
            <w:pPr>
              <w:pStyle w:val="BDOITableHeader"/>
            </w:pPr>
            <w:r>
              <w:rPr>
                <w:b/>
                <w:color w:val="FFFFFF"/>
                <w:sz w:val="16"/>
              </w:rPr>
              <w:t>What is frozen</w:t>
            </w:r>
          </w:p>
        </w:tc>
        <w:tc>
          <w:tcPr>
            <w:tcW w:type="dxa" w:w="3270"/>
            <w:shd w:val="clear" w:color="auto" w:fill="004EA8"/>
            <w:tcMar>
              <w:top w:w="50" w:type="dxa"/>
              <w:bottom w:w="50" w:type="dxa"/>
              <w:left w:w="90" w:type="dxa"/>
              <w:right w:w="90" w:type="dxa"/>
            </w:tcMar>
            <w:vAlign w:val="center"/>
          </w:tcPr>
          <w:p>
            <w:pPr>
              <w:pStyle w:val="BDOITableHeader"/>
            </w:pPr>
            <w:r>
              <w:rPr>
                <w:b/>
                <w:color w:val="FFFFFF"/>
                <w:sz w:val="16"/>
              </w:rPr>
              <w:t>Exception route</w:t>
            </w:r>
          </w:p>
        </w:tc>
      </w:tr>
      <w:tr>
        <w:trPr>
          <w:cantSplit w:val="true"/>
        </w:trPr>
        <w:tc>
          <w:tcPr>
            <w:tcW w:type="dxa" w:w="2126"/>
            <w:tcMar>
              <w:top w:w="50" w:type="dxa"/>
              <w:bottom w:w="50" w:type="dxa"/>
              <w:left w:w="90" w:type="dxa"/>
              <w:right w:w="90" w:type="dxa"/>
            </w:tcMar>
          </w:tcPr>
          <w:p>
            <w:pPr>
              <w:pStyle w:val="BDOITable"/>
            </w:pPr>
            <w:r>
              <w:rPr>
                <w:b/>
                <w:sz w:val="16"/>
              </w:rPr>
              <w:t>Reference data</w:t>
            </w:r>
          </w:p>
        </w:tc>
        <w:tc>
          <w:tcPr>
            <w:tcW w:type="dxa" w:w="2126"/>
            <w:tcMar>
              <w:top w:w="50" w:type="dxa"/>
              <w:bottom w:w="50" w:type="dxa"/>
              <w:left w:w="90" w:type="dxa"/>
              <w:right w:w="90" w:type="dxa"/>
            </w:tcMar>
          </w:tcPr>
          <w:p>
            <w:pPr>
              <w:pStyle w:val="BDOITable"/>
            </w:pPr>
            <w:r>
              <w:rPr>
                <w:sz w:val="16"/>
              </w:rPr>
              <w:t>T-7 (map freeze)</w:t>
            </w:r>
          </w:p>
        </w:tc>
        <w:tc>
          <w:tcPr>
            <w:tcW w:type="dxa" w:w="1799"/>
            <w:tcMar>
              <w:top w:w="50" w:type="dxa"/>
              <w:bottom w:w="50" w:type="dxa"/>
              <w:left w:w="90" w:type="dxa"/>
              <w:right w:w="90" w:type="dxa"/>
            </w:tcMar>
          </w:tcPr>
          <w:p>
            <w:pPr>
              <w:pStyle w:val="BDOITable"/>
            </w:pPr>
            <w:r>
              <w:rPr>
                <w:sz w:val="16"/>
              </w:rPr>
              <w:t>Go-live</w:t>
            </w:r>
          </w:p>
        </w:tc>
        <w:tc>
          <w:tcPr>
            <w:tcW w:type="dxa" w:w="4251"/>
            <w:tcMar>
              <w:top w:w="50" w:type="dxa"/>
              <w:bottom w:w="50" w:type="dxa"/>
              <w:left w:w="90" w:type="dxa"/>
              <w:right w:w="90" w:type="dxa"/>
            </w:tcMar>
          </w:tcPr>
          <w:p>
            <w:pPr>
              <w:pStyle w:val="BDOITable"/>
            </w:pPr>
            <w:r>
              <w:rPr>
                <w:sz w:val="16"/>
              </w:rPr>
              <w:t>Insurers, products, risk codes, packages, AOs, branches, LOVs in EBIX and QPS</w:t>
            </w:r>
          </w:p>
        </w:tc>
        <w:tc>
          <w:tcPr>
            <w:tcW w:type="dxa" w:w="3270"/>
            <w:tcMar>
              <w:top w:w="50" w:type="dxa"/>
              <w:bottom w:w="50" w:type="dxa"/>
              <w:left w:w="90" w:type="dxa"/>
              <w:right w:w="90" w:type="dxa"/>
            </w:tcMar>
          </w:tcPr>
          <w:p>
            <w:pPr>
              <w:pStyle w:val="BDOITable"/>
            </w:pPr>
            <w:r>
              <w:rPr>
                <w:sz w:val="16"/>
              </w:rPr>
              <w:t>Change request approved by the data owner; new code map version; delta load of R objects</w:t>
            </w:r>
          </w:p>
        </w:tc>
      </w:tr>
      <w:tr>
        <w:trPr>
          <w:cantSplit w:val="true"/>
        </w:trPr>
        <w:tc>
          <w:tcPr>
            <w:tcW w:type="dxa" w:w="2126"/>
            <w:tcMar>
              <w:top w:w="50" w:type="dxa"/>
              <w:bottom w:w="50" w:type="dxa"/>
              <w:left w:w="90" w:type="dxa"/>
              <w:right w:w="90" w:type="dxa"/>
            </w:tcMar>
            <w:shd w:val="clear" w:color="auto" w:fill="E5F5FF"/>
          </w:tcPr>
          <w:p>
            <w:pPr>
              <w:pStyle w:val="BDOITable"/>
            </w:pPr>
            <w:r>
              <w:rPr>
                <w:b/>
                <w:sz w:val="16"/>
              </w:rPr>
              <w:t>Client master</w:t>
            </w:r>
          </w:p>
        </w:tc>
        <w:tc>
          <w:tcPr>
            <w:tcW w:type="dxa" w:w="2126"/>
            <w:tcMar>
              <w:top w:w="50" w:type="dxa"/>
              <w:bottom w:w="50" w:type="dxa"/>
              <w:left w:w="90" w:type="dxa"/>
              <w:right w:w="90" w:type="dxa"/>
            </w:tcMar>
            <w:shd w:val="clear" w:color="auto" w:fill="E5F5FF"/>
          </w:tcPr>
          <w:p>
            <w:pPr>
              <w:pStyle w:val="BDOITable"/>
            </w:pPr>
            <w:r>
              <w:rPr>
                <w:sz w:val="16"/>
              </w:rPr>
              <w:t>T-3 22:00 (last delta)</w:t>
            </w:r>
          </w:p>
        </w:tc>
        <w:tc>
          <w:tcPr>
            <w:tcW w:type="dxa" w:w="1799"/>
            <w:tcMar>
              <w:top w:w="50" w:type="dxa"/>
              <w:bottom w:w="50" w:type="dxa"/>
              <w:left w:w="90" w:type="dxa"/>
              <w:right w:w="90" w:type="dxa"/>
            </w:tcMar>
            <w:shd w:val="clear" w:color="auto" w:fill="E5F5FF"/>
          </w:tcPr>
          <w:p>
            <w:pPr>
              <w:pStyle w:val="BDOITable"/>
            </w:pPr>
            <w:r>
              <w:rPr>
                <w:sz w:val="16"/>
              </w:rPr>
              <w:t>Go-live</w:t>
            </w:r>
          </w:p>
        </w:tc>
        <w:tc>
          <w:tcPr>
            <w:tcW w:type="dxa" w:w="4251"/>
            <w:tcMar>
              <w:top w:w="50" w:type="dxa"/>
              <w:bottom w:w="50" w:type="dxa"/>
              <w:left w:w="90" w:type="dxa"/>
              <w:right w:w="90" w:type="dxa"/>
            </w:tcMar>
            <w:shd w:val="clear" w:color="auto" w:fill="E5F5FF"/>
          </w:tcPr>
          <w:p>
            <w:pPr>
              <w:pStyle w:val="BDOITable"/>
            </w:pPr>
            <w:r>
              <w:rPr>
                <w:sz w:val="16"/>
              </w:rPr>
              <w:t>New and changed clients in QPS / EBIX / CMS</w:t>
            </w:r>
          </w:p>
        </w:tc>
        <w:tc>
          <w:tcPr>
            <w:tcW w:type="dxa" w:w="3270"/>
            <w:tcMar>
              <w:top w:w="50" w:type="dxa"/>
              <w:bottom w:w="50" w:type="dxa"/>
              <w:left w:w="90" w:type="dxa"/>
              <w:right w:w="90" w:type="dxa"/>
            </w:tcMar>
            <w:shd w:val="clear" w:color="auto" w:fill="E5F5FF"/>
          </w:tcPr>
          <w:p>
            <w:pPr>
              <w:pStyle w:val="BDOITable"/>
            </w:pPr>
            <w:r>
              <w:rPr>
                <w:sz w:val="16"/>
              </w:rPr>
              <w:t>None after the freeze; changes keyed in BIBS after go-live</w:t>
            </w:r>
          </w:p>
        </w:tc>
      </w:tr>
      <w:tr>
        <w:trPr>
          <w:cantSplit w:val="true"/>
        </w:trPr>
        <w:tc>
          <w:tcPr>
            <w:tcW w:type="dxa" w:w="2126"/>
            <w:tcMar>
              <w:top w:w="50" w:type="dxa"/>
              <w:bottom w:w="50" w:type="dxa"/>
              <w:left w:w="90" w:type="dxa"/>
              <w:right w:w="90" w:type="dxa"/>
            </w:tcMar>
          </w:tcPr>
          <w:p>
            <w:pPr>
              <w:pStyle w:val="BDOITable"/>
            </w:pPr>
            <w:r>
              <w:rPr>
                <w:b/>
                <w:sz w:val="16"/>
              </w:rPr>
              <w:t>Business transactions</w:t>
            </w:r>
          </w:p>
        </w:tc>
        <w:tc>
          <w:tcPr>
            <w:tcW w:type="dxa" w:w="2126"/>
            <w:tcMar>
              <w:top w:w="50" w:type="dxa"/>
              <w:bottom w:w="50" w:type="dxa"/>
              <w:left w:w="90" w:type="dxa"/>
              <w:right w:w="90" w:type="dxa"/>
            </w:tcMar>
          </w:tcPr>
          <w:p>
            <w:pPr>
              <w:pStyle w:val="BDOITable"/>
            </w:pPr>
            <w:r>
              <w:rPr>
                <w:sz w:val="16"/>
              </w:rPr>
              <w:t>T-3 22:00 (after the last legacy EOD)</w:t>
            </w:r>
          </w:p>
        </w:tc>
        <w:tc>
          <w:tcPr>
            <w:tcW w:type="dxa" w:w="1799"/>
            <w:tcMar>
              <w:top w:w="50" w:type="dxa"/>
              <w:bottom w:w="50" w:type="dxa"/>
              <w:left w:w="90" w:type="dxa"/>
              <w:right w:w="90" w:type="dxa"/>
            </w:tcMar>
          </w:tcPr>
          <w:p>
            <w:pPr>
              <w:pStyle w:val="BDOITable"/>
            </w:pPr>
            <w:r>
              <w:rPr>
                <w:sz w:val="16"/>
              </w:rPr>
              <w:t>Go-live</w:t>
            </w:r>
          </w:p>
        </w:tc>
        <w:tc>
          <w:tcPr>
            <w:tcW w:type="dxa" w:w="4251"/>
            <w:tcMar>
              <w:top w:w="50" w:type="dxa"/>
              <w:bottom w:w="50" w:type="dxa"/>
              <w:left w:w="90" w:type="dxa"/>
              <w:right w:w="90" w:type="dxa"/>
            </w:tcMar>
          </w:tcPr>
          <w:p>
            <w:pPr>
              <w:pStyle w:val="BDOITable"/>
            </w:pPr>
            <w:r>
              <w:rPr>
                <w:sz w:val="16"/>
              </w:rPr>
              <w:t>All postings of the business modules of EBIX, QPS, CMS - bookings, receipts, UPP, dispositions, remittances, endorsements; GL journals other than the FY2027 adjustments</w:t>
            </w:r>
          </w:p>
        </w:tc>
        <w:tc>
          <w:tcPr>
            <w:tcW w:type="dxa" w:w="3270"/>
            <w:tcMar>
              <w:top w:w="50" w:type="dxa"/>
              <w:bottom w:w="50" w:type="dxa"/>
              <w:left w:w="90" w:type="dxa"/>
              <w:right w:w="90" w:type="dxa"/>
            </w:tcMar>
          </w:tcPr>
          <w:p>
            <w:pPr>
              <w:pStyle w:val="BDOITable"/>
            </w:pPr>
            <w:r>
              <w:rPr>
                <w:sz w:val="16"/>
              </w:rPr>
              <w:t>None; an urgent item is recorded on paper and keyed in BIBS on T</w:t>
            </w:r>
          </w:p>
        </w:tc>
      </w:tr>
      <w:tr>
        <w:trPr>
          <w:cantSplit w:val="true"/>
        </w:trPr>
        <w:tc>
          <w:tcPr>
            <w:tcW w:type="dxa" w:w="2126"/>
            <w:tcMar>
              <w:top w:w="50" w:type="dxa"/>
              <w:bottom w:w="50" w:type="dxa"/>
              <w:left w:w="90" w:type="dxa"/>
              <w:right w:w="90" w:type="dxa"/>
            </w:tcMar>
            <w:shd w:val="clear" w:color="auto" w:fill="E5F5FF"/>
          </w:tcPr>
          <w:p>
            <w:pPr>
              <w:pStyle w:val="BDOITable"/>
            </w:pPr>
            <w:r>
              <w:rPr>
                <w:b/>
                <w:sz w:val="16"/>
              </w:rPr>
              <w:t>Legacy GL (FY2027 adjustments)</w:t>
            </w:r>
          </w:p>
        </w:tc>
        <w:tc>
          <w:tcPr>
            <w:tcW w:type="dxa" w:w="2126"/>
            <w:tcMar>
              <w:top w:w="50" w:type="dxa"/>
              <w:bottom w:w="50" w:type="dxa"/>
              <w:left w:w="90" w:type="dxa"/>
              <w:right w:w="90" w:type="dxa"/>
            </w:tcMar>
            <w:shd w:val="clear" w:color="auto" w:fill="E5F5FF"/>
          </w:tcPr>
          <w:p>
            <w:pPr>
              <w:pStyle w:val="BDOITable"/>
            </w:pPr>
            <w:r>
              <w:rPr>
                <w:sz w:val="16"/>
              </w:rPr>
              <w:t>T-3 22:00</w:t>
            </w:r>
          </w:p>
        </w:tc>
        <w:tc>
          <w:tcPr>
            <w:tcW w:type="dxa" w:w="1799"/>
            <w:tcMar>
              <w:top w:w="50" w:type="dxa"/>
              <w:bottom w:w="50" w:type="dxa"/>
              <w:left w:w="90" w:type="dxa"/>
              <w:right w:w="90" w:type="dxa"/>
            </w:tcMar>
            <w:shd w:val="clear" w:color="auto" w:fill="E5F5FF"/>
          </w:tcPr>
          <w:p>
            <w:pPr>
              <w:pStyle w:val="BDOITable"/>
            </w:pPr>
            <w:r>
              <w:rPr>
                <w:sz w:val="16"/>
              </w:rPr>
              <w:t>Legacy GL lock (T+106)</w:t>
            </w:r>
          </w:p>
        </w:tc>
        <w:tc>
          <w:tcPr>
            <w:tcW w:type="dxa" w:w="4251"/>
            <w:tcMar>
              <w:top w:w="50" w:type="dxa"/>
              <w:bottom w:w="50" w:type="dxa"/>
              <w:left w:w="90" w:type="dxa"/>
              <w:right w:w="90" w:type="dxa"/>
            </w:tcMar>
            <w:shd w:val="clear" w:color="auto" w:fill="E5F5FF"/>
          </w:tcPr>
          <w:p>
            <w:pPr>
              <w:pStyle w:val="BDOITable"/>
            </w:pPr>
            <w:r>
              <w:rPr>
                <w:sz w:val="16"/>
              </w:rPr>
              <w:t>Only FY2027 closing and audit adjustments, by the Comptrollership users on the signed access list; FY2028 periods never opened in legacy; no new business</w:t>
            </w:r>
          </w:p>
        </w:tc>
        <w:tc>
          <w:tcPr>
            <w:tcW w:type="dxa" w:w="3270"/>
            <w:tcMar>
              <w:top w:w="50" w:type="dxa"/>
              <w:bottom w:w="50" w:type="dxa"/>
              <w:left w:w="90" w:type="dxa"/>
              <w:right w:w="90" w:type="dxa"/>
            </w:tcMar>
            <w:shd w:val="clear" w:color="auto" w:fill="E5F5FF"/>
          </w:tcPr>
          <w:p>
            <w:pPr>
              <w:pStyle w:val="BDOITable"/>
            </w:pPr>
            <w:r>
              <w:rPr>
                <w:sz w:val="16"/>
              </w:rPr>
              <w:t>Each journal in the FY2027 adjustment register; it reaches BIBS in the next true-up</w:t>
            </w:r>
          </w:p>
        </w:tc>
      </w:tr>
      <w:tr>
        <w:trPr>
          <w:cantSplit w:val="true"/>
        </w:trPr>
        <w:tc>
          <w:tcPr>
            <w:tcW w:type="dxa" w:w="2126"/>
            <w:tcMar>
              <w:top w:w="50" w:type="dxa"/>
              <w:bottom w:w="50" w:type="dxa"/>
              <w:left w:w="90" w:type="dxa"/>
              <w:right w:w="90" w:type="dxa"/>
            </w:tcMar>
          </w:tcPr>
          <w:p>
            <w:pPr>
              <w:pStyle w:val="BDOITable"/>
            </w:pPr>
            <w:r>
              <w:rPr>
                <w:b/>
                <w:sz w:val="16"/>
              </w:rPr>
              <w:t>BIBS configuration</w:t>
            </w:r>
          </w:p>
        </w:tc>
        <w:tc>
          <w:tcPr>
            <w:tcW w:type="dxa" w:w="2126"/>
            <w:tcMar>
              <w:top w:w="50" w:type="dxa"/>
              <w:bottom w:w="50" w:type="dxa"/>
              <w:left w:w="90" w:type="dxa"/>
              <w:right w:w="90" w:type="dxa"/>
            </w:tcMar>
          </w:tcPr>
          <w:p>
            <w:pPr>
              <w:pStyle w:val="BDOITable"/>
            </w:pPr>
            <w:r>
              <w:rPr>
                <w:sz w:val="16"/>
              </w:rPr>
              <w:t>T-2 00:00</w:t>
            </w:r>
          </w:p>
        </w:tc>
        <w:tc>
          <w:tcPr>
            <w:tcW w:type="dxa" w:w="1799"/>
            <w:tcMar>
              <w:top w:w="50" w:type="dxa"/>
              <w:bottom w:w="50" w:type="dxa"/>
              <w:left w:w="90" w:type="dxa"/>
              <w:right w:w="90" w:type="dxa"/>
            </w:tcMar>
          </w:tcPr>
          <w:p>
            <w:pPr>
              <w:pStyle w:val="BDOITable"/>
            </w:pPr>
            <w:r>
              <w:rPr>
                <w:sz w:val="16"/>
              </w:rPr>
              <w:t>T+3</w:t>
            </w:r>
          </w:p>
        </w:tc>
        <w:tc>
          <w:tcPr>
            <w:tcW w:type="dxa" w:w="4251"/>
            <w:tcMar>
              <w:top w:w="50" w:type="dxa"/>
              <w:bottom w:w="50" w:type="dxa"/>
              <w:left w:w="90" w:type="dxa"/>
              <w:right w:w="90" w:type="dxa"/>
            </w:tcMar>
          </w:tcPr>
          <w:p>
            <w:pPr>
              <w:pStyle w:val="BDOITable"/>
            </w:pPr>
            <w:r>
              <w:rPr>
                <w:sz w:val="16"/>
              </w:rPr>
              <w:t>Parameters, accounting rules, code maps, workflows in production</w:t>
            </w:r>
          </w:p>
        </w:tc>
        <w:tc>
          <w:tcPr>
            <w:tcW w:type="dxa" w:w="3270"/>
            <w:tcMar>
              <w:top w:w="50" w:type="dxa"/>
              <w:bottom w:w="50" w:type="dxa"/>
              <w:left w:w="90" w:type="dxa"/>
              <w:right w:w="90" w:type="dxa"/>
            </w:tcMar>
          </w:tcPr>
          <w:p>
            <w:pPr>
              <w:pStyle w:val="BDOITable"/>
            </w:pPr>
            <w:r>
              <w:rPr>
                <w:sz w:val="16"/>
              </w:rPr>
              <w:t>Emergency change approved by the go / no-go board</w:t>
            </w:r>
          </w:p>
        </w:tc>
      </w:tr>
      <w:tr>
        <w:trPr>
          <w:cantSplit w:val="true"/>
        </w:trPr>
        <w:tc>
          <w:tcPr>
            <w:tcW w:type="dxa" w:w="2126"/>
            <w:tcMar>
              <w:top w:w="50" w:type="dxa"/>
              <w:bottom w:w="50" w:type="dxa"/>
              <w:left w:w="90" w:type="dxa"/>
              <w:right w:w="90" w:type="dxa"/>
            </w:tcMar>
            <w:shd w:val="clear" w:color="auto" w:fill="E5F5FF"/>
          </w:tcPr>
          <w:p>
            <w:pPr>
              <w:pStyle w:val="BDOITable"/>
            </w:pPr>
            <w:r>
              <w:rPr>
                <w:b/>
                <w:sz w:val="16"/>
              </w:rPr>
              <w:t>BIBS releases</w:t>
            </w:r>
          </w:p>
        </w:tc>
        <w:tc>
          <w:tcPr>
            <w:tcW w:type="dxa" w:w="2126"/>
            <w:tcMar>
              <w:top w:w="50" w:type="dxa"/>
              <w:bottom w:w="50" w:type="dxa"/>
              <w:left w:w="90" w:type="dxa"/>
              <w:right w:w="90" w:type="dxa"/>
            </w:tcMar>
            <w:shd w:val="clear" w:color="auto" w:fill="E5F5FF"/>
          </w:tcPr>
          <w:p>
            <w:pPr>
              <w:pStyle w:val="BDOITable"/>
            </w:pPr>
            <w:r>
              <w:rPr>
                <w:sz w:val="16"/>
              </w:rPr>
              <w:t>T-7</w:t>
            </w:r>
          </w:p>
        </w:tc>
        <w:tc>
          <w:tcPr>
            <w:tcW w:type="dxa" w:w="1799"/>
            <w:tcMar>
              <w:top w:w="50" w:type="dxa"/>
              <w:bottom w:w="50" w:type="dxa"/>
              <w:left w:w="90" w:type="dxa"/>
              <w:right w:w="90" w:type="dxa"/>
            </w:tcMar>
            <w:shd w:val="clear" w:color="auto" w:fill="E5F5FF"/>
          </w:tcPr>
          <w:p>
            <w:pPr>
              <w:pStyle w:val="BDOITable"/>
            </w:pPr>
            <w:r>
              <w:rPr>
                <w:sz w:val="16"/>
              </w:rPr>
              <w:t>T+14</w:t>
            </w:r>
          </w:p>
        </w:tc>
        <w:tc>
          <w:tcPr>
            <w:tcW w:type="dxa" w:w="4251"/>
            <w:tcMar>
              <w:top w:w="50" w:type="dxa"/>
              <w:bottom w:w="50" w:type="dxa"/>
              <w:left w:w="90" w:type="dxa"/>
              <w:right w:w="90" w:type="dxa"/>
            </w:tcMar>
            <w:shd w:val="clear" w:color="auto" w:fill="E5F5FF"/>
          </w:tcPr>
          <w:p>
            <w:pPr>
              <w:pStyle w:val="BDOITable"/>
            </w:pPr>
            <w:r>
              <w:rPr>
                <w:sz w:val="16"/>
              </w:rPr>
              <w:t>Deployments to production</w:t>
            </w:r>
          </w:p>
        </w:tc>
        <w:tc>
          <w:tcPr>
            <w:tcW w:type="dxa" w:w="3270"/>
            <w:tcMar>
              <w:top w:w="50" w:type="dxa"/>
              <w:bottom w:w="50" w:type="dxa"/>
              <w:left w:w="90" w:type="dxa"/>
              <w:right w:w="90" w:type="dxa"/>
            </w:tcMar>
            <w:shd w:val="clear" w:color="auto" w:fill="E5F5FF"/>
          </w:tcPr>
          <w:p>
            <w:pPr>
              <w:pStyle w:val="BDOITable"/>
            </w:pPr>
            <w:r>
              <w:rPr>
                <w:sz w:val="16"/>
              </w:rPr>
              <w:t>Hotfix of a Critical issue approved by the go / no-go board</w:t>
            </w:r>
          </w:p>
        </w:tc>
      </w:tr>
    </w:tbl>
    <w:p>
      <w:pPr>
        <w:pStyle w:val="BDOISpacer"/>
      </w:pPr>
    </w:p>
    <w:p>
      <w:pPr>
        <w:sectPr>
          <w:headerReference w:type="default" r:id="rId17"/>
          <w:footerReference w:type="default" r:id="rId18"/>
          <w:headerReference w:type="first" r:id="rId19"/>
          <w:footerReference w:type="first" r:id="rId2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28" w:name="_Toc000128"/>
      <w:r>
        <w:rPr/>
        <w:t>9 Rollback plan</w:t>
      </w:r>
      <w:bookmarkEnd w:id="128"/>
    </w:p>
    <w:p>
      <w:pPr>
        <w:pStyle w:val="Heading2"/>
      </w:pPr>
      <w:bookmarkStart w:id="129" w:name="_Toc000129"/>
      <w:r>
        <w:rPr/>
        <w:t>9.1 Rollback point and decision</w:t>
      </w:r>
      <w:bookmarkEnd w:id="129"/>
    </w:p>
    <w:p>
      <w:r>
        <w:rPr/>
        <w:t>The rollback returns BDOI to legacy with no loss of data. The rollback point is the full backup (snapshot) of production taken at T-2 02:00 (CT-040), before any open item, header or trial balance is loaded; reference data and clients pre-loaded before it stay loaded and are harmless because legacy stays the system of record until go-live. The rollback is available until the point of no return, the end-of-day review on T at 18:00 (DMQ32). It is decided by the go / no-go board at GNG-3 (NO-GO), or before T 18:00 when a failure is judged unrecoverable. The rollback was rehearsed in dress rehearsal 1 and must complete within 6 hours (CT-060), so that legacy opens for business on Monday at 08:00.</w:t>
      </w:r>
    </w:p>
    <w:p>
      <w:pPr>
        <w:pStyle w:val="Heading2"/>
      </w:pPr>
      <w:bookmarkStart w:id="130" w:name="_Toc000130"/>
      <w:r>
        <w:rPr/>
        <w:t>9.2 Steps</w:t>
      </w:r>
      <w:bookmarkEnd w:id="130"/>
    </w:p>
    <w:p>
      <w:pPr>
        <w:pStyle w:val="Caption"/>
        <w:keepNext/>
        <w:spacing w:after="60"/>
      </w:pPr>
      <w:r>
        <w:rPr>
          <w:b/>
          <w:i w:val="0"/>
        </w:rPr>
        <w:t xml:space="preserve">Table 15: </w:t>
      </w:r>
      <w:r>
        <w:rPr/>
        <w:t>Rollback steps (until T 18:00)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1441"/>
        <w:gridCol w:w="6849"/>
        <w:gridCol w:w="90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Action</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What is done</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781"/>
            <w:tcMar>
              <w:top w:w="50" w:type="dxa"/>
              <w:bottom w:w="50" w:type="dxa"/>
              <w:left w:w="90" w:type="dxa"/>
              <w:right w:w="90" w:type="dxa"/>
            </w:tcMar>
          </w:tcPr>
          <w:p>
            <w:pPr>
              <w:pStyle w:val="BDOITable"/>
            </w:pPr>
            <w:r>
              <w:rPr>
                <w:b/>
                <w:sz w:val="17"/>
              </w:rPr>
              <w:t>RB-1</w:t>
            </w:r>
          </w:p>
        </w:tc>
        <w:tc>
          <w:tcPr>
            <w:tcW w:type="dxa" w:w="1442"/>
            <w:tcMar>
              <w:top w:w="50" w:type="dxa"/>
              <w:bottom w:w="50" w:type="dxa"/>
              <w:left w:w="90" w:type="dxa"/>
              <w:right w:w="90" w:type="dxa"/>
            </w:tcMar>
          </w:tcPr>
          <w:p>
            <w:pPr>
              <w:pStyle w:val="BDOITable"/>
            </w:pPr>
            <w:r>
              <w:rPr>
                <w:sz w:val="17"/>
              </w:rPr>
              <w:t>Stop</w:t>
            </w:r>
          </w:p>
        </w:tc>
        <w:tc>
          <w:tcPr>
            <w:tcW w:type="dxa" w:w="6848"/>
            <w:tcMar>
              <w:top w:w="50" w:type="dxa"/>
              <w:bottom w:w="50" w:type="dxa"/>
              <w:left w:w="90" w:type="dxa"/>
              <w:right w:w="90" w:type="dxa"/>
            </w:tcMar>
          </w:tcPr>
          <w:p>
            <w:pPr>
              <w:pStyle w:val="BDOITable"/>
            </w:pPr>
            <w:r>
              <w:rPr>
                <w:sz w:val="17"/>
              </w:rPr>
              <w:t>The go / no-go board records NO-GO (or a failure before T 18:00 that the board judges unrecoverable). The Program Manager announces the rollback on the bridge.</w:t>
            </w:r>
          </w:p>
        </w:tc>
        <w:tc>
          <w:tcPr>
            <w:tcW w:type="dxa" w:w="901"/>
            <w:tcMar>
              <w:top w:w="50" w:type="dxa"/>
              <w:bottom w:w="50" w:type="dxa"/>
              <w:left w:w="90" w:type="dxa"/>
              <w:right w:w="90" w:type="dxa"/>
            </w:tcMar>
          </w:tcPr>
          <w:p>
            <w:pPr>
              <w:pStyle w:val="BDOITable"/>
            </w:pPr>
            <w:r>
              <w:rPr>
                <w:sz w:val="17"/>
              </w:rPr>
              <w:t>GNG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7"/>
              </w:rPr>
              <w:t>RB-2</w:t>
            </w:r>
          </w:p>
        </w:tc>
        <w:tc>
          <w:tcPr>
            <w:tcW w:type="dxa" w:w="1442"/>
            <w:tcMar>
              <w:top w:w="50" w:type="dxa"/>
              <w:bottom w:w="50" w:type="dxa"/>
              <w:left w:w="90" w:type="dxa"/>
              <w:right w:w="90" w:type="dxa"/>
            </w:tcMar>
            <w:shd w:val="clear" w:color="auto" w:fill="E5F5FF"/>
          </w:tcPr>
          <w:p>
            <w:pPr>
              <w:pStyle w:val="BDOITable"/>
            </w:pPr>
            <w:r>
              <w:rPr>
                <w:sz w:val="17"/>
              </w:rPr>
              <w:t>Lock BIBS</w:t>
            </w:r>
          </w:p>
        </w:tc>
        <w:tc>
          <w:tcPr>
            <w:tcW w:type="dxa" w:w="6848"/>
            <w:tcMar>
              <w:top w:w="50" w:type="dxa"/>
              <w:bottom w:w="50" w:type="dxa"/>
              <w:left w:w="90" w:type="dxa"/>
              <w:right w:w="90" w:type="dxa"/>
            </w:tcMar>
            <w:shd w:val="clear" w:color="auto" w:fill="E5F5FF"/>
          </w:tcPr>
          <w:p>
            <w:pPr>
              <w:pStyle w:val="BDOITable"/>
            </w:pPr>
            <w:r>
              <w:rPr>
                <w:sz w:val="17"/>
              </w:rPr>
              <w:t>Disable business logins to BIBS; stop the scheduled jobs (payment automatch, payment file uploads, Renewal extraction, e-mail dispatch).</w:t>
            </w:r>
          </w:p>
        </w:tc>
        <w:tc>
          <w:tcPr>
            <w:tcW w:type="dxa" w:w="901"/>
            <w:tcMar>
              <w:top w:w="50" w:type="dxa"/>
              <w:bottom w:w="50" w:type="dxa"/>
              <w:left w:w="90" w:type="dxa"/>
              <w:right w:w="90" w:type="dxa"/>
            </w:tcMar>
            <w:shd w:val="clear" w:color="auto" w:fill="E5F5FF"/>
          </w:tcPr>
          <w:p>
            <w:pPr>
              <w:pStyle w:val="BDOITable"/>
            </w:pPr>
            <w:r>
              <w:rPr>
                <w:sz w:val="17"/>
              </w:rPr>
              <w:t>IDO</w:t>
            </w:r>
          </w:p>
        </w:tc>
      </w:tr>
      <w:tr>
        <w:trPr>
          <w:cantSplit w:val="true"/>
        </w:trPr>
        <w:tc>
          <w:tcPr>
            <w:tcW w:type="dxa" w:w="781"/>
            <w:tcMar>
              <w:top w:w="50" w:type="dxa"/>
              <w:bottom w:w="50" w:type="dxa"/>
              <w:left w:w="90" w:type="dxa"/>
              <w:right w:w="90" w:type="dxa"/>
            </w:tcMar>
          </w:tcPr>
          <w:p>
            <w:pPr>
              <w:pStyle w:val="BDOITable"/>
            </w:pPr>
            <w:r>
              <w:rPr>
                <w:b/>
                <w:sz w:val="17"/>
              </w:rPr>
              <w:t>RB-3</w:t>
            </w:r>
          </w:p>
        </w:tc>
        <w:tc>
          <w:tcPr>
            <w:tcW w:type="dxa" w:w="1442"/>
            <w:tcMar>
              <w:top w:w="50" w:type="dxa"/>
              <w:bottom w:w="50" w:type="dxa"/>
              <w:left w:w="90" w:type="dxa"/>
              <w:right w:w="90" w:type="dxa"/>
            </w:tcMar>
          </w:tcPr>
          <w:p>
            <w:pPr>
              <w:pStyle w:val="BDOITable"/>
            </w:pPr>
            <w:r>
              <w:rPr>
                <w:sz w:val="17"/>
              </w:rPr>
              <w:t>Capture</w:t>
            </w:r>
          </w:p>
        </w:tc>
        <w:tc>
          <w:tcPr>
            <w:tcW w:type="dxa" w:w="6848"/>
            <w:tcMar>
              <w:top w:w="50" w:type="dxa"/>
              <w:bottom w:w="50" w:type="dxa"/>
              <w:left w:w="90" w:type="dxa"/>
              <w:right w:w="90" w:type="dxa"/>
            </w:tcMar>
          </w:tcPr>
          <w:p>
            <w:pPr>
              <w:pStyle w:val="BDOITable"/>
            </w:pPr>
            <w:r>
              <w:rPr>
                <w:sz w:val="17"/>
              </w:rPr>
              <w:t>If business transactions were keyed in BIBS after 08:00 on T, export them (receipts, applications, bookings) with the Cutover Runbook Status report and the Operations reports for re-keying in legacy.</w:t>
            </w:r>
          </w:p>
        </w:tc>
        <w:tc>
          <w:tcPr>
            <w:tcW w:type="dxa" w:w="901"/>
            <w:tcMar>
              <w:top w:w="50" w:type="dxa"/>
              <w:bottom w:w="50" w:type="dxa"/>
              <w:left w:w="90" w:type="dxa"/>
              <w:right w:w="90" w:type="dxa"/>
            </w:tcMar>
          </w:tcPr>
          <w:p>
            <w:pPr>
              <w:pStyle w:val="BDOITable"/>
            </w:pPr>
            <w:r>
              <w:rPr>
                <w:sz w:val="17"/>
              </w:rPr>
              <w:t>IML</w:t>
            </w:r>
          </w:p>
        </w:tc>
      </w:tr>
      <w:tr>
        <w:trPr>
          <w:cantSplit w:val="true"/>
        </w:trPr>
        <w:tc>
          <w:tcPr>
            <w:tcW w:type="dxa" w:w="781"/>
            <w:tcMar>
              <w:top w:w="50" w:type="dxa"/>
              <w:bottom w:w="50" w:type="dxa"/>
              <w:left w:w="90" w:type="dxa"/>
              <w:right w:w="90" w:type="dxa"/>
            </w:tcMar>
            <w:shd w:val="clear" w:color="auto" w:fill="E5F5FF"/>
          </w:tcPr>
          <w:p>
            <w:pPr>
              <w:pStyle w:val="BDOITable"/>
            </w:pPr>
            <w:r>
              <w:rPr>
                <w:b/>
                <w:sz w:val="17"/>
              </w:rPr>
              <w:t>RB-4</w:t>
            </w:r>
          </w:p>
        </w:tc>
        <w:tc>
          <w:tcPr>
            <w:tcW w:type="dxa" w:w="1442"/>
            <w:tcMar>
              <w:top w:w="50" w:type="dxa"/>
              <w:bottom w:w="50" w:type="dxa"/>
              <w:left w:w="90" w:type="dxa"/>
              <w:right w:w="90" w:type="dxa"/>
            </w:tcMar>
            <w:shd w:val="clear" w:color="auto" w:fill="E5F5FF"/>
          </w:tcPr>
          <w:p>
            <w:pPr>
              <w:pStyle w:val="BDOITable"/>
            </w:pPr>
            <w:r>
              <w:rPr>
                <w:sz w:val="17"/>
              </w:rPr>
              <w:t>Restore</w:t>
            </w:r>
          </w:p>
        </w:tc>
        <w:tc>
          <w:tcPr>
            <w:tcW w:type="dxa" w:w="6848"/>
            <w:tcMar>
              <w:top w:w="50" w:type="dxa"/>
              <w:bottom w:w="50" w:type="dxa"/>
              <w:left w:w="90" w:type="dxa"/>
              <w:right w:w="90" w:type="dxa"/>
            </w:tcMar>
            <w:shd w:val="clear" w:color="auto" w:fill="E5F5FF"/>
          </w:tcPr>
          <w:p>
            <w:pPr>
              <w:pStyle w:val="BDOITable"/>
            </w:pPr>
            <w:r>
              <w:rPr>
                <w:sz w:val="17"/>
              </w:rPr>
              <w:t>Restore production to the rollback-point backup (CT-040); restore the stored attachments of the same time; verify the restore (record counts of the key records, application start).</w:t>
            </w:r>
          </w:p>
        </w:tc>
        <w:tc>
          <w:tcPr>
            <w:tcW w:type="dxa" w:w="901"/>
            <w:tcMar>
              <w:top w:w="50" w:type="dxa"/>
              <w:bottom w:w="50" w:type="dxa"/>
              <w:left w:w="90" w:type="dxa"/>
              <w:right w:w="90" w:type="dxa"/>
            </w:tcMar>
            <w:shd w:val="clear" w:color="auto" w:fill="E5F5FF"/>
          </w:tcPr>
          <w:p>
            <w:pPr>
              <w:pStyle w:val="BDOITable"/>
            </w:pPr>
            <w:r>
              <w:rPr>
                <w:sz w:val="17"/>
              </w:rPr>
              <w:t>IDO</w:t>
            </w:r>
          </w:p>
        </w:tc>
      </w:tr>
      <w:tr>
        <w:trPr>
          <w:cantSplit w:val="true"/>
        </w:trPr>
        <w:tc>
          <w:tcPr>
            <w:tcW w:type="dxa" w:w="781"/>
            <w:tcMar>
              <w:top w:w="50" w:type="dxa"/>
              <w:bottom w:w="50" w:type="dxa"/>
              <w:left w:w="90" w:type="dxa"/>
              <w:right w:w="90" w:type="dxa"/>
            </w:tcMar>
          </w:tcPr>
          <w:p>
            <w:pPr>
              <w:pStyle w:val="BDOITable"/>
            </w:pPr>
            <w:r>
              <w:rPr>
                <w:b/>
                <w:sz w:val="17"/>
              </w:rPr>
              <w:t>RB-5</w:t>
            </w:r>
          </w:p>
        </w:tc>
        <w:tc>
          <w:tcPr>
            <w:tcW w:type="dxa" w:w="1442"/>
            <w:tcMar>
              <w:top w:w="50" w:type="dxa"/>
              <w:bottom w:w="50" w:type="dxa"/>
              <w:left w:w="90" w:type="dxa"/>
              <w:right w:w="90" w:type="dxa"/>
            </w:tcMar>
          </w:tcPr>
          <w:p>
            <w:pPr>
              <w:pStyle w:val="BDOITable"/>
            </w:pPr>
            <w:r>
              <w:rPr>
                <w:sz w:val="17"/>
              </w:rPr>
              <w:t>Reopen legacy</w:t>
            </w:r>
          </w:p>
        </w:tc>
        <w:tc>
          <w:tcPr>
            <w:tcW w:type="dxa" w:w="6848"/>
            <w:tcMar>
              <w:top w:w="50" w:type="dxa"/>
              <w:bottom w:w="50" w:type="dxa"/>
              <w:left w:w="90" w:type="dxa"/>
              <w:right w:w="90" w:type="dxa"/>
            </w:tcMar>
          </w:tcPr>
          <w:p>
            <w:pPr>
              <w:pStyle w:val="BDOITable"/>
            </w:pPr>
            <w:r>
              <w:rPr>
                <w:sz w:val="17"/>
              </w:rPr>
              <w:t>Set EBIX, QPS and CMS back to read-write; lift the GL restriction; re-enable the legacy batch jobs; confirm the last legacy EOD is intact.</w:t>
            </w:r>
          </w:p>
        </w:tc>
        <w:tc>
          <w:tcPr>
            <w:tcW w:type="dxa" w:w="901"/>
            <w:tcMar>
              <w:top w:w="50" w:type="dxa"/>
              <w:bottom w:w="50" w:type="dxa"/>
              <w:left w:w="90" w:type="dxa"/>
              <w:right w:w="90" w:type="dxa"/>
            </w:tcMar>
          </w:tcPr>
          <w:p>
            <w:pPr>
              <w:pStyle w:val="BDOITable"/>
            </w:pPr>
            <w:r>
              <w:rPr>
                <w:sz w:val="17"/>
              </w:rPr>
              <w:t>BIT</w:t>
            </w:r>
          </w:p>
        </w:tc>
      </w:tr>
      <w:tr>
        <w:trPr>
          <w:cantSplit w:val="true"/>
        </w:trPr>
        <w:tc>
          <w:tcPr>
            <w:tcW w:type="dxa" w:w="781"/>
            <w:tcMar>
              <w:top w:w="50" w:type="dxa"/>
              <w:bottom w:w="50" w:type="dxa"/>
              <w:left w:w="90" w:type="dxa"/>
              <w:right w:w="90" w:type="dxa"/>
            </w:tcMar>
            <w:shd w:val="clear" w:color="auto" w:fill="E5F5FF"/>
          </w:tcPr>
          <w:p>
            <w:pPr>
              <w:pStyle w:val="BDOITable"/>
            </w:pPr>
            <w:r>
              <w:rPr>
                <w:b/>
                <w:sz w:val="17"/>
              </w:rPr>
              <w:t>RB-6</w:t>
            </w:r>
          </w:p>
        </w:tc>
        <w:tc>
          <w:tcPr>
            <w:tcW w:type="dxa" w:w="1442"/>
            <w:tcMar>
              <w:top w:w="50" w:type="dxa"/>
              <w:bottom w:w="50" w:type="dxa"/>
              <w:left w:w="90" w:type="dxa"/>
              <w:right w:w="90" w:type="dxa"/>
            </w:tcMar>
            <w:shd w:val="clear" w:color="auto" w:fill="E5F5FF"/>
          </w:tcPr>
          <w:p>
            <w:pPr>
              <w:pStyle w:val="BDOITable"/>
            </w:pPr>
            <w:r>
              <w:rPr>
                <w:sz w:val="17"/>
              </w:rPr>
              <w:t>Re-key</w:t>
            </w:r>
          </w:p>
        </w:tc>
        <w:tc>
          <w:tcPr>
            <w:tcW w:type="dxa" w:w="6848"/>
            <w:tcMar>
              <w:top w:w="50" w:type="dxa"/>
              <w:bottom w:w="50" w:type="dxa"/>
              <w:left w:w="90" w:type="dxa"/>
              <w:right w:w="90" w:type="dxa"/>
            </w:tcMar>
            <w:shd w:val="clear" w:color="auto" w:fill="E5F5FF"/>
          </w:tcPr>
          <w:p>
            <w:pPr>
              <w:pStyle w:val="BDOITable"/>
            </w:pPr>
            <w:r>
              <w:rPr>
                <w:sz w:val="17"/>
              </w:rPr>
              <w:t>Operations re-keys in legacy the transactions captured in RB-3, with the BIBS AR numbers voided in the receipt register.</w:t>
            </w:r>
          </w:p>
        </w:tc>
        <w:tc>
          <w:tcPr>
            <w:tcW w:type="dxa" w:w="901"/>
            <w:tcMar>
              <w:top w:w="50" w:type="dxa"/>
              <w:bottom w:w="50" w:type="dxa"/>
              <w:left w:w="90" w:type="dxa"/>
              <w:right w:w="90" w:type="dxa"/>
            </w:tcMar>
            <w:shd w:val="clear" w:color="auto" w:fill="E5F5FF"/>
          </w:tcPr>
          <w:p>
            <w:pPr>
              <w:pStyle w:val="BDOITable"/>
            </w:pPr>
            <w:r>
              <w:rPr>
                <w:sz w:val="17"/>
              </w:rPr>
              <w:t>OPS</w:t>
            </w:r>
          </w:p>
        </w:tc>
      </w:tr>
      <w:tr>
        <w:trPr>
          <w:cantSplit w:val="true"/>
        </w:trPr>
        <w:tc>
          <w:tcPr>
            <w:tcW w:type="dxa" w:w="781"/>
            <w:tcMar>
              <w:top w:w="50" w:type="dxa"/>
              <w:bottom w:w="50" w:type="dxa"/>
              <w:left w:w="90" w:type="dxa"/>
              <w:right w:w="90" w:type="dxa"/>
            </w:tcMar>
          </w:tcPr>
          <w:p>
            <w:pPr>
              <w:pStyle w:val="BDOITable"/>
            </w:pPr>
            <w:r>
              <w:rPr>
                <w:b/>
                <w:sz w:val="17"/>
              </w:rPr>
              <w:t>RB-7</w:t>
            </w:r>
          </w:p>
        </w:tc>
        <w:tc>
          <w:tcPr>
            <w:tcW w:type="dxa" w:w="1442"/>
            <w:tcMar>
              <w:top w:w="50" w:type="dxa"/>
              <w:bottom w:w="50" w:type="dxa"/>
              <w:left w:w="90" w:type="dxa"/>
              <w:right w:w="90" w:type="dxa"/>
            </w:tcMar>
          </w:tcPr>
          <w:p>
            <w:pPr>
              <w:pStyle w:val="BDOITable"/>
            </w:pPr>
            <w:r>
              <w:rPr>
                <w:sz w:val="17"/>
              </w:rPr>
              <w:t>Communicate</w:t>
            </w:r>
          </w:p>
        </w:tc>
        <w:tc>
          <w:tcPr>
            <w:tcW w:type="dxa" w:w="6848"/>
            <w:tcMar>
              <w:top w:w="50" w:type="dxa"/>
              <w:bottom w:w="50" w:type="dxa"/>
              <w:left w:w="90" w:type="dxa"/>
              <w:right w:w="90" w:type="dxa"/>
            </w:tcMar>
          </w:tcPr>
          <w:p>
            <w:pPr>
              <w:pStyle w:val="BDOITable"/>
            </w:pPr>
            <w:r>
              <w:rPr>
                <w:sz w:val="17"/>
              </w:rPr>
              <w:t>Send the rollback notice to users, branches, insurers and bank channels (communication plan item 7).</w:t>
            </w:r>
          </w:p>
        </w:tc>
        <w:tc>
          <w:tcPr>
            <w:tcW w:type="dxa" w:w="901"/>
            <w:tcMar>
              <w:top w:w="50" w:type="dxa"/>
              <w:bottom w:w="50" w:type="dxa"/>
              <w:left w:w="90" w:type="dxa"/>
              <w:right w:w="90" w:type="dxa"/>
            </w:tcMar>
          </w:tcPr>
          <w:p>
            <w:pPr>
              <w:pStyle w:val="BDOITable"/>
            </w:pPr>
            <w:r>
              <w:rPr>
                <w:sz w:val="17"/>
              </w:rPr>
              <w:t>PM</w:t>
            </w:r>
          </w:p>
        </w:tc>
      </w:tr>
      <w:tr>
        <w:trPr>
          <w:cantSplit w:val="true"/>
        </w:trPr>
        <w:tc>
          <w:tcPr>
            <w:tcW w:type="dxa" w:w="781"/>
            <w:tcMar>
              <w:top w:w="50" w:type="dxa"/>
              <w:bottom w:w="50" w:type="dxa"/>
              <w:left w:w="90" w:type="dxa"/>
              <w:right w:w="90" w:type="dxa"/>
            </w:tcMar>
            <w:shd w:val="clear" w:color="auto" w:fill="E5F5FF"/>
          </w:tcPr>
          <w:p>
            <w:pPr>
              <w:pStyle w:val="BDOITable"/>
            </w:pPr>
            <w:r>
              <w:rPr>
                <w:b/>
                <w:sz w:val="17"/>
              </w:rPr>
              <w:t>RB-8</w:t>
            </w:r>
          </w:p>
        </w:tc>
        <w:tc>
          <w:tcPr>
            <w:tcW w:type="dxa" w:w="1442"/>
            <w:tcMar>
              <w:top w:w="50" w:type="dxa"/>
              <w:bottom w:w="50" w:type="dxa"/>
              <w:left w:w="90" w:type="dxa"/>
              <w:right w:w="90" w:type="dxa"/>
            </w:tcMar>
            <w:shd w:val="clear" w:color="auto" w:fill="E5F5FF"/>
          </w:tcPr>
          <w:p>
            <w:pPr>
              <w:pStyle w:val="BDOITable"/>
            </w:pPr>
            <w:r>
              <w:rPr>
                <w:sz w:val="17"/>
              </w:rPr>
              <w:t>Review</w:t>
            </w:r>
          </w:p>
        </w:tc>
        <w:tc>
          <w:tcPr>
            <w:tcW w:type="dxa" w:w="6848"/>
            <w:tcMar>
              <w:top w:w="50" w:type="dxa"/>
              <w:bottom w:w="50" w:type="dxa"/>
              <w:left w:w="90" w:type="dxa"/>
              <w:right w:w="90" w:type="dxa"/>
            </w:tcMar>
            <w:shd w:val="clear" w:color="auto" w:fill="E5F5FF"/>
          </w:tcPr>
          <w:p>
            <w:pPr>
              <w:pStyle w:val="BDOITable"/>
            </w:pPr>
            <w:r>
              <w:rPr>
                <w:sz w:val="17"/>
              </w:rPr>
              <w:t>Within 2 business days - root cause, new go-live date, which trial migrations to repeat; purge the production staging of the failed cutover within 5 days.</w:t>
            </w:r>
          </w:p>
        </w:tc>
        <w:tc>
          <w:tcPr>
            <w:tcW w:type="dxa" w:w="901"/>
            <w:tcMar>
              <w:top w:w="50" w:type="dxa"/>
              <w:bottom w:w="50" w:type="dxa"/>
              <w:left w:w="90" w:type="dxa"/>
              <w:right w:w="90" w:type="dxa"/>
            </w:tcMar>
            <w:shd w:val="clear" w:color="auto" w:fill="E5F5FF"/>
          </w:tcPr>
          <w:p>
            <w:pPr>
              <w:pStyle w:val="BDOITable"/>
            </w:pPr>
            <w:r>
              <w:rPr>
                <w:sz w:val="17"/>
              </w:rPr>
              <w:t>PM</w:t>
            </w:r>
          </w:p>
        </w:tc>
      </w:tr>
    </w:tbl>
    <w:p>
      <w:pPr>
        <w:pStyle w:val="BDOISpacer"/>
      </w:pPr>
    </w:p>
    <w:p>
      <w:pPr>
        <w:pStyle w:val="Heading2"/>
      </w:pPr>
      <w:bookmarkStart w:id="131" w:name="_Toc000131"/>
      <w:r>
        <w:rPr/>
        <w:t>9.3 After the point of no return</w:t>
      </w:r>
      <w:bookmarkEnd w:id="131"/>
    </w:p>
    <w:p>
      <w:r>
        <w:rPr/>
        <w:t>There is no technical rollback after T 18:00. An issue is corrected forward in BIBS through the normal business functions (correction, reversal, adjustment), with the change visible in the Prod Recon legacy change report where it touches a legacy invoice. A true-up that is wrong is corrected by the next true-up, never by editing a posted journal. A platform outage after go-live follows the DR and BCP plan (R7).</w:t>
      </w:r>
    </w:p>
    <w:p>
      <w:pPr>
        <w:pStyle w:val="Heading1"/>
        <w:pageBreakBefore/>
        <w:pBdr>
          <w:bottom w:val="single" w:sz="4" w:space="4" w:color="99C1E7"/>
        </w:pBdr>
      </w:pPr>
      <w:bookmarkStart w:id="132" w:name="_Toc000132"/>
      <w:r>
        <w:rPr/>
        <w:t>10 Communication plan</w:t>
      </w:r>
      <w:bookmarkEnd w:id="132"/>
    </w:p>
    <w:p>
      <w:pPr>
        <w:pStyle w:val="Caption"/>
        <w:keepNext/>
        <w:spacing w:after="60"/>
      </w:pPr>
      <w:r>
        <w:rPr>
          <w:b/>
          <w:i w:val="0"/>
        </w:rPr>
        <w:t xml:space="preserve">Table 16: </w:t>
      </w:r>
      <w:r>
        <w:rPr/>
        <w:t>Cutover communication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3"/>
        <w:gridCol w:w="3626"/>
        <w:gridCol w:w="2296"/>
        <w:gridCol w:w="1692"/>
        <w:gridCol w:w="1087"/>
        <w:gridCol w:w="846"/>
      </w:tblGrid>
      <w:tr>
        <w:trPr>
          <w:tblHeader w:val="true"/>
          <w:cantSplit w:val="true"/>
        </w:trPr>
        <w:tc>
          <w:tcPr>
            <w:tcW w:type="dxa" w:w="423"/>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2297"/>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692"/>
            <w:shd w:val="clear" w:color="auto" w:fill="004EA8"/>
            <w:tcMar>
              <w:top w:w="50" w:type="dxa"/>
              <w:bottom w:w="50" w:type="dxa"/>
              <w:left w:w="90" w:type="dxa"/>
              <w:right w:w="90" w:type="dxa"/>
            </w:tcMar>
            <w:vAlign w:val="center"/>
          </w:tcPr>
          <w:p>
            <w:pPr>
              <w:pStyle w:val="BDOITableHeader"/>
            </w:pPr>
            <w:r>
              <w:rPr>
                <w:b/>
                <w:color w:val="FFFFFF"/>
                <w:sz w:val="16"/>
              </w:rPr>
              <w:t>Channel</w:t>
            </w:r>
          </w:p>
        </w:tc>
        <w:tc>
          <w:tcPr>
            <w:tcW w:type="dxa" w:w="1088"/>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846"/>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423"/>
            <w:tcMar>
              <w:top w:w="50" w:type="dxa"/>
              <w:bottom w:w="50" w:type="dxa"/>
              <w:left w:w="90" w:type="dxa"/>
              <w:right w:w="90" w:type="dxa"/>
            </w:tcMar>
          </w:tcPr>
          <w:p>
            <w:pPr>
              <w:pStyle w:val="BDOITable"/>
            </w:pPr>
            <w:r>
              <w:rPr>
                <w:sz w:val="16"/>
              </w:rPr>
              <w:t>1</w:t>
            </w:r>
          </w:p>
        </w:tc>
        <w:tc>
          <w:tcPr>
            <w:tcW w:type="dxa" w:w="3626"/>
            <w:tcMar>
              <w:top w:w="50" w:type="dxa"/>
              <w:bottom w:w="50" w:type="dxa"/>
              <w:left w:w="90" w:type="dxa"/>
              <w:right w:w="90" w:type="dxa"/>
            </w:tcMar>
          </w:tcPr>
          <w:p>
            <w:pPr>
              <w:pStyle w:val="BDOITable"/>
            </w:pPr>
            <w:r>
              <w:rPr>
                <w:sz w:val="16"/>
              </w:rPr>
              <w:t>Go-live date, freeze and what changes for each department</w:t>
            </w:r>
          </w:p>
        </w:tc>
        <w:tc>
          <w:tcPr>
            <w:tcW w:type="dxa" w:w="2297"/>
            <w:tcMar>
              <w:top w:w="50" w:type="dxa"/>
              <w:bottom w:w="50" w:type="dxa"/>
              <w:left w:w="90" w:type="dxa"/>
              <w:right w:w="90" w:type="dxa"/>
            </w:tcMar>
          </w:tcPr>
          <w:p>
            <w:pPr>
              <w:pStyle w:val="BDOITable"/>
            </w:pPr>
            <w:r>
              <w:rPr>
                <w:sz w:val="16"/>
              </w:rPr>
              <w:t>All BDOI users, branch heads</w:t>
            </w:r>
          </w:p>
        </w:tc>
        <w:tc>
          <w:tcPr>
            <w:tcW w:type="dxa" w:w="1692"/>
            <w:tcMar>
              <w:top w:w="50" w:type="dxa"/>
              <w:bottom w:w="50" w:type="dxa"/>
              <w:left w:w="90" w:type="dxa"/>
              <w:right w:w="90" w:type="dxa"/>
            </w:tcMar>
          </w:tcPr>
          <w:p>
            <w:pPr>
              <w:pStyle w:val="BDOITable"/>
            </w:pPr>
            <w:r>
              <w:rPr>
                <w:sz w:val="16"/>
              </w:rPr>
              <w:t>E-mail from the Program Manager; team briefings</w:t>
            </w:r>
          </w:p>
        </w:tc>
        <w:tc>
          <w:tcPr>
            <w:tcW w:type="dxa" w:w="1088"/>
            <w:tcMar>
              <w:top w:w="50" w:type="dxa"/>
              <w:bottom w:w="50" w:type="dxa"/>
              <w:left w:w="90" w:type="dxa"/>
              <w:right w:w="90" w:type="dxa"/>
            </w:tcMar>
          </w:tcPr>
          <w:p>
            <w:pPr>
              <w:pStyle w:val="BDOITable"/>
            </w:pPr>
            <w:r>
              <w:rPr>
                <w:sz w:val="16"/>
              </w:rPr>
              <w:t>T-21</w:t>
            </w:r>
          </w:p>
        </w:tc>
        <w:tc>
          <w:tcPr>
            <w:tcW w:type="dxa" w:w="846"/>
            <w:tcMar>
              <w:top w:w="50" w:type="dxa"/>
              <w:bottom w:w="50" w:type="dxa"/>
              <w:left w:w="90" w:type="dxa"/>
              <w:right w:w="90" w:type="dxa"/>
            </w:tcMar>
          </w:tcPr>
          <w:p>
            <w:pPr>
              <w:pStyle w:val="BDOITable"/>
            </w:pPr>
            <w:r>
              <w:rPr>
                <w:sz w:val="16"/>
              </w:rPr>
              <w:t>PM</w:t>
            </w:r>
          </w:p>
        </w:tc>
      </w:tr>
      <w:tr>
        <w:trPr>
          <w:cantSplit w:val="true"/>
        </w:trPr>
        <w:tc>
          <w:tcPr>
            <w:tcW w:type="dxa" w:w="423"/>
            <w:tcMar>
              <w:top w:w="50" w:type="dxa"/>
              <w:bottom w:w="50" w:type="dxa"/>
              <w:left w:w="90" w:type="dxa"/>
              <w:right w:w="90" w:type="dxa"/>
            </w:tcMar>
            <w:shd w:val="clear" w:color="auto" w:fill="E5F5FF"/>
          </w:tcPr>
          <w:p>
            <w:pPr>
              <w:pStyle w:val="BDOITable"/>
            </w:pPr>
            <w:r>
              <w:rPr>
                <w:sz w:val="16"/>
              </w:rPr>
              <w:t>2</w:t>
            </w:r>
          </w:p>
        </w:tc>
        <w:tc>
          <w:tcPr>
            <w:tcW w:type="dxa" w:w="3626"/>
            <w:tcMar>
              <w:top w:w="50" w:type="dxa"/>
              <w:bottom w:w="50" w:type="dxa"/>
              <w:left w:w="90" w:type="dxa"/>
              <w:right w:w="90" w:type="dxa"/>
            </w:tcMar>
            <w:shd w:val="clear" w:color="auto" w:fill="E5F5FF"/>
          </w:tcPr>
          <w:p>
            <w:pPr>
              <w:pStyle w:val="BDOITable"/>
            </w:pPr>
            <w:r>
              <w:rPr>
                <w:sz w:val="16"/>
              </w:rPr>
              <w:t>Payments after go-live - legacy invoice numbers stay valid; new invoices are BI- numbers</w:t>
            </w:r>
          </w:p>
        </w:tc>
        <w:tc>
          <w:tcPr>
            <w:tcW w:type="dxa" w:w="2297"/>
            <w:tcMar>
              <w:top w:w="50" w:type="dxa"/>
              <w:bottom w:w="50" w:type="dxa"/>
              <w:left w:w="90" w:type="dxa"/>
              <w:right w:w="90" w:type="dxa"/>
            </w:tcMar>
            <w:shd w:val="clear" w:color="auto" w:fill="E5F5FF"/>
          </w:tcPr>
          <w:p>
            <w:pPr>
              <w:pStyle w:val="BDOITable"/>
            </w:pPr>
            <w:r>
              <w:rPr>
                <w:sz w:val="16"/>
              </w:rPr>
              <w:t>Insurers, BDO bank channels (bills payment, CLPC, direct credit), corporate clients</w:t>
            </w:r>
          </w:p>
        </w:tc>
        <w:tc>
          <w:tcPr>
            <w:tcW w:type="dxa" w:w="1692"/>
            <w:tcMar>
              <w:top w:w="50" w:type="dxa"/>
              <w:bottom w:w="50" w:type="dxa"/>
              <w:left w:w="90" w:type="dxa"/>
              <w:right w:w="90" w:type="dxa"/>
            </w:tcMar>
            <w:shd w:val="clear" w:color="auto" w:fill="E5F5FF"/>
          </w:tcPr>
          <w:p>
            <w:pPr>
              <w:pStyle w:val="BDOITable"/>
            </w:pPr>
            <w:r>
              <w:rPr>
                <w:sz w:val="16"/>
              </w:rPr>
              <w:t>Letter / e-mail from Operations</w:t>
            </w:r>
          </w:p>
        </w:tc>
        <w:tc>
          <w:tcPr>
            <w:tcW w:type="dxa" w:w="1088"/>
            <w:tcMar>
              <w:top w:w="50" w:type="dxa"/>
              <w:bottom w:w="50" w:type="dxa"/>
              <w:left w:w="90" w:type="dxa"/>
              <w:right w:w="90" w:type="dxa"/>
            </w:tcMar>
            <w:shd w:val="clear" w:color="auto" w:fill="E5F5FF"/>
          </w:tcPr>
          <w:p>
            <w:pPr>
              <w:pStyle w:val="BDOITable"/>
            </w:pPr>
            <w:r>
              <w:rPr>
                <w:sz w:val="16"/>
              </w:rPr>
              <w:t>T-21</w:t>
            </w:r>
          </w:p>
        </w:tc>
        <w:tc>
          <w:tcPr>
            <w:tcW w:type="dxa" w:w="846"/>
            <w:tcMar>
              <w:top w:w="50" w:type="dxa"/>
              <w:bottom w:w="50" w:type="dxa"/>
              <w:left w:w="90" w:type="dxa"/>
              <w:right w:w="90" w:type="dxa"/>
            </w:tcMar>
            <w:shd w:val="clear" w:color="auto" w:fill="E5F5FF"/>
          </w:tcPr>
          <w:p>
            <w:pPr>
              <w:pStyle w:val="BDOITable"/>
            </w:pPr>
            <w:r>
              <w:rPr>
                <w:sz w:val="16"/>
              </w:rPr>
              <w:t>OPS</w:t>
            </w:r>
          </w:p>
        </w:tc>
      </w:tr>
      <w:tr>
        <w:trPr>
          <w:cantSplit w:val="true"/>
        </w:trPr>
        <w:tc>
          <w:tcPr>
            <w:tcW w:type="dxa" w:w="423"/>
            <w:tcMar>
              <w:top w:w="50" w:type="dxa"/>
              <w:bottom w:w="50" w:type="dxa"/>
              <w:left w:w="90" w:type="dxa"/>
              <w:right w:w="90" w:type="dxa"/>
            </w:tcMar>
          </w:tcPr>
          <w:p>
            <w:pPr>
              <w:pStyle w:val="BDOITable"/>
            </w:pPr>
            <w:r>
              <w:rPr>
                <w:sz w:val="16"/>
              </w:rPr>
              <w:t>3</w:t>
            </w:r>
          </w:p>
        </w:tc>
        <w:tc>
          <w:tcPr>
            <w:tcW w:type="dxa" w:w="3626"/>
            <w:tcMar>
              <w:top w:w="50" w:type="dxa"/>
              <w:bottom w:w="50" w:type="dxa"/>
              <w:left w:w="90" w:type="dxa"/>
              <w:right w:w="90" w:type="dxa"/>
            </w:tcMar>
          </w:tcPr>
          <w:p>
            <w:pPr>
              <w:pStyle w:val="BDOITable"/>
            </w:pPr>
            <w:r>
              <w:rPr>
                <w:sz w:val="16"/>
              </w:rPr>
              <w:t>Freeze of reference data and the change request route</w:t>
            </w:r>
          </w:p>
        </w:tc>
        <w:tc>
          <w:tcPr>
            <w:tcW w:type="dxa" w:w="2297"/>
            <w:tcMar>
              <w:top w:w="50" w:type="dxa"/>
              <w:bottom w:w="50" w:type="dxa"/>
              <w:left w:w="90" w:type="dxa"/>
              <w:right w:w="90" w:type="dxa"/>
            </w:tcMar>
          </w:tcPr>
          <w:p>
            <w:pPr>
              <w:pStyle w:val="BDOITable"/>
            </w:pPr>
            <w:r>
              <w:rPr>
                <w:sz w:val="16"/>
              </w:rPr>
              <w:t>Product, Marketing and Operations maintainers</w:t>
            </w:r>
          </w:p>
        </w:tc>
        <w:tc>
          <w:tcPr>
            <w:tcW w:type="dxa" w:w="1692"/>
            <w:tcMar>
              <w:top w:w="50" w:type="dxa"/>
              <w:bottom w:w="50" w:type="dxa"/>
              <w:left w:w="90" w:type="dxa"/>
              <w:right w:w="90" w:type="dxa"/>
            </w:tcMar>
          </w:tcPr>
          <w:p>
            <w:pPr>
              <w:pStyle w:val="BDOITable"/>
            </w:pPr>
            <w:r>
              <w:rPr>
                <w:sz w:val="16"/>
              </w:rPr>
              <w:t>E-mail from the Data Migration Lead</w:t>
            </w:r>
          </w:p>
        </w:tc>
        <w:tc>
          <w:tcPr>
            <w:tcW w:type="dxa" w:w="1088"/>
            <w:tcMar>
              <w:top w:w="50" w:type="dxa"/>
              <w:bottom w:w="50" w:type="dxa"/>
              <w:left w:w="90" w:type="dxa"/>
              <w:right w:w="90" w:type="dxa"/>
            </w:tcMar>
          </w:tcPr>
          <w:p>
            <w:pPr>
              <w:pStyle w:val="BDOITable"/>
            </w:pPr>
            <w:r>
              <w:rPr>
                <w:sz w:val="16"/>
              </w:rPr>
              <w:t>T-8</w:t>
            </w:r>
          </w:p>
        </w:tc>
        <w:tc>
          <w:tcPr>
            <w:tcW w:type="dxa" w:w="846"/>
            <w:tcMar>
              <w:top w:w="50" w:type="dxa"/>
              <w:bottom w:w="50" w:type="dxa"/>
              <w:left w:w="90" w:type="dxa"/>
              <w:right w:w="90" w:type="dxa"/>
            </w:tcMar>
          </w:tcPr>
          <w:p>
            <w:pPr>
              <w:pStyle w:val="BDOITable"/>
            </w:pPr>
            <w:r>
              <w:rPr>
                <w:sz w:val="16"/>
              </w:rPr>
              <w:t>DML</w:t>
            </w:r>
          </w:p>
        </w:tc>
      </w:tr>
      <w:tr>
        <w:trPr>
          <w:cantSplit w:val="true"/>
        </w:trPr>
        <w:tc>
          <w:tcPr>
            <w:tcW w:type="dxa" w:w="423"/>
            <w:tcMar>
              <w:top w:w="50" w:type="dxa"/>
              <w:bottom w:w="50" w:type="dxa"/>
              <w:left w:w="90" w:type="dxa"/>
              <w:right w:w="90" w:type="dxa"/>
            </w:tcMar>
            <w:shd w:val="clear" w:color="auto" w:fill="E5F5FF"/>
          </w:tcPr>
          <w:p>
            <w:pPr>
              <w:pStyle w:val="BDOITable"/>
            </w:pPr>
            <w:r>
              <w:rPr>
                <w:sz w:val="16"/>
              </w:rPr>
              <w:t>4</w:t>
            </w:r>
          </w:p>
        </w:tc>
        <w:tc>
          <w:tcPr>
            <w:tcW w:type="dxa" w:w="3626"/>
            <w:tcMar>
              <w:top w:w="50" w:type="dxa"/>
              <w:bottom w:w="50" w:type="dxa"/>
              <w:left w:w="90" w:type="dxa"/>
              <w:right w:w="90" w:type="dxa"/>
            </w:tcMar>
            <w:shd w:val="clear" w:color="auto" w:fill="E5F5FF"/>
          </w:tcPr>
          <w:p>
            <w:pPr>
              <w:pStyle w:val="BDOITable"/>
            </w:pPr>
            <w:r>
              <w:rPr>
                <w:sz w:val="16"/>
              </w:rPr>
              <w:t>Training schedule and log-in instructions</w:t>
            </w:r>
          </w:p>
        </w:tc>
        <w:tc>
          <w:tcPr>
            <w:tcW w:type="dxa" w:w="2297"/>
            <w:tcMar>
              <w:top w:w="50" w:type="dxa"/>
              <w:bottom w:w="50" w:type="dxa"/>
              <w:left w:w="90" w:type="dxa"/>
              <w:right w:w="90" w:type="dxa"/>
            </w:tcMar>
            <w:shd w:val="clear" w:color="auto" w:fill="E5F5FF"/>
          </w:tcPr>
          <w:p>
            <w:pPr>
              <w:pStyle w:val="BDOITable"/>
            </w:pPr>
            <w:r>
              <w:rPr>
                <w:sz w:val="16"/>
              </w:rPr>
              <w:t>All BIBS users per persona</w:t>
            </w:r>
          </w:p>
        </w:tc>
        <w:tc>
          <w:tcPr>
            <w:tcW w:type="dxa" w:w="1692"/>
            <w:tcMar>
              <w:top w:w="50" w:type="dxa"/>
              <w:bottom w:w="50" w:type="dxa"/>
              <w:left w:w="90" w:type="dxa"/>
              <w:right w:w="90" w:type="dxa"/>
            </w:tcMar>
            <w:shd w:val="clear" w:color="auto" w:fill="E5F5FF"/>
          </w:tcPr>
          <w:p>
            <w:pPr>
              <w:pStyle w:val="BDOITable"/>
            </w:pPr>
            <w:r>
              <w:rPr>
                <w:sz w:val="16"/>
              </w:rPr>
              <w:t>E-mail; training calendar</w:t>
            </w:r>
          </w:p>
        </w:tc>
        <w:tc>
          <w:tcPr>
            <w:tcW w:type="dxa" w:w="1088"/>
            <w:tcMar>
              <w:top w:w="50" w:type="dxa"/>
              <w:bottom w:w="50" w:type="dxa"/>
              <w:left w:w="90" w:type="dxa"/>
              <w:right w:w="90" w:type="dxa"/>
            </w:tcMar>
            <w:shd w:val="clear" w:color="auto" w:fill="E5F5FF"/>
          </w:tcPr>
          <w:p>
            <w:pPr>
              <w:pStyle w:val="BDOITable"/>
            </w:pPr>
            <w:r>
              <w:rPr>
                <w:sz w:val="16"/>
              </w:rPr>
              <w:t>T-20</w:t>
            </w:r>
          </w:p>
        </w:tc>
        <w:tc>
          <w:tcPr>
            <w:tcW w:type="dxa" w:w="846"/>
            <w:tcMar>
              <w:top w:w="50" w:type="dxa"/>
              <w:bottom w:w="50" w:type="dxa"/>
              <w:left w:w="90" w:type="dxa"/>
              <w:right w:w="90" w:type="dxa"/>
            </w:tcMar>
            <w:shd w:val="clear" w:color="auto" w:fill="E5F5FF"/>
          </w:tcPr>
          <w:p>
            <w:pPr>
              <w:pStyle w:val="BDOITable"/>
            </w:pPr>
            <w:r>
              <w:rPr>
                <w:sz w:val="16"/>
              </w:rPr>
              <w:t>PM</w:t>
            </w:r>
          </w:p>
        </w:tc>
      </w:tr>
      <w:tr>
        <w:trPr>
          <w:cantSplit w:val="true"/>
        </w:trPr>
        <w:tc>
          <w:tcPr>
            <w:tcW w:type="dxa" w:w="423"/>
            <w:tcMar>
              <w:top w:w="50" w:type="dxa"/>
              <w:bottom w:w="50" w:type="dxa"/>
              <w:left w:w="90" w:type="dxa"/>
              <w:right w:w="90" w:type="dxa"/>
            </w:tcMar>
          </w:tcPr>
          <w:p>
            <w:pPr>
              <w:pStyle w:val="BDOITable"/>
            </w:pPr>
            <w:r>
              <w:rPr>
                <w:sz w:val="16"/>
              </w:rPr>
              <w:t>5</w:t>
            </w:r>
          </w:p>
        </w:tc>
        <w:tc>
          <w:tcPr>
            <w:tcW w:type="dxa" w:w="3626"/>
            <w:tcMar>
              <w:top w:w="50" w:type="dxa"/>
              <w:bottom w:w="50" w:type="dxa"/>
              <w:left w:w="90" w:type="dxa"/>
              <w:right w:w="90" w:type="dxa"/>
            </w:tcMar>
          </w:tcPr>
          <w:p>
            <w:pPr>
              <w:pStyle w:val="BDOITable"/>
            </w:pPr>
            <w:r>
              <w:rPr>
                <w:sz w:val="16"/>
              </w:rPr>
              <w:t>Renewals of the January-May 2028 expiries are processed in BIBS from go-live, January expiries first; RAs already sent are not sent again; RAs sent up to 29 December go in the trackers</w:t>
            </w:r>
          </w:p>
        </w:tc>
        <w:tc>
          <w:tcPr>
            <w:tcW w:type="dxa" w:w="2297"/>
            <w:tcMar>
              <w:top w:w="50" w:type="dxa"/>
              <w:bottom w:w="50" w:type="dxa"/>
              <w:left w:w="90" w:type="dxa"/>
              <w:right w:w="90" w:type="dxa"/>
            </w:tcMar>
          </w:tcPr>
          <w:p>
            <w:pPr>
              <w:pStyle w:val="BDOITable"/>
            </w:pPr>
            <w:r>
              <w:rPr>
                <w:sz w:val="16"/>
              </w:rPr>
              <w:t>Renewal processing team, Retail and Corporate Marketing, branches</w:t>
            </w:r>
          </w:p>
        </w:tc>
        <w:tc>
          <w:tcPr>
            <w:tcW w:type="dxa" w:w="1692"/>
            <w:tcMar>
              <w:top w:w="50" w:type="dxa"/>
              <w:bottom w:w="50" w:type="dxa"/>
              <w:left w:w="90" w:type="dxa"/>
              <w:right w:w="90" w:type="dxa"/>
            </w:tcMar>
          </w:tcPr>
          <w:p>
            <w:pPr>
              <w:pStyle w:val="BDOITable"/>
            </w:pPr>
            <w:r>
              <w:rPr>
                <w:sz w:val="16"/>
              </w:rPr>
              <w:t>E-mail from the Head of the Renewal processing team; team briefing</w:t>
            </w:r>
          </w:p>
        </w:tc>
        <w:tc>
          <w:tcPr>
            <w:tcW w:type="dxa" w:w="1088"/>
            <w:tcMar>
              <w:top w:w="50" w:type="dxa"/>
              <w:bottom w:w="50" w:type="dxa"/>
              <w:left w:w="90" w:type="dxa"/>
              <w:right w:w="90" w:type="dxa"/>
            </w:tcMar>
          </w:tcPr>
          <w:p>
            <w:pPr>
              <w:pStyle w:val="BDOITable"/>
            </w:pPr>
            <w:r>
              <w:rPr>
                <w:sz w:val="16"/>
              </w:rPr>
              <w:t>T-21</w:t>
            </w:r>
          </w:p>
        </w:tc>
        <w:tc>
          <w:tcPr>
            <w:tcW w:type="dxa" w:w="846"/>
            <w:tcMar>
              <w:top w:w="50" w:type="dxa"/>
              <w:bottom w:w="50" w:type="dxa"/>
              <w:left w:w="90" w:type="dxa"/>
              <w:right w:w="90" w:type="dxa"/>
            </w:tcMar>
          </w:tcPr>
          <w:p>
            <w:pPr>
              <w:pStyle w:val="BDOITable"/>
            </w:pPr>
            <w:r>
              <w:rPr>
                <w:sz w:val="16"/>
              </w:rPr>
              <w:t>RNW</w:t>
            </w:r>
          </w:p>
        </w:tc>
      </w:tr>
      <w:tr>
        <w:trPr>
          <w:cantSplit w:val="true"/>
        </w:trPr>
        <w:tc>
          <w:tcPr>
            <w:tcW w:type="dxa" w:w="423"/>
            <w:tcMar>
              <w:top w:w="50" w:type="dxa"/>
              <w:bottom w:w="50" w:type="dxa"/>
              <w:left w:w="90" w:type="dxa"/>
              <w:right w:w="90" w:type="dxa"/>
            </w:tcMar>
            <w:shd w:val="clear" w:color="auto" w:fill="E5F5FF"/>
          </w:tcPr>
          <w:p>
            <w:pPr>
              <w:pStyle w:val="BDOITable"/>
            </w:pPr>
            <w:r>
              <w:rPr>
                <w:sz w:val="16"/>
              </w:rPr>
              <w:t>6</w:t>
            </w:r>
          </w:p>
        </w:tc>
        <w:tc>
          <w:tcPr>
            <w:tcW w:type="dxa" w:w="3626"/>
            <w:tcMar>
              <w:top w:w="50" w:type="dxa"/>
              <w:bottom w:w="50" w:type="dxa"/>
              <w:left w:w="90" w:type="dxa"/>
              <w:right w:w="90" w:type="dxa"/>
            </w:tcMar>
            <w:shd w:val="clear" w:color="auto" w:fill="E5F5FF"/>
          </w:tcPr>
          <w:p>
            <w:pPr>
              <w:pStyle w:val="BDOITable"/>
            </w:pPr>
            <w:r>
              <w:rPr>
                <w:sz w:val="16"/>
              </w:rPr>
              <w:t>Legacy GL after the freeze - FY2027 closing and audit adjustments only, by named users; true-up timetable to April 2028</w:t>
            </w:r>
          </w:p>
        </w:tc>
        <w:tc>
          <w:tcPr>
            <w:tcW w:type="dxa" w:w="2297"/>
            <w:tcMar>
              <w:top w:w="50" w:type="dxa"/>
              <w:bottom w:w="50" w:type="dxa"/>
              <w:left w:w="90" w:type="dxa"/>
              <w:right w:w="90" w:type="dxa"/>
            </w:tcMar>
            <w:shd w:val="clear" w:color="auto" w:fill="E5F5FF"/>
          </w:tcPr>
          <w:p>
            <w:pPr>
              <w:pStyle w:val="BDOITable"/>
            </w:pPr>
            <w:r>
              <w:rPr>
                <w:sz w:val="16"/>
              </w:rPr>
              <w:t>Comptrollership, external auditor, BDOI IT</w:t>
            </w:r>
          </w:p>
        </w:tc>
        <w:tc>
          <w:tcPr>
            <w:tcW w:type="dxa" w:w="1692"/>
            <w:tcMar>
              <w:top w:w="50" w:type="dxa"/>
              <w:bottom w:w="50" w:type="dxa"/>
              <w:left w:w="90" w:type="dxa"/>
              <w:right w:w="90" w:type="dxa"/>
            </w:tcMar>
            <w:shd w:val="clear" w:color="auto" w:fill="E5F5FF"/>
          </w:tcPr>
          <w:p>
            <w:pPr>
              <w:pStyle w:val="BDOITable"/>
            </w:pPr>
            <w:r>
              <w:rPr>
                <w:sz w:val="16"/>
              </w:rPr>
              <w:t>Memo from the Head of Comptrollership</w:t>
            </w:r>
          </w:p>
        </w:tc>
        <w:tc>
          <w:tcPr>
            <w:tcW w:type="dxa" w:w="1088"/>
            <w:tcMar>
              <w:top w:w="50" w:type="dxa"/>
              <w:bottom w:w="50" w:type="dxa"/>
              <w:left w:w="90" w:type="dxa"/>
              <w:right w:w="90" w:type="dxa"/>
            </w:tcMar>
            <w:shd w:val="clear" w:color="auto" w:fill="E5F5FF"/>
          </w:tcPr>
          <w:p>
            <w:pPr>
              <w:pStyle w:val="BDOITable"/>
            </w:pPr>
            <w:r>
              <w:rPr>
                <w:sz w:val="16"/>
              </w:rPr>
              <w:t>T-21</w:t>
            </w:r>
          </w:p>
        </w:tc>
        <w:tc>
          <w:tcPr>
            <w:tcW w:type="dxa" w:w="846"/>
            <w:tcMar>
              <w:top w:w="50" w:type="dxa"/>
              <w:bottom w:w="50" w:type="dxa"/>
              <w:left w:w="90" w:type="dxa"/>
              <w:right w:w="90" w:type="dxa"/>
            </w:tcMar>
            <w:shd w:val="clear" w:color="auto" w:fill="E5F5FF"/>
          </w:tcPr>
          <w:p>
            <w:pPr>
              <w:pStyle w:val="BDOITable"/>
            </w:pPr>
            <w:r>
              <w:rPr>
                <w:sz w:val="16"/>
              </w:rPr>
              <w:t>COMP</w:t>
            </w:r>
          </w:p>
        </w:tc>
      </w:tr>
      <w:tr>
        <w:trPr>
          <w:cantSplit w:val="true"/>
        </w:trPr>
        <w:tc>
          <w:tcPr>
            <w:tcW w:type="dxa" w:w="423"/>
            <w:tcMar>
              <w:top w:w="50" w:type="dxa"/>
              <w:bottom w:w="50" w:type="dxa"/>
              <w:left w:w="90" w:type="dxa"/>
              <w:right w:w="90" w:type="dxa"/>
            </w:tcMar>
          </w:tcPr>
          <w:p>
            <w:pPr>
              <w:pStyle w:val="BDOITable"/>
            </w:pPr>
            <w:r>
              <w:rPr>
                <w:sz w:val="16"/>
              </w:rPr>
              <w:t>7</w:t>
            </w:r>
          </w:p>
        </w:tc>
        <w:tc>
          <w:tcPr>
            <w:tcW w:type="dxa" w:w="3626"/>
            <w:tcMar>
              <w:top w:w="50" w:type="dxa"/>
              <w:bottom w:w="50" w:type="dxa"/>
              <w:left w:w="90" w:type="dxa"/>
              <w:right w:w="90" w:type="dxa"/>
            </w:tcMar>
          </w:tcPr>
          <w:p>
            <w:pPr>
              <w:pStyle w:val="BDOITable"/>
            </w:pPr>
            <w:r>
              <w:rPr>
                <w:sz w:val="16"/>
              </w:rPr>
              <w:t>Last legacy business day T-5 (29 December); legacy freeze at T-3 22:00; BIBS opens T 08:00; what to do with urgent items over the holidays</w:t>
            </w:r>
          </w:p>
        </w:tc>
        <w:tc>
          <w:tcPr>
            <w:tcW w:type="dxa" w:w="2297"/>
            <w:tcMar>
              <w:top w:w="50" w:type="dxa"/>
              <w:bottom w:w="50" w:type="dxa"/>
              <w:left w:w="90" w:type="dxa"/>
              <w:right w:w="90" w:type="dxa"/>
            </w:tcMar>
          </w:tcPr>
          <w:p>
            <w:pPr>
              <w:pStyle w:val="BDOITable"/>
            </w:pPr>
            <w:r>
              <w:rPr>
                <w:sz w:val="16"/>
              </w:rPr>
              <w:t>All users, branches, insurers</w:t>
            </w:r>
          </w:p>
        </w:tc>
        <w:tc>
          <w:tcPr>
            <w:tcW w:type="dxa" w:w="1692"/>
            <w:tcMar>
              <w:top w:w="50" w:type="dxa"/>
              <w:bottom w:w="50" w:type="dxa"/>
              <w:left w:w="90" w:type="dxa"/>
              <w:right w:w="90" w:type="dxa"/>
            </w:tcMar>
          </w:tcPr>
          <w:p>
            <w:pPr>
              <w:pStyle w:val="BDOITable"/>
            </w:pPr>
            <w:r>
              <w:rPr>
                <w:sz w:val="16"/>
              </w:rPr>
              <w:t>E-mail; branch notice</w:t>
            </w:r>
          </w:p>
        </w:tc>
        <w:tc>
          <w:tcPr>
            <w:tcW w:type="dxa" w:w="1088"/>
            <w:tcMar>
              <w:top w:w="50" w:type="dxa"/>
              <w:bottom w:w="50" w:type="dxa"/>
              <w:left w:w="90" w:type="dxa"/>
              <w:right w:w="90" w:type="dxa"/>
            </w:tcMar>
          </w:tcPr>
          <w:p>
            <w:pPr>
              <w:pStyle w:val="BDOITable"/>
            </w:pPr>
            <w:r>
              <w:rPr>
                <w:sz w:val="16"/>
              </w:rPr>
              <w:t>T-5</w:t>
            </w:r>
          </w:p>
        </w:tc>
        <w:tc>
          <w:tcPr>
            <w:tcW w:type="dxa" w:w="846"/>
            <w:tcMar>
              <w:top w:w="50" w:type="dxa"/>
              <w:bottom w:w="50" w:type="dxa"/>
              <w:left w:w="90" w:type="dxa"/>
              <w:right w:w="90" w:type="dxa"/>
            </w:tcMar>
          </w:tcPr>
          <w:p>
            <w:pPr>
              <w:pStyle w:val="BDOITable"/>
            </w:pPr>
            <w:r>
              <w:rPr>
                <w:sz w:val="16"/>
              </w:rPr>
              <w:t>PM</w:t>
            </w:r>
          </w:p>
        </w:tc>
      </w:tr>
      <w:tr>
        <w:trPr>
          <w:cantSplit w:val="true"/>
        </w:trPr>
        <w:tc>
          <w:tcPr>
            <w:tcW w:type="dxa" w:w="423"/>
            <w:tcMar>
              <w:top w:w="50" w:type="dxa"/>
              <w:bottom w:w="50" w:type="dxa"/>
              <w:left w:w="90" w:type="dxa"/>
              <w:right w:w="90" w:type="dxa"/>
            </w:tcMar>
            <w:shd w:val="clear" w:color="auto" w:fill="E5F5FF"/>
          </w:tcPr>
          <w:p>
            <w:pPr>
              <w:pStyle w:val="BDOITable"/>
            </w:pPr>
            <w:r>
              <w:rPr>
                <w:sz w:val="16"/>
              </w:rPr>
              <w:t>8</w:t>
            </w:r>
          </w:p>
        </w:tc>
        <w:tc>
          <w:tcPr>
            <w:tcW w:type="dxa" w:w="3626"/>
            <w:tcMar>
              <w:top w:w="50" w:type="dxa"/>
              <w:bottom w:w="50" w:type="dxa"/>
              <w:left w:w="90" w:type="dxa"/>
              <w:right w:w="90" w:type="dxa"/>
            </w:tcMar>
            <w:shd w:val="clear" w:color="auto" w:fill="E5F5FF"/>
          </w:tcPr>
          <w:p>
            <w:pPr>
              <w:pStyle w:val="BDOITable"/>
            </w:pPr>
            <w:r>
              <w:rPr>
                <w:sz w:val="16"/>
              </w:rPr>
              <w:t>Go-live confirmed; support channels and hypercare contacts</w:t>
            </w:r>
          </w:p>
        </w:tc>
        <w:tc>
          <w:tcPr>
            <w:tcW w:type="dxa" w:w="2297"/>
            <w:tcMar>
              <w:top w:w="50" w:type="dxa"/>
              <w:bottom w:w="50" w:type="dxa"/>
              <w:left w:w="90" w:type="dxa"/>
              <w:right w:w="90" w:type="dxa"/>
            </w:tcMar>
            <w:shd w:val="clear" w:color="auto" w:fill="E5F5FF"/>
          </w:tcPr>
          <w:p>
            <w:pPr>
              <w:pStyle w:val="BDOITable"/>
            </w:pPr>
            <w:r>
              <w:rPr>
                <w:sz w:val="16"/>
              </w:rPr>
              <w:t>All users</w:t>
            </w:r>
          </w:p>
        </w:tc>
        <w:tc>
          <w:tcPr>
            <w:tcW w:type="dxa" w:w="1692"/>
            <w:tcMar>
              <w:top w:w="50" w:type="dxa"/>
              <w:bottom w:w="50" w:type="dxa"/>
              <w:left w:w="90" w:type="dxa"/>
              <w:right w:w="90" w:type="dxa"/>
            </w:tcMar>
            <w:shd w:val="clear" w:color="auto" w:fill="E5F5FF"/>
          </w:tcPr>
          <w:p>
            <w:pPr>
              <w:pStyle w:val="BDOITable"/>
            </w:pPr>
            <w:r>
              <w:rPr>
                <w:sz w:val="16"/>
              </w:rPr>
              <w:t>E-mail; intranet</w:t>
            </w:r>
          </w:p>
        </w:tc>
        <w:tc>
          <w:tcPr>
            <w:tcW w:type="dxa" w:w="1088"/>
            <w:tcMar>
              <w:top w:w="50" w:type="dxa"/>
              <w:bottom w:w="50" w:type="dxa"/>
              <w:left w:w="90" w:type="dxa"/>
              <w:right w:w="90" w:type="dxa"/>
            </w:tcMar>
            <w:shd w:val="clear" w:color="auto" w:fill="E5F5FF"/>
          </w:tcPr>
          <w:p>
            <w:pPr>
              <w:pStyle w:val="BDOITable"/>
            </w:pPr>
            <w:r>
              <w:rPr>
                <w:sz w:val="16"/>
              </w:rPr>
              <w:t>T-1 19:00</w:t>
            </w:r>
          </w:p>
        </w:tc>
        <w:tc>
          <w:tcPr>
            <w:tcW w:type="dxa" w:w="846"/>
            <w:tcMar>
              <w:top w:w="50" w:type="dxa"/>
              <w:bottom w:w="50" w:type="dxa"/>
              <w:left w:w="90" w:type="dxa"/>
              <w:right w:w="90" w:type="dxa"/>
            </w:tcMar>
            <w:shd w:val="clear" w:color="auto" w:fill="E5F5FF"/>
          </w:tcPr>
          <w:p>
            <w:pPr>
              <w:pStyle w:val="BDOITable"/>
            </w:pPr>
            <w:r>
              <w:rPr>
                <w:sz w:val="16"/>
              </w:rPr>
              <w:t>PM</w:t>
            </w:r>
          </w:p>
        </w:tc>
      </w:tr>
      <w:tr>
        <w:trPr>
          <w:cantSplit w:val="true"/>
        </w:trPr>
        <w:tc>
          <w:tcPr>
            <w:tcW w:type="dxa" w:w="423"/>
            <w:tcMar>
              <w:top w:w="50" w:type="dxa"/>
              <w:bottom w:w="50" w:type="dxa"/>
              <w:left w:w="90" w:type="dxa"/>
              <w:right w:w="90" w:type="dxa"/>
            </w:tcMar>
          </w:tcPr>
          <w:p>
            <w:pPr>
              <w:pStyle w:val="BDOITable"/>
            </w:pPr>
            <w:r>
              <w:rPr>
                <w:sz w:val="16"/>
              </w:rPr>
              <w:t>9</w:t>
            </w:r>
          </w:p>
        </w:tc>
        <w:tc>
          <w:tcPr>
            <w:tcW w:type="dxa" w:w="3626"/>
            <w:tcMar>
              <w:top w:w="50" w:type="dxa"/>
              <w:bottom w:w="50" w:type="dxa"/>
              <w:left w:w="90" w:type="dxa"/>
              <w:right w:w="90" w:type="dxa"/>
            </w:tcMar>
          </w:tcPr>
          <w:p>
            <w:pPr>
              <w:pStyle w:val="BDOITable"/>
            </w:pPr>
            <w:r>
              <w:rPr>
                <w:sz w:val="16"/>
              </w:rPr>
              <w:t>Rollback notice (only if NO-GO) - legacy stays in use; next steps</w:t>
            </w:r>
          </w:p>
        </w:tc>
        <w:tc>
          <w:tcPr>
            <w:tcW w:type="dxa" w:w="2297"/>
            <w:tcMar>
              <w:top w:w="50" w:type="dxa"/>
              <w:bottom w:w="50" w:type="dxa"/>
              <w:left w:w="90" w:type="dxa"/>
              <w:right w:w="90" w:type="dxa"/>
            </w:tcMar>
          </w:tcPr>
          <w:p>
            <w:pPr>
              <w:pStyle w:val="BDOITable"/>
            </w:pPr>
            <w:r>
              <w:rPr>
                <w:sz w:val="16"/>
              </w:rPr>
              <w:t>All users, branches, insurers, bank channels</w:t>
            </w:r>
          </w:p>
        </w:tc>
        <w:tc>
          <w:tcPr>
            <w:tcW w:type="dxa" w:w="1692"/>
            <w:tcMar>
              <w:top w:w="50" w:type="dxa"/>
              <w:bottom w:w="50" w:type="dxa"/>
              <w:left w:w="90" w:type="dxa"/>
              <w:right w:w="90" w:type="dxa"/>
            </w:tcMar>
          </w:tcPr>
          <w:p>
            <w:pPr>
              <w:pStyle w:val="BDOITable"/>
            </w:pPr>
            <w:r>
              <w:rPr>
                <w:sz w:val="16"/>
              </w:rPr>
              <w:t>E-mail; phone tree for branch heads</w:t>
            </w:r>
          </w:p>
        </w:tc>
        <w:tc>
          <w:tcPr>
            <w:tcW w:type="dxa" w:w="1088"/>
            <w:tcMar>
              <w:top w:w="50" w:type="dxa"/>
              <w:bottom w:w="50" w:type="dxa"/>
              <w:left w:w="90" w:type="dxa"/>
              <w:right w:w="90" w:type="dxa"/>
            </w:tcMar>
          </w:tcPr>
          <w:p>
            <w:pPr>
              <w:pStyle w:val="BDOITable"/>
            </w:pPr>
            <w:r>
              <w:rPr>
                <w:sz w:val="16"/>
              </w:rPr>
              <w:t>T-1 on NO-GO</w:t>
            </w:r>
          </w:p>
        </w:tc>
        <w:tc>
          <w:tcPr>
            <w:tcW w:type="dxa" w:w="846"/>
            <w:tcMar>
              <w:top w:w="50" w:type="dxa"/>
              <w:bottom w:w="50" w:type="dxa"/>
              <w:left w:w="90" w:type="dxa"/>
              <w:right w:w="90" w:type="dxa"/>
            </w:tcMar>
          </w:tcPr>
          <w:p>
            <w:pPr>
              <w:pStyle w:val="BDOITable"/>
            </w:pPr>
            <w:r>
              <w:rPr>
                <w:sz w:val="16"/>
              </w:rPr>
              <w:t>PM</w:t>
            </w:r>
          </w:p>
        </w:tc>
      </w:tr>
      <w:tr>
        <w:trPr>
          <w:cantSplit w:val="true"/>
        </w:trPr>
        <w:tc>
          <w:tcPr>
            <w:tcW w:type="dxa" w:w="423"/>
            <w:tcMar>
              <w:top w:w="50" w:type="dxa"/>
              <w:bottom w:w="50" w:type="dxa"/>
              <w:left w:w="90" w:type="dxa"/>
              <w:right w:w="90" w:type="dxa"/>
            </w:tcMar>
            <w:shd w:val="clear" w:color="auto" w:fill="E5F5FF"/>
          </w:tcPr>
          <w:p>
            <w:pPr>
              <w:pStyle w:val="BDOITable"/>
            </w:pPr>
            <w:r>
              <w:rPr>
                <w:sz w:val="16"/>
              </w:rPr>
              <w:t>10</w:t>
            </w:r>
          </w:p>
        </w:tc>
        <w:tc>
          <w:tcPr>
            <w:tcW w:type="dxa" w:w="3626"/>
            <w:tcMar>
              <w:top w:w="50" w:type="dxa"/>
              <w:bottom w:w="50" w:type="dxa"/>
              <w:left w:w="90" w:type="dxa"/>
              <w:right w:w="90" w:type="dxa"/>
            </w:tcMar>
            <w:shd w:val="clear" w:color="auto" w:fill="E5F5FF"/>
          </w:tcPr>
          <w:p>
            <w:pPr>
              <w:pStyle w:val="BDOITable"/>
            </w:pPr>
            <w:r>
              <w:rPr>
                <w:sz w:val="16"/>
              </w:rPr>
              <w:t>Daily hypercare status</w:t>
            </w:r>
          </w:p>
        </w:tc>
        <w:tc>
          <w:tcPr>
            <w:tcW w:type="dxa" w:w="2297"/>
            <w:tcMar>
              <w:top w:w="50" w:type="dxa"/>
              <w:bottom w:w="50" w:type="dxa"/>
              <w:left w:w="90" w:type="dxa"/>
              <w:right w:w="90" w:type="dxa"/>
            </w:tcMar>
            <w:shd w:val="clear" w:color="auto" w:fill="E5F5FF"/>
          </w:tcPr>
          <w:p>
            <w:pPr>
              <w:pStyle w:val="BDOITable"/>
            </w:pPr>
            <w:r>
              <w:rPr>
                <w:sz w:val="16"/>
              </w:rPr>
              <w:t>Go / no-go board, department heads</w:t>
            </w:r>
          </w:p>
        </w:tc>
        <w:tc>
          <w:tcPr>
            <w:tcW w:type="dxa" w:w="1692"/>
            <w:tcMar>
              <w:top w:w="50" w:type="dxa"/>
              <w:bottom w:w="50" w:type="dxa"/>
              <w:left w:w="90" w:type="dxa"/>
              <w:right w:w="90" w:type="dxa"/>
            </w:tcMar>
            <w:shd w:val="clear" w:color="auto" w:fill="E5F5FF"/>
          </w:tcPr>
          <w:p>
            <w:pPr>
              <w:pStyle w:val="BDOITable"/>
            </w:pPr>
            <w:r>
              <w:rPr>
                <w:sz w:val="16"/>
              </w:rPr>
              <w:t>Daily report and bridge call 17:00</w:t>
            </w:r>
          </w:p>
        </w:tc>
        <w:tc>
          <w:tcPr>
            <w:tcW w:type="dxa" w:w="1088"/>
            <w:tcMar>
              <w:top w:w="50" w:type="dxa"/>
              <w:bottom w:w="50" w:type="dxa"/>
              <w:left w:w="90" w:type="dxa"/>
              <w:right w:w="90" w:type="dxa"/>
            </w:tcMar>
            <w:shd w:val="clear" w:color="auto" w:fill="E5F5FF"/>
          </w:tcPr>
          <w:p>
            <w:pPr>
              <w:pStyle w:val="BDOITable"/>
            </w:pPr>
            <w:r>
              <w:rPr>
                <w:sz w:val="16"/>
              </w:rPr>
              <w:t>T to hypercare exit</w:t>
            </w:r>
          </w:p>
        </w:tc>
        <w:tc>
          <w:tcPr>
            <w:tcW w:type="dxa" w:w="846"/>
            <w:tcMar>
              <w:top w:w="50" w:type="dxa"/>
              <w:bottom w:w="50" w:type="dxa"/>
              <w:left w:w="90" w:type="dxa"/>
              <w:right w:w="90" w:type="dxa"/>
            </w:tcMar>
            <w:shd w:val="clear" w:color="auto" w:fill="E5F5FF"/>
          </w:tcPr>
          <w:p>
            <w:pPr>
              <w:pStyle w:val="BDOITable"/>
            </w:pPr>
            <w:r>
              <w:rPr>
                <w:sz w:val="16"/>
              </w:rPr>
              <w:t>IPM</w:t>
            </w:r>
          </w:p>
        </w:tc>
      </w:tr>
      <w:tr>
        <w:trPr>
          <w:cantSplit w:val="true"/>
        </w:trPr>
        <w:tc>
          <w:tcPr>
            <w:tcW w:type="dxa" w:w="423"/>
            <w:tcMar>
              <w:top w:w="50" w:type="dxa"/>
              <w:bottom w:w="50" w:type="dxa"/>
              <w:left w:w="90" w:type="dxa"/>
              <w:right w:w="90" w:type="dxa"/>
            </w:tcMar>
          </w:tcPr>
          <w:p>
            <w:pPr>
              <w:pStyle w:val="BDOITable"/>
            </w:pPr>
            <w:r>
              <w:rPr>
                <w:sz w:val="16"/>
              </w:rPr>
              <w:t>11</w:t>
            </w:r>
          </w:p>
        </w:tc>
        <w:tc>
          <w:tcPr>
            <w:tcW w:type="dxa" w:w="3626"/>
            <w:tcMar>
              <w:top w:w="50" w:type="dxa"/>
              <w:bottom w:w="50" w:type="dxa"/>
              <w:left w:w="90" w:type="dxa"/>
              <w:right w:w="90" w:type="dxa"/>
            </w:tcMar>
          </w:tcPr>
          <w:p>
            <w:pPr>
              <w:pStyle w:val="BDOITable"/>
            </w:pPr>
            <w:r>
              <w:rPr>
                <w:sz w:val="16"/>
              </w:rPr>
              <w:t>Hypercare exit and hand-over to production support</w:t>
            </w:r>
          </w:p>
        </w:tc>
        <w:tc>
          <w:tcPr>
            <w:tcW w:type="dxa" w:w="2297"/>
            <w:tcMar>
              <w:top w:w="50" w:type="dxa"/>
              <w:bottom w:w="50" w:type="dxa"/>
              <w:left w:w="90" w:type="dxa"/>
              <w:right w:w="90" w:type="dxa"/>
            </w:tcMar>
          </w:tcPr>
          <w:p>
            <w:pPr>
              <w:pStyle w:val="BDOITable"/>
            </w:pPr>
            <w:r>
              <w:rPr>
                <w:sz w:val="16"/>
              </w:rPr>
              <w:t>All users, IT</w:t>
            </w:r>
          </w:p>
        </w:tc>
        <w:tc>
          <w:tcPr>
            <w:tcW w:type="dxa" w:w="1692"/>
            <w:tcMar>
              <w:top w:w="50" w:type="dxa"/>
              <w:bottom w:w="50" w:type="dxa"/>
              <w:left w:w="90" w:type="dxa"/>
              <w:right w:w="90" w:type="dxa"/>
            </w:tcMar>
          </w:tcPr>
          <w:p>
            <w:pPr>
              <w:pStyle w:val="BDOITable"/>
            </w:pPr>
            <w:r>
              <w:rPr>
                <w:sz w:val="16"/>
              </w:rPr>
              <w:t>E-mail</w:t>
            </w:r>
          </w:p>
        </w:tc>
        <w:tc>
          <w:tcPr>
            <w:tcW w:type="dxa" w:w="1088"/>
            <w:tcMar>
              <w:top w:w="50" w:type="dxa"/>
              <w:bottom w:w="50" w:type="dxa"/>
              <w:left w:w="90" w:type="dxa"/>
              <w:right w:w="90" w:type="dxa"/>
            </w:tcMar>
          </w:tcPr>
          <w:p>
            <w:pPr>
              <w:pStyle w:val="BDOITable"/>
            </w:pPr>
            <w:r>
              <w:rPr>
                <w:sz w:val="16"/>
              </w:rPr>
              <w:t>At exit</w:t>
            </w:r>
          </w:p>
        </w:tc>
        <w:tc>
          <w:tcPr>
            <w:tcW w:type="dxa" w:w="846"/>
            <w:tcMar>
              <w:top w:w="50" w:type="dxa"/>
              <w:bottom w:w="50" w:type="dxa"/>
              <w:left w:w="90" w:type="dxa"/>
              <w:right w:w="90" w:type="dxa"/>
            </w:tcMar>
          </w:tcPr>
          <w:p>
            <w:pPr>
              <w:pStyle w:val="BDOITable"/>
            </w:pPr>
            <w:r>
              <w:rPr>
                <w:sz w:val="16"/>
              </w:rPr>
              <w:t>PM</w:t>
            </w:r>
          </w:p>
        </w:tc>
      </w:tr>
      <w:tr>
        <w:trPr>
          <w:cantSplit w:val="true"/>
        </w:trPr>
        <w:tc>
          <w:tcPr>
            <w:tcW w:type="dxa" w:w="423"/>
            <w:tcMar>
              <w:top w:w="50" w:type="dxa"/>
              <w:bottom w:w="50" w:type="dxa"/>
              <w:left w:w="90" w:type="dxa"/>
              <w:right w:w="90" w:type="dxa"/>
            </w:tcMar>
            <w:shd w:val="clear" w:color="auto" w:fill="E5F5FF"/>
          </w:tcPr>
          <w:p>
            <w:pPr>
              <w:pStyle w:val="BDOITable"/>
            </w:pPr>
            <w:r>
              <w:rPr>
                <w:sz w:val="16"/>
              </w:rPr>
              <w:t>12</w:t>
            </w:r>
          </w:p>
        </w:tc>
        <w:tc>
          <w:tcPr>
            <w:tcW w:type="dxa" w:w="3626"/>
            <w:tcMar>
              <w:top w:w="50" w:type="dxa"/>
              <w:bottom w:w="50" w:type="dxa"/>
              <w:left w:w="90" w:type="dxa"/>
              <w:right w:w="90" w:type="dxa"/>
            </w:tcMar>
            <w:shd w:val="clear" w:color="auto" w:fill="E5F5FF"/>
          </w:tcPr>
          <w:p>
            <w:pPr>
              <w:pStyle w:val="BDOITable"/>
            </w:pPr>
            <w:r>
              <w:rPr>
                <w:sz w:val="16"/>
              </w:rPr>
              <w:t>True-ups closed; legacy GL locked</w:t>
            </w:r>
          </w:p>
        </w:tc>
        <w:tc>
          <w:tcPr>
            <w:tcW w:type="dxa" w:w="2297"/>
            <w:tcMar>
              <w:top w:w="50" w:type="dxa"/>
              <w:bottom w:w="50" w:type="dxa"/>
              <w:left w:w="90" w:type="dxa"/>
              <w:right w:w="90" w:type="dxa"/>
            </w:tcMar>
            <w:shd w:val="clear" w:color="auto" w:fill="E5F5FF"/>
          </w:tcPr>
          <w:p>
            <w:pPr>
              <w:pStyle w:val="BDOITable"/>
            </w:pPr>
            <w:r>
              <w:rPr>
                <w:sz w:val="16"/>
              </w:rPr>
              <w:t>Comptrollership, external auditor, Program Manager</w:t>
            </w:r>
          </w:p>
        </w:tc>
        <w:tc>
          <w:tcPr>
            <w:tcW w:type="dxa" w:w="1692"/>
            <w:tcMar>
              <w:top w:w="50" w:type="dxa"/>
              <w:bottom w:w="50" w:type="dxa"/>
              <w:left w:w="90" w:type="dxa"/>
              <w:right w:w="90" w:type="dxa"/>
            </w:tcMar>
            <w:shd w:val="clear" w:color="auto" w:fill="E5F5FF"/>
          </w:tcPr>
          <w:p>
            <w:pPr>
              <w:pStyle w:val="BDOITable"/>
            </w:pPr>
            <w:r>
              <w:rPr>
                <w:sz w:val="16"/>
              </w:rPr>
              <w:t>Memo</w:t>
            </w:r>
          </w:p>
        </w:tc>
        <w:tc>
          <w:tcPr>
            <w:tcW w:type="dxa" w:w="1088"/>
            <w:tcMar>
              <w:top w:w="50" w:type="dxa"/>
              <w:bottom w:w="50" w:type="dxa"/>
              <w:left w:w="90" w:type="dxa"/>
              <w:right w:w="90" w:type="dxa"/>
            </w:tcMar>
            <w:shd w:val="clear" w:color="auto" w:fill="E5F5FF"/>
          </w:tcPr>
          <w:p>
            <w:pPr>
              <w:pStyle w:val="BDOITable"/>
            </w:pPr>
            <w:r>
              <w:rPr>
                <w:sz w:val="16"/>
              </w:rPr>
              <w:t>T+120</w:t>
            </w:r>
          </w:p>
        </w:tc>
        <w:tc>
          <w:tcPr>
            <w:tcW w:type="dxa" w:w="846"/>
            <w:tcMar>
              <w:top w:w="50" w:type="dxa"/>
              <w:bottom w:w="50" w:type="dxa"/>
              <w:left w:w="90" w:type="dxa"/>
              <w:right w:w="90" w:type="dxa"/>
            </w:tcMar>
            <w:shd w:val="clear" w:color="auto" w:fill="E5F5FF"/>
          </w:tcPr>
          <w:p>
            <w:pPr>
              <w:pStyle w:val="BDOITable"/>
            </w:pPr>
            <w:r>
              <w:rPr>
                <w:sz w:val="16"/>
              </w:rPr>
              <w:t>COMP</w:t>
            </w:r>
          </w:p>
        </w:tc>
      </w:tr>
    </w:tbl>
    <w:p>
      <w:pPr>
        <w:pStyle w:val="BDOISpacer"/>
      </w:pPr>
    </w:p>
    <w:p>
      <w:r>
        <w:rPr/>
        <w:t>Programme-level messages added by this plan:</w:t>
      </w:r>
    </w:p>
    <w:p>
      <w:pPr>
        <w:pStyle w:val="Caption"/>
        <w:keepNext/>
        <w:spacing w:after="60"/>
      </w:pPr>
      <w:r>
        <w:rPr>
          <w:b/>
          <w:i w:val="0"/>
        </w:rPr>
        <w:t xml:space="preserve">Table 17: </w:t>
      </w:r>
      <w:r>
        <w:rPr/>
        <w:t>Programme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3845"/>
        <w:gridCol w:w="2403"/>
        <w:gridCol w:w="1562"/>
        <w:gridCol w:w="168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481"/>
            <w:tcMar>
              <w:top w:w="50" w:type="dxa"/>
              <w:bottom w:w="50" w:type="dxa"/>
              <w:left w:w="90" w:type="dxa"/>
              <w:right w:w="90" w:type="dxa"/>
            </w:tcMar>
          </w:tcPr>
          <w:p>
            <w:pPr>
              <w:pStyle w:val="BDOITable"/>
            </w:pPr>
            <w:r>
              <w:rPr>
                <w:sz w:val="16"/>
              </w:rPr>
              <w:t>P1</w:t>
            </w:r>
          </w:p>
        </w:tc>
        <w:tc>
          <w:tcPr>
            <w:tcW w:type="dxa" w:w="3845"/>
            <w:tcMar>
              <w:top w:w="50" w:type="dxa"/>
              <w:bottom w:w="50" w:type="dxa"/>
              <w:left w:w="90" w:type="dxa"/>
              <w:right w:w="90" w:type="dxa"/>
            </w:tcMar>
          </w:tcPr>
          <w:p>
            <w:pPr>
              <w:pStyle w:val="BDOITable"/>
            </w:pPr>
            <w:r>
              <w:rPr>
                <w:sz w:val="16"/>
              </w:rPr>
              <w:t>Go-live date confirmed and the year-end option</w:t>
            </w:r>
          </w:p>
        </w:tc>
        <w:tc>
          <w:tcPr>
            <w:tcW w:type="dxa" w:w="2403"/>
            <w:tcMar>
              <w:top w:w="50" w:type="dxa"/>
              <w:bottom w:w="50" w:type="dxa"/>
              <w:left w:w="90" w:type="dxa"/>
              <w:right w:w="90" w:type="dxa"/>
            </w:tcMar>
          </w:tcPr>
          <w:p>
            <w:pPr>
              <w:pStyle w:val="BDOITable"/>
            </w:pPr>
            <w:r>
              <w:rPr>
                <w:sz w:val="16"/>
              </w:rPr>
              <w:t>Steering Committee, business heads, BDOI IT</w:t>
            </w:r>
          </w:p>
        </w:tc>
        <w:tc>
          <w:tcPr>
            <w:tcW w:type="dxa" w:w="1562"/>
            <w:tcMar>
              <w:top w:w="50" w:type="dxa"/>
              <w:bottom w:w="50" w:type="dxa"/>
              <w:left w:w="90" w:type="dxa"/>
              <w:right w:w="90" w:type="dxa"/>
            </w:tcMar>
          </w:tcPr>
          <w:p>
            <w:pPr>
              <w:pStyle w:val="BDOITable"/>
            </w:pPr>
            <w:r>
              <w:rPr>
                <w:sz w:val="16"/>
              </w:rPr>
              <w:t>1 Oct 2027 (M6)</w:t>
            </w:r>
          </w:p>
        </w:tc>
        <w:tc>
          <w:tcPr>
            <w:tcW w:type="dxa" w:w="1682"/>
            <w:tcMar>
              <w:top w:w="50" w:type="dxa"/>
              <w:bottom w:w="50" w:type="dxa"/>
              <w:left w:w="90" w:type="dxa"/>
              <w:right w:w="90" w:type="dxa"/>
            </w:tcMar>
          </w:tcPr>
          <w:p>
            <w:pPr>
              <w:pStyle w:val="BDOITable"/>
            </w:pPr>
            <w:r>
              <w:rPr>
                <w:sz w:val="16"/>
              </w:rPr>
              <w:t>Program Manager</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P2</w:t>
            </w:r>
          </w:p>
        </w:tc>
        <w:tc>
          <w:tcPr>
            <w:tcW w:type="dxa" w:w="3845"/>
            <w:tcMar>
              <w:top w:w="50" w:type="dxa"/>
              <w:bottom w:w="50" w:type="dxa"/>
              <w:left w:w="90" w:type="dxa"/>
              <w:right w:w="90" w:type="dxa"/>
            </w:tcMar>
            <w:shd w:val="clear" w:color="auto" w:fill="E5F5FF"/>
          </w:tcPr>
          <w:p>
            <w:pPr>
              <w:pStyle w:val="BDOITable"/>
            </w:pPr>
            <w:r>
              <w:rPr>
                <w:sz w:val="16"/>
              </w:rPr>
              <w:t>Result of the ORR and PRR with open waivers</w:t>
            </w:r>
          </w:p>
        </w:tc>
        <w:tc>
          <w:tcPr>
            <w:tcW w:type="dxa" w:w="2403"/>
            <w:tcMar>
              <w:top w:w="50" w:type="dxa"/>
              <w:bottom w:w="50" w:type="dxa"/>
              <w:left w:w="90" w:type="dxa"/>
              <w:right w:w="90" w:type="dxa"/>
            </w:tcMar>
            <w:shd w:val="clear" w:color="auto" w:fill="E5F5FF"/>
          </w:tcPr>
          <w:p>
            <w:pPr>
              <w:pStyle w:val="BDOITable"/>
            </w:pPr>
            <w:r>
              <w:rPr>
                <w:sz w:val="16"/>
              </w:rPr>
              <w:t>Steering Committee</w:t>
            </w:r>
          </w:p>
        </w:tc>
        <w:tc>
          <w:tcPr>
            <w:tcW w:type="dxa" w:w="1562"/>
            <w:tcMar>
              <w:top w:w="50" w:type="dxa"/>
              <w:bottom w:w="50" w:type="dxa"/>
              <w:left w:w="90" w:type="dxa"/>
              <w:right w:w="90" w:type="dxa"/>
            </w:tcMar>
            <w:shd w:val="clear" w:color="auto" w:fill="E5F5FF"/>
          </w:tcPr>
          <w:p>
            <w:pPr>
              <w:pStyle w:val="BDOITable"/>
            </w:pPr>
            <w:r>
              <w:rPr>
                <w:sz w:val="16"/>
              </w:rPr>
              <w:t>17 Dec 2027</w:t>
            </w:r>
          </w:p>
        </w:tc>
        <w:tc>
          <w:tcPr>
            <w:tcW w:type="dxa" w:w="1682"/>
            <w:tcMar>
              <w:top w:w="50" w:type="dxa"/>
              <w:bottom w:w="50" w:type="dxa"/>
              <w:left w:w="90" w:type="dxa"/>
              <w:right w:w="90" w:type="dxa"/>
            </w:tcMar>
            <w:shd w:val="clear" w:color="auto" w:fill="E5F5FF"/>
          </w:tcPr>
          <w:p>
            <w:pPr>
              <w:pStyle w:val="BDOITable"/>
            </w:pPr>
            <w:r>
              <w:rPr>
                <w:sz w:val="16"/>
              </w:rPr>
              <w:t>Head, BDOI IT</w:t>
            </w:r>
          </w:p>
        </w:tc>
      </w:tr>
      <w:tr>
        <w:trPr>
          <w:cantSplit w:val="true"/>
        </w:trPr>
        <w:tc>
          <w:tcPr>
            <w:tcW w:type="dxa" w:w="481"/>
            <w:tcMar>
              <w:top w:w="50" w:type="dxa"/>
              <w:bottom w:w="50" w:type="dxa"/>
              <w:left w:w="90" w:type="dxa"/>
              <w:right w:w="90" w:type="dxa"/>
            </w:tcMar>
          </w:tcPr>
          <w:p>
            <w:pPr>
              <w:pStyle w:val="BDOITable"/>
            </w:pPr>
            <w:r>
              <w:rPr>
                <w:sz w:val="16"/>
              </w:rPr>
              <w:t>P3</w:t>
            </w:r>
          </w:p>
        </w:tc>
        <w:tc>
          <w:tcPr>
            <w:tcW w:type="dxa" w:w="3845"/>
            <w:tcMar>
              <w:top w:w="50" w:type="dxa"/>
              <w:bottom w:w="50" w:type="dxa"/>
              <w:left w:w="90" w:type="dxa"/>
              <w:right w:w="90" w:type="dxa"/>
            </w:tcMar>
          </w:tcPr>
          <w:p>
            <w:pPr>
              <w:pStyle w:val="BDOITable"/>
            </w:pPr>
            <w:r>
              <w:rPr>
                <w:sz w:val="16"/>
              </w:rPr>
              <w:t>Each go / no-go decision with the criteria values</w:t>
            </w:r>
          </w:p>
        </w:tc>
        <w:tc>
          <w:tcPr>
            <w:tcW w:type="dxa" w:w="2403"/>
            <w:tcMar>
              <w:top w:w="50" w:type="dxa"/>
              <w:bottom w:w="50" w:type="dxa"/>
              <w:left w:w="90" w:type="dxa"/>
              <w:right w:w="90" w:type="dxa"/>
            </w:tcMar>
          </w:tcPr>
          <w:p>
            <w:pPr>
              <w:pStyle w:val="BDOITable"/>
            </w:pPr>
            <w:r>
              <w:rPr>
                <w:sz w:val="16"/>
              </w:rPr>
              <w:t>Steering Committee; command centre</w:t>
            </w:r>
          </w:p>
        </w:tc>
        <w:tc>
          <w:tcPr>
            <w:tcW w:type="dxa" w:w="1562"/>
            <w:tcMar>
              <w:top w:w="50" w:type="dxa"/>
              <w:bottom w:w="50" w:type="dxa"/>
              <w:left w:w="90" w:type="dxa"/>
              <w:right w:w="90" w:type="dxa"/>
            </w:tcMar>
          </w:tcPr>
          <w:p>
            <w:pPr>
              <w:pStyle w:val="BDOITable"/>
            </w:pPr>
            <w:r>
              <w:rPr>
                <w:sz w:val="16"/>
              </w:rPr>
              <w:t>GNG-1, GNG-2, GNG-3</w:t>
            </w:r>
          </w:p>
        </w:tc>
        <w:tc>
          <w:tcPr>
            <w:tcW w:type="dxa" w:w="1682"/>
            <w:tcMar>
              <w:top w:w="50" w:type="dxa"/>
              <w:bottom w:w="50" w:type="dxa"/>
              <w:left w:w="90" w:type="dxa"/>
              <w:right w:w="90" w:type="dxa"/>
            </w:tcMar>
          </w:tcPr>
          <w:p>
            <w:pPr>
              <w:pStyle w:val="BDOITable"/>
            </w:pPr>
            <w:r>
              <w:rPr>
                <w:sz w:val="16"/>
              </w:rPr>
              <w:t>Program Manager</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P4</w:t>
            </w:r>
          </w:p>
        </w:tc>
        <w:tc>
          <w:tcPr>
            <w:tcW w:type="dxa" w:w="3845"/>
            <w:tcMar>
              <w:top w:w="50" w:type="dxa"/>
              <w:bottom w:w="50" w:type="dxa"/>
              <w:left w:w="90" w:type="dxa"/>
              <w:right w:w="90" w:type="dxa"/>
            </w:tcMar>
            <w:shd w:val="clear" w:color="auto" w:fill="E5F5FF"/>
          </w:tcPr>
          <w:p>
            <w:pPr>
              <w:pStyle w:val="BDOITable"/>
            </w:pPr>
            <w:r>
              <w:rPr>
                <w:sz w:val="16"/>
              </w:rPr>
              <w:t>Support channels after go-live: service desk number, ITSM portal, floor support per department</w:t>
            </w:r>
          </w:p>
        </w:tc>
        <w:tc>
          <w:tcPr>
            <w:tcW w:type="dxa" w:w="2403"/>
            <w:tcMar>
              <w:top w:w="50" w:type="dxa"/>
              <w:bottom w:w="50" w:type="dxa"/>
              <w:left w:w="90" w:type="dxa"/>
              <w:right w:w="90" w:type="dxa"/>
            </w:tcMar>
            <w:shd w:val="clear" w:color="auto" w:fill="E5F5FF"/>
          </w:tcPr>
          <w:p>
            <w:pPr>
              <w:pStyle w:val="BDOITable"/>
            </w:pPr>
            <w:r>
              <w:rPr>
                <w:sz w:val="16"/>
              </w:rPr>
              <w:t>All users</w:t>
            </w:r>
          </w:p>
        </w:tc>
        <w:tc>
          <w:tcPr>
            <w:tcW w:type="dxa" w:w="1562"/>
            <w:tcMar>
              <w:top w:w="50" w:type="dxa"/>
              <w:bottom w:w="50" w:type="dxa"/>
              <w:left w:w="90" w:type="dxa"/>
              <w:right w:w="90" w:type="dxa"/>
            </w:tcMar>
            <w:shd w:val="clear" w:color="auto" w:fill="E5F5FF"/>
          </w:tcPr>
          <w:p>
            <w:pPr>
              <w:pStyle w:val="BDOITable"/>
            </w:pPr>
            <w:r>
              <w:rPr>
                <w:sz w:val="16"/>
              </w:rPr>
              <w:t>T-1 19:00 with message 8</w:t>
            </w:r>
          </w:p>
        </w:tc>
        <w:tc>
          <w:tcPr>
            <w:tcW w:type="dxa" w:w="1682"/>
            <w:tcMar>
              <w:top w:w="50" w:type="dxa"/>
              <w:bottom w:w="50" w:type="dxa"/>
              <w:left w:w="90" w:type="dxa"/>
              <w:right w:w="90" w:type="dxa"/>
            </w:tcMar>
            <w:shd w:val="clear" w:color="auto" w:fill="E5F5FF"/>
          </w:tcPr>
          <w:p>
            <w:pPr>
              <w:pStyle w:val="BDOITable"/>
            </w:pPr>
            <w:r>
              <w:rPr>
                <w:sz w:val="16"/>
              </w:rPr>
              <w:t>BIBS Service Owner</w:t>
            </w:r>
          </w:p>
        </w:tc>
      </w:tr>
    </w:tbl>
    <w:p>
      <w:pPr>
        <w:pStyle w:val="BDOISpacer"/>
      </w:pPr>
    </w:p>
    <w:p>
      <w:pPr>
        <w:pStyle w:val="Heading1"/>
        <w:pageBreakBefore/>
        <w:pBdr>
          <w:bottom w:val="single" w:sz="4" w:space="4" w:color="99C1E7"/>
        </w:pBdr>
      </w:pPr>
      <w:bookmarkStart w:id="133" w:name="_Toc000133"/>
      <w:r>
        <w:rPr/>
        <w:t>11 Risks of the go-live</w:t>
      </w:r>
      <w:bookmarkEnd w:id="133"/>
    </w:p>
    <w:p>
      <w:pPr>
        <w:pStyle w:val="Caption"/>
        <w:keepNext/>
        <w:spacing w:after="60"/>
      </w:pPr>
      <w:r>
        <w:rPr>
          <w:b/>
          <w:i w:val="0"/>
        </w:rPr>
        <w:t xml:space="preserve">Table 18: </w:t>
      </w:r>
      <w:r>
        <w:rPr/>
        <w:t>Main go-live 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3724"/>
        <w:gridCol w:w="961"/>
        <w:gridCol w:w="4806"/>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Risk</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6"/>
              </w:rPr>
              <w:t>Mitigation</w:t>
            </w:r>
          </w:p>
        </w:tc>
      </w:tr>
      <w:tr>
        <w:trPr>
          <w:cantSplit w:val="true"/>
        </w:trPr>
        <w:tc>
          <w:tcPr>
            <w:tcW w:type="dxa" w:w="481"/>
            <w:tcMar>
              <w:top w:w="50" w:type="dxa"/>
              <w:bottom w:w="50" w:type="dxa"/>
              <w:left w:w="90" w:type="dxa"/>
              <w:right w:w="90" w:type="dxa"/>
            </w:tcMar>
          </w:tcPr>
          <w:p>
            <w:pPr>
              <w:pStyle w:val="BDOITable"/>
            </w:pPr>
            <w:r>
              <w:rPr>
                <w:sz w:val="16"/>
              </w:rPr>
              <w:t>1</w:t>
            </w:r>
          </w:p>
        </w:tc>
        <w:tc>
          <w:tcPr>
            <w:tcW w:type="dxa" w:w="3724"/>
            <w:tcMar>
              <w:top w:w="50" w:type="dxa"/>
              <w:bottom w:w="50" w:type="dxa"/>
              <w:left w:w="90" w:type="dxa"/>
              <w:right w:w="90" w:type="dxa"/>
            </w:tcMar>
          </w:tcPr>
          <w:p>
            <w:pPr>
              <w:pStyle w:val="BDOITable"/>
            </w:pPr>
            <w:r>
              <w:rPr>
                <w:sz w:val="16"/>
              </w:rPr>
              <w:t>Cutover over the year-end holidays (24 December 2027 to 1 January 2028)</w:t>
            </w:r>
          </w:p>
        </w:tc>
        <w:tc>
          <w:tcPr>
            <w:tcW w:type="dxa" w:w="961"/>
            <w:tcMar>
              <w:top w:w="50" w:type="dxa"/>
              <w:bottom w:w="50" w:type="dxa"/>
              <w:left w:w="90" w:type="dxa"/>
              <w:right w:w="90" w:type="dxa"/>
            </w:tcMar>
          </w:tcPr>
          <w:p>
            <w:pPr>
              <w:pStyle w:val="BDOITable"/>
            </w:pPr>
            <w:r>
              <w:rPr>
                <w:sz w:val="16"/>
              </w:rPr>
              <w:t>High</w:t>
            </w:r>
          </w:p>
        </w:tc>
        <w:tc>
          <w:tcPr>
            <w:tcW w:type="dxa" w:w="4806"/>
            <w:tcMar>
              <w:top w:w="50" w:type="dxa"/>
              <w:bottom w:w="50" w:type="dxa"/>
              <w:left w:w="90" w:type="dxa"/>
              <w:right w:w="90" w:type="dxa"/>
            </w:tcMar>
          </w:tcPr>
          <w:p>
            <w:pPr>
              <w:pStyle w:val="BDOITable"/>
            </w:pPr>
            <w:r>
              <w:rPr>
                <w:sz w:val="16"/>
              </w:rPr>
              <w:t>Year-end option confirmed at M6; tasks moved off holidays in the calendar; roster confirmed at T-29</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w:t>
            </w:r>
          </w:p>
        </w:tc>
        <w:tc>
          <w:tcPr>
            <w:tcW w:type="dxa" w:w="3724"/>
            <w:tcMar>
              <w:top w:w="50" w:type="dxa"/>
              <w:bottom w:w="50" w:type="dxa"/>
              <w:left w:w="90" w:type="dxa"/>
              <w:right w:w="90" w:type="dxa"/>
            </w:tcMar>
            <w:shd w:val="clear" w:color="auto" w:fill="E5F5FF"/>
          </w:tcPr>
          <w:p>
            <w:pPr>
              <w:pStyle w:val="BDOITable"/>
            </w:pPr>
            <w:r>
              <w:rPr>
                <w:sz w:val="16"/>
              </w:rPr>
              <w:t>Migration Clearing not 0.00 at GNG-3</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806"/>
            <w:tcMar>
              <w:top w:w="50" w:type="dxa"/>
              <w:bottom w:w="50" w:type="dxa"/>
              <w:left w:w="90" w:type="dxa"/>
              <w:right w:w="90" w:type="dxa"/>
            </w:tcMar>
            <w:shd w:val="clear" w:color="auto" w:fill="E5F5FF"/>
          </w:tcPr>
          <w:p>
            <w:pPr>
              <w:pStyle w:val="BDOITable"/>
            </w:pPr>
            <w:r>
              <w:rPr>
                <w:sz w:val="16"/>
              </w:rPr>
              <w:t>Reconciled in every mock from Mock 2; trial balance extracted after the same EOD as the detail; break explanations agreed before GNG-3</w:t>
            </w:r>
          </w:p>
        </w:tc>
      </w:tr>
      <w:tr>
        <w:trPr>
          <w:cantSplit w:val="true"/>
        </w:trPr>
        <w:tc>
          <w:tcPr>
            <w:tcW w:type="dxa" w:w="481"/>
            <w:tcMar>
              <w:top w:w="50" w:type="dxa"/>
              <w:bottom w:w="50" w:type="dxa"/>
              <w:left w:w="90" w:type="dxa"/>
              <w:right w:w="90" w:type="dxa"/>
            </w:tcMar>
          </w:tcPr>
          <w:p>
            <w:pPr>
              <w:pStyle w:val="BDOITable"/>
            </w:pPr>
            <w:r>
              <w:rPr>
                <w:sz w:val="16"/>
              </w:rPr>
              <w:t>3</w:t>
            </w:r>
          </w:p>
        </w:tc>
        <w:tc>
          <w:tcPr>
            <w:tcW w:type="dxa" w:w="3724"/>
            <w:tcMar>
              <w:top w:w="50" w:type="dxa"/>
              <w:bottom w:w="50" w:type="dxa"/>
              <w:left w:w="90" w:type="dxa"/>
              <w:right w:w="90" w:type="dxa"/>
            </w:tcMar>
          </w:tcPr>
          <w:p>
            <w:pPr>
              <w:pStyle w:val="BDOITable"/>
            </w:pPr>
            <w:r>
              <w:rPr>
                <w:sz w:val="16"/>
              </w:rPr>
              <w:t>Load time beyond the window</w:t>
            </w:r>
          </w:p>
        </w:tc>
        <w:tc>
          <w:tcPr>
            <w:tcW w:type="dxa" w:w="961"/>
            <w:tcMar>
              <w:top w:w="50" w:type="dxa"/>
              <w:bottom w:w="50" w:type="dxa"/>
              <w:left w:w="90" w:type="dxa"/>
              <w:right w:w="90" w:type="dxa"/>
            </w:tcMar>
          </w:tcPr>
          <w:p>
            <w:pPr>
              <w:pStyle w:val="BDOITable"/>
            </w:pPr>
            <w:r>
              <w:rPr>
                <w:sz w:val="16"/>
              </w:rPr>
              <w:t>Medium</w:t>
            </w:r>
          </w:p>
        </w:tc>
        <w:tc>
          <w:tcPr>
            <w:tcW w:type="dxa" w:w="4806"/>
            <w:tcMar>
              <w:top w:w="50" w:type="dxa"/>
              <w:bottom w:w="50" w:type="dxa"/>
              <w:left w:w="90" w:type="dxa"/>
              <w:right w:w="90" w:type="dxa"/>
            </w:tcMar>
          </w:tcPr>
          <w:p>
            <w:pPr>
              <w:pStyle w:val="BDOITable"/>
            </w:pPr>
            <w:r>
              <w:rPr>
                <w:sz w:val="16"/>
              </w:rPr>
              <w:t>Pre-load of reference data and clients; dress rehearsal at full volume with 20 % margin; reserve rehearsal</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4</w:t>
            </w:r>
          </w:p>
        </w:tc>
        <w:tc>
          <w:tcPr>
            <w:tcW w:type="dxa" w:w="3724"/>
            <w:tcMar>
              <w:top w:w="50" w:type="dxa"/>
              <w:bottom w:w="50" w:type="dxa"/>
              <w:left w:w="90" w:type="dxa"/>
              <w:right w:w="90" w:type="dxa"/>
            </w:tcMar>
            <w:shd w:val="clear" w:color="auto" w:fill="E5F5FF"/>
          </w:tcPr>
          <w:p>
            <w:pPr>
              <w:pStyle w:val="BDOITable"/>
            </w:pPr>
            <w:r>
              <w:rPr>
                <w:sz w:val="16"/>
              </w:rPr>
              <w:t>Late UAT acceptance of a drop</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806"/>
            <w:tcMar>
              <w:top w:w="50" w:type="dxa"/>
              <w:bottom w:w="50" w:type="dxa"/>
              <w:left w:w="90" w:type="dxa"/>
              <w:right w:w="90" w:type="dxa"/>
            </w:tcMar>
            <w:shd w:val="clear" w:color="auto" w:fill="E5F5FF"/>
          </w:tcPr>
          <w:p>
            <w:pPr>
              <w:pStyle w:val="BDOITable"/>
            </w:pPr>
            <w:r>
              <w:rPr>
                <w:sz w:val="16"/>
              </w:rPr>
              <w:t>UAT exit criteria tracked weekly from September 2027; open issues triaged; Drop 2 accepted by 30 Nov 2027, two weeks before the PRR</w:t>
            </w:r>
          </w:p>
        </w:tc>
      </w:tr>
      <w:tr>
        <w:trPr>
          <w:cantSplit w:val="true"/>
        </w:trPr>
        <w:tc>
          <w:tcPr>
            <w:tcW w:type="dxa" w:w="481"/>
            <w:tcMar>
              <w:top w:w="50" w:type="dxa"/>
              <w:bottom w:w="50" w:type="dxa"/>
              <w:left w:w="90" w:type="dxa"/>
              <w:right w:w="90" w:type="dxa"/>
            </w:tcMar>
          </w:tcPr>
          <w:p>
            <w:pPr>
              <w:pStyle w:val="BDOITable"/>
            </w:pPr>
            <w:r>
              <w:rPr>
                <w:sz w:val="16"/>
              </w:rPr>
              <w:t>5</w:t>
            </w:r>
          </w:p>
        </w:tc>
        <w:tc>
          <w:tcPr>
            <w:tcW w:type="dxa" w:w="3724"/>
            <w:tcMar>
              <w:top w:w="50" w:type="dxa"/>
              <w:bottom w:w="50" w:type="dxa"/>
              <w:left w:w="90" w:type="dxa"/>
              <w:right w:w="90" w:type="dxa"/>
            </w:tcMar>
          </w:tcPr>
          <w:p>
            <w:pPr>
              <w:pStyle w:val="BDOITable"/>
            </w:pPr>
            <w:r>
              <w:rPr>
                <w:sz w:val="16"/>
              </w:rPr>
              <w:t>Performance or penetration findings in December</w:t>
            </w:r>
          </w:p>
        </w:tc>
        <w:tc>
          <w:tcPr>
            <w:tcW w:type="dxa" w:w="961"/>
            <w:tcMar>
              <w:top w:w="50" w:type="dxa"/>
              <w:bottom w:w="50" w:type="dxa"/>
              <w:left w:w="90" w:type="dxa"/>
              <w:right w:w="90" w:type="dxa"/>
            </w:tcMar>
          </w:tcPr>
          <w:p>
            <w:pPr>
              <w:pStyle w:val="BDOITable"/>
            </w:pPr>
            <w:r>
              <w:rPr>
                <w:sz w:val="16"/>
              </w:rPr>
              <w:t>High</w:t>
            </w:r>
          </w:p>
        </w:tc>
        <w:tc>
          <w:tcPr>
            <w:tcW w:type="dxa" w:w="4806"/>
            <w:tcMar>
              <w:top w:w="50" w:type="dxa"/>
              <w:bottom w:w="50" w:type="dxa"/>
              <w:left w:w="90" w:type="dxa"/>
              <w:right w:w="90" w:type="dxa"/>
            </w:tcMar>
          </w:tcPr>
          <w:p>
            <w:pPr>
              <w:pStyle w:val="BDOITable"/>
            </w:pPr>
            <w:r>
              <w:rPr>
                <w:sz w:val="16"/>
              </w:rPr>
              <w:t>Early security scan in SIT (June 2027); performance test on Pre-Prod from 1 Nov 2027; findings closed by 10 Dec 2027</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6</w:t>
            </w:r>
          </w:p>
        </w:tc>
        <w:tc>
          <w:tcPr>
            <w:tcW w:type="dxa" w:w="3724"/>
            <w:tcMar>
              <w:top w:w="50" w:type="dxa"/>
              <w:bottom w:w="50" w:type="dxa"/>
              <w:left w:w="90" w:type="dxa"/>
              <w:right w:w="90" w:type="dxa"/>
            </w:tcMar>
            <w:shd w:val="clear" w:color="auto" w:fill="E5F5FF"/>
          </w:tcPr>
          <w:p>
            <w:pPr>
              <w:pStyle w:val="BDOITable"/>
            </w:pPr>
            <w:r>
              <w:rPr>
                <w:sz w:val="16"/>
              </w:rPr>
              <w:t>DR region not approved in time for the pre-go-live drill</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4806"/>
            <w:tcMar>
              <w:top w:w="50" w:type="dxa"/>
              <w:bottom w:w="50" w:type="dxa"/>
              <w:left w:w="90" w:type="dxa"/>
              <w:right w:w="90" w:type="dxa"/>
            </w:tcMar>
            <w:shd w:val="clear" w:color="auto" w:fill="E5F5FF"/>
          </w:tcPr>
          <w:p>
            <w:pPr>
              <w:pStyle w:val="BDOITable"/>
            </w:pPr>
            <w:r>
              <w:rPr>
                <w:sz w:val="16"/>
              </w:rPr>
              <w:t>Decision needed by 31 Mar 2027 (DR plan OP-01); otherwise the drill is a restore into a second environment in the primary region and the regional drill moves after go-live</w:t>
            </w:r>
          </w:p>
        </w:tc>
      </w:tr>
      <w:tr>
        <w:trPr>
          <w:cantSplit w:val="true"/>
        </w:trPr>
        <w:tc>
          <w:tcPr>
            <w:tcW w:type="dxa" w:w="481"/>
            <w:tcMar>
              <w:top w:w="50" w:type="dxa"/>
              <w:bottom w:w="50" w:type="dxa"/>
              <w:left w:w="90" w:type="dxa"/>
              <w:right w:w="90" w:type="dxa"/>
            </w:tcMar>
          </w:tcPr>
          <w:p>
            <w:pPr>
              <w:pStyle w:val="BDOITable"/>
            </w:pPr>
            <w:r>
              <w:rPr>
                <w:sz w:val="16"/>
              </w:rPr>
              <w:t>7</w:t>
            </w:r>
          </w:p>
        </w:tc>
        <w:tc>
          <w:tcPr>
            <w:tcW w:type="dxa" w:w="3724"/>
            <w:tcMar>
              <w:top w:w="50" w:type="dxa"/>
              <w:bottom w:w="50" w:type="dxa"/>
              <w:left w:w="90" w:type="dxa"/>
              <w:right w:w="90" w:type="dxa"/>
            </w:tcMar>
          </w:tcPr>
          <w:p>
            <w:pPr>
              <w:pStyle w:val="BDOITable"/>
            </w:pPr>
            <w:r>
              <w:rPr>
                <w:sz w:val="16"/>
              </w:rPr>
              <w:t>Scheduled jobs acting on migrated data during the load</w:t>
            </w:r>
          </w:p>
        </w:tc>
        <w:tc>
          <w:tcPr>
            <w:tcW w:type="dxa" w:w="961"/>
            <w:tcMar>
              <w:top w:w="50" w:type="dxa"/>
              <w:bottom w:w="50" w:type="dxa"/>
              <w:left w:w="90" w:type="dxa"/>
              <w:right w:w="90" w:type="dxa"/>
            </w:tcMar>
          </w:tcPr>
          <w:p>
            <w:pPr>
              <w:pStyle w:val="BDOITable"/>
            </w:pPr>
            <w:r>
              <w:rPr>
                <w:sz w:val="16"/>
              </w:rPr>
              <w:t>Medium</w:t>
            </w:r>
          </w:p>
        </w:tc>
        <w:tc>
          <w:tcPr>
            <w:tcW w:type="dxa" w:w="4806"/>
            <w:tcMar>
              <w:top w:w="50" w:type="dxa"/>
              <w:bottom w:w="50" w:type="dxa"/>
              <w:left w:w="90" w:type="dxa"/>
              <w:right w:w="90" w:type="dxa"/>
            </w:tcMar>
          </w:tcPr>
          <w:p>
            <w:pPr>
              <w:pStyle w:val="BDOITable"/>
            </w:pPr>
            <w:r>
              <w:rPr>
                <w:sz w:val="16"/>
              </w:rPr>
              <w:t>Job hold from T-3 21:30 to T 03:30 (TC-12, TC-15); one-off runs decided at GNG-3</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8</w:t>
            </w:r>
          </w:p>
        </w:tc>
        <w:tc>
          <w:tcPr>
            <w:tcW w:type="dxa" w:w="3724"/>
            <w:tcMar>
              <w:top w:w="50" w:type="dxa"/>
              <w:bottom w:w="50" w:type="dxa"/>
              <w:left w:w="90" w:type="dxa"/>
              <w:right w:w="90" w:type="dxa"/>
            </w:tcMar>
            <w:shd w:val="clear" w:color="auto" w:fill="E5F5FF"/>
          </w:tcPr>
          <w:p>
            <w:pPr>
              <w:pStyle w:val="BDOITable"/>
            </w:pPr>
            <w:r>
              <w:rPr>
                <w:sz w:val="16"/>
              </w:rPr>
              <w:t>Tight lead time for the January 2028 renewals</w:t>
            </w:r>
          </w:p>
        </w:tc>
        <w:tc>
          <w:tcPr>
            <w:tcW w:type="dxa" w:w="961"/>
            <w:tcMar>
              <w:top w:w="50" w:type="dxa"/>
              <w:bottom w:w="50" w:type="dxa"/>
              <w:left w:w="90" w:type="dxa"/>
              <w:right w:w="90" w:type="dxa"/>
            </w:tcMar>
            <w:shd w:val="clear" w:color="auto" w:fill="E5F5FF"/>
          </w:tcPr>
          <w:p>
            <w:pPr>
              <w:pStyle w:val="BDOITable"/>
            </w:pPr>
            <w:r>
              <w:rPr>
                <w:sz w:val="16"/>
              </w:rPr>
              <w:t>High</w:t>
            </w:r>
          </w:p>
        </w:tc>
        <w:tc>
          <w:tcPr>
            <w:tcW w:type="dxa" w:w="4806"/>
            <w:tcMar>
              <w:top w:w="50" w:type="dxa"/>
              <w:bottom w:w="50" w:type="dxa"/>
              <w:left w:w="90" w:type="dxa"/>
              <w:right w:w="90" w:type="dxa"/>
            </w:tcMar>
            <w:shd w:val="clear" w:color="auto" w:fill="E5F5FF"/>
          </w:tcPr>
          <w:p>
            <w:pPr>
              <w:pStyle w:val="BDOITable"/>
            </w:pPr>
            <w:r>
              <w:rPr>
                <w:sz w:val="16"/>
              </w:rPr>
              <w:t>Day-1 priority queue; go-live extraction at T 04:00; staffing plan signed at T-20</w:t>
            </w:r>
          </w:p>
        </w:tc>
      </w:tr>
    </w:tbl>
    <w:p>
      <w:pPr>
        <w:pStyle w:val="BDOISpacer"/>
      </w:pPr>
    </w:p>
    <w:p>
      <w:pPr>
        <w:pStyle w:val="Heading1"/>
        <w:pageBreakBefore/>
        <w:pBdr>
          <w:bottom w:val="single" w:sz="4" w:space="4" w:color="99C1E7"/>
        </w:pBdr>
      </w:pPr>
      <w:bookmarkStart w:id="134" w:name="_Toc000134"/>
      <w:r>
        <w:rPr/>
        <w:t>Decisions and open points for BDOI</w:t>
      </w:r>
      <w:bookmarkEnd w:id="134"/>
    </w:p>
    <w:p>
      <w:pPr>
        <w:pStyle w:val="Caption"/>
        <w:keepNext/>
        <w:spacing w:after="60"/>
      </w:pPr>
      <w:r>
        <w:rPr>
          <w:b/>
          <w:i w:val="0"/>
        </w:rPr>
        <w:t xml:space="preserve">Table 19: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1"/>
        <w:gridCol w:w="5166"/>
        <w:gridCol w:w="2403"/>
        <w:gridCol w:w="1501"/>
      </w:tblGrid>
      <w:tr>
        <w:trPr>
          <w:tblHeader w:val="true"/>
          <w:cantSplit w:val="true"/>
        </w:trPr>
        <w:tc>
          <w:tcPr>
            <w:tcW w:type="dxa" w:w="901"/>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Point and our proposal</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50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901"/>
            <w:tcMar>
              <w:top w:w="50" w:type="dxa"/>
              <w:bottom w:w="50" w:type="dxa"/>
              <w:left w:w="90" w:type="dxa"/>
              <w:right w:w="90" w:type="dxa"/>
            </w:tcMar>
          </w:tcPr>
          <w:p>
            <w:pPr>
              <w:pStyle w:val="BDOITable"/>
            </w:pPr>
            <w:r>
              <w:rPr>
                <w:b/>
                <w:sz w:val="17"/>
              </w:rPr>
              <w:t>OP-01</w:t>
            </w:r>
          </w:p>
        </w:tc>
        <w:tc>
          <w:tcPr>
            <w:tcW w:type="dxa" w:w="5166"/>
            <w:tcMar>
              <w:top w:w="50" w:type="dxa"/>
              <w:bottom w:w="50" w:type="dxa"/>
              <w:left w:w="90" w:type="dxa"/>
              <w:right w:w="90" w:type="dxa"/>
            </w:tcMar>
          </w:tcPr>
          <w:p>
            <w:pPr>
              <w:pStyle w:val="BDOITable"/>
            </w:pPr>
            <w:r>
              <w:rPr>
                <w:sz w:val="17"/>
              </w:rPr>
              <w:t>Confirm the go-live date Monday 3 January 2028 and the year-end option A (DMQ25, DMQ39, DCR-242)</w:t>
            </w:r>
          </w:p>
        </w:tc>
        <w:tc>
          <w:tcPr>
            <w:tcW w:type="dxa" w:w="2403"/>
            <w:tcMar>
              <w:top w:w="50" w:type="dxa"/>
              <w:bottom w:w="50" w:type="dxa"/>
              <w:left w:w="90" w:type="dxa"/>
              <w:right w:w="90" w:type="dxa"/>
            </w:tcMar>
          </w:tcPr>
          <w:p>
            <w:pPr>
              <w:pStyle w:val="BDOITable"/>
            </w:pPr>
            <w:r>
              <w:rPr>
                <w:sz w:val="17"/>
              </w:rPr>
              <w:t>Head, Comptrollership; Steering Committee</w:t>
            </w:r>
          </w:p>
        </w:tc>
        <w:tc>
          <w:tcPr>
            <w:tcW w:type="dxa" w:w="1502"/>
            <w:tcMar>
              <w:top w:w="50" w:type="dxa"/>
              <w:bottom w:w="50" w:type="dxa"/>
              <w:left w:w="90" w:type="dxa"/>
              <w:right w:w="90" w:type="dxa"/>
            </w:tcMar>
          </w:tcPr>
          <w:p>
            <w:pPr>
              <w:pStyle w:val="BDOITable"/>
            </w:pPr>
            <w:r>
              <w:rPr>
                <w:sz w:val="17"/>
              </w:rPr>
              <w:t>1 Oct 2027 (M6)</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OP-02</w:t>
            </w:r>
          </w:p>
        </w:tc>
        <w:tc>
          <w:tcPr>
            <w:tcW w:type="dxa" w:w="5166"/>
            <w:tcMar>
              <w:top w:w="50" w:type="dxa"/>
              <w:bottom w:w="50" w:type="dxa"/>
              <w:left w:w="90" w:type="dxa"/>
              <w:right w:w="90" w:type="dxa"/>
            </w:tcMar>
            <w:shd w:val="clear" w:color="auto" w:fill="E5F5FF"/>
          </w:tcPr>
          <w:p>
            <w:pPr>
              <w:pStyle w:val="BDOITable"/>
            </w:pPr>
            <w:r>
              <w:rPr>
                <w:sz w:val="17"/>
              </w:rPr>
              <w:t>Confirm the governance bodies and their members, and name the BDOI executive sponsor who chairs the Steering Committee</w:t>
            </w:r>
          </w:p>
        </w:tc>
        <w:tc>
          <w:tcPr>
            <w:tcW w:type="dxa" w:w="2403"/>
            <w:tcMar>
              <w:top w:w="50" w:type="dxa"/>
              <w:bottom w:w="50" w:type="dxa"/>
              <w:left w:w="90" w:type="dxa"/>
              <w:right w:w="90" w:type="dxa"/>
            </w:tcMar>
            <w:shd w:val="clear" w:color="auto" w:fill="E5F5FF"/>
          </w:tcPr>
          <w:p>
            <w:pPr>
              <w:pStyle w:val="BDOITable"/>
            </w:pPr>
            <w:r>
              <w:rPr>
                <w:sz w:val="17"/>
              </w:rPr>
              <w:t>Program Manager</w:t>
            </w:r>
          </w:p>
        </w:tc>
        <w:tc>
          <w:tcPr>
            <w:tcW w:type="dxa" w:w="1502"/>
            <w:tcMar>
              <w:top w:w="50" w:type="dxa"/>
              <w:bottom w:w="50" w:type="dxa"/>
              <w:left w:w="90" w:type="dxa"/>
              <w:right w:w="90" w:type="dxa"/>
            </w:tcMar>
            <w:shd w:val="clear" w:color="auto" w:fill="E5F5FF"/>
          </w:tcPr>
          <w:p>
            <w:pPr>
              <w:pStyle w:val="BDOITable"/>
            </w:pPr>
            <w:r>
              <w:rPr>
                <w:sz w:val="17"/>
              </w:rPr>
              <w:t>30 Nov 2026</w:t>
            </w:r>
          </w:p>
        </w:tc>
      </w:tr>
      <w:tr>
        <w:trPr>
          <w:cantSplit w:val="true"/>
        </w:trPr>
        <w:tc>
          <w:tcPr>
            <w:tcW w:type="dxa" w:w="901"/>
            <w:tcMar>
              <w:top w:w="50" w:type="dxa"/>
              <w:bottom w:w="50" w:type="dxa"/>
              <w:left w:w="90" w:type="dxa"/>
              <w:right w:w="90" w:type="dxa"/>
            </w:tcMar>
          </w:tcPr>
          <w:p>
            <w:pPr>
              <w:pStyle w:val="BDOITable"/>
            </w:pPr>
            <w:r>
              <w:rPr>
                <w:b/>
                <w:sz w:val="17"/>
              </w:rPr>
              <w:t>OP-03</w:t>
            </w:r>
          </w:p>
        </w:tc>
        <w:tc>
          <w:tcPr>
            <w:tcW w:type="dxa" w:w="5166"/>
            <w:tcMar>
              <w:top w:w="50" w:type="dxa"/>
              <w:bottom w:w="50" w:type="dxa"/>
              <w:left w:w="90" w:type="dxa"/>
              <w:right w:w="90" w:type="dxa"/>
            </w:tcMar>
          </w:tcPr>
          <w:p>
            <w:pPr>
              <w:pStyle w:val="BDOITable"/>
            </w:pPr>
            <w:r>
              <w:rPr>
                <w:sz w:val="17"/>
              </w:rPr>
              <w:t>Confirm the ORR on 15 Dec 2027 and the PRR on 17 Dec 2027 as gates before GNG-1</w:t>
            </w:r>
          </w:p>
        </w:tc>
        <w:tc>
          <w:tcPr>
            <w:tcW w:type="dxa" w:w="2403"/>
            <w:tcMar>
              <w:top w:w="50" w:type="dxa"/>
              <w:bottom w:w="50" w:type="dxa"/>
              <w:left w:w="90" w:type="dxa"/>
              <w:right w:w="90" w:type="dxa"/>
            </w:tcMar>
          </w:tcPr>
          <w:p>
            <w:pPr>
              <w:pStyle w:val="BDOITable"/>
            </w:pPr>
            <w:r>
              <w:rPr>
                <w:sz w:val="17"/>
              </w:rPr>
              <w:t>Head, BDOI IT</w:t>
            </w:r>
          </w:p>
        </w:tc>
        <w:tc>
          <w:tcPr>
            <w:tcW w:type="dxa" w:w="1502"/>
            <w:tcMar>
              <w:top w:w="50" w:type="dxa"/>
              <w:bottom w:w="50" w:type="dxa"/>
              <w:left w:w="90" w:type="dxa"/>
              <w:right w:w="90" w:type="dxa"/>
            </w:tcMar>
          </w:tcPr>
          <w:p>
            <w:pPr>
              <w:pStyle w:val="BDOITable"/>
            </w:pPr>
            <w:r>
              <w:rPr>
                <w:sz w:val="17"/>
              </w:rPr>
              <w:t>30 Jun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OP-04</w:t>
            </w:r>
          </w:p>
        </w:tc>
        <w:tc>
          <w:tcPr>
            <w:tcW w:type="dxa" w:w="5166"/>
            <w:tcMar>
              <w:top w:w="50" w:type="dxa"/>
              <w:bottom w:w="50" w:type="dxa"/>
              <w:left w:w="90" w:type="dxa"/>
              <w:right w:w="90" w:type="dxa"/>
            </w:tcMar>
            <w:shd w:val="clear" w:color="auto" w:fill="E5F5FF"/>
          </w:tcPr>
          <w:p>
            <w:pPr>
              <w:pStyle w:val="BDOITable"/>
            </w:pPr>
            <w:r>
              <w:rPr>
                <w:sz w:val="17"/>
              </w:rPr>
              <w:t>Confirm the job hold over the load window (bibs-jobs scaled to zero from T-3 21:30 to T 03:30) and the deferral of the 1 January runs (KYC_REVIEW_DUE, MIG_RUNOFF_SNAPSHOT) to 3 January</w:t>
            </w:r>
          </w:p>
        </w:tc>
        <w:tc>
          <w:tcPr>
            <w:tcW w:type="dxa" w:w="2403"/>
            <w:tcMar>
              <w:top w:w="50" w:type="dxa"/>
              <w:bottom w:w="50" w:type="dxa"/>
              <w:left w:w="90" w:type="dxa"/>
              <w:right w:w="90" w:type="dxa"/>
            </w:tcMar>
            <w:shd w:val="clear" w:color="auto" w:fill="E5F5FF"/>
          </w:tcPr>
          <w:p>
            <w:pPr>
              <w:pStyle w:val="BDOITable"/>
            </w:pPr>
            <w:r>
              <w:rPr>
                <w:sz w:val="17"/>
              </w:rPr>
              <w:t>Data Migration Lead with the Head of BDOI IT</w:t>
            </w:r>
          </w:p>
        </w:tc>
        <w:tc>
          <w:tcPr>
            <w:tcW w:type="dxa" w:w="1502"/>
            <w:tcMar>
              <w:top w:w="50" w:type="dxa"/>
              <w:bottom w:w="50" w:type="dxa"/>
              <w:left w:w="90" w:type="dxa"/>
              <w:right w:w="90" w:type="dxa"/>
            </w:tcMar>
            <w:shd w:val="clear" w:color="auto" w:fill="E5F5FF"/>
          </w:tcPr>
          <w:p>
            <w:pPr>
              <w:pStyle w:val="BDOITable"/>
            </w:pPr>
            <w:r>
              <w:rPr>
                <w:sz w:val="17"/>
              </w:rPr>
              <w:t>15 Oct 2027 (after Mock 4)</w:t>
            </w:r>
          </w:p>
        </w:tc>
      </w:tr>
      <w:tr>
        <w:trPr>
          <w:cantSplit w:val="true"/>
        </w:trPr>
        <w:tc>
          <w:tcPr>
            <w:tcW w:type="dxa" w:w="901"/>
            <w:tcMar>
              <w:top w:w="50" w:type="dxa"/>
              <w:bottom w:w="50" w:type="dxa"/>
              <w:left w:w="90" w:type="dxa"/>
              <w:right w:w="90" w:type="dxa"/>
            </w:tcMar>
          </w:tcPr>
          <w:p>
            <w:pPr>
              <w:pStyle w:val="BDOITable"/>
            </w:pPr>
            <w:r>
              <w:rPr>
                <w:b/>
                <w:sz w:val="17"/>
              </w:rPr>
              <w:t>OP-05</w:t>
            </w:r>
          </w:p>
        </w:tc>
        <w:tc>
          <w:tcPr>
            <w:tcW w:type="dxa" w:w="5166"/>
            <w:tcMar>
              <w:top w:w="50" w:type="dxa"/>
              <w:bottom w:w="50" w:type="dxa"/>
              <w:left w:w="90" w:type="dxa"/>
              <w:right w:w="90" w:type="dxa"/>
            </w:tcMar>
          </w:tcPr>
          <w:p>
            <w:pPr>
              <w:pStyle w:val="BDOITable"/>
            </w:pPr>
            <w:r>
              <w:rPr>
                <w:sz w:val="17"/>
              </w:rPr>
              <w:t>Confirm that the January 2028 BOOK rates are set from the legacy December revaluation by Comptrollership (BIBS has no December close to copy them from)</w:t>
            </w:r>
          </w:p>
        </w:tc>
        <w:tc>
          <w:tcPr>
            <w:tcW w:type="dxa" w:w="2403"/>
            <w:tcMar>
              <w:top w:w="50" w:type="dxa"/>
              <w:bottom w:w="50" w:type="dxa"/>
              <w:left w:w="90" w:type="dxa"/>
              <w:right w:w="90" w:type="dxa"/>
            </w:tcMar>
          </w:tcPr>
          <w:p>
            <w:pPr>
              <w:pStyle w:val="BDOITable"/>
            </w:pPr>
            <w:r>
              <w:rPr>
                <w:sz w:val="17"/>
              </w:rPr>
              <w:t>Head, Comptrollership</w:t>
            </w:r>
          </w:p>
        </w:tc>
        <w:tc>
          <w:tcPr>
            <w:tcW w:type="dxa" w:w="1502"/>
            <w:tcMar>
              <w:top w:w="50" w:type="dxa"/>
              <w:bottom w:w="50" w:type="dxa"/>
              <w:left w:w="90" w:type="dxa"/>
              <w:right w:w="90" w:type="dxa"/>
            </w:tcMar>
          </w:tcPr>
          <w:p>
            <w:pPr>
              <w:pStyle w:val="BDOITable"/>
            </w:pPr>
            <w:r>
              <w:rPr>
                <w:sz w:val="17"/>
              </w:rPr>
              <w:t>15 Nov 2027</w:t>
            </w:r>
          </w:p>
        </w:tc>
      </w:tr>
      <w:tr>
        <w:trPr>
          <w:cantSplit w:val="true"/>
        </w:trPr>
        <w:tc>
          <w:tcPr>
            <w:tcW w:type="dxa" w:w="901"/>
            <w:tcMar>
              <w:top w:w="50" w:type="dxa"/>
              <w:bottom w:w="50" w:type="dxa"/>
              <w:left w:w="90" w:type="dxa"/>
              <w:right w:w="90" w:type="dxa"/>
            </w:tcMar>
            <w:shd w:val="clear" w:color="auto" w:fill="E5F5FF"/>
          </w:tcPr>
          <w:p>
            <w:pPr>
              <w:pStyle w:val="BDOITable"/>
            </w:pPr>
            <w:r>
              <w:rPr>
                <w:b/>
                <w:sz w:val="17"/>
              </w:rPr>
              <w:t>OP-06</w:t>
            </w:r>
          </w:p>
        </w:tc>
        <w:tc>
          <w:tcPr>
            <w:tcW w:type="dxa" w:w="5166"/>
            <w:tcMar>
              <w:top w:w="50" w:type="dxa"/>
              <w:bottom w:w="50" w:type="dxa"/>
              <w:left w:w="90" w:type="dxa"/>
              <w:right w:w="90" w:type="dxa"/>
            </w:tcMar>
            <w:shd w:val="clear" w:color="auto" w:fill="E5F5FF"/>
          </w:tcPr>
          <w:p>
            <w:pPr>
              <w:pStyle w:val="BDOITable"/>
            </w:pPr>
            <w:r>
              <w:rPr>
                <w:sz w:val="17"/>
              </w:rPr>
              <w:t>Confirm the dates of dress rehearsal 1 (15-26 Nov 2027) and of the reserve (6-10 Dec 2027) with the performance test window</w:t>
            </w:r>
          </w:p>
        </w:tc>
        <w:tc>
          <w:tcPr>
            <w:tcW w:type="dxa" w:w="2403"/>
            <w:tcMar>
              <w:top w:w="50" w:type="dxa"/>
              <w:bottom w:w="50" w:type="dxa"/>
              <w:left w:w="90" w:type="dxa"/>
              <w:right w:w="90" w:type="dxa"/>
            </w:tcMar>
            <w:shd w:val="clear" w:color="auto" w:fill="E5F5FF"/>
          </w:tcPr>
          <w:p>
            <w:pPr>
              <w:pStyle w:val="BDOITable"/>
            </w:pPr>
            <w:r>
              <w:rPr>
                <w:sz w:val="17"/>
              </w:rPr>
              <w:t>Program Manager</w:t>
            </w:r>
          </w:p>
        </w:tc>
        <w:tc>
          <w:tcPr>
            <w:tcW w:type="dxa" w:w="1502"/>
            <w:tcMar>
              <w:top w:w="50" w:type="dxa"/>
              <w:bottom w:w="50" w:type="dxa"/>
              <w:left w:w="90" w:type="dxa"/>
              <w:right w:w="90" w:type="dxa"/>
            </w:tcMar>
            <w:shd w:val="clear" w:color="auto" w:fill="E5F5FF"/>
          </w:tcPr>
          <w:p>
            <w:pPr>
              <w:pStyle w:val="BDOITable"/>
            </w:pPr>
            <w:r>
              <w:rPr>
                <w:sz w:val="17"/>
              </w:rPr>
              <w:t>30 Jun 2027</w:t>
            </w:r>
          </w:p>
        </w:tc>
      </w:tr>
      <w:tr>
        <w:trPr>
          <w:cantSplit w:val="true"/>
        </w:trPr>
        <w:tc>
          <w:tcPr>
            <w:tcW w:type="dxa" w:w="901"/>
            <w:tcMar>
              <w:top w:w="50" w:type="dxa"/>
              <w:bottom w:w="50" w:type="dxa"/>
              <w:left w:w="90" w:type="dxa"/>
              <w:right w:w="90" w:type="dxa"/>
            </w:tcMar>
          </w:tcPr>
          <w:p>
            <w:pPr>
              <w:pStyle w:val="BDOITable"/>
            </w:pPr>
            <w:r>
              <w:rPr>
                <w:b/>
                <w:sz w:val="17"/>
              </w:rPr>
              <w:t>OP-07</w:t>
            </w:r>
          </w:p>
        </w:tc>
        <w:tc>
          <w:tcPr>
            <w:tcW w:type="dxa" w:w="5166"/>
            <w:tcMar>
              <w:top w:w="50" w:type="dxa"/>
              <w:bottom w:w="50" w:type="dxa"/>
              <w:left w:w="90" w:type="dxa"/>
              <w:right w:w="90" w:type="dxa"/>
            </w:tcMar>
          </w:tcPr>
          <w:p>
            <w:pPr>
              <w:pStyle w:val="BDOITable"/>
            </w:pPr>
            <w:r>
              <w:rPr>
                <w:sz w:val="17"/>
              </w:rPr>
              <w:t>The open decisions of the migration itself (DMQ01 to DMQ35, CLR-DM-01 to CLR-DM-20) stay in the handbook with their dates</w:t>
            </w:r>
          </w:p>
        </w:tc>
        <w:tc>
          <w:tcPr>
            <w:tcW w:type="dxa" w:w="2403"/>
            <w:tcMar>
              <w:top w:w="50" w:type="dxa"/>
              <w:bottom w:w="50" w:type="dxa"/>
              <w:left w:w="90" w:type="dxa"/>
              <w:right w:w="90" w:type="dxa"/>
            </w:tcMar>
          </w:tcPr>
          <w:p>
            <w:pPr>
              <w:pStyle w:val="BDOITable"/>
            </w:pPr>
            <w:r>
              <w:rPr>
                <w:sz w:val="17"/>
              </w:rPr>
              <w:t>Data Migration Lead</w:t>
            </w:r>
          </w:p>
        </w:tc>
        <w:tc>
          <w:tcPr>
            <w:tcW w:type="dxa" w:w="1502"/>
            <w:tcMar>
              <w:top w:w="50" w:type="dxa"/>
              <w:bottom w:w="50" w:type="dxa"/>
              <w:left w:w="90" w:type="dxa"/>
              <w:right w:w="90" w:type="dxa"/>
            </w:tcMar>
          </w:tcPr>
          <w:p>
            <w:pPr>
              <w:pStyle w:val="BDOITable"/>
            </w:pPr>
            <w:r>
              <w:rPr>
                <w:sz w:val="17"/>
              </w:rPr>
              <w:t>As in R1</w:t>
            </w:r>
          </w:p>
        </w:tc>
      </w:tr>
    </w:tbl>
    <w:p>
      <w:pPr>
        <w:pStyle w:val="BDOISpacer"/>
      </w:pPr>
    </w:p>
    <w:p>
      <w:pPr>
        <w:pStyle w:val="Heading1"/>
        <w:pageBreakBefore/>
        <w:pBdr>
          <w:bottom w:val="single" w:sz="4" w:space="4" w:color="99C1E7"/>
        </w:pBdr>
      </w:pPr>
      <w:bookmarkStart w:id="135" w:name="_Toc000135"/>
      <w:r>
        <w:rPr/>
        <w:t>Glossary</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DML</w:t>
            </w:r>
          </w:p>
        </w:tc>
        <w:tc>
          <w:tcPr>
            <w:tcW w:type="dxa" w:w="7932"/>
            <w:tcMar>
              <w:top w:w="50" w:type="dxa"/>
              <w:bottom w:w="50" w:type="dxa"/>
              <w:left w:w="90" w:type="dxa"/>
              <w:right w:w="90" w:type="dxa"/>
            </w:tcMar>
          </w:tcPr>
          <w:p>
            <w:pPr>
              <w:pStyle w:val="BDOITable"/>
            </w:pPr>
            <w:r>
              <w:rPr>
                <w:sz w:val="18"/>
              </w:rPr>
              <w:t>BDOI Data Migration Lead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G1 to G7</w:t>
            </w:r>
          </w:p>
        </w:tc>
        <w:tc>
          <w:tcPr>
            <w:tcW w:type="dxa" w:w="7932"/>
            <w:tcMar>
              <w:top w:w="50" w:type="dxa"/>
              <w:bottom w:w="50" w:type="dxa"/>
              <w:left w:w="90" w:type="dxa"/>
              <w:right w:w="90" w:type="dxa"/>
            </w:tcMar>
            <w:shd w:val="clear" w:color="auto" w:fill="E5F5FF"/>
          </w:tcPr>
          <w:p>
            <w:pPr>
              <w:pStyle w:val="BDOITable"/>
            </w:pPr>
            <w:r>
              <w:rPr>
                <w:sz w:val="18"/>
              </w:rPr>
              <w:t>Sign-off gates of each migrated object (decision, mapping, validation, load approval, reconciliation, acceptance, go-live)</w:t>
            </w:r>
          </w:p>
        </w:tc>
      </w:tr>
      <w:tr>
        <w:trPr>
          <w:cantSplit w:val="true"/>
        </w:trPr>
        <w:tc>
          <w:tcPr>
            <w:tcW w:type="dxa" w:w="2040"/>
            <w:tcMar>
              <w:top w:w="50" w:type="dxa"/>
              <w:bottom w:w="50" w:type="dxa"/>
              <w:left w:w="90" w:type="dxa"/>
              <w:right w:w="90" w:type="dxa"/>
            </w:tcMar>
          </w:tcPr>
          <w:p>
            <w:pPr>
              <w:pStyle w:val="BDOITable"/>
            </w:pPr>
            <w:r>
              <w:rPr>
                <w:b/>
                <w:sz w:val="18"/>
              </w:rPr>
              <w:t>GNG-1, GNG-2, GNG-3</w:t>
            </w:r>
          </w:p>
        </w:tc>
        <w:tc>
          <w:tcPr>
            <w:tcW w:type="dxa" w:w="7932"/>
            <w:tcMar>
              <w:top w:w="50" w:type="dxa"/>
              <w:bottom w:w="50" w:type="dxa"/>
              <w:left w:w="90" w:type="dxa"/>
              <w:right w:w="90" w:type="dxa"/>
            </w:tcMar>
          </w:tcPr>
          <w:p>
            <w:pPr>
              <w:pStyle w:val="BDOITable"/>
            </w:pPr>
            <w:r>
              <w:rPr>
                <w:sz w:val="18"/>
              </w:rPr>
              <w:t>Go / no-go checkpoints of the cutover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Mock migration</w:t>
            </w:r>
          </w:p>
        </w:tc>
        <w:tc>
          <w:tcPr>
            <w:tcW w:type="dxa" w:w="7932"/>
            <w:tcMar>
              <w:top w:w="50" w:type="dxa"/>
              <w:bottom w:w="50" w:type="dxa"/>
              <w:left w:w="90" w:type="dxa"/>
              <w:right w:w="90" w:type="dxa"/>
            </w:tcMar>
            <w:shd w:val="clear" w:color="auto" w:fill="E5F5FF"/>
          </w:tcPr>
          <w:p>
            <w:pPr>
              <w:pStyle w:val="BDOITable"/>
            </w:pPr>
            <w:r>
              <w:rPr>
                <w:sz w:val="18"/>
              </w:rPr>
              <w:t>A trial migration run on masked full extracts, timed as the real one</w:t>
            </w:r>
          </w:p>
        </w:tc>
      </w:tr>
      <w:tr>
        <w:trPr>
          <w:cantSplit w:val="true"/>
        </w:trPr>
        <w:tc>
          <w:tcPr>
            <w:tcW w:type="dxa" w:w="2040"/>
            <w:tcMar>
              <w:top w:w="50" w:type="dxa"/>
              <w:bottom w:w="50" w:type="dxa"/>
              <w:left w:w="90" w:type="dxa"/>
              <w:right w:w="90" w:type="dxa"/>
            </w:tcMar>
          </w:tcPr>
          <w:p>
            <w:pPr>
              <w:pStyle w:val="BDOITable"/>
            </w:pPr>
            <w:r>
              <w:rPr>
                <w:b/>
                <w:sz w:val="18"/>
              </w:rPr>
              <w:t>ORR</w:t>
            </w:r>
          </w:p>
        </w:tc>
        <w:tc>
          <w:tcPr>
            <w:tcW w:type="dxa" w:w="7932"/>
            <w:tcMar>
              <w:top w:w="50" w:type="dxa"/>
              <w:bottom w:w="50" w:type="dxa"/>
              <w:left w:w="90" w:type="dxa"/>
              <w:right w:w="90" w:type="dxa"/>
            </w:tcMar>
          </w:tcPr>
          <w:p>
            <w:pPr>
              <w:pStyle w:val="BDOITable"/>
            </w:pPr>
            <w:r>
              <w:rPr>
                <w:sz w:val="18"/>
              </w:rPr>
              <w:t>Operational readiness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PRR</w:t>
            </w:r>
          </w:p>
        </w:tc>
        <w:tc>
          <w:tcPr>
            <w:tcW w:type="dxa" w:w="7932"/>
            <w:tcMar>
              <w:top w:w="50" w:type="dxa"/>
              <w:bottom w:w="50" w:type="dxa"/>
              <w:left w:w="90" w:type="dxa"/>
              <w:right w:w="90" w:type="dxa"/>
            </w:tcMar>
            <w:shd w:val="clear" w:color="auto" w:fill="E5F5FF"/>
          </w:tcPr>
          <w:p>
            <w:pPr>
              <w:pStyle w:val="BDOITable"/>
            </w:pPr>
            <w:r>
              <w:rPr>
                <w:sz w:val="18"/>
              </w:rPr>
              <w:t>Production readiness review</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w:t>
            </w:r>
          </w:p>
        </w:tc>
        <w:tc>
          <w:tcPr>
            <w:tcW w:type="dxa" w:w="7932"/>
            <w:tcMar>
              <w:top w:w="50" w:type="dxa"/>
              <w:bottom w:w="50" w:type="dxa"/>
              <w:left w:w="90" w:type="dxa"/>
              <w:right w:w="90" w:type="dxa"/>
            </w:tcMar>
            <w:shd w:val="clear" w:color="auto" w:fill="E5F5FF"/>
          </w:tcPr>
          <w:p>
            <w:pPr>
              <w:pStyle w:val="BDOITable"/>
            </w:pPr>
            <w:r>
              <w:rPr>
                <w:sz w:val="18"/>
              </w:rPr>
              <w:t>Go-live day (recommended Monday 3 January 2028)</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premium payment</w:t>
            </w:r>
          </w:p>
        </w:tc>
      </w:tr>
    </w:tbl>
    <w:p>
      <w:pPr>
        <w:pStyle w:val="BDOISpacer"/>
      </w:pPr>
    </w:p>
    <w:p>
      <w:pPr>
        <w:pStyle w:val="Heading1"/>
        <w:pageBreakBefore/>
        <w:pBdr>
          <w:bottom w:val="single" w:sz="4" w:space="4" w:color="99C1E7"/>
        </w:pBdr>
      </w:pPr>
      <w:bookmarkStart w:id="136" w:name="_Toc000136"/>
      <w:r>
        <w:rPr/>
        <w:t>Sign-off</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1"/>
      <w:footerReference w:type="default" r:id="rId22"/>
      <w:headerReference w:type="first" r:id="rId23"/>
      <w:footerReference w:type="first" r:id="rId24"/>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Go-Live, Cutover and Data Migration Plan</w:t>
    </w:r>
    <w:r>
      <w:rPr>
        <w:color w:val="656565"/>
        <w:sz w:val="16"/>
      </w:rPr>
      <w:t xml:space="preserve">   Go-Live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Go-Live, Cutover and Data Migration Plan</w:t>
    </w:r>
    <w:r>
      <w:rPr>
        <w:color w:val="656565"/>
        <w:sz w:val="16"/>
      </w:rPr>
      <w:t xml:space="preserve">   Go-Live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Go-Live, Cutover and Data Migration Plan</w:t>
    </w:r>
    <w:r>
      <w:rPr>
        <w:color w:val="656565"/>
        <w:sz w:val="16"/>
      </w:rPr>
      <w:t xml:space="preserve">   Go-Live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GoLive BRD-00 Cutover and Data Migration Plan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