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bdo-insure.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CLOSURE SUMMARY FOR THE STEERING COMMITTEE</w:t>
      </w:r>
    </w:p>
    <w:p>
      <w:pPr>
        <w:spacing w:after="80" w:line="240" w:lineRule="auto"/>
      </w:pPr>
      <w:r>
        <w:rPr>
          <w:b/>
          <w:color w:val="004EA8"/>
          <w:sz w:val="56"/>
        </w:rPr>
        <w:t>Drop 0 Closure Summary</w:t>
      </w:r>
    </w:p>
    <w:p>
      <w:pPr>
        <w:spacing w:after="40"/>
      </w:pPr>
      <w:r>
        <w:rPr>
          <w:color w:val="2E2E2E"/>
          <w:sz w:val="28"/>
        </w:rPr>
        <w:t>Setup and Data Migration: sign-off sets, decisions, configuration inputs and the move to Drop 1</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BIBS-CS-DROP-0</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2.0</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5 October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the BDOI steering committee</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26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pStyle w:val="BDOIFrontHeading"/>
        <w:pageBreakBefore/>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2.0</w:t>
            </w:r>
          </w:p>
        </w:tc>
        <w:tc>
          <w:tcPr>
            <w:tcW w:type="dxa" w:w="1360"/>
            <w:tcMar>
              <w:top w:w="50" w:type="dxa"/>
              <w:bottom w:w="50" w:type="dxa"/>
              <w:left w:w="90" w:type="dxa"/>
              <w:right w:w="90" w:type="dxa"/>
            </w:tcMar>
          </w:tcPr>
          <w:p>
            <w:pPr>
              <w:pStyle w:val="BDOITable"/>
            </w:pPr>
            <w:r>
              <w:rPr>
                <w:sz w:val="18"/>
              </w:rPr>
              <w:t>5 Oct 2026</w:t>
            </w:r>
          </w:p>
        </w:tc>
        <w:tc>
          <w:tcPr>
            <w:tcW w:type="dxa" w:w="1700"/>
            <w:tcMar>
              <w:top w:w="50" w:type="dxa"/>
              <w:bottom w:w="50" w:type="dxa"/>
              <w:left w:w="90" w:type="dxa"/>
              <w:right w:w="90" w:type="dxa"/>
            </w:tcMar>
          </w:tcPr>
          <w:p>
            <w:pPr>
              <w:pStyle w:val="BDOITable"/>
            </w:pPr>
            <w:r>
              <w:rPr>
                <w:sz w:val="18"/>
              </w:rPr>
              <w:t>iorta TechNXT Project Manager</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p>
        </w:tc>
        <w:tc>
          <w:tcPr>
            <w:tcW w:type="dxa" w:w="2606"/>
            <w:tcMar>
              <w:top w:w="50" w:type="dxa"/>
              <w:bottom w:w="50" w:type="dxa"/>
              <w:left w:w="90" w:type="dxa"/>
              <w:right w:w="90" w:type="dxa"/>
            </w:tcMar>
          </w:tcPr>
          <w:p>
            <w:pPr>
              <w:pStyle w:val="BDOITable"/>
            </w:pPr>
            <w:r>
              <w:rPr>
                <w:sz w:val="18"/>
              </w:rPr>
              <w:t>First issue with the three Drop 0 sign-off sets v2.0 and the Drop 0 configuration inputs workbook</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Program Manager, Business Project Services</w:t>
            </w:r>
          </w:p>
        </w:tc>
        <w:tc>
          <w:tcPr>
            <w:tcW w:type="dxa" w:w="2266"/>
            <w:tcMar>
              <w:top w:w="50" w:type="dxa"/>
              <w:bottom w:w="50" w:type="dxa"/>
              <w:left w:w="90" w:type="dxa"/>
              <w:right w:w="90" w:type="dxa"/>
            </w:tcMar>
          </w:tcPr>
          <w:p>
            <w:pPr>
              <w:pStyle w:val="BDOITable"/>
            </w:pPr>
            <w:r>
              <w:rPr>
                <w:sz w:val="18"/>
              </w:rPr>
              <w:t>Chair and approver</w:t>
            </w:r>
          </w:p>
        </w:tc>
        <w:tc>
          <w:tcPr>
            <w:tcW w:type="dxa" w:w="2266"/>
            <w:tcMar>
              <w:top w:w="50" w:type="dxa"/>
              <w:bottom w:w="50" w:type="dxa"/>
              <w:left w:w="90" w:type="dxa"/>
              <w:right w:w="90" w:type="dxa"/>
            </w:tcMar>
          </w:tcPr>
          <w:p>
            <w:pPr>
              <w:pStyle w:val="BDOITable"/>
            </w:pPr>
            <w:r>
              <w:rPr>
                <w:sz w:val="18"/>
              </w:rPr>
              <w:t>BDO Unibank ESG</w:t>
            </w:r>
          </w:p>
        </w:tc>
        <w:tc>
          <w:tcPr>
            <w:tcW w:type="dxa" w:w="2833"/>
            <w:tcMar>
              <w:top w:w="50" w:type="dxa"/>
              <w:bottom w:w="50" w:type="dxa"/>
              <w:left w:w="90" w:type="dxa"/>
              <w:right w:w="90" w:type="dxa"/>
            </w:tcMar>
          </w:tcPr>
          <w:p>
            <w:pPr>
              <w:pStyle w:val="BDOITable"/>
            </w:pPr>
            <w:r>
              <w:rPr>
                <w:sz w:val="18"/>
              </w:rPr>
              <w:t>Steering committee decision</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Product Owner, Marketing Business System</w:t>
            </w:r>
          </w:p>
        </w:tc>
        <w:tc>
          <w:tcPr>
            <w:tcW w:type="dxa" w:w="2266"/>
            <w:tcMar>
              <w:top w:w="50" w:type="dxa"/>
              <w:bottom w:w="50" w:type="dxa"/>
              <w:left w:w="90" w:type="dxa"/>
              <w:right w:w="90" w:type="dxa"/>
            </w:tcMar>
            <w:shd w:val="clear" w:color="auto" w:fill="E5F5FF"/>
          </w:tcPr>
          <w:p>
            <w:pPr>
              <w:pStyle w:val="BDOITable"/>
            </w:pPr>
            <w:r>
              <w:rPr>
                <w:sz w:val="18"/>
              </w:rPr>
              <w:t>Business owner of BRD-03 and BRD-11</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Decisions and sign-off</w:t>
            </w:r>
          </w:p>
        </w:tc>
      </w:tr>
      <w:tr>
        <w:trPr>
          <w:cantSplit w:val="true"/>
        </w:trPr>
        <w:tc>
          <w:tcPr>
            <w:tcW w:type="dxa" w:w="2606"/>
            <w:tcMar>
              <w:top w:w="50" w:type="dxa"/>
              <w:bottom w:w="50" w:type="dxa"/>
              <w:left w:w="90" w:type="dxa"/>
              <w:right w:w="90" w:type="dxa"/>
            </w:tcMar>
          </w:tcPr>
          <w:p>
            <w:pPr>
              <w:pStyle w:val="BDOITable"/>
            </w:pPr>
            <w:r>
              <w:rPr>
                <w:sz w:val="18"/>
              </w:rPr>
              <w:t>Head, Comptrollership</w:t>
            </w:r>
          </w:p>
        </w:tc>
        <w:tc>
          <w:tcPr>
            <w:tcW w:type="dxa" w:w="2266"/>
            <w:tcMar>
              <w:top w:w="50" w:type="dxa"/>
              <w:bottom w:w="50" w:type="dxa"/>
              <w:left w:w="90" w:type="dxa"/>
              <w:right w:w="90" w:type="dxa"/>
            </w:tcMar>
          </w:tcPr>
          <w:p>
            <w:pPr>
              <w:pStyle w:val="BDOITable"/>
            </w:pPr>
            <w:r>
              <w:rPr>
                <w:sz w:val="18"/>
              </w:rPr>
              <w:t>Owner of the finance set-up and the year-end option</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Decisions and configuration inputs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Head, BDOI Information Security</w:t>
            </w:r>
          </w:p>
        </w:tc>
        <w:tc>
          <w:tcPr>
            <w:tcW w:type="dxa" w:w="2266"/>
            <w:tcMar>
              <w:top w:w="50" w:type="dxa"/>
              <w:bottom w:w="50" w:type="dxa"/>
              <w:left w:w="90" w:type="dxa"/>
              <w:right w:w="90" w:type="dxa"/>
            </w:tcMar>
            <w:shd w:val="clear" w:color="auto" w:fill="E5F5FF"/>
          </w:tcPr>
          <w:p>
            <w:pPr>
              <w:pStyle w:val="BDOITable"/>
            </w:pPr>
            <w:r>
              <w:rPr>
                <w:sz w:val="18"/>
              </w:rPr>
              <w:t>Owner of the security settings</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Decisions and configuration inputs</w:t>
            </w:r>
          </w:p>
        </w:tc>
      </w:tr>
      <w:tr>
        <w:trPr>
          <w:cantSplit w:val="true"/>
        </w:trPr>
        <w:tc>
          <w:tcPr>
            <w:tcW w:type="dxa" w:w="2606"/>
            <w:tcMar>
              <w:top w:w="50" w:type="dxa"/>
              <w:bottom w:w="50" w:type="dxa"/>
              <w:left w:w="90" w:type="dxa"/>
              <w:right w:w="90" w:type="dxa"/>
            </w:tcMar>
          </w:tcPr>
          <w:p>
            <w:pPr>
              <w:pStyle w:val="BDOITable"/>
            </w:pPr>
            <w:r>
              <w:rPr>
                <w:sz w:val="18"/>
              </w:rPr>
              <w:t>Head, BDOI IT</w:t>
            </w:r>
          </w:p>
        </w:tc>
        <w:tc>
          <w:tcPr>
            <w:tcW w:type="dxa" w:w="2266"/>
            <w:tcMar>
              <w:top w:w="50" w:type="dxa"/>
              <w:bottom w:w="50" w:type="dxa"/>
              <w:left w:w="90" w:type="dxa"/>
              <w:right w:w="90" w:type="dxa"/>
            </w:tcMar>
          </w:tcPr>
          <w:p>
            <w:pPr>
              <w:pStyle w:val="BDOITable"/>
            </w:pPr>
            <w:r>
              <w:rPr>
                <w:sz w:val="18"/>
              </w:rPr>
              <w:t>Owner of extracts, sign-in and integrations</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Decisions and configuration inputs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Data Migration Lead</w:t>
            </w:r>
          </w:p>
        </w:tc>
        <w:tc>
          <w:tcPr>
            <w:tcW w:type="dxa" w:w="2266"/>
            <w:tcMar>
              <w:top w:w="50" w:type="dxa"/>
              <w:bottom w:w="50" w:type="dxa"/>
              <w:left w:w="90" w:type="dxa"/>
              <w:right w:w="90" w:type="dxa"/>
            </w:tcMar>
            <w:shd w:val="clear" w:color="auto" w:fill="E5F5FF"/>
          </w:tcPr>
          <w:p>
            <w:pPr>
              <w:pStyle w:val="BDOITable"/>
            </w:pPr>
            <w:r>
              <w:rPr>
                <w:sz w:val="18"/>
              </w:rPr>
              <w:t>Owner of the migration objects</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Decisions</w:t>
            </w:r>
          </w:p>
        </w:tc>
      </w:tr>
      <w:tr>
        <w:trPr>
          <w:cantSplit w:val="true"/>
        </w:trPr>
        <w:tc>
          <w:tcPr>
            <w:tcW w:type="dxa" w:w="2606"/>
            <w:tcMar>
              <w:top w:w="50" w:type="dxa"/>
              <w:bottom w:w="50" w:type="dxa"/>
              <w:left w:w="90" w:type="dxa"/>
              <w:right w:w="90" w:type="dxa"/>
            </w:tcMar>
          </w:tcPr>
          <w:p>
            <w:pPr>
              <w:pStyle w:val="BDOITable"/>
            </w:pPr>
            <w:r>
              <w:rPr>
                <w:sz w:val="18"/>
              </w:rPr>
              <w:t>Project team</w:t>
            </w:r>
          </w:p>
        </w:tc>
        <w:tc>
          <w:tcPr>
            <w:tcW w:type="dxa" w:w="2266"/>
            <w:tcMar>
              <w:top w:w="50" w:type="dxa"/>
              <w:bottom w:w="50" w:type="dxa"/>
              <w:left w:w="90" w:type="dxa"/>
              <w:right w:w="90" w:type="dxa"/>
            </w:tcMar>
          </w:tcPr>
          <w:p>
            <w:pPr>
              <w:pStyle w:val="BDOITable"/>
            </w:pPr>
            <w:r>
              <w:rPr>
                <w:sz w:val="18"/>
              </w:rPr>
              <w:t>Delivery</w:t>
            </w:r>
          </w:p>
        </w:tc>
        <w:tc>
          <w:tcPr>
            <w:tcW w:type="dxa" w:w="2266"/>
            <w:tcMar>
              <w:top w:w="50" w:type="dxa"/>
              <w:bottom w:w="50" w:type="dxa"/>
              <w:left w:w="90" w:type="dxa"/>
              <w:right w:w="90" w:type="dxa"/>
            </w:tcMar>
          </w:tcPr>
          <w:p>
            <w:pPr>
              <w:pStyle w:val="BDOITable"/>
            </w:pPr>
            <w:r>
              <w:rPr>
                <w:sz w:val="18"/>
              </w:rPr>
              <w:t>iorta TechNXT</w:t>
            </w:r>
          </w:p>
        </w:tc>
        <w:tc>
          <w:tcPr>
            <w:tcW w:type="dxa" w:w="2833"/>
            <w:tcMar>
              <w:top w:w="50" w:type="dxa"/>
              <w:bottom w:w="50" w:type="dxa"/>
              <w:left w:w="90" w:type="dxa"/>
              <w:right w:w="90" w:type="dxa"/>
            </w:tcMar>
          </w:tcPr>
          <w:p>
            <w:pPr>
              <w:pStyle w:val="BDOITable"/>
            </w:pPr>
            <w:r>
              <w:rPr>
                <w:sz w:val="18"/>
              </w:rPr>
              <w:t>Sessions, answers, revisions, change requests</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1 Purpose of this summary</w:t>
        </w:r>
        <w:r>
          <w:t xml:space="preserve">	</w:t>
        </w:r>
        <w:r>
          <w:t xml:space="preserve">4</w:t>
        </w:r>
      </w:hyperlink>
    </w:p>
    <w:p>
      <w:pPr>
        <w:pStyle w:val="toc1"/>
      </w:pPr>
      <w:hyperlink w:anchor="_Toc000102" w:history="1">
        <w:r>
          <w:t xml:space="preserve">2 Scope of Drop 0</w:t>
        </w:r>
        <w:r>
          <w:t xml:space="preserve">	</w:t>
        </w:r>
        <w:r>
          <w:t xml:space="preserve">5</w:t>
        </w:r>
      </w:hyperlink>
    </w:p>
    <w:p>
      <w:pPr>
        <w:pStyle w:val="toc1"/>
      </w:pPr>
      <w:hyperlink w:anchor="_Toc000103" w:history="1">
        <w:r>
          <w:t xml:space="preserve">3 The three sign-off sets</w:t>
        </w:r>
        <w:r>
          <w:t xml:space="preserve">	</w:t>
        </w:r>
        <w:r>
          <w:t xml:space="preserve">6</w:t>
        </w:r>
      </w:hyperlink>
    </w:p>
    <w:p>
      <w:pPr>
        <w:pStyle w:val="toc1"/>
      </w:pPr>
      <w:hyperlink w:anchor="_Toc000104" w:history="1">
        <w:r>
          <w:t xml:space="preserve">4 Proposed rules and clarifications for confirmation</w:t>
        </w:r>
        <w:r>
          <w:t xml:space="preserve">	</w:t>
        </w:r>
        <w:r>
          <w:t xml:space="preserve">7</w:t>
        </w:r>
      </w:hyperlink>
    </w:p>
    <w:p>
      <w:pPr>
        <w:pStyle w:val="toc1"/>
      </w:pPr>
      <w:hyperlink w:anchor="_Toc000105" w:history="1">
        <w:r>
          <w:t xml:space="preserve">5 Consolidated decisions BDOI takes</w:t>
        </w:r>
        <w:r>
          <w:t xml:space="preserve">	</w:t>
        </w:r>
        <w:r>
          <w:t xml:space="preserve">8</w:t>
        </w:r>
      </w:hyperlink>
    </w:p>
    <w:p>
      <w:pPr>
        <w:pStyle w:val="toc1"/>
      </w:pPr>
      <w:hyperlink w:anchor="_Toc000106" w:history="1">
        <w:r>
          <w:t xml:space="preserve">6 Configuration inputs</w:t>
        </w:r>
        <w:r>
          <w:t xml:space="preserve">	</w:t>
        </w:r>
        <w:r>
          <w:t xml:space="preserve">10</w:t>
        </w:r>
      </w:hyperlink>
    </w:p>
    <w:p>
      <w:pPr>
        <w:pStyle w:val="toc2"/>
      </w:pPr>
      <w:hyperlink w:anchor="_Toc000107" w:history="1">
        <w:r>
          <w:t xml:space="preserve">6.1 Timeline</w:t>
        </w:r>
        <w:r>
          <w:t xml:space="preserve">	</w:t>
        </w:r>
        <w:r>
          <w:t xml:space="preserve">11</w:t>
        </w:r>
      </w:hyperlink>
    </w:p>
    <w:p>
      <w:pPr>
        <w:pStyle w:val="toc1"/>
      </w:pPr>
      <w:hyperlink w:anchor="_Toc000108" w:history="1">
        <w:r>
          <w:t xml:space="preserve">7 Entry and exit criteria</w:t>
        </w:r>
        <w:r>
          <w:t xml:space="preserve">	</w:t>
        </w:r>
        <w:r>
          <w:t xml:space="preserve">13</w:t>
        </w:r>
      </w:hyperlink>
    </w:p>
    <w:p>
      <w:pPr>
        <w:pStyle w:val="toc2"/>
      </w:pPr>
      <w:hyperlink w:anchor="_Toc000109" w:history="1">
        <w:r>
          <w:t xml:space="preserve">7.1 Entry criteria for closing Drop 0</w:t>
        </w:r>
        <w:r>
          <w:t xml:space="preserve">	</w:t>
        </w:r>
        <w:r>
          <w:t xml:space="preserve">13</w:t>
        </w:r>
      </w:hyperlink>
    </w:p>
    <w:p>
      <w:pPr>
        <w:pStyle w:val="toc2"/>
      </w:pPr>
      <w:hyperlink w:anchor="_Toc000110" w:history="1">
        <w:r>
          <w:t xml:space="preserve">7.2 Exit criteria: Drop 0 is closed when</w:t>
        </w:r>
        <w:r>
          <w:t xml:space="preserve">	</w:t>
        </w:r>
        <w:r>
          <w:t xml:space="preserve">13</w:t>
        </w:r>
      </w:hyperlink>
    </w:p>
    <w:p>
      <w:pPr>
        <w:pStyle w:val="toc2"/>
      </w:pPr>
      <w:hyperlink w:anchor="_Toc000111" w:history="1">
        <w:r>
          <w:t xml:space="preserve">7.3 Entry criteria for Drop 1</w:t>
        </w:r>
        <w:r>
          <w:t xml:space="preserve">	</w:t>
        </w:r>
        <w:r>
          <w:t xml:space="preserve">13</w:t>
        </w:r>
      </w:hyperlink>
    </w:p>
    <w:p>
      <w:pPr>
        <w:pStyle w:val="toc1"/>
      </w:pPr>
      <w:hyperlink w:anchor="_Toc000112" w:history="1">
        <w:r>
          <w:t xml:space="preserve">8 Risks and dependencies</w:t>
        </w:r>
        <w:r>
          <w:t xml:space="preserve">	</w:t>
        </w:r>
        <w:r>
          <w:t xml:space="preserve">14</w:t>
        </w:r>
      </w:hyperlink>
    </w:p>
    <w:p>
      <w:pPr>
        <w:pStyle w:val="toc1"/>
      </w:pPr>
      <w:hyperlink w:anchor="_Toc000113" w:history="1">
        <w:r>
          <w:t xml:space="preserve">9 Change control</w:t>
        </w:r>
        <w:r>
          <w:t xml:space="preserve">	</w:t>
        </w:r>
        <w:r>
          <w:t xml:space="preserve">15</w:t>
        </w:r>
      </w:hyperlink>
    </w:p>
    <w:p>
      <w:pPr>
        <w:pStyle w:val="toc1"/>
      </w:pPr>
      <w:hyperlink w:anchor="_Toc000114" w:history="1">
        <w:r>
          <w:t xml:space="preserve">10 Closure sign-off</w:t>
        </w:r>
        <w:r>
          <w:t xml:space="preserve">	</w:t>
        </w:r>
        <w:r>
          <w:t xml:space="preserve">16</w:t>
        </w:r>
      </w:hyperlink>
      <w:r>
        <w:fldChar w:fldCharType="end"/>
      </w:r>
    </w:p>
    <w:p>
      <w:pPr>
        <w:pStyle w:val="Heading1"/>
        <w:pageBreakBefore/>
        <w:pBdr>
          <w:bottom w:val="single" w:sz="4" w:space="4" w:color="99C1E7"/>
        </w:pBdr>
      </w:pPr>
      <w:bookmarkStart w:id="101" w:name="_Toc000101"/>
      <w:r>
        <w:rPr/>
        <w:t>1 Purpose of this summary</w:t>
      </w:r>
      <w:bookmarkEnd w:id="101"/>
    </w:p>
    <w:p>
      <w:r>
        <w:rPr/>
        <w:t>This summary asks the BDOI steering committee to close Drop 0 (Setup and Data Migration) and to open Drop 1. It brings together, in one place, what the three Drop 0 sign-off sets ask the business to confirm, the number of proposed rules and clarifications that are still open in each set, the decisions BDOI takes to close the drop, the configuration inputs BDOI provides before go-live and when, the entry and exit criteria, the risks and dependencies, and the change control that applies once the sets are signed.</w:t>
      </w:r>
    </w:p>
    <w:p>
      <w:r>
        <w:rPr/>
        <w:t xml:space="preserve">The companion workbook </w:t>
      </w:r>
      <w:r>
        <w:rPr>
          <w:b/>
        </w:rPr>
        <w:t>01_BIBS_Drop-0_Configuration_Inputs_v2.0.xlsx</w:t>
      </w:r>
      <w:r>
        <w:rPr/>
        <w:t xml:space="preserve"> lists every configuration input with its BDOI owner, its due date relative to go-live and its one route into BIBS. Go-live is proposed for Monday 3 January 2028 (T), at the year-end boundary, subject to the confirmation of the year-end option by Comptrollership (decision DEC-01).</w:t>
      </w:r>
    </w:p>
    <w:p>
      <w:pPr>
        <w:pStyle w:val="Heading1"/>
        <w:pageBreakBefore/>
        <w:pBdr>
          <w:bottom w:val="single" w:sz="4" w:space="4" w:color="99C1E7"/>
        </w:pBdr>
      </w:pPr>
      <w:bookmarkStart w:id="102" w:name="_Toc000102"/>
      <w:r>
        <w:rPr/>
        <w:t>2 Scope of Drop 0</w:t>
      </w:r>
      <w:bookmarkEnd w:id="102"/>
    </w:p>
    <w:p>
      <w:r>
        <w:rPr/>
        <w:t>Drop 0 prepares the platform on which every other drop runs and moves the legacy data into it. In the BDOI drop plan it covers:</w:t>
      </w:r>
    </w:p>
    <w:p>
      <w:pPr>
        <w:tabs>
          <w:tab w:pos="312" w:val="left"/>
        </w:tabs>
        <w:spacing w:after="40"/>
        <w:ind w:left="312" w:hanging="283"/>
      </w:pPr>
      <w:r>
        <w:rPr>
          <w:color w:val="004EA8"/>
        </w:rPr>
        <w:t>•</w:t>
        <w:tab/>
      </w:r>
      <w:r>
        <w:rPr/>
        <w:t>0.1 Accessibility and Login, 0.2 Authorization and 0.3 User Maintenance: BRD-11 User Access Maintenance;</w:t>
      </w:r>
    </w:p>
    <w:p>
      <w:pPr>
        <w:tabs>
          <w:tab w:pos="312" w:val="left"/>
        </w:tabs>
        <w:spacing w:after="40"/>
        <w:ind w:left="312" w:hanging="283"/>
      </w:pPr>
      <w:r>
        <w:rPr>
          <w:color w:val="004EA8"/>
        </w:rPr>
        <w:t>•</w:t>
        <w:tab/>
      </w:r>
      <w:r>
        <w:rPr/>
        <w:t>0.4 Data Management: the GL accounts and reference tables of Comptrollership (the finance set-up of BRD-5 used by Drop 1);</w:t>
      </w:r>
    </w:p>
    <w:p>
      <w:pPr>
        <w:tabs>
          <w:tab w:pos="312" w:val="left"/>
        </w:tabs>
        <w:spacing w:after="40"/>
        <w:ind w:left="312" w:hanging="283"/>
      </w:pPr>
      <w:r>
        <w:rPr>
          <w:color w:val="004EA8"/>
        </w:rPr>
        <w:t>•</w:t>
        <w:tab/>
      </w:r>
      <w:r>
        <w:rPr/>
        <w:t>0.5 Workflow: the approval stages of the Drop 0 functions;</w:t>
      </w:r>
    </w:p>
    <w:p>
      <w:pPr>
        <w:tabs>
          <w:tab w:pos="312" w:val="left"/>
        </w:tabs>
        <w:spacing w:after="40"/>
        <w:ind w:left="312" w:hanging="283"/>
      </w:pPr>
      <w:r>
        <w:rPr>
          <w:color w:val="004EA8"/>
        </w:rPr>
        <w:t>•</w:t>
        <w:tab/>
      </w:r>
      <w:r>
        <w:rPr/>
        <w:t>0.6 Product Maintenance: BRD-03 Product Maintenance;</w:t>
      </w:r>
    </w:p>
    <w:p>
      <w:pPr>
        <w:tabs>
          <w:tab w:pos="312" w:val="left"/>
        </w:tabs>
        <w:spacing w:after="40"/>
        <w:ind w:left="312" w:hanging="283"/>
      </w:pPr>
      <w:r>
        <w:rPr>
          <w:color w:val="004EA8"/>
        </w:rPr>
        <w:t>•</w:t>
        <w:tab/>
      </w:r>
      <w:r>
        <w:rPr/>
        <w:t>the Data Migration stream: BRD-13 Data Migration;</w:t>
      </w:r>
    </w:p>
    <w:p>
      <w:pPr>
        <w:tabs>
          <w:tab w:pos="312" w:val="left"/>
        </w:tabs>
        <w:spacing w:after="120"/>
        <w:ind w:left="312" w:hanging="283"/>
      </w:pPr>
      <w:r>
        <w:rPr>
          <w:color w:val="004EA8"/>
        </w:rPr>
        <w:t>•</w:t>
        <w:tab/>
      </w:r>
      <w:r>
        <w:rPr/>
        <w:t>the Drop 0 integrations: EIAM, UIDM-ISC, LMS, HL-LOAS, PMS, CMS / New BOB, OBPCS, AFTS, Old BOB, ECM, CCM, M365 and TFS.</w:t>
      </w:r>
    </w:p>
    <w:p>
      <w:r>
        <w:rPr/>
        <w:t>Requirements and mapping run from September to November 2026; the migration is prepared from November 2026 to March 2027, tested in SIT from April to July 2027 and in UAT from August to October 2027; the full migration and the cut-over run from November 2027 to January 2028.</w:t>
      </w:r>
    </w:p>
    <w:p>
      <w:pPr>
        <w:pStyle w:val="Heading1"/>
        <w:pageBreakBefore/>
        <w:pBdr>
          <w:bottom w:val="single" w:sz="4" w:space="4" w:color="99C1E7"/>
        </w:pBdr>
      </w:pPr>
      <w:bookmarkStart w:id="103" w:name="_Toc000103"/>
      <w:r>
        <w:rPr/>
        <w:t>3 The three sign-off sets</w:t>
      </w:r>
      <w:bookmarkEnd w:id="103"/>
    </w:p>
    <w:p>
      <w:r>
        <w:rPr/>
        <w:t>Each set is issued as one release set in its own folder of Drop 0 and is signed as one unit by its business owner. Signing a set freezes its screens, fields, rules, messages, notifications and interface contract as specified.</w:t>
      </w:r>
    </w:p>
    <w:p>
      <w:pPr>
        <w:pStyle w:val="Caption"/>
        <w:keepNext/>
        <w:spacing w:after="60"/>
      </w:pPr>
      <w:r>
        <w:rPr>
          <w:b/>
          <w:i w:val="0"/>
        </w:rPr>
        <w:t xml:space="preserve">Table 1: </w:t>
      </w:r>
      <w:r>
        <w:rPr/>
        <w:t>The three sign-off sets of Drop 0</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29"/>
        <w:gridCol w:w="2991"/>
        <w:gridCol w:w="3213"/>
        <w:gridCol w:w="1551"/>
        <w:gridCol w:w="886"/>
      </w:tblGrid>
      <w:tr>
        <w:trPr>
          <w:tblHeader w:val="true"/>
          <w:cantSplit w:val="true"/>
        </w:trPr>
        <w:tc>
          <w:tcPr>
            <w:tcW w:type="dxa" w:w="1330"/>
            <w:shd w:val="clear" w:color="auto" w:fill="004EA8"/>
            <w:tcMar>
              <w:top w:w="50" w:type="dxa"/>
              <w:bottom w:w="50" w:type="dxa"/>
              <w:left w:w="90" w:type="dxa"/>
              <w:right w:w="90" w:type="dxa"/>
            </w:tcMar>
            <w:vAlign w:val="center"/>
          </w:tcPr>
          <w:p>
            <w:pPr>
              <w:pStyle w:val="BDOITableHeader"/>
            </w:pPr>
            <w:r>
              <w:rPr>
                <w:b/>
                <w:color w:val="FFFFFF"/>
                <w:sz w:val="15"/>
              </w:rPr>
              <w:t>Sign-off set</w:t>
            </w:r>
          </w:p>
        </w:tc>
        <w:tc>
          <w:tcPr>
            <w:tcW w:type="dxa" w:w="2992"/>
            <w:shd w:val="clear" w:color="auto" w:fill="004EA8"/>
            <w:tcMar>
              <w:top w:w="50" w:type="dxa"/>
              <w:bottom w:w="50" w:type="dxa"/>
              <w:left w:w="90" w:type="dxa"/>
              <w:right w:w="90" w:type="dxa"/>
            </w:tcMar>
            <w:vAlign w:val="center"/>
          </w:tcPr>
          <w:p>
            <w:pPr>
              <w:pStyle w:val="BDOITableHeader"/>
            </w:pPr>
            <w:r>
              <w:rPr>
                <w:b/>
                <w:color w:val="FFFFFF"/>
                <w:sz w:val="15"/>
              </w:rPr>
              <w:t>Files (v2.0)</w:t>
            </w:r>
          </w:p>
        </w:tc>
        <w:tc>
          <w:tcPr>
            <w:tcW w:type="dxa" w:w="3213"/>
            <w:shd w:val="clear" w:color="auto" w:fill="004EA8"/>
            <w:tcMar>
              <w:top w:w="50" w:type="dxa"/>
              <w:bottom w:w="50" w:type="dxa"/>
              <w:left w:w="90" w:type="dxa"/>
              <w:right w:w="90" w:type="dxa"/>
            </w:tcMar>
            <w:vAlign w:val="center"/>
          </w:tcPr>
          <w:p>
            <w:pPr>
              <w:pStyle w:val="BDOITableHeader"/>
            </w:pPr>
            <w:r>
              <w:rPr>
                <w:b/>
                <w:color w:val="FFFFFF"/>
                <w:sz w:val="15"/>
              </w:rPr>
              <w:t>What the business confirms</w:t>
            </w:r>
          </w:p>
        </w:tc>
        <w:tc>
          <w:tcPr>
            <w:tcW w:type="dxa" w:w="1551"/>
            <w:shd w:val="clear" w:color="auto" w:fill="004EA8"/>
            <w:tcMar>
              <w:top w:w="50" w:type="dxa"/>
              <w:bottom w:w="50" w:type="dxa"/>
              <w:left w:w="90" w:type="dxa"/>
              <w:right w:w="90" w:type="dxa"/>
            </w:tcMar>
            <w:vAlign w:val="center"/>
          </w:tcPr>
          <w:p>
            <w:pPr>
              <w:pStyle w:val="BDOITableHeader"/>
            </w:pPr>
            <w:r>
              <w:rPr>
                <w:b/>
                <w:color w:val="FFFFFF"/>
                <w:sz w:val="15"/>
              </w:rPr>
              <w:t>Signed by</w:t>
            </w:r>
          </w:p>
        </w:tc>
        <w:tc>
          <w:tcPr>
            <w:tcW w:type="dxa" w:w="886"/>
            <w:shd w:val="clear" w:color="auto" w:fill="004EA8"/>
            <w:tcMar>
              <w:top w:w="50" w:type="dxa"/>
              <w:bottom w:w="50" w:type="dxa"/>
              <w:left w:w="90" w:type="dxa"/>
              <w:right w:w="90" w:type="dxa"/>
            </w:tcMar>
            <w:vAlign w:val="center"/>
          </w:tcPr>
          <w:p>
            <w:pPr>
              <w:pStyle w:val="BDOITableHeader"/>
            </w:pPr>
            <w:r>
              <w:rPr>
                <w:b/>
                <w:color w:val="FFFFFF"/>
                <w:sz w:val="15"/>
              </w:rPr>
              <w:t>Sign-off</w:t>
            </w:r>
          </w:p>
        </w:tc>
      </w:tr>
      <w:tr>
        <w:tc>
          <w:tcPr>
            <w:tcW w:type="dxa" w:w="1330"/>
            <w:tcMar>
              <w:top w:w="50" w:type="dxa"/>
              <w:bottom w:w="50" w:type="dxa"/>
              <w:left w:w="90" w:type="dxa"/>
              <w:right w:w="90" w:type="dxa"/>
            </w:tcMar>
          </w:tcPr>
          <w:p>
            <w:pPr>
              <w:pStyle w:val="BDOITable"/>
            </w:pPr>
            <w:r>
              <w:rPr>
                <w:sz w:val="15"/>
              </w:rPr>
              <w:t>BRD-03 Product Maintenance</w:t>
            </w:r>
          </w:p>
        </w:tc>
        <w:tc>
          <w:tcPr>
            <w:tcW w:type="dxa" w:w="2992"/>
            <w:tcMar>
              <w:top w:w="50" w:type="dxa"/>
              <w:bottom w:w="50" w:type="dxa"/>
              <w:left w:w="90" w:type="dxa"/>
              <w:right w:w="90" w:type="dxa"/>
            </w:tcMar>
          </w:tcPr>
          <w:p>
            <w:pPr>
              <w:pStyle w:val="BDOITable"/>
              <w:ind w:left="170" w:hanging="170"/>
            </w:pPr>
            <w:r>
              <w:rPr>
                <w:sz w:val="15"/>
              </w:rPr>
              <w:t xml:space="preserve">• </w:t>
            </w:r>
            <w:r>
              <w:rPr>
                <w:sz w:val="15"/>
              </w:rPr>
              <w:t>00_BIBS_StartHere_BRD-03_Product_Maintenance_v2.0.docx</w:t>
            </w:r>
          </w:p>
          <w:p>
            <w:pPr>
              <w:pStyle w:val="BDOITable"/>
              <w:ind w:left="170" w:hanging="170"/>
            </w:pPr>
            <w:r>
              <w:rPr>
                <w:sz w:val="15"/>
              </w:rPr>
              <w:t xml:space="preserve">• </w:t>
            </w:r>
            <w:r>
              <w:rPr>
                <w:sz w:val="15"/>
              </w:rPr>
              <w:t>01_BIBS_GuideDeck_BRD-03_Product_Maintenance_v2.0.pptx</w:t>
            </w:r>
          </w:p>
          <w:p>
            <w:pPr>
              <w:pStyle w:val="BDOITable"/>
              <w:ind w:left="170" w:hanging="170"/>
            </w:pPr>
            <w:r>
              <w:rPr>
                <w:sz w:val="15"/>
              </w:rPr>
              <w:t xml:space="preserve">• </w:t>
            </w:r>
            <w:r>
              <w:rPr>
                <w:sz w:val="15"/>
              </w:rPr>
              <w:t>02_BIBS_FRS_BRD-03_Product_Maintenance_v2.0.docx</w:t>
            </w:r>
          </w:p>
          <w:p>
            <w:pPr>
              <w:pStyle w:val="BDOITable"/>
              <w:ind w:left="170" w:hanging="170"/>
            </w:pPr>
            <w:r>
              <w:rPr>
                <w:sz w:val="15"/>
              </w:rPr>
              <w:t xml:space="preserve">• </w:t>
            </w:r>
            <w:r>
              <w:rPr>
                <w:sz w:val="15"/>
              </w:rPr>
              <w:t>03_BIBS_Signoff_BRD-03_Product_Maintenance_v2.0.xlsx</w:t>
            </w:r>
          </w:p>
          <w:p>
            <w:pPr>
              <w:pStyle w:val="BDOITable"/>
              <w:ind w:left="170" w:hanging="170"/>
            </w:pPr>
            <w:r>
              <w:rPr>
                <w:sz w:val="15"/>
              </w:rPr>
              <w:t xml:space="preserve">• </w:t>
            </w:r>
            <w:r>
              <w:rPr>
                <w:sz w:val="15"/>
              </w:rPr>
              <w:t>04_BIBS_TestPlan_BRD-03_Product_Maintenance_v2.0.xlsx</w:t>
            </w:r>
          </w:p>
          <w:p>
            <w:pPr>
              <w:pStyle w:val="BDOITable"/>
              <w:ind w:left="170" w:hanging="170"/>
            </w:pPr>
            <w:r>
              <w:rPr>
                <w:sz w:val="15"/>
              </w:rPr>
              <w:t xml:space="preserve">• </w:t>
            </w:r>
            <w:r>
              <w:rPr>
                <w:sz w:val="15"/>
              </w:rPr>
              <w:t>05_BIBS_TestPlan_BRD-03_Product_Maintenance_Summary_v2.0.docx</w:t>
            </w:r>
          </w:p>
          <w:p>
            <w:pPr>
              <w:pStyle w:val="BDOITable"/>
              <w:ind w:left="170" w:hanging="170"/>
            </w:pPr>
            <w:r>
              <w:rPr>
                <w:sz w:val="15"/>
              </w:rPr>
              <w:t xml:space="preserve">• </w:t>
            </w:r>
            <w:r>
              <w:rPr>
                <w:sz w:val="15"/>
              </w:rPr>
              <w:t>06_BIBS_Templates_BRD-03_Configuration_Inputs_v2.0.xlsx</w:t>
            </w:r>
          </w:p>
        </w:tc>
        <w:tc>
          <w:tcPr>
            <w:tcW w:type="dxa" w:w="3213"/>
            <w:tcMar>
              <w:top w:w="50" w:type="dxa"/>
              <w:bottom w:w="50" w:type="dxa"/>
              <w:left w:w="90" w:type="dxa"/>
              <w:right w:w="90" w:type="dxa"/>
            </w:tcMar>
          </w:tcPr>
          <w:p>
            <w:pPr>
              <w:pStyle w:val="BDOITable"/>
              <w:ind w:left="170" w:hanging="170"/>
            </w:pPr>
            <w:r>
              <w:rPr>
                <w:sz w:val="15"/>
              </w:rPr>
              <w:t xml:space="preserve">• </w:t>
            </w:r>
            <w:r>
              <w:rPr>
                <w:sz w:val="15"/>
              </w:rPr>
              <w:t>The package request, negotiation, ManCom sign-off, set-up and release of packages, the package versions and rate schemes, expiry, monitoring and incentive criteria, as specified screen by screen</w:t>
            </w:r>
          </w:p>
          <w:p>
            <w:pPr>
              <w:pStyle w:val="BDOITable"/>
              <w:ind w:left="170" w:hanging="170"/>
            </w:pPr>
            <w:r>
              <w:rPr>
                <w:sz w:val="15"/>
              </w:rPr>
              <w:t xml:space="preserve">• </w:t>
            </w:r>
            <w:r>
              <w:rPr>
                <w:sz w:val="15"/>
              </w:rPr>
              <w:t>The masters of Product Maintenance: product catalogue, coverages and clauses, rates and taxes, insurers and sales organisation</w:t>
            </w:r>
          </w:p>
          <w:p>
            <w:pPr>
              <w:pStyle w:val="BDOITable"/>
              <w:ind w:left="170" w:hanging="170"/>
            </w:pPr>
            <w:r>
              <w:rPr>
                <w:sz w:val="15"/>
              </w:rPr>
              <w:t xml:space="preserve">• </w:t>
            </w:r>
            <w:r>
              <w:rPr>
                <w:sz w:val="15"/>
              </w:rPr>
              <w:t>The configuration inputs of templates CI-01 to CI-10 and who provides each</w:t>
            </w:r>
          </w:p>
        </w:tc>
        <w:tc>
          <w:tcPr>
            <w:tcW w:type="dxa" w:w="1551"/>
            <w:tcMar>
              <w:top w:w="50" w:type="dxa"/>
              <w:bottom w:w="50" w:type="dxa"/>
              <w:left w:w="90" w:type="dxa"/>
              <w:right w:w="90" w:type="dxa"/>
            </w:tcMar>
          </w:tcPr>
          <w:p>
            <w:pPr>
              <w:pStyle w:val="BDOITable"/>
            </w:pPr>
            <w:r>
              <w:rPr>
                <w:sz w:val="15"/>
              </w:rPr>
              <w:t>Product Owner, Marketing Business System</w:t>
            </w:r>
          </w:p>
        </w:tc>
        <w:tc>
          <w:tcPr>
            <w:tcW w:type="dxa" w:w="886"/>
            <w:tcMar>
              <w:top w:w="50" w:type="dxa"/>
              <w:bottom w:w="50" w:type="dxa"/>
              <w:left w:w="90" w:type="dxa"/>
              <w:right w:w="90" w:type="dxa"/>
            </w:tcMar>
          </w:tcPr>
          <w:p>
            <w:pPr>
              <w:pStyle w:val="BDOITable"/>
            </w:pPr>
            <w:r>
              <w:rPr>
                <w:sz w:val="15"/>
              </w:rPr>
              <w:t>30-Nov-2026</w:t>
            </w:r>
          </w:p>
        </w:tc>
      </w:tr>
      <w:tr>
        <w:tc>
          <w:tcPr>
            <w:tcW w:type="dxa" w:w="1330"/>
            <w:tcMar>
              <w:top w:w="50" w:type="dxa"/>
              <w:bottom w:w="50" w:type="dxa"/>
              <w:left w:w="90" w:type="dxa"/>
              <w:right w:w="90" w:type="dxa"/>
            </w:tcMar>
            <w:shd w:val="clear" w:color="auto" w:fill="E5F5FF"/>
          </w:tcPr>
          <w:p>
            <w:pPr>
              <w:pStyle w:val="BDOITable"/>
            </w:pPr>
            <w:r>
              <w:rPr>
                <w:sz w:val="15"/>
              </w:rPr>
              <w:t>BRD-11 User Access Maintenance</w:t>
            </w:r>
          </w:p>
        </w:tc>
        <w:tc>
          <w:tcPr>
            <w:tcW w:type="dxa" w:w="2992"/>
            <w:tcMar>
              <w:top w:w="50" w:type="dxa"/>
              <w:bottom w:w="50" w:type="dxa"/>
              <w:left w:w="90" w:type="dxa"/>
              <w:right w:w="90" w:type="dxa"/>
            </w:tcMar>
            <w:shd w:val="clear" w:color="auto" w:fill="E5F5FF"/>
          </w:tcPr>
          <w:p>
            <w:pPr>
              <w:pStyle w:val="BDOITable"/>
              <w:ind w:left="170" w:hanging="170"/>
            </w:pPr>
            <w:r>
              <w:rPr>
                <w:sz w:val="15"/>
              </w:rPr>
              <w:t xml:space="preserve">• </w:t>
            </w:r>
            <w:r>
              <w:rPr>
                <w:sz w:val="15"/>
              </w:rPr>
              <w:t>00_BIBS_StartHere_BRD-11_User_Access_Maintenance_v2.0.docx</w:t>
            </w:r>
          </w:p>
          <w:p>
            <w:pPr>
              <w:pStyle w:val="BDOITable"/>
              <w:ind w:left="170" w:hanging="170"/>
            </w:pPr>
            <w:r>
              <w:rPr>
                <w:sz w:val="15"/>
              </w:rPr>
              <w:t xml:space="preserve">• </w:t>
            </w:r>
            <w:r>
              <w:rPr>
                <w:sz w:val="15"/>
              </w:rPr>
              <w:t>01_BIBS_GuideDeck_BRD-11_User_Access_Maintenance_v2.0.pptx</w:t>
            </w:r>
          </w:p>
          <w:p>
            <w:pPr>
              <w:pStyle w:val="BDOITable"/>
              <w:ind w:left="170" w:hanging="170"/>
            </w:pPr>
            <w:r>
              <w:rPr>
                <w:sz w:val="15"/>
              </w:rPr>
              <w:t xml:space="preserve">• </w:t>
            </w:r>
            <w:r>
              <w:rPr>
                <w:sz w:val="15"/>
              </w:rPr>
              <w:t>02_BIBS_FRS_BRD-11_User_Access_Maintenance_v2.0.docx</w:t>
            </w:r>
          </w:p>
          <w:p>
            <w:pPr>
              <w:pStyle w:val="BDOITable"/>
              <w:ind w:left="170" w:hanging="170"/>
            </w:pPr>
            <w:r>
              <w:rPr>
                <w:sz w:val="15"/>
              </w:rPr>
              <w:t xml:space="preserve">• </w:t>
            </w:r>
            <w:r>
              <w:rPr>
                <w:sz w:val="15"/>
              </w:rPr>
              <w:t>03_BIBS_Signoff_BRD-11_User_Access_Maintenance_v2.0.xlsx</w:t>
            </w:r>
          </w:p>
          <w:p>
            <w:pPr>
              <w:pStyle w:val="BDOITable"/>
              <w:ind w:left="170" w:hanging="170"/>
            </w:pPr>
            <w:r>
              <w:rPr>
                <w:sz w:val="15"/>
              </w:rPr>
              <w:t xml:space="preserve">• </w:t>
            </w:r>
            <w:r>
              <w:rPr>
                <w:sz w:val="15"/>
              </w:rPr>
              <w:t>04_BIBS_TestPlan_BRD-11_User_Access_Maintenance_v2.0.xlsx</w:t>
            </w:r>
          </w:p>
          <w:p>
            <w:pPr>
              <w:pStyle w:val="BDOITable"/>
              <w:ind w:left="170" w:hanging="170"/>
            </w:pPr>
            <w:r>
              <w:rPr>
                <w:sz w:val="15"/>
              </w:rPr>
              <w:t xml:space="preserve">• </w:t>
            </w:r>
            <w:r>
              <w:rPr>
                <w:sz w:val="15"/>
              </w:rPr>
              <w:t>05_BIBS_TestPlan_BRD-11_User_Access_Maintenance_Summary_v2.0.docx</w:t>
            </w:r>
          </w:p>
          <w:p>
            <w:pPr>
              <w:pStyle w:val="BDOITable"/>
              <w:ind w:left="170" w:hanging="170"/>
            </w:pPr>
            <w:r>
              <w:rPr>
                <w:sz w:val="15"/>
              </w:rPr>
              <w:t xml:space="preserve">• </w:t>
            </w:r>
            <w:r>
              <w:rPr>
                <w:sz w:val="15"/>
              </w:rPr>
              <w:t>06_BIBS_Templates_BRD-11_Configuration_Inputs_v2.0.xlsx</w:t>
            </w:r>
          </w:p>
        </w:tc>
        <w:tc>
          <w:tcPr>
            <w:tcW w:type="dxa" w:w="3213"/>
            <w:tcMar>
              <w:top w:w="50" w:type="dxa"/>
              <w:bottom w:w="50" w:type="dxa"/>
              <w:left w:w="90" w:type="dxa"/>
              <w:right w:w="90" w:type="dxa"/>
            </w:tcMar>
            <w:shd w:val="clear" w:color="auto" w:fill="E5F5FF"/>
          </w:tcPr>
          <w:p>
            <w:pPr>
              <w:pStyle w:val="BDOITable"/>
              <w:ind w:left="170" w:hanging="170"/>
            </w:pPr>
            <w:r>
              <w:rPr>
                <w:sz w:val="15"/>
              </w:rPr>
              <w:t xml:space="preserve">• </w:t>
            </w:r>
            <w:r>
              <w:rPr>
                <w:sz w:val="15"/>
              </w:rPr>
              <w:t>Sign-in, session and password rules; the access requests, approvals and group-profile requests under four eyes; the System Administrator functions and the access reports</w:t>
            </w:r>
          </w:p>
          <w:p>
            <w:pPr>
              <w:pStyle w:val="BDOITable"/>
              <w:ind w:left="170" w:hanging="170"/>
            </w:pPr>
            <w:r>
              <w:rPr>
                <w:sz w:val="15"/>
              </w:rPr>
              <w:t xml:space="preserve">• </w:t>
            </w:r>
            <w:r>
              <w:rPr>
                <w:sz w:val="15"/>
              </w:rPr>
              <w:t>The menus of every persona and the role-to-permission matrix</w:t>
            </w:r>
          </w:p>
          <w:p>
            <w:pPr>
              <w:pStyle w:val="BDOITable"/>
              <w:ind w:left="170" w:hanging="170"/>
            </w:pPr>
            <w:r>
              <w:rPr>
                <w:sz w:val="15"/>
              </w:rPr>
              <w:t xml:space="preserve">• </w:t>
            </w:r>
            <w:r>
              <w:rPr>
                <w:sz w:val="15"/>
              </w:rPr>
              <w:t>The security parameters and the configuration inputs of templates CI-01 to CI-06</w:t>
            </w:r>
          </w:p>
        </w:tc>
        <w:tc>
          <w:tcPr>
            <w:tcW w:type="dxa" w:w="1551"/>
            <w:tcMar>
              <w:top w:w="50" w:type="dxa"/>
              <w:bottom w:w="50" w:type="dxa"/>
              <w:left w:w="90" w:type="dxa"/>
              <w:right w:w="90" w:type="dxa"/>
            </w:tcMar>
            <w:shd w:val="clear" w:color="auto" w:fill="E5F5FF"/>
          </w:tcPr>
          <w:p>
            <w:pPr>
              <w:pStyle w:val="BDOITable"/>
            </w:pPr>
            <w:r>
              <w:rPr>
                <w:sz w:val="15"/>
              </w:rPr>
              <w:t>Product Owner, Marketing Business System; Business Administration; BDOI Information Security; BDOI IT</w:t>
            </w:r>
          </w:p>
        </w:tc>
        <w:tc>
          <w:tcPr>
            <w:tcW w:type="dxa" w:w="886"/>
            <w:tcMar>
              <w:top w:w="50" w:type="dxa"/>
              <w:bottom w:w="50" w:type="dxa"/>
              <w:left w:w="90" w:type="dxa"/>
              <w:right w:w="90" w:type="dxa"/>
            </w:tcMar>
            <w:shd w:val="clear" w:color="auto" w:fill="E5F5FF"/>
          </w:tcPr>
          <w:p>
            <w:pPr>
              <w:pStyle w:val="BDOITable"/>
            </w:pPr>
            <w:r>
              <w:rPr>
                <w:sz w:val="15"/>
              </w:rPr>
              <w:t>1-Dec-2026</w:t>
            </w:r>
          </w:p>
        </w:tc>
      </w:tr>
      <w:tr>
        <w:tc>
          <w:tcPr>
            <w:tcW w:type="dxa" w:w="1330"/>
            <w:tcMar>
              <w:top w:w="50" w:type="dxa"/>
              <w:bottom w:w="50" w:type="dxa"/>
              <w:left w:w="90" w:type="dxa"/>
              <w:right w:w="90" w:type="dxa"/>
            </w:tcMar>
          </w:tcPr>
          <w:p>
            <w:pPr>
              <w:pStyle w:val="BDOITable"/>
            </w:pPr>
            <w:r>
              <w:rPr>
                <w:sz w:val="15"/>
              </w:rPr>
              <w:t>BRD-13 Data Migration</w:t>
            </w:r>
          </w:p>
        </w:tc>
        <w:tc>
          <w:tcPr>
            <w:tcW w:type="dxa" w:w="2992"/>
            <w:tcMar>
              <w:top w:w="50" w:type="dxa"/>
              <w:bottom w:w="50" w:type="dxa"/>
              <w:left w:w="90" w:type="dxa"/>
              <w:right w:w="90" w:type="dxa"/>
            </w:tcMar>
          </w:tcPr>
          <w:p>
            <w:pPr>
              <w:pStyle w:val="BDOITable"/>
              <w:ind w:left="170" w:hanging="170"/>
            </w:pPr>
            <w:r>
              <w:rPr>
                <w:sz w:val="15"/>
              </w:rPr>
              <w:t xml:space="preserve">• </w:t>
            </w:r>
            <w:r>
              <w:rPr>
                <w:sz w:val="15"/>
              </w:rPr>
              <w:t>00_BIBS_StartHere_BRD-13_Data_Migration_v2.0.docx</w:t>
            </w:r>
          </w:p>
          <w:p>
            <w:pPr>
              <w:pStyle w:val="BDOITable"/>
              <w:ind w:left="170" w:hanging="170"/>
            </w:pPr>
            <w:r>
              <w:rPr>
                <w:sz w:val="15"/>
              </w:rPr>
              <w:t xml:space="preserve">• </w:t>
            </w:r>
            <w:r>
              <w:rPr>
                <w:sz w:val="15"/>
              </w:rPr>
              <w:t>01_BIBS_GuideDeck_BRD-13_Data_Migration_v2.0.pptx</w:t>
            </w:r>
          </w:p>
          <w:p>
            <w:pPr>
              <w:pStyle w:val="BDOITable"/>
              <w:ind w:left="170" w:hanging="170"/>
            </w:pPr>
            <w:r>
              <w:rPr>
                <w:sz w:val="15"/>
              </w:rPr>
              <w:t xml:space="preserve">• </w:t>
            </w:r>
            <w:r>
              <w:rPr>
                <w:sz w:val="15"/>
              </w:rPr>
              <w:t>02_BIBS_Handbook_BRD-13_Data_Migration_v2.0.docx</w:t>
            </w:r>
          </w:p>
          <w:p>
            <w:pPr>
              <w:pStyle w:val="BDOITable"/>
              <w:ind w:left="170" w:hanging="170"/>
            </w:pPr>
            <w:r>
              <w:rPr>
                <w:sz w:val="15"/>
              </w:rPr>
              <w:t xml:space="preserve">• </w:t>
            </w:r>
            <w:r>
              <w:rPr>
                <w:sz w:val="15"/>
              </w:rPr>
              <w:t>03_BIBS_Workbook_BRD-13_Data_Migration_v2.0.xlsx</w:t>
            </w:r>
          </w:p>
          <w:p>
            <w:pPr>
              <w:pStyle w:val="BDOITable"/>
              <w:ind w:left="170" w:hanging="170"/>
            </w:pPr>
            <w:r>
              <w:rPr>
                <w:sz w:val="15"/>
              </w:rPr>
              <w:t xml:space="preserve">• </w:t>
            </w:r>
            <w:r>
              <w:rPr>
                <w:sz w:val="15"/>
              </w:rPr>
              <w:t>04_BIBS_TestPlan_BRD-13_Data_Migration_v2.0.xlsx</w:t>
            </w:r>
          </w:p>
          <w:p>
            <w:pPr>
              <w:pStyle w:val="BDOITable"/>
              <w:ind w:left="170" w:hanging="170"/>
            </w:pPr>
            <w:r>
              <w:rPr>
                <w:sz w:val="15"/>
              </w:rPr>
              <w:t xml:space="preserve">• </w:t>
            </w:r>
            <w:r>
              <w:rPr>
                <w:sz w:val="15"/>
              </w:rPr>
              <w:t>05_BIBS_TestPlan_BRD-13_Data_Migration_Summary_v2.0.docx</w:t>
            </w:r>
          </w:p>
        </w:tc>
        <w:tc>
          <w:tcPr>
            <w:tcW w:type="dxa" w:w="3213"/>
            <w:tcMar>
              <w:top w:w="50" w:type="dxa"/>
              <w:bottom w:w="50" w:type="dxa"/>
              <w:left w:w="90" w:type="dxa"/>
              <w:right w:w="90" w:type="dxa"/>
            </w:tcMar>
          </w:tcPr>
          <w:p>
            <w:pPr>
              <w:pStyle w:val="BDOITable"/>
              <w:ind w:left="170" w:hanging="170"/>
            </w:pPr>
            <w:r>
              <w:rPr>
                <w:sz w:val="15"/>
              </w:rPr>
              <w:t xml:space="preserve">• </w:t>
            </w:r>
            <w:r>
              <w:rPr>
                <w:sz w:val="15"/>
              </w:rPr>
              <w:t>The decision per data object (migrate, carry forward, conditional, archive, excluded), the owners and stewards, and the load templates and code maps</w:t>
            </w:r>
          </w:p>
          <w:p>
            <w:pPr>
              <w:pStyle w:val="BDOITable"/>
              <w:ind w:left="170" w:hanging="170"/>
            </w:pPr>
            <w:r>
              <w:rPr>
                <w:sz w:val="15"/>
              </w:rPr>
              <w:t xml:space="preserve">• </w:t>
            </w:r>
            <w:r>
              <w:rPr>
                <w:sz w:val="15"/>
              </w:rPr>
              <w:t>The Migration Console screens, the reconciliation levels and the sign-off gates G1 to G6</w:t>
            </w:r>
          </w:p>
          <w:p>
            <w:pPr>
              <w:pStyle w:val="BDOITable"/>
              <w:ind w:left="170" w:hanging="170"/>
            </w:pPr>
            <w:r>
              <w:rPr>
                <w:sz w:val="15"/>
              </w:rPr>
              <w:t xml:space="preserve">• </w:t>
            </w:r>
            <w:r>
              <w:rPr>
                <w:sz w:val="15"/>
              </w:rPr>
              <w:t>The cut-over runbook, the year-end cut-over option, the run-off of the legacy items and the decommissioning criteria</w:t>
            </w:r>
          </w:p>
        </w:tc>
        <w:tc>
          <w:tcPr>
            <w:tcW w:type="dxa" w:w="1551"/>
            <w:tcMar>
              <w:top w:w="50" w:type="dxa"/>
              <w:bottom w:w="50" w:type="dxa"/>
              <w:left w:w="90" w:type="dxa"/>
              <w:right w:w="90" w:type="dxa"/>
            </w:tcMar>
          </w:tcPr>
          <w:p>
            <w:pPr>
              <w:pStyle w:val="BDOITable"/>
            </w:pPr>
            <w:r>
              <w:rPr>
                <w:sz w:val="15"/>
              </w:rPr>
              <w:t>Program Manager, Business Project Services; Data Migration Lead; data owners; Comptrollership; BDOI IT</w:t>
            </w:r>
          </w:p>
        </w:tc>
        <w:tc>
          <w:tcPr>
            <w:tcW w:type="dxa" w:w="886"/>
            <w:tcMar>
              <w:top w:w="50" w:type="dxa"/>
              <w:bottom w:w="50" w:type="dxa"/>
              <w:left w:w="90" w:type="dxa"/>
              <w:right w:w="90" w:type="dxa"/>
            </w:tcMar>
          </w:tcPr>
          <w:p>
            <w:pPr>
              <w:pStyle w:val="BDOITable"/>
            </w:pPr>
            <w:r>
              <w:rPr>
                <w:sz w:val="15"/>
              </w:rPr>
              <w:t>30-Oct-2026</w:t>
            </w:r>
          </w:p>
        </w:tc>
      </w:tr>
    </w:tbl>
    <w:p>
      <w:pPr>
        <w:pStyle w:val="BDOISpacer"/>
      </w:pPr>
    </w:p>
    <w:p>
      <w:pPr>
        <w:pStyle w:val="Heading1"/>
        <w:pageBreakBefore/>
        <w:pBdr>
          <w:bottom w:val="single" w:sz="4" w:space="4" w:color="99C1E7"/>
        </w:pBdr>
      </w:pPr>
      <w:bookmarkStart w:id="104" w:name="_Toc000104"/>
      <w:r>
        <w:rPr/>
        <w:t>4 Proposed rules and clarifications for confirmation</w:t>
      </w:r>
      <w:bookmarkEnd w:id="104"/>
    </w:p>
    <w:p>
      <w:r>
        <w:rPr/>
        <w:t>Each set closes with a chapter of proposed business rules and clarifications for confirmation: the points where the proposed rule differs from the BRD text or where BIBS needs a BDOI decision to complete the rule. The FRS of BRD-03 and BRD-11 also carry their open questions; the Data Migration Handbook carries its open decisions with the date each is needed by. The counts below are taken from those chapters.</w:t>
      </w:r>
    </w:p>
    <w:p>
      <w:pPr>
        <w:pStyle w:val="Caption"/>
        <w:keepNext/>
        <w:spacing w:after="60"/>
      </w:pPr>
      <w:r>
        <w:rPr>
          <w:b/>
          <w:i w:val="0"/>
        </w:rPr>
        <w:t xml:space="preserve">Table 2: </w:t>
      </w:r>
      <w:r>
        <w:rPr/>
        <w:t>Items for confirmation per sign-off set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435"/>
        <w:gridCol w:w="1855"/>
        <w:gridCol w:w="1739"/>
        <w:gridCol w:w="1391"/>
        <w:gridCol w:w="1391"/>
        <w:gridCol w:w="1159"/>
      </w:tblGrid>
      <w:tr>
        <w:trPr>
          <w:tblHeader w:val="true"/>
          <w:cantSplit w:val="true"/>
        </w:trPr>
        <w:tc>
          <w:tcPr>
            <w:tcW w:type="dxa" w:w="2435"/>
            <w:shd w:val="clear" w:color="auto" w:fill="004EA8"/>
            <w:tcMar>
              <w:top w:w="50" w:type="dxa"/>
              <w:bottom w:w="50" w:type="dxa"/>
              <w:left w:w="90" w:type="dxa"/>
              <w:right w:w="90" w:type="dxa"/>
            </w:tcMar>
            <w:vAlign w:val="center"/>
          </w:tcPr>
          <w:p>
            <w:pPr>
              <w:pStyle w:val="BDOITableHeader"/>
            </w:pPr>
            <w:r>
              <w:rPr>
                <w:b/>
                <w:color w:val="FFFFFF"/>
                <w:sz w:val="17"/>
              </w:rPr>
              <w:t>Sign-off set</w:t>
            </w:r>
          </w:p>
        </w:tc>
        <w:tc>
          <w:tcPr>
            <w:tcW w:type="dxa" w:w="1855"/>
            <w:shd w:val="clear" w:color="auto" w:fill="004EA8"/>
            <w:tcMar>
              <w:top w:w="50" w:type="dxa"/>
              <w:bottom w:w="50" w:type="dxa"/>
              <w:left w:w="90" w:type="dxa"/>
              <w:right w:w="90" w:type="dxa"/>
            </w:tcMar>
            <w:vAlign w:val="center"/>
          </w:tcPr>
          <w:p>
            <w:pPr>
              <w:pStyle w:val="BDOITableHeader"/>
            </w:pPr>
            <w:r>
              <w:rPr>
                <w:b/>
                <w:color w:val="FFFFFF"/>
                <w:sz w:val="17"/>
              </w:rPr>
              <w:t>Proposed rules and clarifications for confirmation</w:t>
            </w:r>
          </w:p>
        </w:tc>
        <w:tc>
          <w:tcPr>
            <w:tcW w:type="dxa" w:w="1739"/>
            <w:shd w:val="clear" w:color="auto" w:fill="004EA8"/>
            <w:tcMar>
              <w:top w:w="50" w:type="dxa"/>
              <w:bottom w:w="50" w:type="dxa"/>
              <w:left w:w="90" w:type="dxa"/>
              <w:right w:w="90" w:type="dxa"/>
            </w:tcMar>
            <w:vAlign w:val="center"/>
          </w:tcPr>
          <w:p>
            <w:pPr>
              <w:pStyle w:val="BDOITableHeader"/>
            </w:pPr>
            <w:r>
              <w:rPr>
                <w:b/>
                <w:color w:val="FFFFFF"/>
                <w:sz w:val="17"/>
              </w:rPr>
              <w:t>Open questions and decisions</w:t>
            </w:r>
          </w:p>
        </w:tc>
        <w:tc>
          <w:tcPr>
            <w:tcW w:type="dxa" w:w="1391"/>
            <w:shd w:val="clear" w:color="auto" w:fill="004EA8"/>
            <w:tcMar>
              <w:top w:w="50" w:type="dxa"/>
              <w:bottom w:w="50" w:type="dxa"/>
              <w:left w:w="90" w:type="dxa"/>
              <w:right w:w="90" w:type="dxa"/>
            </w:tcMar>
            <w:vAlign w:val="center"/>
          </w:tcPr>
          <w:p>
            <w:pPr>
              <w:pStyle w:val="BDOITableHeader"/>
            </w:pPr>
            <w:r>
              <w:rPr>
                <w:b/>
                <w:color w:val="FFFFFF"/>
                <w:sz w:val="17"/>
              </w:rPr>
              <w:t>Open or partly answered</w:t>
            </w:r>
          </w:p>
        </w:tc>
        <w:tc>
          <w:tcPr>
            <w:tcW w:type="dxa" w:w="1391"/>
            <w:shd w:val="clear" w:color="auto" w:fill="004EA8"/>
            <w:tcMar>
              <w:top w:w="50" w:type="dxa"/>
              <w:bottom w:w="50" w:type="dxa"/>
              <w:left w:w="90" w:type="dxa"/>
              <w:right w:w="90" w:type="dxa"/>
            </w:tcMar>
            <w:vAlign w:val="center"/>
          </w:tcPr>
          <w:p>
            <w:pPr>
              <w:pStyle w:val="BDOITableHeader"/>
            </w:pPr>
            <w:r>
              <w:rPr>
                <w:b/>
                <w:color w:val="FFFFFF"/>
                <w:sz w:val="17"/>
              </w:rPr>
              <w:t>Recommended, to confirm</w:t>
            </w:r>
          </w:p>
        </w:tc>
        <w:tc>
          <w:tcPr>
            <w:tcW w:type="dxa" w:w="1160"/>
            <w:shd w:val="clear" w:color="auto" w:fill="004EA8"/>
            <w:tcMar>
              <w:top w:w="50" w:type="dxa"/>
              <w:bottom w:w="50" w:type="dxa"/>
              <w:left w:w="90" w:type="dxa"/>
              <w:right w:w="90" w:type="dxa"/>
            </w:tcMar>
            <w:vAlign w:val="center"/>
          </w:tcPr>
          <w:p>
            <w:pPr>
              <w:pStyle w:val="BDOITableHeader"/>
            </w:pPr>
            <w:r>
              <w:rPr>
                <w:b/>
                <w:color w:val="FFFFFF"/>
                <w:sz w:val="17"/>
              </w:rPr>
              <w:t>Answered</w:t>
            </w:r>
          </w:p>
        </w:tc>
      </w:tr>
      <w:tr>
        <w:trPr>
          <w:cantSplit w:val="true"/>
        </w:trPr>
        <w:tc>
          <w:tcPr>
            <w:tcW w:type="dxa" w:w="2435"/>
            <w:tcMar>
              <w:top w:w="50" w:type="dxa"/>
              <w:bottom w:w="50" w:type="dxa"/>
              <w:left w:w="90" w:type="dxa"/>
              <w:right w:w="90" w:type="dxa"/>
            </w:tcMar>
          </w:tcPr>
          <w:p>
            <w:pPr>
              <w:pStyle w:val="BDOITable"/>
            </w:pPr>
            <w:r>
              <w:rPr>
                <w:sz w:val="17"/>
              </w:rPr>
              <w:t>BRD-03 Product Maintenance</w:t>
            </w:r>
          </w:p>
        </w:tc>
        <w:tc>
          <w:tcPr>
            <w:tcW w:type="dxa" w:w="1855"/>
            <w:tcMar>
              <w:top w:w="50" w:type="dxa"/>
              <w:bottom w:w="50" w:type="dxa"/>
              <w:left w:w="90" w:type="dxa"/>
              <w:right w:w="90" w:type="dxa"/>
            </w:tcMar>
          </w:tcPr>
          <w:p>
            <w:pPr>
              <w:pStyle w:val="BDOITable"/>
              <w:jc w:val="center"/>
            </w:pPr>
            <w:r>
              <w:rPr>
                <w:sz w:val="17"/>
              </w:rPr>
              <w:t>20</w:t>
            </w:r>
          </w:p>
        </w:tc>
        <w:tc>
          <w:tcPr>
            <w:tcW w:type="dxa" w:w="1739"/>
            <w:tcMar>
              <w:top w:w="50" w:type="dxa"/>
              <w:bottom w:w="50" w:type="dxa"/>
              <w:left w:w="90" w:type="dxa"/>
              <w:right w:w="90" w:type="dxa"/>
            </w:tcMar>
          </w:tcPr>
          <w:p>
            <w:pPr>
              <w:pStyle w:val="BDOITable"/>
              <w:jc w:val="center"/>
            </w:pPr>
            <w:r>
              <w:rPr>
                <w:sz w:val="17"/>
              </w:rPr>
              <w:t>17</w:t>
            </w:r>
          </w:p>
        </w:tc>
        <w:tc>
          <w:tcPr>
            <w:tcW w:type="dxa" w:w="1391"/>
            <w:tcMar>
              <w:top w:w="50" w:type="dxa"/>
              <w:bottom w:w="50" w:type="dxa"/>
              <w:left w:w="90" w:type="dxa"/>
              <w:right w:w="90" w:type="dxa"/>
            </w:tcMar>
          </w:tcPr>
          <w:p>
            <w:pPr>
              <w:pStyle w:val="BDOITable"/>
              <w:jc w:val="center"/>
            </w:pPr>
            <w:r>
              <w:rPr>
                <w:sz w:val="17"/>
              </w:rPr>
              <w:t>16</w:t>
            </w:r>
          </w:p>
        </w:tc>
        <w:tc>
          <w:tcPr>
            <w:tcW w:type="dxa" w:w="1391"/>
            <w:tcMar>
              <w:top w:w="50" w:type="dxa"/>
              <w:bottom w:w="50" w:type="dxa"/>
              <w:left w:w="90" w:type="dxa"/>
              <w:right w:w="90" w:type="dxa"/>
            </w:tcMar>
          </w:tcPr>
          <w:p>
            <w:pPr>
              <w:pStyle w:val="BDOITable"/>
              <w:jc w:val="center"/>
            </w:pPr>
            <w:r>
              <w:rPr>
                <w:sz w:val="17"/>
              </w:rPr>
              <w:t>0</w:t>
            </w:r>
          </w:p>
        </w:tc>
        <w:tc>
          <w:tcPr>
            <w:tcW w:type="dxa" w:w="1160"/>
            <w:tcMar>
              <w:top w:w="50" w:type="dxa"/>
              <w:bottom w:w="50" w:type="dxa"/>
              <w:left w:w="90" w:type="dxa"/>
              <w:right w:w="90" w:type="dxa"/>
            </w:tcMar>
          </w:tcPr>
          <w:p>
            <w:pPr>
              <w:pStyle w:val="BDOITable"/>
              <w:jc w:val="center"/>
            </w:pPr>
            <w:r>
              <w:rPr>
                <w:sz w:val="17"/>
              </w:rPr>
              <w:t>1</w:t>
            </w:r>
          </w:p>
        </w:tc>
      </w:tr>
      <w:tr>
        <w:trPr>
          <w:cantSplit w:val="true"/>
        </w:trPr>
        <w:tc>
          <w:tcPr>
            <w:tcW w:type="dxa" w:w="2435"/>
            <w:tcMar>
              <w:top w:w="50" w:type="dxa"/>
              <w:bottom w:w="50" w:type="dxa"/>
              <w:left w:w="90" w:type="dxa"/>
              <w:right w:w="90" w:type="dxa"/>
            </w:tcMar>
            <w:shd w:val="clear" w:color="auto" w:fill="E5F5FF"/>
          </w:tcPr>
          <w:p>
            <w:pPr>
              <w:pStyle w:val="BDOITable"/>
            </w:pPr>
            <w:r>
              <w:rPr>
                <w:sz w:val="17"/>
              </w:rPr>
              <w:t>BRD-11 User Access Maintenance</w:t>
            </w:r>
          </w:p>
        </w:tc>
        <w:tc>
          <w:tcPr>
            <w:tcW w:type="dxa" w:w="1855"/>
            <w:tcMar>
              <w:top w:w="50" w:type="dxa"/>
              <w:bottom w:w="50" w:type="dxa"/>
              <w:left w:w="90" w:type="dxa"/>
              <w:right w:w="90" w:type="dxa"/>
            </w:tcMar>
            <w:shd w:val="clear" w:color="auto" w:fill="E5F5FF"/>
          </w:tcPr>
          <w:p>
            <w:pPr>
              <w:pStyle w:val="BDOITable"/>
              <w:jc w:val="center"/>
            </w:pPr>
            <w:r>
              <w:rPr>
                <w:sz w:val="17"/>
              </w:rPr>
              <w:t>20</w:t>
            </w:r>
          </w:p>
        </w:tc>
        <w:tc>
          <w:tcPr>
            <w:tcW w:type="dxa" w:w="1739"/>
            <w:tcMar>
              <w:top w:w="50" w:type="dxa"/>
              <w:bottom w:w="50" w:type="dxa"/>
              <w:left w:w="90" w:type="dxa"/>
              <w:right w:w="90" w:type="dxa"/>
            </w:tcMar>
            <w:shd w:val="clear" w:color="auto" w:fill="E5F5FF"/>
          </w:tcPr>
          <w:p>
            <w:pPr>
              <w:pStyle w:val="BDOITable"/>
              <w:jc w:val="center"/>
            </w:pPr>
            <w:r>
              <w:rPr>
                <w:sz w:val="17"/>
              </w:rPr>
              <w:t>21</w:t>
            </w:r>
          </w:p>
        </w:tc>
        <w:tc>
          <w:tcPr>
            <w:tcW w:type="dxa" w:w="1391"/>
            <w:tcMar>
              <w:top w:w="50" w:type="dxa"/>
              <w:bottom w:w="50" w:type="dxa"/>
              <w:left w:w="90" w:type="dxa"/>
              <w:right w:w="90" w:type="dxa"/>
            </w:tcMar>
            <w:shd w:val="clear" w:color="auto" w:fill="E5F5FF"/>
          </w:tcPr>
          <w:p>
            <w:pPr>
              <w:pStyle w:val="BDOITable"/>
              <w:jc w:val="center"/>
            </w:pPr>
            <w:r>
              <w:rPr>
                <w:sz w:val="17"/>
              </w:rPr>
              <w:t>21</w:t>
            </w:r>
          </w:p>
        </w:tc>
        <w:tc>
          <w:tcPr>
            <w:tcW w:type="dxa" w:w="1391"/>
            <w:tcMar>
              <w:top w:w="50" w:type="dxa"/>
              <w:bottom w:w="50" w:type="dxa"/>
              <w:left w:w="90" w:type="dxa"/>
              <w:right w:w="90" w:type="dxa"/>
            </w:tcMar>
            <w:shd w:val="clear" w:color="auto" w:fill="E5F5FF"/>
          </w:tcPr>
          <w:p>
            <w:pPr>
              <w:pStyle w:val="BDOITable"/>
              <w:jc w:val="center"/>
            </w:pPr>
            <w:r>
              <w:rPr>
                <w:sz w:val="17"/>
              </w:rPr>
              <w:t>0</w:t>
            </w:r>
          </w:p>
        </w:tc>
        <w:tc>
          <w:tcPr>
            <w:tcW w:type="dxa" w:w="1160"/>
            <w:tcMar>
              <w:top w:w="50" w:type="dxa"/>
              <w:bottom w:w="50" w:type="dxa"/>
              <w:left w:w="90" w:type="dxa"/>
              <w:right w:w="90" w:type="dxa"/>
            </w:tcMar>
            <w:shd w:val="clear" w:color="auto" w:fill="E5F5FF"/>
          </w:tcPr>
          <w:p>
            <w:pPr>
              <w:pStyle w:val="BDOITable"/>
              <w:jc w:val="center"/>
            </w:pPr>
            <w:r>
              <w:rPr>
                <w:sz w:val="17"/>
              </w:rPr>
              <w:t>0</w:t>
            </w:r>
          </w:p>
        </w:tc>
      </w:tr>
      <w:tr>
        <w:trPr>
          <w:cantSplit w:val="true"/>
        </w:trPr>
        <w:tc>
          <w:tcPr>
            <w:tcW w:type="dxa" w:w="2435"/>
            <w:tcMar>
              <w:top w:w="50" w:type="dxa"/>
              <w:bottom w:w="50" w:type="dxa"/>
              <w:left w:w="90" w:type="dxa"/>
              <w:right w:w="90" w:type="dxa"/>
            </w:tcMar>
          </w:tcPr>
          <w:p>
            <w:pPr>
              <w:pStyle w:val="BDOITable"/>
            </w:pPr>
            <w:r>
              <w:rPr>
                <w:sz w:val="17"/>
              </w:rPr>
              <w:t>BRD-13 Data Migration</w:t>
            </w:r>
          </w:p>
        </w:tc>
        <w:tc>
          <w:tcPr>
            <w:tcW w:type="dxa" w:w="1855"/>
            <w:tcMar>
              <w:top w:w="50" w:type="dxa"/>
              <w:bottom w:w="50" w:type="dxa"/>
              <w:left w:w="90" w:type="dxa"/>
              <w:right w:w="90" w:type="dxa"/>
            </w:tcMar>
          </w:tcPr>
          <w:p>
            <w:pPr>
              <w:pStyle w:val="BDOITable"/>
              <w:jc w:val="center"/>
            </w:pPr>
            <w:r>
              <w:rPr>
                <w:sz w:val="17"/>
              </w:rPr>
              <w:t>28</w:t>
            </w:r>
          </w:p>
        </w:tc>
        <w:tc>
          <w:tcPr>
            <w:tcW w:type="dxa" w:w="1739"/>
            <w:tcMar>
              <w:top w:w="50" w:type="dxa"/>
              <w:bottom w:w="50" w:type="dxa"/>
              <w:left w:w="90" w:type="dxa"/>
              <w:right w:w="90" w:type="dxa"/>
            </w:tcMar>
          </w:tcPr>
          <w:p>
            <w:pPr>
              <w:pStyle w:val="BDOITable"/>
              <w:jc w:val="center"/>
            </w:pPr>
            <w:r>
              <w:rPr>
                <w:sz w:val="17"/>
              </w:rPr>
              <w:t>42</w:t>
            </w:r>
          </w:p>
        </w:tc>
        <w:tc>
          <w:tcPr>
            <w:tcW w:type="dxa" w:w="1391"/>
            <w:tcMar>
              <w:top w:w="50" w:type="dxa"/>
              <w:bottom w:w="50" w:type="dxa"/>
              <w:left w:w="90" w:type="dxa"/>
              <w:right w:w="90" w:type="dxa"/>
            </w:tcMar>
          </w:tcPr>
          <w:p>
            <w:pPr>
              <w:pStyle w:val="BDOITable"/>
              <w:jc w:val="center"/>
            </w:pPr>
            <w:r>
              <w:rPr>
                <w:sz w:val="17"/>
              </w:rPr>
              <w:t>37</w:t>
            </w:r>
          </w:p>
        </w:tc>
        <w:tc>
          <w:tcPr>
            <w:tcW w:type="dxa" w:w="1391"/>
            <w:tcMar>
              <w:top w:w="50" w:type="dxa"/>
              <w:bottom w:w="50" w:type="dxa"/>
              <w:left w:w="90" w:type="dxa"/>
              <w:right w:w="90" w:type="dxa"/>
            </w:tcMar>
          </w:tcPr>
          <w:p>
            <w:pPr>
              <w:pStyle w:val="BDOITable"/>
              <w:jc w:val="center"/>
            </w:pPr>
            <w:r>
              <w:rPr>
                <w:sz w:val="17"/>
              </w:rPr>
              <w:t>1</w:t>
            </w:r>
          </w:p>
        </w:tc>
        <w:tc>
          <w:tcPr>
            <w:tcW w:type="dxa" w:w="1160"/>
            <w:tcMar>
              <w:top w:w="50" w:type="dxa"/>
              <w:bottom w:w="50" w:type="dxa"/>
              <w:left w:w="90" w:type="dxa"/>
              <w:right w:w="90" w:type="dxa"/>
            </w:tcMar>
          </w:tcPr>
          <w:p>
            <w:pPr>
              <w:pStyle w:val="BDOITable"/>
              <w:jc w:val="center"/>
            </w:pPr>
            <w:r>
              <w:rPr>
                <w:sz w:val="17"/>
              </w:rPr>
              <w:t>4</w:t>
            </w:r>
          </w:p>
        </w:tc>
      </w:tr>
      <w:tr>
        <w:trPr>
          <w:cantSplit w:val="true"/>
        </w:trPr>
        <w:tc>
          <w:tcPr>
            <w:tcW w:type="dxa" w:w="2435"/>
            <w:tcMar>
              <w:top w:w="50" w:type="dxa"/>
              <w:bottom w:w="50" w:type="dxa"/>
              <w:left w:w="90" w:type="dxa"/>
              <w:right w:w="90" w:type="dxa"/>
            </w:tcMar>
            <w:shd w:val="clear" w:color="auto" w:fill="E5F5FF"/>
          </w:tcPr>
          <w:p>
            <w:pPr>
              <w:pStyle w:val="BDOITable"/>
            </w:pPr>
            <w:r>
              <w:rPr>
                <w:sz w:val="17"/>
              </w:rPr>
              <w:t>Total</w:t>
            </w:r>
          </w:p>
        </w:tc>
        <w:tc>
          <w:tcPr>
            <w:tcW w:type="dxa" w:w="1855"/>
            <w:tcMar>
              <w:top w:w="50" w:type="dxa"/>
              <w:bottom w:w="50" w:type="dxa"/>
              <w:left w:w="90" w:type="dxa"/>
              <w:right w:w="90" w:type="dxa"/>
            </w:tcMar>
            <w:shd w:val="clear" w:color="auto" w:fill="E5F5FF"/>
          </w:tcPr>
          <w:p>
            <w:pPr>
              <w:pStyle w:val="BDOITable"/>
              <w:jc w:val="center"/>
            </w:pPr>
            <w:r>
              <w:rPr>
                <w:sz w:val="17"/>
              </w:rPr>
              <w:t>68</w:t>
            </w:r>
          </w:p>
        </w:tc>
        <w:tc>
          <w:tcPr>
            <w:tcW w:type="dxa" w:w="1739"/>
            <w:tcMar>
              <w:top w:w="50" w:type="dxa"/>
              <w:bottom w:w="50" w:type="dxa"/>
              <w:left w:w="90" w:type="dxa"/>
              <w:right w:w="90" w:type="dxa"/>
            </w:tcMar>
            <w:shd w:val="clear" w:color="auto" w:fill="E5F5FF"/>
          </w:tcPr>
          <w:p>
            <w:pPr>
              <w:pStyle w:val="BDOITable"/>
              <w:jc w:val="center"/>
            </w:pPr>
            <w:r>
              <w:rPr>
                <w:sz w:val="17"/>
              </w:rPr>
              <w:t>80</w:t>
            </w:r>
          </w:p>
        </w:tc>
        <w:tc>
          <w:tcPr>
            <w:tcW w:type="dxa" w:w="1391"/>
            <w:tcMar>
              <w:top w:w="50" w:type="dxa"/>
              <w:bottom w:w="50" w:type="dxa"/>
              <w:left w:w="90" w:type="dxa"/>
              <w:right w:w="90" w:type="dxa"/>
            </w:tcMar>
            <w:shd w:val="clear" w:color="auto" w:fill="E5F5FF"/>
          </w:tcPr>
          <w:p>
            <w:pPr>
              <w:pStyle w:val="BDOITable"/>
              <w:jc w:val="center"/>
            </w:pPr>
            <w:r>
              <w:rPr>
                <w:sz w:val="17"/>
              </w:rPr>
              <w:t>74</w:t>
            </w:r>
          </w:p>
        </w:tc>
        <w:tc>
          <w:tcPr>
            <w:tcW w:type="dxa" w:w="1391"/>
            <w:tcMar>
              <w:top w:w="50" w:type="dxa"/>
              <w:bottom w:w="50" w:type="dxa"/>
              <w:left w:w="90" w:type="dxa"/>
              <w:right w:w="90" w:type="dxa"/>
            </w:tcMar>
            <w:shd w:val="clear" w:color="auto" w:fill="E5F5FF"/>
          </w:tcPr>
          <w:p>
            <w:pPr>
              <w:pStyle w:val="BDOITable"/>
              <w:jc w:val="center"/>
            </w:pPr>
            <w:r>
              <w:rPr>
                <w:sz w:val="17"/>
              </w:rPr>
              <w:t>1</w:t>
            </w:r>
          </w:p>
        </w:tc>
        <w:tc>
          <w:tcPr>
            <w:tcW w:type="dxa" w:w="1160"/>
            <w:tcMar>
              <w:top w:w="50" w:type="dxa"/>
              <w:bottom w:w="50" w:type="dxa"/>
              <w:left w:w="90" w:type="dxa"/>
              <w:right w:w="90" w:type="dxa"/>
            </w:tcMar>
            <w:shd w:val="clear" w:color="auto" w:fill="E5F5FF"/>
          </w:tcPr>
          <w:p>
            <w:pPr>
              <w:pStyle w:val="BDOITable"/>
              <w:jc w:val="center"/>
            </w:pPr>
            <w:r>
              <w:rPr>
                <w:sz w:val="17"/>
              </w:rPr>
              <w:t>5</w:t>
            </w:r>
          </w:p>
        </w:tc>
      </w:tr>
    </w:tbl>
    <w:p>
      <w:pPr>
        <w:pStyle w:val="BDOISpacer"/>
      </w:pPr>
    </w:p>
    <w:p>
      <w:r>
        <w:rPr/>
        <w:t>Every proposed rule is decided with the review of its set (Agree, Agree with change, Disagree, Need more information), or accepted as the working assumption with its decision date. A decision that only sets a value (a list, a parameter, a template) is applied as configuration through the workbook; a decision that changes a screen, field, rule or message is applied in version 2.1 of the set.</w:t>
      </w:r>
    </w:p>
    <w:p>
      <w:pPr>
        <w:pStyle w:val="Heading1"/>
        <w:pageBreakBefore/>
        <w:pBdr>
          <w:bottom w:val="single" w:sz="4" w:space="4" w:color="99C1E7"/>
        </w:pBdr>
      </w:pPr>
      <w:bookmarkStart w:id="105" w:name="_Toc000105"/>
      <w:r>
        <w:rPr/>
        <w:t>5 Consolidated decisions BDOI takes</w:t>
      </w:r>
      <w:bookmarkEnd w:id="105"/>
    </w:p>
    <w:p>
      <w:r>
        <w:rPr/>
        <w:t>The decisions below gather the items of the three clarification chapters that shape the other drops, the cut-over or the configuration. The column From names the items of the sets they answer.</w:t>
      </w:r>
    </w:p>
    <w:p>
      <w:pPr>
        <w:pStyle w:val="Caption"/>
        <w:keepNext/>
        <w:spacing w:after="60"/>
      </w:pPr>
      <w:r>
        <w:rPr>
          <w:b/>
          <w:i w:val="0"/>
        </w:rPr>
        <w:t xml:space="preserve">Table 3: </w:t>
      </w:r>
      <w:r>
        <w:rPr/>
        <w:t>Consolidated decisions BDOI takes to close Drop 0</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67"/>
        <w:gridCol w:w="1534"/>
        <w:gridCol w:w="3507"/>
        <w:gridCol w:w="1424"/>
        <w:gridCol w:w="1424"/>
        <w:gridCol w:w="1315"/>
      </w:tblGrid>
      <w:tr>
        <w:trPr>
          <w:tblHeader w:val="true"/>
          <w:cantSplit w:val="true"/>
        </w:trPr>
        <w:tc>
          <w:tcPr>
            <w:tcW w:type="dxa" w:w="767"/>
            <w:shd w:val="clear" w:color="auto" w:fill="004EA8"/>
            <w:tcMar>
              <w:top w:w="50" w:type="dxa"/>
              <w:bottom w:w="50" w:type="dxa"/>
              <w:left w:w="90" w:type="dxa"/>
              <w:right w:w="90" w:type="dxa"/>
            </w:tcMar>
            <w:vAlign w:val="center"/>
          </w:tcPr>
          <w:p>
            <w:pPr>
              <w:pStyle w:val="BDOITableHeader"/>
            </w:pPr>
            <w:r>
              <w:rPr>
                <w:b/>
                <w:color w:val="FFFFFF"/>
                <w:sz w:val="15"/>
              </w:rPr>
              <w:t>ID</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5"/>
              </w:rPr>
              <w:t>Topic</w:t>
            </w:r>
          </w:p>
        </w:tc>
        <w:tc>
          <w:tcPr>
            <w:tcW w:type="dxa" w:w="3507"/>
            <w:shd w:val="clear" w:color="auto" w:fill="004EA8"/>
            <w:tcMar>
              <w:top w:w="50" w:type="dxa"/>
              <w:bottom w:w="50" w:type="dxa"/>
              <w:left w:w="90" w:type="dxa"/>
              <w:right w:w="90" w:type="dxa"/>
            </w:tcMar>
            <w:vAlign w:val="center"/>
          </w:tcPr>
          <w:p>
            <w:pPr>
              <w:pStyle w:val="BDOITableHeader"/>
            </w:pPr>
            <w:r>
              <w:rPr>
                <w:b/>
                <w:color w:val="FFFFFF"/>
                <w:sz w:val="15"/>
              </w:rPr>
              <w:t>Decision BDOI takes</w:t>
            </w:r>
          </w:p>
        </w:tc>
        <w:tc>
          <w:tcPr>
            <w:tcW w:type="dxa" w:w="1425"/>
            <w:shd w:val="clear" w:color="auto" w:fill="004EA8"/>
            <w:tcMar>
              <w:top w:w="50" w:type="dxa"/>
              <w:bottom w:w="50" w:type="dxa"/>
              <w:left w:w="90" w:type="dxa"/>
              <w:right w:w="90" w:type="dxa"/>
            </w:tcMar>
            <w:vAlign w:val="center"/>
          </w:tcPr>
          <w:p>
            <w:pPr>
              <w:pStyle w:val="BDOITableHeader"/>
            </w:pPr>
            <w:r>
              <w:rPr>
                <w:b/>
                <w:color w:val="FFFFFF"/>
                <w:sz w:val="15"/>
              </w:rPr>
              <w:t>From</w:t>
            </w:r>
          </w:p>
        </w:tc>
        <w:tc>
          <w:tcPr>
            <w:tcW w:type="dxa" w:w="1425"/>
            <w:shd w:val="clear" w:color="auto" w:fill="004EA8"/>
            <w:tcMar>
              <w:top w:w="50" w:type="dxa"/>
              <w:bottom w:w="50" w:type="dxa"/>
              <w:left w:w="90" w:type="dxa"/>
              <w:right w:w="90" w:type="dxa"/>
            </w:tcMar>
            <w:vAlign w:val="center"/>
          </w:tcPr>
          <w:p>
            <w:pPr>
              <w:pStyle w:val="BDOITableHeader"/>
            </w:pPr>
            <w:r>
              <w:rPr>
                <w:b/>
                <w:color w:val="FFFFFF"/>
                <w:sz w:val="15"/>
              </w:rPr>
              <w:t>BDOI owner</w:t>
            </w:r>
          </w:p>
        </w:tc>
        <w:tc>
          <w:tcPr>
            <w:tcW w:type="dxa" w:w="1315"/>
            <w:shd w:val="clear" w:color="auto" w:fill="004EA8"/>
            <w:tcMar>
              <w:top w:w="50" w:type="dxa"/>
              <w:bottom w:w="50" w:type="dxa"/>
              <w:left w:w="90" w:type="dxa"/>
              <w:right w:w="90" w:type="dxa"/>
            </w:tcMar>
            <w:vAlign w:val="center"/>
          </w:tcPr>
          <w:p>
            <w:pPr>
              <w:pStyle w:val="BDOITableHeader"/>
            </w:pPr>
            <w:r>
              <w:rPr>
                <w:b/>
                <w:color w:val="FFFFFF"/>
                <w:sz w:val="15"/>
              </w:rPr>
              <w:t>Needed by</w:t>
            </w:r>
          </w:p>
        </w:tc>
      </w:tr>
      <w:tr>
        <w:tc>
          <w:tcPr>
            <w:tcW w:type="dxa" w:w="767"/>
            <w:tcMar>
              <w:top w:w="50" w:type="dxa"/>
              <w:bottom w:w="50" w:type="dxa"/>
              <w:left w:w="90" w:type="dxa"/>
              <w:right w:w="90" w:type="dxa"/>
            </w:tcMar>
          </w:tcPr>
          <w:p>
            <w:pPr>
              <w:pStyle w:val="BDOITable"/>
            </w:pPr>
            <w:r>
              <w:rPr>
                <w:sz w:val="15"/>
              </w:rPr>
              <w:t>DEC-01</w:t>
            </w:r>
          </w:p>
        </w:tc>
        <w:tc>
          <w:tcPr>
            <w:tcW w:type="dxa" w:w="1534"/>
            <w:tcMar>
              <w:top w:w="50" w:type="dxa"/>
              <w:bottom w:w="50" w:type="dxa"/>
              <w:left w:w="90" w:type="dxa"/>
              <w:right w:w="90" w:type="dxa"/>
            </w:tcMar>
          </w:tcPr>
          <w:p>
            <w:pPr>
              <w:pStyle w:val="BDOITable"/>
            </w:pPr>
            <w:r>
              <w:rPr>
                <w:sz w:val="15"/>
              </w:rPr>
              <w:t>Year-end cut-over: option A</w:t>
            </w:r>
          </w:p>
        </w:tc>
        <w:tc>
          <w:tcPr>
            <w:tcW w:type="dxa" w:w="3507"/>
            <w:tcMar>
              <w:top w:w="50" w:type="dxa"/>
              <w:bottom w:w="50" w:type="dxa"/>
              <w:left w:w="90" w:type="dxa"/>
              <w:right w:w="90" w:type="dxa"/>
            </w:tcMar>
          </w:tcPr>
          <w:p>
            <w:pPr>
              <w:pStyle w:val="BDOITable"/>
            </w:pPr>
            <w:r>
              <w:rPr>
                <w:sz w:val="15"/>
              </w:rPr>
              <w:t>Confirm go-live on Monday 3 January 2028 at the year-end boundary, with legacy closing FY2027 and BIBS opening from a provisional balance-sheet opening, trued up after the legacy close and the audited statements.</w:t>
            </w:r>
          </w:p>
        </w:tc>
        <w:tc>
          <w:tcPr>
            <w:tcW w:type="dxa" w:w="1425"/>
            <w:tcMar>
              <w:top w:w="50" w:type="dxa"/>
              <w:bottom w:w="50" w:type="dxa"/>
              <w:left w:w="90" w:type="dxa"/>
              <w:right w:w="90" w:type="dxa"/>
            </w:tcMar>
          </w:tcPr>
          <w:p>
            <w:pPr>
              <w:pStyle w:val="BDOITable"/>
            </w:pPr>
            <w:r>
              <w:rPr>
                <w:sz w:val="15"/>
              </w:rPr>
              <w:t>PR-DM-01, DMQ39, DMQ25</w:t>
            </w:r>
          </w:p>
        </w:tc>
        <w:tc>
          <w:tcPr>
            <w:tcW w:type="dxa" w:w="1425"/>
            <w:tcMar>
              <w:top w:w="50" w:type="dxa"/>
              <w:bottom w:w="50" w:type="dxa"/>
              <w:left w:w="90" w:type="dxa"/>
              <w:right w:w="90" w:type="dxa"/>
            </w:tcMar>
          </w:tcPr>
          <w:p>
            <w:pPr>
              <w:pStyle w:val="BDOITable"/>
            </w:pPr>
            <w:r>
              <w:rPr>
                <w:sz w:val="15"/>
              </w:rPr>
              <w:t>Head, Comptrollership; Program Manager</w:t>
            </w:r>
          </w:p>
        </w:tc>
        <w:tc>
          <w:tcPr>
            <w:tcW w:type="dxa" w:w="1315"/>
            <w:tcMar>
              <w:top w:w="50" w:type="dxa"/>
              <w:bottom w:w="50" w:type="dxa"/>
              <w:left w:w="90" w:type="dxa"/>
              <w:right w:w="90" w:type="dxa"/>
            </w:tcMar>
          </w:tcPr>
          <w:p>
            <w:pPr>
              <w:pStyle w:val="BDOITable"/>
            </w:pPr>
            <w:r>
              <w:rPr>
                <w:sz w:val="15"/>
              </w:rPr>
              <w:t>M6 (1-Oct-2027); confirmation asked with the Drop 0 closure</w:t>
            </w:r>
          </w:p>
        </w:tc>
      </w:tr>
      <w:tr>
        <w:tc>
          <w:tcPr>
            <w:tcW w:type="dxa" w:w="767"/>
            <w:tcMar>
              <w:top w:w="50" w:type="dxa"/>
              <w:bottom w:w="50" w:type="dxa"/>
              <w:left w:w="90" w:type="dxa"/>
              <w:right w:w="90" w:type="dxa"/>
            </w:tcMar>
            <w:shd w:val="clear" w:color="auto" w:fill="E5F5FF"/>
          </w:tcPr>
          <w:p>
            <w:pPr>
              <w:pStyle w:val="BDOITable"/>
            </w:pPr>
            <w:r>
              <w:rPr>
                <w:sz w:val="15"/>
              </w:rPr>
              <w:t>DEC-02</w:t>
            </w:r>
          </w:p>
        </w:tc>
        <w:tc>
          <w:tcPr>
            <w:tcW w:type="dxa" w:w="1534"/>
            <w:tcMar>
              <w:top w:w="50" w:type="dxa"/>
              <w:bottom w:w="50" w:type="dxa"/>
              <w:left w:w="90" w:type="dxa"/>
              <w:right w:w="90" w:type="dxa"/>
            </w:tcMar>
            <w:shd w:val="clear" w:color="auto" w:fill="E5F5FF"/>
          </w:tcPr>
          <w:p>
            <w:pPr>
              <w:pStyle w:val="BDOITable"/>
            </w:pPr>
            <w:r>
              <w:rPr>
                <w:sz w:val="15"/>
              </w:rPr>
              <w:t>Legacy account codes and Migration Clearing</w:t>
            </w:r>
          </w:p>
        </w:tc>
        <w:tc>
          <w:tcPr>
            <w:tcW w:type="dxa" w:w="3507"/>
            <w:tcMar>
              <w:top w:w="50" w:type="dxa"/>
              <w:bottom w:w="50" w:type="dxa"/>
              <w:left w:w="90" w:type="dxa"/>
              <w:right w:w="90" w:type="dxa"/>
            </w:tcMar>
            <w:shd w:val="clear" w:color="auto" w:fill="E5F5FF"/>
          </w:tcPr>
          <w:p>
            <w:pPr>
              <w:pStyle w:val="BDOITable"/>
            </w:pPr>
            <w:r>
              <w:rPr>
                <w:sz w:val="15"/>
              </w:rPr>
              <w:t>Confirm the separate legacy control accounts and Migration Clearing, and assign their codes in the production chart (template D0-09).</w:t>
            </w:r>
          </w:p>
        </w:tc>
        <w:tc>
          <w:tcPr>
            <w:tcW w:type="dxa" w:w="1425"/>
            <w:tcMar>
              <w:top w:w="50" w:type="dxa"/>
              <w:bottom w:w="50" w:type="dxa"/>
              <w:left w:w="90" w:type="dxa"/>
              <w:right w:w="90" w:type="dxa"/>
            </w:tcMar>
            <w:shd w:val="clear" w:color="auto" w:fill="E5F5FF"/>
          </w:tcPr>
          <w:p>
            <w:pPr>
              <w:pStyle w:val="BDOITable"/>
            </w:pPr>
            <w:r>
              <w:rPr>
                <w:sz w:val="15"/>
              </w:rPr>
              <w:t>PR-DM-02, DMQ18</w:t>
            </w:r>
          </w:p>
        </w:tc>
        <w:tc>
          <w:tcPr>
            <w:tcW w:type="dxa" w:w="1425"/>
            <w:tcMar>
              <w:top w:w="50" w:type="dxa"/>
              <w:bottom w:w="50" w:type="dxa"/>
              <w:left w:w="90" w:type="dxa"/>
              <w:right w:w="90" w:type="dxa"/>
            </w:tcMar>
            <w:shd w:val="clear" w:color="auto" w:fill="E5F5FF"/>
          </w:tcPr>
          <w:p>
            <w:pPr>
              <w:pStyle w:val="BDOITable"/>
            </w:pPr>
            <w:r>
              <w:rPr>
                <w:sz w:val="15"/>
              </w:rPr>
              <w:t>Head, Comptrollership</w:t>
            </w:r>
          </w:p>
        </w:tc>
        <w:tc>
          <w:tcPr>
            <w:tcW w:type="dxa" w:w="1315"/>
            <w:tcMar>
              <w:top w:w="50" w:type="dxa"/>
              <w:bottom w:w="50" w:type="dxa"/>
              <w:left w:w="90" w:type="dxa"/>
              <w:right w:w="90" w:type="dxa"/>
            </w:tcMar>
            <w:shd w:val="clear" w:color="auto" w:fill="E5F5FF"/>
          </w:tcPr>
          <w:p>
            <w:pPr>
              <w:pStyle w:val="BDOITable"/>
            </w:pPr>
            <w:r>
              <w:rPr>
                <w:sz w:val="15"/>
              </w:rPr>
              <w:t>M1 (16-Oct-2026)</w:t>
            </w:r>
          </w:p>
        </w:tc>
      </w:tr>
      <w:tr>
        <w:tc>
          <w:tcPr>
            <w:tcW w:type="dxa" w:w="767"/>
            <w:tcMar>
              <w:top w:w="50" w:type="dxa"/>
              <w:bottom w:w="50" w:type="dxa"/>
              <w:left w:w="90" w:type="dxa"/>
              <w:right w:w="90" w:type="dxa"/>
            </w:tcMar>
          </w:tcPr>
          <w:p>
            <w:pPr>
              <w:pStyle w:val="BDOITable"/>
            </w:pPr>
            <w:r>
              <w:rPr>
                <w:sz w:val="15"/>
              </w:rPr>
              <w:t>DEC-03</w:t>
            </w:r>
          </w:p>
        </w:tc>
        <w:tc>
          <w:tcPr>
            <w:tcW w:type="dxa" w:w="1534"/>
            <w:tcMar>
              <w:top w:w="50" w:type="dxa"/>
              <w:bottom w:w="50" w:type="dxa"/>
              <w:left w:w="90" w:type="dxa"/>
              <w:right w:w="90" w:type="dxa"/>
            </w:tcMar>
          </w:tcPr>
          <w:p>
            <w:pPr>
              <w:pStyle w:val="BDOITable"/>
            </w:pPr>
            <w:r>
              <w:rPr>
                <w:sz w:val="15"/>
              </w:rPr>
              <w:t>Conditional migration objects</w:t>
            </w:r>
          </w:p>
        </w:tc>
        <w:tc>
          <w:tcPr>
            <w:tcW w:type="dxa" w:w="3507"/>
            <w:tcMar>
              <w:top w:w="50" w:type="dxa"/>
              <w:bottom w:w="50" w:type="dxa"/>
              <w:left w:w="90" w:type="dxa"/>
              <w:right w:w="90" w:type="dxa"/>
            </w:tcMar>
          </w:tcPr>
          <w:p>
            <w:pPr>
              <w:pStyle w:val="BDOITable"/>
            </w:pPr>
            <w:r>
              <w:rPr>
                <w:sz w:val="15"/>
              </w:rPr>
              <w:t>Decide for remittances in flight (F04), PDCs and pick-ups (F06), open claims (F07), submitted-policy masterlists (P04), Employee Benefits programmes (P05) and payees (R09) whether each is completed in legacy, carried or brought into scope.</w:t>
            </w:r>
          </w:p>
        </w:tc>
        <w:tc>
          <w:tcPr>
            <w:tcW w:type="dxa" w:w="1425"/>
            <w:tcMar>
              <w:top w:w="50" w:type="dxa"/>
              <w:bottom w:w="50" w:type="dxa"/>
              <w:left w:w="90" w:type="dxa"/>
              <w:right w:w="90" w:type="dxa"/>
            </w:tcMar>
          </w:tcPr>
          <w:p>
            <w:pPr>
              <w:pStyle w:val="BDOITable"/>
            </w:pPr>
            <w:r>
              <w:rPr>
                <w:sz w:val="15"/>
              </w:rPr>
              <w:t>PR-DM-05, PR-DM-26, DMQ30, DMQ21, DMQ33</w:t>
            </w:r>
          </w:p>
        </w:tc>
        <w:tc>
          <w:tcPr>
            <w:tcW w:type="dxa" w:w="1425"/>
            <w:tcMar>
              <w:top w:w="50" w:type="dxa"/>
              <w:bottom w:w="50" w:type="dxa"/>
              <w:left w:w="90" w:type="dxa"/>
              <w:right w:w="90" w:type="dxa"/>
            </w:tcMar>
          </w:tcPr>
          <w:p>
            <w:pPr>
              <w:pStyle w:val="BDOITable"/>
            </w:pPr>
            <w:r>
              <w:rPr>
                <w:sz w:val="15"/>
              </w:rPr>
              <w:t>Program Manager; Head, Operations</w:t>
            </w:r>
          </w:p>
        </w:tc>
        <w:tc>
          <w:tcPr>
            <w:tcW w:type="dxa" w:w="1315"/>
            <w:tcMar>
              <w:top w:w="50" w:type="dxa"/>
              <w:bottom w:w="50" w:type="dxa"/>
              <w:left w:w="90" w:type="dxa"/>
              <w:right w:w="90" w:type="dxa"/>
            </w:tcMar>
          </w:tcPr>
          <w:p>
            <w:pPr>
              <w:pStyle w:val="BDOITable"/>
            </w:pPr>
            <w:r>
              <w:rPr>
                <w:sz w:val="15"/>
              </w:rPr>
              <w:t>M1 (16-Oct-2026) and M2 (30-Oct-2026)</w:t>
            </w:r>
          </w:p>
        </w:tc>
      </w:tr>
      <w:tr>
        <w:tc>
          <w:tcPr>
            <w:tcW w:type="dxa" w:w="767"/>
            <w:tcMar>
              <w:top w:w="50" w:type="dxa"/>
              <w:bottom w:w="50" w:type="dxa"/>
              <w:left w:w="90" w:type="dxa"/>
              <w:right w:w="90" w:type="dxa"/>
            </w:tcMar>
            <w:shd w:val="clear" w:color="auto" w:fill="E5F5FF"/>
          </w:tcPr>
          <w:p>
            <w:pPr>
              <w:pStyle w:val="BDOITable"/>
            </w:pPr>
            <w:r>
              <w:rPr>
                <w:sz w:val="15"/>
              </w:rPr>
              <w:t>DEC-04</w:t>
            </w:r>
          </w:p>
        </w:tc>
        <w:tc>
          <w:tcPr>
            <w:tcW w:type="dxa" w:w="1534"/>
            <w:tcMar>
              <w:top w:w="50" w:type="dxa"/>
              <w:bottom w:w="50" w:type="dxa"/>
              <w:left w:w="90" w:type="dxa"/>
              <w:right w:w="90" w:type="dxa"/>
            </w:tcMar>
            <w:shd w:val="clear" w:color="auto" w:fill="E5F5FF"/>
          </w:tcPr>
          <w:p>
            <w:pPr>
              <w:pStyle w:val="BDOITable"/>
            </w:pPr>
            <w:r>
              <w:rPr>
                <w:sz w:val="15"/>
              </w:rPr>
              <w:t>Access request stages</w:t>
            </w:r>
          </w:p>
        </w:tc>
        <w:tc>
          <w:tcPr>
            <w:tcW w:type="dxa" w:w="3507"/>
            <w:tcMar>
              <w:top w:w="50" w:type="dxa"/>
              <w:bottom w:w="50" w:type="dxa"/>
              <w:left w:w="90" w:type="dxa"/>
              <w:right w:w="90" w:type="dxa"/>
            </w:tcMar>
            <w:shd w:val="clear" w:color="auto" w:fill="E5F5FF"/>
          </w:tcPr>
          <w:p>
            <w:pPr>
              <w:pStyle w:val="BDOITable"/>
            </w:pPr>
            <w:r>
              <w:rPr>
                <w:sz w:val="15"/>
              </w:rPr>
              <w:t>Confirm the stage list of an access request (Draft, Pending approval, Second approval where needed, Approved; For implementation and Implemented for a group-profile request) and that the System Administrator implements every approved group-profile change.</w:t>
            </w:r>
          </w:p>
        </w:tc>
        <w:tc>
          <w:tcPr>
            <w:tcW w:type="dxa" w:w="1425"/>
            <w:tcMar>
              <w:top w:w="50" w:type="dxa"/>
              <w:bottom w:w="50" w:type="dxa"/>
              <w:left w:w="90" w:type="dxa"/>
              <w:right w:w="90" w:type="dxa"/>
            </w:tcMar>
            <w:shd w:val="clear" w:color="auto" w:fill="E5F5FF"/>
          </w:tcPr>
          <w:p>
            <w:pPr>
              <w:pStyle w:val="BDOITable"/>
            </w:pPr>
            <w:r>
              <w:rPr>
                <w:sz w:val="15"/>
              </w:rPr>
              <w:t>CLR-UA-18, CLR-UA-19, CLR-UA-12</w:t>
            </w:r>
          </w:p>
        </w:tc>
        <w:tc>
          <w:tcPr>
            <w:tcW w:type="dxa" w:w="1425"/>
            <w:tcMar>
              <w:top w:w="50" w:type="dxa"/>
              <w:bottom w:w="50" w:type="dxa"/>
              <w:left w:w="90" w:type="dxa"/>
              <w:right w:w="90" w:type="dxa"/>
            </w:tcMar>
            <w:shd w:val="clear" w:color="auto" w:fill="E5F5FF"/>
          </w:tcPr>
          <w:p>
            <w:pPr>
              <w:pStyle w:val="BDOITable"/>
            </w:pPr>
            <w:r>
              <w:rPr>
                <w:sz w:val="15"/>
              </w:rPr>
              <w:t>Business Administration; BDOI Information Security</w:t>
            </w:r>
          </w:p>
        </w:tc>
        <w:tc>
          <w:tcPr>
            <w:tcW w:type="dxa" w:w="1315"/>
            <w:tcMar>
              <w:top w:w="50" w:type="dxa"/>
              <w:bottom w:w="50" w:type="dxa"/>
              <w:left w:w="90" w:type="dxa"/>
              <w:right w:w="90" w:type="dxa"/>
            </w:tcMar>
            <w:shd w:val="clear" w:color="auto" w:fill="E5F5FF"/>
          </w:tcPr>
          <w:p>
            <w:pPr>
              <w:pStyle w:val="BDOITable"/>
            </w:pPr>
            <w:r>
              <w:rPr>
                <w:sz w:val="15"/>
              </w:rPr>
              <w:t>Sign-off of BRD-11 (1-Dec-2026)</w:t>
            </w:r>
          </w:p>
        </w:tc>
      </w:tr>
      <w:tr>
        <w:tc>
          <w:tcPr>
            <w:tcW w:type="dxa" w:w="767"/>
            <w:tcMar>
              <w:top w:w="50" w:type="dxa"/>
              <w:bottom w:w="50" w:type="dxa"/>
              <w:left w:w="90" w:type="dxa"/>
              <w:right w:w="90" w:type="dxa"/>
            </w:tcMar>
          </w:tcPr>
          <w:p>
            <w:pPr>
              <w:pStyle w:val="BDOITable"/>
            </w:pPr>
            <w:r>
              <w:rPr>
                <w:sz w:val="15"/>
              </w:rPr>
              <w:t>DEC-05</w:t>
            </w:r>
          </w:p>
        </w:tc>
        <w:tc>
          <w:tcPr>
            <w:tcW w:type="dxa" w:w="1534"/>
            <w:tcMar>
              <w:top w:w="50" w:type="dxa"/>
              <w:bottom w:w="50" w:type="dxa"/>
              <w:left w:w="90" w:type="dxa"/>
              <w:right w:w="90" w:type="dxa"/>
            </w:tcMar>
          </w:tcPr>
          <w:p>
            <w:pPr>
              <w:pStyle w:val="BDOITable"/>
            </w:pPr>
            <w:r>
              <w:rPr>
                <w:sz w:val="15"/>
              </w:rPr>
              <w:t>Directory sign-in and provisioning</w:t>
            </w:r>
          </w:p>
        </w:tc>
        <w:tc>
          <w:tcPr>
            <w:tcW w:type="dxa" w:w="3507"/>
            <w:tcMar>
              <w:top w:w="50" w:type="dxa"/>
              <w:bottom w:w="50" w:type="dxa"/>
              <w:left w:w="90" w:type="dxa"/>
              <w:right w:w="90" w:type="dxa"/>
            </w:tcMar>
          </w:tcPr>
          <w:p>
            <w:pPr>
              <w:pStyle w:val="BDOITable"/>
            </w:pPr>
            <w:r>
              <w:rPr>
                <w:sz w:val="15"/>
              </w:rPr>
              <w:t>Specify the EIAM sign-in (tenant, claims, session life) and choose the UIDM-ISC option: accounts only, accounts and roles, or aggregation only.</w:t>
            </w:r>
          </w:p>
        </w:tc>
        <w:tc>
          <w:tcPr>
            <w:tcW w:type="dxa" w:w="1425"/>
            <w:tcMar>
              <w:top w:w="50" w:type="dxa"/>
              <w:bottom w:w="50" w:type="dxa"/>
              <w:left w:w="90" w:type="dxa"/>
              <w:right w:w="90" w:type="dxa"/>
            </w:tcMar>
          </w:tcPr>
          <w:p>
            <w:pPr>
              <w:pStyle w:val="BDOITable"/>
            </w:pPr>
            <w:r>
              <w:rPr>
                <w:sz w:val="15"/>
              </w:rPr>
              <w:t>CLR-UA-01, CLR-UA-03, IQ04, IQ05</w:t>
            </w:r>
          </w:p>
        </w:tc>
        <w:tc>
          <w:tcPr>
            <w:tcW w:type="dxa" w:w="1425"/>
            <w:tcMar>
              <w:top w:w="50" w:type="dxa"/>
              <w:bottom w:w="50" w:type="dxa"/>
              <w:left w:w="90" w:type="dxa"/>
              <w:right w:w="90" w:type="dxa"/>
            </w:tcMar>
          </w:tcPr>
          <w:p>
            <w:pPr>
              <w:pStyle w:val="BDOITable"/>
            </w:pPr>
            <w:r>
              <w:rPr>
                <w:sz w:val="15"/>
              </w:rPr>
              <w:t>BDOI IT</w:t>
            </w:r>
          </w:p>
        </w:tc>
        <w:tc>
          <w:tcPr>
            <w:tcW w:type="dxa" w:w="1315"/>
            <w:tcMar>
              <w:top w:w="50" w:type="dxa"/>
              <w:bottom w:w="50" w:type="dxa"/>
              <w:left w:w="90" w:type="dxa"/>
              <w:right w:w="90" w:type="dxa"/>
            </w:tcMar>
          </w:tcPr>
          <w:p>
            <w:pPr>
              <w:pStyle w:val="BDOITable"/>
            </w:pPr>
            <w:r>
              <w:rPr>
                <w:sz w:val="15"/>
              </w:rPr>
              <w:t>Before SIT of the sign-in (Q1 2027)</w:t>
            </w:r>
          </w:p>
        </w:tc>
      </w:tr>
      <w:tr>
        <w:tc>
          <w:tcPr>
            <w:tcW w:type="dxa" w:w="767"/>
            <w:tcMar>
              <w:top w:w="50" w:type="dxa"/>
              <w:bottom w:w="50" w:type="dxa"/>
              <w:left w:w="90" w:type="dxa"/>
              <w:right w:w="90" w:type="dxa"/>
            </w:tcMar>
            <w:shd w:val="clear" w:color="auto" w:fill="E5F5FF"/>
          </w:tcPr>
          <w:p>
            <w:pPr>
              <w:pStyle w:val="BDOITable"/>
            </w:pPr>
            <w:r>
              <w:rPr>
                <w:sz w:val="15"/>
              </w:rPr>
              <w:t>DEC-06</w:t>
            </w:r>
          </w:p>
        </w:tc>
        <w:tc>
          <w:tcPr>
            <w:tcW w:type="dxa" w:w="1534"/>
            <w:tcMar>
              <w:top w:w="50" w:type="dxa"/>
              <w:bottom w:w="50" w:type="dxa"/>
              <w:left w:w="90" w:type="dxa"/>
              <w:right w:w="90" w:type="dxa"/>
            </w:tcMar>
            <w:shd w:val="clear" w:color="auto" w:fill="E5F5FF"/>
          </w:tcPr>
          <w:p>
            <w:pPr>
              <w:pStyle w:val="BDOITable"/>
            </w:pPr>
            <w:r>
              <w:rPr>
                <w:sz w:val="15"/>
              </w:rPr>
              <w:t>Security values: passwords, sessions, dormancy, working hours</w:t>
            </w:r>
          </w:p>
        </w:tc>
        <w:tc>
          <w:tcPr>
            <w:tcW w:type="dxa" w:w="3507"/>
            <w:tcMar>
              <w:top w:w="50" w:type="dxa"/>
              <w:bottom w:w="50" w:type="dxa"/>
              <w:left w:w="90" w:type="dxa"/>
              <w:right w:w="90" w:type="dxa"/>
            </w:tcMar>
            <w:shd w:val="clear" w:color="auto" w:fill="E5F5FF"/>
          </w:tcPr>
          <w:p>
            <w:pPr>
              <w:pStyle w:val="BDOITable"/>
            </w:pPr>
            <w:r>
              <w:rPr>
                <w:sz w:val="15"/>
              </w:rPr>
              <w:t>Confirm or change the security parameters of template CI-05, the dormancy period and notice, and whether public holidays count as out of hours.</w:t>
            </w:r>
          </w:p>
        </w:tc>
        <w:tc>
          <w:tcPr>
            <w:tcW w:type="dxa" w:w="1425"/>
            <w:tcMar>
              <w:top w:w="50" w:type="dxa"/>
              <w:bottom w:w="50" w:type="dxa"/>
              <w:left w:w="90" w:type="dxa"/>
              <w:right w:w="90" w:type="dxa"/>
            </w:tcMar>
            <w:shd w:val="clear" w:color="auto" w:fill="E5F5FF"/>
          </w:tcPr>
          <w:p>
            <w:pPr>
              <w:pStyle w:val="BDOITable"/>
            </w:pPr>
            <w:r>
              <w:rPr>
                <w:sz w:val="15"/>
              </w:rPr>
              <w:t>CLR-UA-08, CLR-UA-14, UQ07, UQ08</w:t>
            </w:r>
          </w:p>
        </w:tc>
        <w:tc>
          <w:tcPr>
            <w:tcW w:type="dxa" w:w="1425"/>
            <w:tcMar>
              <w:top w:w="50" w:type="dxa"/>
              <w:bottom w:w="50" w:type="dxa"/>
              <w:left w:w="90" w:type="dxa"/>
              <w:right w:w="90" w:type="dxa"/>
            </w:tcMar>
            <w:shd w:val="clear" w:color="auto" w:fill="E5F5FF"/>
          </w:tcPr>
          <w:p>
            <w:pPr>
              <w:pStyle w:val="BDOITable"/>
            </w:pPr>
            <w:r>
              <w:rPr>
                <w:sz w:val="15"/>
              </w:rPr>
              <w:t>BDOI Information Security</w:t>
            </w:r>
          </w:p>
        </w:tc>
        <w:tc>
          <w:tcPr>
            <w:tcW w:type="dxa" w:w="1315"/>
            <w:tcMar>
              <w:top w:w="50" w:type="dxa"/>
              <w:bottom w:w="50" w:type="dxa"/>
              <w:left w:w="90" w:type="dxa"/>
              <w:right w:w="90" w:type="dxa"/>
            </w:tcMar>
            <w:shd w:val="clear" w:color="auto" w:fill="E5F5FF"/>
          </w:tcPr>
          <w:p>
            <w:pPr>
              <w:pStyle w:val="BDOITable"/>
            </w:pPr>
            <w:r>
              <w:rPr>
                <w:sz w:val="15"/>
              </w:rPr>
              <w:t>D5 (16-Jul-2027)</w:t>
            </w:r>
          </w:p>
        </w:tc>
      </w:tr>
      <w:tr>
        <w:tc>
          <w:tcPr>
            <w:tcW w:type="dxa" w:w="767"/>
            <w:tcMar>
              <w:top w:w="50" w:type="dxa"/>
              <w:bottom w:w="50" w:type="dxa"/>
              <w:left w:w="90" w:type="dxa"/>
              <w:right w:w="90" w:type="dxa"/>
            </w:tcMar>
          </w:tcPr>
          <w:p>
            <w:pPr>
              <w:pStyle w:val="BDOITable"/>
            </w:pPr>
            <w:r>
              <w:rPr>
                <w:sz w:val="15"/>
              </w:rPr>
              <w:t>DEC-07</w:t>
            </w:r>
          </w:p>
        </w:tc>
        <w:tc>
          <w:tcPr>
            <w:tcW w:type="dxa" w:w="1534"/>
            <w:tcMar>
              <w:top w:w="50" w:type="dxa"/>
              <w:bottom w:w="50" w:type="dxa"/>
              <w:left w:w="90" w:type="dxa"/>
              <w:right w:w="90" w:type="dxa"/>
            </w:tcMar>
          </w:tcPr>
          <w:p>
            <w:pPr>
              <w:pStyle w:val="BDOITable"/>
            </w:pPr>
            <w:r>
              <w:rPr>
                <w:sz w:val="15"/>
              </w:rPr>
              <w:t>Business unit groups and user levels</w:t>
            </w:r>
          </w:p>
        </w:tc>
        <w:tc>
          <w:tcPr>
            <w:tcW w:type="dxa" w:w="3507"/>
            <w:tcMar>
              <w:top w:w="50" w:type="dxa"/>
              <w:bottom w:w="50" w:type="dxa"/>
              <w:left w:w="90" w:type="dxa"/>
              <w:right w:w="90" w:type="dxa"/>
            </w:tcMar>
          </w:tcPr>
          <w:p>
            <w:pPr>
              <w:pStyle w:val="BDOITable"/>
            </w:pPr>
            <w:r>
              <w:rPr>
                <w:sz w:val="15"/>
              </w:rPr>
              <w:t>Give the values of the two lists before the users are loaded.</w:t>
            </w:r>
          </w:p>
        </w:tc>
        <w:tc>
          <w:tcPr>
            <w:tcW w:type="dxa" w:w="1425"/>
            <w:tcMar>
              <w:top w:w="50" w:type="dxa"/>
              <w:bottom w:w="50" w:type="dxa"/>
              <w:left w:w="90" w:type="dxa"/>
              <w:right w:w="90" w:type="dxa"/>
            </w:tcMar>
          </w:tcPr>
          <w:p>
            <w:pPr>
              <w:pStyle w:val="BDOITable"/>
            </w:pPr>
            <w:r>
              <w:rPr>
                <w:sz w:val="15"/>
              </w:rPr>
              <w:t>CLR-UA-05, UQ05</w:t>
            </w:r>
          </w:p>
        </w:tc>
        <w:tc>
          <w:tcPr>
            <w:tcW w:type="dxa" w:w="1425"/>
            <w:tcMar>
              <w:top w:w="50" w:type="dxa"/>
              <w:bottom w:w="50" w:type="dxa"/>
              <w:left w:w="90" w:type="dxa"/>
              <w:right w:w="90" w:type="dxa"/>
            </w:tcMar>
          </w:tcPr>
          <w:p>
            <w:pPr>
              <w:pStyle w:val="BDOITable"/>
            </w:pPr>
            <w:r>
              <w:rPr>
                <w:sz w:val="15"/>
              </w:rPr>
              <w:t>Business Administration</w:t>
            </w:r>
          </w:p>
        </w:tc>
        <w:tc>
          <w:tcPr>
            <w:tcW w:type="dxa" w:w="1315"/>
            <w:tcMar>
              <w:top w:w="50" w:type="dxa"/>
              <w:bottom w:w="50" w:type="dxa"/>
              <w:left w:w="90" w:type="dxa"/>
              <w:right w:w="90" w:type="dxa"/>
            </w:tcMar>
          </w:tcPr>
          <w:p>
            <w:pPr>
              <w:pStyle w:val="BDOITable"/>
            </w:pPr>
            <w:r>
              <w:rPr>
                <w:sz w:val="15"/>
              </w:rPr>
              <w:t>D3 (9-Apr-2027)</w:t>
            </w:r>
          </w:p>
        </w:tc>
      </w:tr>
      <w:tr>
        <w:tc>
          <w:tcPr>
            <w:tcW w:type="dxa" w:w="767"/>
            <w:tcMar>
              <w:top w:w="50" w:type="dxa"/>
              <w:bottom w:w="50" w:type="dxa"/>
              <w:left w:w="90" w:type="dxa"/>
              <w:right w:w="90" w:type="dxa"/>
            </w:tcMar>
            <w:shd w:val="clear" w:color="auto" w:fill="E5F5FF"/>
          </w:tcPr>
          <w:p>
            <w:pPr>
              <w:pStyle w:val="BDOITable"/>
            </w:pPr>
            <w:r>
              <w:rPr>
                <w:sz w:val="15"/>
              </w:rPr>
              <w:t>DEC-08</w:t>
            </w:r>
          </w:p>
        </w:tc>
        <w:tc>
          <w:tcPr>
            <w:tcW w:type="dxa" w:w="1534"/>
            <w:tcMar>
              <w:top w:w="50" w:type="dxa"/>
              <w:bottom w:w="50" w:type="dxa"/>
              <w:left w:w="90" w:type="dxa"/>
              <w:right w:w="90" w:type="dxa"/>
            </w:tcMar>
            <w:shd w:val="clear" w:color="auto" w:fill="E5F5FF"/>
          </w:tcPr>
          <w:p>
            <w:pPr>
              <w:pStyle w:val="BDOITable"/>
            </w:pPr>
            <w:r>
              <w:rPr>
                <w:sz w:val="15"/>
              </w:rPr>
              <w:t>Package approval chain and ManCom quorum</w:t>
            </w:r>
          </w:p>
        </w:tc>
        <w:tc>
          <w:tcPr>
            <w:tcW w:type="dxa" w:w="3507"/>
            <w:tcMar>
              <w:top w:w="50" w:type="dxa"/>
              <w:bottom w:w="50" w:type="dxa"/>
              <w:left w:w="90" w:type="dxa"/>
              <w:right w:w="90" w:type="dxa"/>
            </w:tcMar>
            <w:shd w:val="clear" w:color="auto" w:fill="E5F5FF"/>
          </w:tcPr>
          <w:p>
            <w:pPr>
              <w:pStyle w:val="BDOITable"/>
            </w:pPr>
            <w:r>
              <w:rPr>
                <w:sz w:val="15"/>
              </w:rPr>
              <w:t>Confirm one Marketing approval by the TL, TH or UH (or give the chain by segment or amount) and that one ManCom member's sign-off completes the step (or give the quorum).</w:t>
            </w:r>
          </w:p>
        </w:tc>
        <w:tc>
          <w:tcPr>
            <w:tcW w:type="dxa" w:w="1425"/>
            <w:tcMar>
              <w:top w:w="50" w:type="dxa"/>
              <w:bottom w:w="50" w:type="dxa"/>
              <w:left w:w="90" w:type="dxa"/>
              <w:right w:w="90" w:type="dxa"/>
            </w:tcMar>
            <w:shd w:val="clear" w:color="auto" w:fill="E5F5FF"/>
          </w:tcPr>
          <w:p>
            <w:pPr>
              <w:pStyle w:val="BDOITable"/>
            </w:pPr>
            <w:r>
              <w:rPr>
                <w:sz w:val="15"/>
              </w:rPr>
              <w:t>CLR-PM-03, CLR-PM-05, PQ07, PQ08</w:t>
            </w:r>
          </w:p>
        </w:tc>
        <w:tc>
          <w:tcPr>
            <w:tcW w:type="dxa" w:w="1425"/>
            <w:tcMar>
              <w:top w:w="50" w:type="dxa"/>
              <w:bottom w:w="50" w:type="dxa"/>
              <w:left w:w="90" w:type="dxa"/>
              <w:right w:w="90" w:type="dxa"/>
            </w:tcMar>
            <w:shd w:val="clear" w:color="auto" w:fill="E5F5FF"/>
          </w:tcPr>
          <w:p>
            <w:pPr>
              <w:pStyle w:val="BDOITable"/>
            </w:pPr>
            <w:r>
              <w:rPr>
                <w:sz w:val="15"/>
              </w:rPr>
              <w:t>Product Owner, Marketing Business System</w:t>
            </w:r>
          </w:p>
        </w:tc>
        <w:tc>
          <w:tcPr>
            <w:tcW w:type="dxa" w:w="1315"/>
            <w:tcMar>
              <w:top w:w="50" w:type="dxa"/>
              <w:bottom w:w="50" w:type="dxa"/>
              <w:left w:w="90" w:type="dxa"/>
              <w:right w:w="90" w:type="dxa"/>
            </w:tcMar>
            <w:shd w:val="clear" w:color="auto" w:fill="E5F5FF"/>
          </w:tcPr>
          <w:p>
            <w:pPr>
              <w:pStyle w:val="BDOITable"/>
            </w:pPr>
            <w:r>
              <w:rPr>
                <w:sz w:val="15"/>
              </w:rPr>
              <w:t>Sign-off of BRD-03 (30-Nov-2026)</w:t>
            </w:r>
          </w:p>
        </w:tc>
      </w:tr>
      <w:tr>
        <w:tc>
          <w:tcPr>
            <w:tcW w:type="dxa" w:w="767"/>
            <w:tcMar>
              <w:top w:w="50" w:type="dxa"/>
              <w:bottom w:w="50" w:type="dxa"/>
              <w:left w:w="90" w:type="dxa"/>
              <w:right w:w="90" w:type="dxa"/>
            </w:tcMar>
          </w:tcPr>
          <w:p>
            <w:pPr>
              <w:pStyle w:val="BDOITable"/>
            </w:pPr>
            <w:r>
              <w:rPr>
                <w:sz w:val="15"/>
              </w:rPr>
              <w:t>DEC-09</w:t>
            </w:r>
          </w:p>
        </w:tc>
        <w:tc>
          <w:tcPr>
            <w:tcW w:type="dxa" w:w="1534"/>
            <w:tcMar>
              <w:top w:w="50" w:type="dxa"/>
              <w:bottom w:w="50" w:type="dxa"/>
              <w:left w:w="90" w:type="dxa"/>
              <w:right w:w="90" w:type="dxa"/>
            </w:tcMar>
          </w:tcPr>
          <w:p>
            <w:pPr>
              <w:pStyle w:val="BDOITable"/>
            </w:pPr>
            <w:r>
              <w:rPr>
                <w:sz w:val="15"/>
              </w:rPr>
              <w:t>Package documents and risk-code naming</w:t>
            </w:r>
          </w:p>
        </w:tc>
        <w:tc>
          <w:tcPr>
            <w:tcW w:type="dxa" w:w="3507"/>
            <w:tcMar>
              <w:top w:w="50" w:type="dxa"/>
              <w:bottom w:w="50" w:type="dxa"/>
              <w:left w:w="90" w:type="dxa"/>
              <w:right w:w="90" w:type="dxa"/>
            </w:tcMar>
          </w:tcPr>
          <w:p>
            <w:pPr>
              <w:pStyle w:val="BDOITable"/>
            </w:pPr>
            <w:r>
              <w:rPr>
                <w:sz w:val="15"/>
              </w:rPr>
              <w:t>Provide the layouts of the package documents and the risk-code naming convention of each product line.</w:t>
            </w:r>
          </w:p>
        </w:tc>
        <w:tc>
          <w:tcPr>
            <w:tcW w:type="dxa" w:w="1425"/>
            <w:tcMar>
              <w:top w:w="50" w:type="dxa"/>
              <w:bottom w:w="50" w:type="dxa"/>
              <w:left w:w="90" w:type="dxa"/>
              <w:right w:w="90" w:type="dxa"/>
            </w:tcMar>
          </w:tcPr>
          <w:p>
            <w:pPr>
              <w:pStyle w:val="BDOITable"/>
            </w:pPr>
            <w:r>
              <w:rPr>
                <w:sz w:val="15"/>
              </w:rPr>
              <w:t>CLR-PM-01, CLR-PM-02, PQ02</w:t>
            </w:r>
          </w:p>
        </w:tc>
        <w:tc>
          <w:tcPr>
            <w:tcW w:type="dxa" w:w="1425"/>
            <w:tcMar>
              <w:top w:w="50" w:type="dxa"/>
              <w:bottom w:w="50" w:type="dxa"/>
              <w:left w:w="90" w:type="dxa"/>
              <w:right w:w="90" w:type="dxa"/>
            </w:tcMar>
          </w:tcPr>
          <w:p>
            <w:pPr>
              <w:pStyle w:val="BDOITable"/>
            </w:pPr>
            <w:r>
              <w:rPr>
                <w:sz w:val="15"/>
              </w:rPr>
              <w:t>Product Owner, Marketing Business System; TSU</w:t>
            </w:r>
          </w:p>
        </w:tc>
        <w:tc>
          <w:tcPr>
            <w:tcW w:type="dxa" w:w="1315"/>
            <w:tcMar>
              <w:top w:w="50" w:type="dxa"/>
              <w:bottom w:w="50" w:type="dxa"/>
              <w:left w:w="90" w:type="dxa"/>
              <w:right w:w="90" w:type="dxa"/>
            </w:tcMar>
          </w:tcPr>
          <w:p>
            <w:pPr>
              <w:pStyle w:val="BDOITable"/>
            </w:pPr>
            <w:r>
              <w:rPr>
                <w:sz w:val="15"/>
              </w:rPr>
              <w:t>D5 (16-Jul-2027)</w:t>
            </w:r>
          </w:p>
        </w:tc>
      </w:tr>
      <w:tr>
        <w:tc>
          <w:tcPr>
            <w:tcW w:type="dxa" w:w="767"/>
            <w:tcMar>
              <w:top w:w="50" w:type="dxa"/>
              <w:bottom w:w="50" w:type="dxa"/>
              <w:left w:w="90" w:type="dxa"/>
              <w:right w:w="90" w:type="dxa"/>
            </w:tcMar>
            <w:shd w:val="clear" w:color="auto" w:fill="E5F5FF"/>
          </w:tcPr>
          <w:p>
            <w:pPr>
              <w:pStyle w:val="BDOITable"/>
            </w:pPr>
            <w:r>
              <w:rPr>
                <w:sz w:val="15"/>
              </w:rPr>
              <w:t>DEC-10</w:t>
            </w:r>
          </w:p>
        </w:tc>
        <w:tc>
          <w:tcPr>
            <w:tcW w:type="dxa" w:w="1534"/>
            <w:tcMar>
              <w:top w:w="50" w:type="dxa"/>
              <w:bottom w:w="50" w:type="dxa"/>
              <w:left w:w="90" w:type="dxa"/>
              <w:right w:w="90" w:type="dxa"/>
            </w:tcMar>
            <w:shd w:val="clear" w:color="auto" w:fill="E5F5FF"/>
          </w:tcPr>
          <w:p>
            <w:pPr>
              <w:pStyle w:val="BDOITable"/>
            </w:pPr>
            <w:r>
              <w:rPr>
                <w:sz w:val="15"/>
              </w:rPr>
              <w:t>Package remapping at Renewal sanitation</w:t>
            </w:r>
          </w:p>
        </w:tc>
        <w:tc>
          <w:tcPr>
            <w:tcW w:type="dxa" w:w="3507"/>
            <w:tcMar>
              <w:top w:w="50" w:type="dxa"/>
              <w:bottom w:w="50" w:type="dxa"/>
              <w:left w:w="90" w:type="dxa"/>
              <w:right w:w="90" w:type="dxa"/>
            </w:tcMar>
            <w:shd w:val="clear" w:color="auto" w:fill="E5F5FF"/>
          </w:tcPr>
          <w:p>
            <w:pPr>
              <w:pStyle w:val="BDOITable"/>
            </w:pPr>
            <w:r>
              <w:rPr>
                <w:sz w:val="15"/>
              </w:rPr>
              <w:t>Confirm the answer of 26-Sep-2026 and name the TSU preparer of the package code map (template CI-07, object R06).</w:t>
            </w:r>
          </w:p>
        </w:tc>
        <w:tc>
          <w:tcPr>
            <w:tcW w:type="dxa" w:w="1425"/>
            <w:tcMar>
              <w:top w:w="50" w:type="dxa"/>
              <w:bottom w:w="50" w:type="dxa"/>
              <w:left w:w="90" w:type="dxa"/>
              <w:right w:w="90" w:type="dxa"/>
            </w:tcMar>
            <w:shd w:val="clear" w:color="auto" w:fill="E5F5FF"/>
          </w:tcPr>
          <w:p>
            <w:pPr>
              <w:pStyle w:val="BDOITable"/>
            </w:pPr>
            <w:r>
              <w:rPr>
                <w:sz w:val="15"/>
              </w:rPr>
              <w:t>CLR-PM-14, PR-DM-24, DMQ36</w:t>
            </w:r>
          </w:p>
        </w:tc>
        <w:tc>
          <w:tcPr>
            <w:tcW w:type="dxa" w:w="1425"/>
            <w:tcMar>
              <w:top w:w="50" w:type="dxa"/>
              <w:bottom w:w="50" w:type="dxa"/>
              <w:left w:w="90" w:type="dxa"/>
              <w:right w:w="90" w:type="dxa"/>
            </w:tcMar>
            <w:shd w:val="clear" w:color="auto" w:fill="E5F5FF"/>
          </w:tcPr>
          <w:p>
            <w:pPr>
              <w:pStyle w:val="BDOITable"/>
            </w:pPr>
            <w:r>
              <w:rPr>
                <w:sz w:val="15"/>
              </w:rPr>
              <w:t>Product Owner, Marketing Business System; TSU</w:t>
            </w:r>
          </w:p>
        </w:tc>
        <w:tc>
          <w:tcPr>
            <w:tcW w:type="dxa" w:w="1315"/>
            <w:tcMar>
              <w:top w:w="50" w:type="dxa"/>
              <w:bottom w:w="50" w:type="dxa"/>
              <w:left w:w="90" w:type="dxa"/>
              <w:right w:w="90" w:type="dxa"/>
            </w:tcMar>
            <w:shd w:val="clear" w:color="auto" w:fill="E5F5FF"/>
          </w:tcPr>
          <w:p>
            <w:pPr>
              <w:pStyle w:val="BDOITable"/>
            </w:pPr>
            <w:r>
              <w:rPr>
                <w:sz w:val="15"/>
              </w:rPr>
              <w:t>M2 (30-Oct-2026)</w:t>
            </w:r>
          </w:p>
        </w:tc>
      </w:tr>
      <w:tr>
        <w:tc>
          <w:tcPr>
            <w:tcW w:type="dxa" w:w="767"/>
            <w:tcMar>
              <w:top w:w="50" w:type="dxa"/>
              <w:bottom w:w="50" w:type="dxa"/>
              <w:left w:w="90" w:type="dxa"/>
              <w:right w:w="90" w:type="dxa"/>
            </w:tcMar>
          </w:tcPr>
          <w:p>
            <w:pPr>
              <w:pStyle w:val="BDOITable"/>
            </w:pPr>
            <w:r>
              <w:rPr>
                <w:sz w:val="15"/>
              </w:rPr>
              <w:t>DEC-11</w:t>
            </w:r>
          </w:p>
        </w:tc>
        <w:tc>
          <w:tcPr>
            <w:tcW w:type="dxa" w:w="1534"/>
            <w:tcMar>
              <w:top w:w="50" w:type="dxa"/>
              <w:bottom w:w="50" w:type="dxa"/>
              <w:left w:w="90" w:type="dxa"/>
              <w:right w:w="90" w:type="dxa"/>
            </w:tcMar>
          </w:tcPr>
          <w:p>
            <w:pPr>
              <w:pStyle w:val="BDOITable"/>
            </w:pPr>
            <w:r>
              <w:rPr>
                <w:sz w:val="15"/>
              </w:rPr>
              <w:t>Client scope and matching</w:t>
            </w:r>
          </w:p>
        </w:tc>
        <w:tc>
          <w:tcPr>
            <w:tcW w:type="dxa" w:w="3507"/>
            <w:tcMar>
              <w:top w:w="50" w:type="dxa"/>
              <w:bottom w:w="50" w:type="dxa"/>
              <w:left w:w="90" w:type="dxa"/>
              <w:right w:w="90" w:type="dxa"/>
            </w:tcMar>
          </w:tcPr>
          <w:p>
            <w:pPr>
              <w:pStyle w:val="BDOITable"/>
            </w:pPr>
            <w:r>
              <w:rPr>
                <w:sz w:val="15"/>
              </w:rPr>
              <w:t>Confirm the clients migrated (from 2020 to present, plus older clients with in-force business), the daily batches up to the freeze, and the matching keys and thresholds.</w:t>
            </w:r>
          </w:p>
        </w:tc>
        <w:tc>
          <w:tcPr>
            <w:tcW w:type="dxa" w:w="1425"/>
            <w:tcMar>
              <w:top w:w="50" w:type="dxa"/>
              <w:bottom w:w="50" w:type="dxa"/>
              <w:left w:w="90" w:type="dxa"/>
              <w:right w:w="90" w:type="dxa"/>
            </w:tcMar>
          </w:tcPr>
          <w:p>
            <w:pPr>
              <w:pStyle w:val="BDOITable"/>
            </w:pPr>
            <w:r>
              <w:rPr>
                <w:sz w:val="15"/>
              </w:rPr>
              <w:t>PR-DM-08, PR-DM-09, DMQ04, DMQ05, DCR-173</w:t>
            </w:r>
          </w:p>
        </w:tc>
        <w:tc>
          <w:tcPr>
            <w:tcW w:type="dxa" w:w="1425"/>
            <w:tcMar>
              <w:top w:w="50" w:type="dxa"/>
              <w:bottom w:w="50" w:type="dxa"/>
              <w:left w:w="90" w:type="dxa"/>
              <w:right w:w="90" w:type="dxa"/>
            </w:tcMar>
          </w:tcPr>
          <w:p>
            <w:pPr>
              <w:pStyle w:val="BDOITable"/>
            </w:pPr>
            <w:r>
              <w:rPr>
                <w:sz w:val="15"/>
              </w:rPr>
              <w:t>Product Owner, Marketing Business System</w:t>
            </w:r>
          </w:p>
        </w:tc>
        <w:tc>
          <w:tcPr>
            <w:tcW w:type="dxa" w:w="1315"/>
            <w:tcMar>
              <w:top w:w="50" w:type="dxa"/>
              <w:bottom w:w="50" w:type="dxa"/>
              <w:left w:w="90" w:type="dxa"/>
              <w:right w:w="90" w:type="dxa"/>
            </w:tcMar>
          </w:tcPr>
          <w:p>
            <w:pPr>
              <w:pStyle w:val="BDOITable"/>
            </w:pPr>
            <w:r>
              <w:rPr>
                <w:sz w:val="15"/>
              </w:rPr>
              <w:t>M1 (16-Oct-2026)</w:t>
            </w:r>
          </w:p>
        </w:tc>
      </w:tr>
      <w:tr>
        <w:tc>
          <w:tcPr>
            <w:tcW w:type="dxa" w:w="767"/>
            <w:tcMar>
              <w:top w:w="50" w:type="dxa"/>
              <w:bottom w:w="50" w:type="dxa"/>
              <w:left w:w="90" w:type="dxa"/>
              <w:right w:w="90" w:type="dxa"/>
            </w:tcMar>
            <w:shd w:val="clear" w:color="auto" w:fill="E5F5FF"/>
          </w:tcPr>
          <w:p>
            <w:pPr>
              <w:pStyle w:val="BDOITable"/>
            </w:pPr>
            <w:r>
              <w:rPr>
                <w:sz w:val="15"/>
              </w:rPr>
              <w:t>DEC-12</w:t>
            </w:r>
          </w:p>
        </w:tc>
        <w:tc>
          <w:tcPr>
            <w:tcW w:type="dxa" w:w="1534"/>
            <w:tcMar>
              <w:top w:w="50" w:type="dxa"/>
              <w:bottom w:w="50" w:type="dxa"/>
              <w:left w:w="90" w:type="dxa"/>
              <w:right w:w="90" w:type="dxa"/>
            </w:tcMar>
            <w:shd w:val="clear" w:color="auto" w:fill="E5F5FF"/>
          </w:tcPr>
          <w:p>
            <w:pPr>
              <w:pStyle w:val="BDOITable"/>
            </w:pPr>
            <w:r>
              <w:rPr>
                <w:sz w:val="15"/>
              </w:rPr>
              <w:t>In-force policy headers and legacy invoices</w:t>
            </w:r>
          </w:p>
        </w:tc>
        <w:tc>
          <w:tcPr>
            <w:tcW w:type="dxa" w:w="3507"/>
            <w:tcMar>
              <w:top w:w="50" w:type="dxa"/>
              <w:bottom w:w="50" w:type="dxa"/>
              <w:left w:w="90" w:type="dxa"/>
              <w:right w:w="90" w:type="dxa"/>
            </w:tcMar>
            <w:shd w:val="clear" w:color="auto" w:fill="E5F5FF"/>
          </w:tcPr>
          <w:p>
            <w:pPr>
              <w:pStyle w:val="BDOITable"/>
            </w:pPr>
            <w:r>
              <w:rPr>
                <w:sz w:val="15"/>
              </w:rPr>
              <w:t>Confirm the header scope and the treatment of a legacy invoice (not re-booked; processed like a BIBS invoice on the legacy control accounts).</w:t>
            </w:r>
          </w:p>
        </w:tc>
        <w:tc>
          <w:tcPr>
            <w:tcW w:type="dxa" w:w="1425"/>
            <w:tcMar>
              <w:top w:w="50" w:type="dxa"/>
              <w:bottom w:w="50" w:type="dxa"/>
              <w:left w:w="90" w:type="dxa"/>
              <w:right w:w="90" w:type="dxa"/>
            </w:tcMar>
            <w:shd w:val="clear" w:color="auto" w:fill="E5F5FF"/>
          </w:tcPr>
          <w:p>
            <w:pPr>
              <w:pStyle w:val="BDOITable"/>
            </w:pPr>
            <w:r>
              <w:rPr>
                <w:sz w:val="15"/>
              </w:rPr>
              <w:t>PR-DM-11, PR-DM-23, DMQ09, DMQ10</w:t>
            </w:r>
          </w:p>
        </w:tc>
        <w:tc>
          <w:tcPr>
            <w:tcW w:type="dxa" w:w="1425"/>
            <w:tcMar>
              <w:top w:w="50" w:type="dxa"/>
              <w:bottom w:w="50" w:type="dxa"/>
              <w:left w:w="90" w:type="dxa"/>
              <w:right w:w="90" w:type="dxa"/>
            </w:tcMar>
            <w:shd w:val="clear" w:color="auto" w:fill="E5F5FF"/>
          </w:tcPr>
          <w:p>
            <w:pPr>
              <w:pStyle w:val="BDOITable"/>
            </w:pPr>
            <w:r>
              <w:rPr>
                <w:sz w:val="15"/>
              </w:rPr>
              <w:t>Head, Operations; Head, Comptrollership</w:t>
            </w:r>
          </w:p>
        </w:tc>
        <w:tc>
          <w:tcPr>
            <w:tcW w:type="dxa" w:w="1315"/>
            <w:tcMar>
              <w:top w:w="50" w:type="dxa"/>
              <w:bottom w:w="50" w:type="dxa"/>
              <w:left w:w="90" w:type="dxa"/>
              <w:right w:w="90" w:type="dxa"/>
            </w:tcMar>
            <w:shd w:val="clear" w:color="auto" w:fill="E5F5FF"/>
          </w:tcPr>
          <w:p>
            <w:pPr>
              <w:pStyle w:val="BDOITable"/>
            </w:pPr>
            <w:r>
              <w:rPr>
                <w:sz w:val="15"/>
              </w:rPr>
              <w:t>M1 (16-Oct-2026)</w:t>
            </w:r>
          </w:p>
        </w:tc>
      </w:tr>
      <w:tr>
        <w:tc>
          <w:tcPr>
            <w:tcW w:type="dxa" w:w="767"/>
            <w:tcMar>
              <w:top w:w="50" w:type="dxa"/>
              <w:bottom w:w="50" w:type="dxa"/>
              <w:left w:w="90" w:type="dxa"/>
              <w:right w:w="90" w:type="dxa"/>
            </w:tcMar>
          </w:tcPr>
          <w:p>
            <w:pPr>
              <w:pStyle w:val="BDOITable"/>
            </w:pPr>
            <w:r>
              <w:rPr>
                <w:sz w:val="15"/>
              </w:rPr>
              <w:t>DEC-13</w:t>
            </w:r>
          </w:p>
        </w:tc>
        <w:tc>
          <w:tcPr>
            <w:tcW w:type="dxa" w:w="1534"/>
            <w:tcMar>
              <w:top w:w="50" w:type="dxa"/>
              <w:bottom w:w="50" w:type="dxa"/>
              <w:left w:w="90" w:type="dxa"/>
              <w:right w:w="90" w:type="dxa"/>
            </w:tcMar>
          </w:tcPr>
          <w:p>
            <w:pPr>
              <w:pStyle w:val="BDOITable"/>
            </w:pPr>
            <w:r>
              <w:rPr>
                <w:sz w:val="15"/>
              </w:rPr>
              <w:t>Point of no return</w:t>
            </w:r>
          </w:p>
        </w:tc>
        <w:tc>
          <w:tcPr>
            <w:tcW w:type="dxa" w:w="3507"/>
            <w:tcMar>
              <w:top w:w="50" w:type="dxa"/>
              <w:bottom w:w="50" w:type="dxa"/>
              <w:left w:w="90" w:type="dxa"/>
              <w:right w:w="90" w:type="dxa"/>
            </w:tcMar>
          </w:tcPr>
          <w:p>
            <w:pPr>
              <w:pStyle w:val="BDOITable"/>
            </w:pPr>
            <w:r>
              <w:rPr>
                <w:sz w:val="15"/>
              </w:rPr>
              <w:t>Confirm the end of the first business day as the point of no return and who decides a rollback.</w:t>
            </w:r>
          </w:p>
        </w:tc>
        <w:tc>
          <w:tcPr>
            <w:tcW w:type="dxa" w:w="1425"/>
            <w:tcMar>
              <w:top w:w="50" w:type="dxa"/>
              <w:bottom w:w="50" w:type="dxa"/>
              <w:left w:w="90" w:type="dxa"/>
              <w:right w:w="90" w:type="dxa"/>
            </w:tcMar>
          </w:tcPr>
          <w:p>
            <w:pPr>
              <w:pStyle w:val="BDOITable"/>
            </w:pPr>
            <w:r>
              <w:rPr>
                <w:sz w:val="15"/>
              </w:rPr>
              <w:t>PR-DM-16, DMQ32</w:t>
            </w:r>
          </w:p>
        </w:tc>
        <w:tc>
          <w:tcPr>
            <w:tcW w:type="dxa" w:w="1425"/>
            <w:tcMar>
              <w:top w:w="50" w:type="dxa"/>
              <w:bottom w:w="50" w:type="dxa"/>
              <w:left w:w="90" w:type="dxa"/>
              <w:right w:w="90" w:type="dxa"/>
            </w:tcMar>
          </w:tcPr>
          <w:p>
            <w:pPr>
              <w:pStyle w:val="BDOITable"/>
            </w:pPr>
            <w:r>
              <w:rPr>
                <w:sz w:val="15"/>
              </w:rPr>
              <w:t>Program Manager</w:t>
            </w:r>
          </w:p>
        </w:tc>
        <w:tc>
          <w:tcPr>
            <w:tcW w:type="dxa" w:w="1315"/>
            <w:tcMar>
              <w:top w:w="50" w:type="dxa"/>
              <w:bottom w:w="50" w:type="dxa"/>
              <w:left w:w="90" w:type="dxa"/>
              <w:right w:w="90" w:type="dxa"/>
            </w:tcMar>
          </w:tcPr>
          <w:p>
            <w:pPr>
              <w:pStyle w:val="BDOITable"/>
            </w:pPr>
            <w:r>
              <w:rPr>
                <w:sz w:val="15"/>
              </w:rPr>
              <w:t>M6 (1-Oct-2027)</w:t>
            </w:r>
          </w:p>
        </w:tc>
      </w:tr>
      <w:tr>
        <w:tc>
          <w:tcPr>
            <w:tcW w:type="dxa" w:w="767"/>
            <w:tcMar>
              <w:top w:w="50" w:type="dxa"/>
              <w:bottom w:w="50" w:type="dxa"/>
              <w:left w:w="90" w:type="dxa"/>
              <w:right w:w="90" w:type="dxa"/>
            </w:tcMar>
            <w:shd w:val="clear" w:color="auto" w:fill="E5F5FF"/>
          </w:tcPr>
          <w:p>
            <w:pPr>
              <w:pStyle w:val="BDOITable"/>
            </w:pPr>
            <w:r>
              <w:rPr>
                <w:sz w:val="15"/>
              </w:rPr>
              <w:t>DEC-14</w:t>
            </w:r>
          </w:p>
        </w:tc>
        <w:tc>
          <w:tcPr>
            <w:tcW w:type="dxa" w:w="1534"/>
            <w:tcMar>
              <w:top w:w="50" w:type="dxa"/>
              <w:bottom w:w="50" w:type="dxa"/>
              <w:left w:w="90" w:type="dxa"/>
              <w:right w:w="90" w:type="dxa"/>
            </w:tcMar>
            <w:shd w:val="clear" w:color="auto" w:fill="E5F5FF"/>
          </w:tcPr>
          <w:p>
            <w:pPr>
              <w:pStyle w:val="BDOITable"/>
            </w:pPr>
            <w:r>
              <w:rPr>
                <w:sz w:val="15"/>
              </w:rPr>
              <w:t>Advisory recipients and alert channel</w:t>
            </w:r>
          </w:p>
        </w:tc>
        <w:tc>
          <w:tcPr>
            <w:tcW w:type="dxa" w:w="3507"/>
            <w:tcMar>
              <w:top w:w="50" w:type="dxa"/>
              <w:bottom w:w="50" w:type="dxa"/>
              <w:left w:w="90" w:type="dxa"/>
              <w:right w:w="90" w:type="dxa"/>
            </w:tcMar>
            <w:shd w:val="clear" w:color="auto" w:fill="E5F5FF"/>
          </w:tcPr>
          <w:p>
            <w:pPr>
              <w:pStyle w:val="BDOITable"/>
            </w:pPr>
            <w:r>
              <w:rPr>
                <w:sz w:val="15"/>
              </w:rPr>
              <w:t>Name the recipient units of package advisories and confirm in-app notices to TSU and MBS for the expiry and incentive alerts (sheet Notifications).</w:t>
            </w:r>
          </w:p>
        </w:tc>
        <w:tc>
          <w:tcPr>
            <w:tcW w:type="dxa" w:w="1425"/>
            <w:tcMar>
              <w:top w:w="50" w:type="dxa"/>
              <w:bottom w:w="50" w:type="dxa"/>
              <w:left w:w="90" w:type="dxa"/>
              <w:right w:w="90" w:type="dxa"/>
            </w:tcMar>
            <w:shd w:val="clear" w:color="auto" w:fill="E5F5FF"/>
          </w:tcPr>
          <w:p>
            <w:pPr>
              <w:pStyle w:val="BDOITable"/>
            </w:pPr>
            <w:r>
              <w:rPr>
                <w:sz w:val="15"/>
              </w:rPr>
              <w:t>CLR-PM-06, CLR-PM-07, PQ12</w:t>
            </w:r>
          </w:p>
        </w:tc>
        <w:tc>
          <w:tcPr>
            <w:tcW w:type="dxa" w:w="1425"/>
            <w:tcMar>
              <w:top w:w="50" w:type="dxa"/>
              <w:bottom w:w="50" w:type="dxa"/>
              <w:left w:w="90" w:type="dxa"/>
              <w:right w:w="90" w:type="dxa"/>
            </w:tcMar>
            <w:shd w:val="clear" w:color="auto" w:fill="E5F5FF"/>
          </w:tcPr>
          <w:p>
            <w:pPr>
              <w:pStyle w:val="BDOITable"/>
            </w:pPr>
            <w:r>
              <w:rPr>
                <w:sz w:val="15"/>
              </w:rPr>
              <w:t>Product Owner, Marketing Business System</w:t>
            </w:r>
          </w:p>
        </w:tc>
        <w:tc>
          <w:tcPr>
            <w:tcW w:type="dxa" w:w="1315"/>
            <w:tcMar>
              <w:top w:w="50" w:type="dxa"/>
              <w:bottom w:w="50" w:type="dxa"/>
              <w:left w:w="90" w:type="dxa"/>
              <w:right w:w="90" w:type="dxa"/>
            </w:tcMar>
            <w:shd w:val="clear" w:color="auto" w:fill="E5F5FF"/>
          </w:tcPr>
          <w:p>
            <w:pPr>
              <w:pStyle w:val="BDOITable"/>
            </w:pPr>
            <w:r>
              <w:rPr>
                <w:sz w:val="15"/>
              </w:rPr>
              <w:t>D5 (16-Jul-2027)</w:t>
            </w:r>
          </w:p>
        </w:tc>
      </w:tr>
      <w:tr>
        <w:tc>
          <w:tcPr>
            <w:tcW w:type="dxa" w:w="767"/>
            <w:tcMar>
              <w:top w:w="50" w:type="dxa"/>
              <w:bottom w:w="50" w:type="dxa"/>
              <w:left w:w="90" w:type="dxa"/>
              <w:right w:w="90" w:type="dxa"/>
            </w:tcMar>
          </w:tcPr>
          <w:p>
            <w:pPr>
              <w:pStyle w:val="BDOITable"/>
            </w:pPr>
            <w:r>
              <w:rPr>
                <w:sz w:val="15"/>
              </w:rPr>
              <w:t>DEC-15</w:t>
            </w:r>
          </w:p>
        </w:tc>
        <w:tc>
          <w:tcPr>
            <w:tcW w:type="dxa" w:w="1534"/>
            <w:tcMar>
              <w:top w:w="50" w:type="dxa"/>
              <w:bottom w:w="50" w:type="dxa"/>
              <w:left w:w="90" w:type="dxa"/>
              <w:right w:w="90" w:type="dxa"/>
            </w:tcMar>
          </w:tcPr>
          <w:p>
            <w:pPr>
              <w:pStyle w:val="BDOITable"/>
            </w:pPr>
            <w:r>
              <w:rPr>
                <w:sz w:val="15"/>
              </w:rPr>
              <w:t>Full status labels</w:t>
            </w:r>
          </w:p>
        </w:tc>
        <w:tc>
          <w:tcPr>
            <w:tcW w:type="dxa" w:w="3507"/>
            <w:tcMar>
              <w:top w:w="50" w:type="dxa"/>
              <w:bottom w:w="50" w:type="dxa"/>
              <w:left w:w="90" w:type="dxa"/>
              <w:right w:w="90" w:type="dxa"/>
            </w:tcMar>
          </w:tcPr>
          <w:p>
            <w:pPr>
              <w:pStyle w:val="BDOITable"/>
            </w:pPr>
            <w:r>
              <w:rPr>
                <w:sz w:val="15"/>
              </w:rPr>
              <w:t>Confirm full stage and status labels on the screens, with the short forms of the labels above 21 characters.</w:t>
            </w:r>
          </w:p>
        </w:tc>
        <w:tc>
          <w:tcPr>
            <w:tcW w:type="dxa" w:w="1425"/>
            <w:tcMar>
              <w:top w:w="50" w:type="dxa"/>
              <w:bottom w:w="50" w:type="dxa"/>
              <w:left w:w="90" w:type="dxa"/>
              <w:right w:w="90" w:type="dxa"/>
            </w:tcMar>
          </w:tcPr>
          <w:p>
            <w:pPr>
              <w:pStyle w:val="BDOITable"/>
            </w:pPr>
            <w:r>
              <w:rPr>
                <w:sz w:val="15"/>
              </w:rPr>
              <w:t>CLR-PM-20, CLR-UA-20</w:t>
            </w:r>
          </w:p>
        </w:tc>
        <w:tc>
          <w:tcPr>
            <w:tcW w:type="dxa" w:w="1425"/>
            <w:tcMar>
              <w:top w:w="50" w:type="dxa"/>
              <w:bottom w:w="50" w:type="dxa"/>
              <w:left w:w="90" w:type="dxa"/>
              <w:right w:w="90" w:type="dxa"/>
            </w:tcMar>
          </w:tcPr>
          <w:p>
            <w:pPr>
              <w:pStyle w:val="BDOITable"/>
            </w:pPr>
            <w:r>
              <w:rPr>
                <w:sz w:val="15"/>
              </w:rPr>
              <w:t>Business owners of BRD-03 and BRD-11</w:t>
            </w:r>
          </w:p>
        </w:tc>
        <w:tc>
          <w:tcPr>
            <w:tcW w:type="dxa" w:w="1315"/>
            <w:tcMar>
              <w:top w:w="50" w:type="dxa"/>
              <w:bottom w:w="50" w:type="dxa"/>
              <w:left w:w="90" w:type="dxa"/>
              <w:right w:w="90" w:type="dxa"/>
            </w:tcMar>
          </w:tcPr>
          <w:p>
            <w:pPr>
              <w:pStyle w:val="BDOITable"/>
            </w:pPr>
            <w:r>
              <w:rPr>
                <w:sz w:val="15"/>
              </w:rPr>
              <w:t>Sign-off of each set</w:t>
            </w:r>
          </w:p>
        </w:tc>
      </w:tr>
    </w:tbl>
    <w:p>
      <w:pPr>
        <w:pStyle w:val="BDOISpacer"/>
      </w:pPr>
    </w:p>
    <w:p>
      <w:pPr>
        <w:pStyle w:val="Heading1"/>
        <w:pageBreakBefore/>
        <w:pBdr>
          <w:bottom w:val="single" w:sz="4" w:space="4" w:color="99C1E7"/>
        </w:pBdr>
      </w:pPr>
      <w:bookmarkStart w:id="106" w:name="_Toc000106"/>
      <w:r>
        <w:rPr/>
        <w:t>6 Configuration inputs</w:t>
      </w:r>
      <w:bookmarkEnd w:id="106"/>
    </w:p>
    <w:p>
      <w:r>
        <w:rPr/>
        <w:t>The workbook has one register row per configuration input, grouped in twelve areas: organisation; chart of accounts and accounting; banks and bank accounts; document numbering; lists of values; system and security parameters; notifications and documents; products and packages; insurers and partners; users, roles and approvals; module rules and set-up; data migration reference data. Each row has one route:</w:t>
      </w:r>
    </w:p>
    <w:p>
      <w:pPr>
        <w:tabs>
          <w:tab w:pos="312" w:val="left"/>
        </w:tabs>
        <w:spacing w:after="40"/>
        <w:ind w:left="312" w:hanging="283"/>
      </w:pPr>
      <w:r>
        <w:rPr>
          <w:color w:val="004EA8"/>
        </w:rPr>
        <w:t>•</w:t>
        <w:tab/>
      </w:r>
      <w:r>
        <w:rPr>
          <w:b/>
        </w:rPr>
        <w:t>Template</w:t>
      </w:r>
      <w:r>
        <w:rPr/>
        <w:t>: the owner fills the template sheet named in the row; the rows are entered or uploaded on the named screen and authorised by a second user. The workbook holds the templates CI-01 to CI-10 of BRD-03 and CI-01 to CI-06 of BRD-11, taken from the same sources as their sets, and the fifteen Drop 0 templates D0-01 to D0-15 for the company, branches, holidays, dimensions, employees, chart of accounts, categories and numbering, accounting rules, legacy accounts, tax codes, bank accounts, check books, petty cash, statement layouts and approval limits.</w:t>
      </w:r>
    </w:p>
    <w:p>
      <w:pPr>
        <w:tabs>
          <w:tab w:pos="312" w:val="left"/>
        </w:tabs>
        <w:spacing w:after="40"/>
        <w:ind w:left="312" w:hanging="283"/>
      </w:pPr>
      <w:r>
        <w:rPr>
          <w:color w:val="004EA8"/>
        </w:rPr>
        <w:t>•</w:t>
        <w:tab/>
      </w:r>
      <w:r>
        <w:rPr>
          <w:b/>
        </w:rPr>
        <w:t>Screen</w:t>
      </w:r>
      <w:r>
        <w:rPr/>
        <w:t>: the owner enters the item directly on the named screen and records the decision in the register.</w:t>
      </w:r>
    </w:p>
    <w:p>
      <w:pPr>
        <w:tabs>
          <w:tab w:pos="312" w:val="left"/>
        </w:tabs>
        <w:spacing w:after="120"/>
        <w:ind w:left="312" w:hanging="283"/>
      </w:pPr>
      <w:r>
        <w:rPr>
          <w:color w:val="004EA8"/>
        </w:rPr>
        <w:t>•</w:t>
        <w:tab/>
      </w:r>
      <w:r>
        <w:rPr>
          <w:b/>
        </w:rPr>
        <w:t>Migration object</w:t>
      </w:r>
      <w:r>
        <w:rPr/>
        <w:t>: the item is extracted from the legacy systems and loaded by the named object of the Migration Workbook of BRD-13. It is not typed in the configuration workbook; the sheet Migration cross-reference names the object of every such item, so that no item reaches BIBS twice.</w:t>
      </w:r>
    </w:p>
    <w:p>
      <w:pPr>
        <w:pStyle w:val="Caption"/>
        <w:keepNext/>
        <w:spacing w:after="60"/>
      </w:pPr>
      <w:r>
        <w:rPr>
          <w:b/>
          <w:i w:val="0"/>
        </w:rPr>
        <w:t xml:space="preserve">Table 4: </w:t>
      </w:r>
      <w:r>
        <w:rPr/>
        <w:t>Register items per area and route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55"/>
        <w:gridCol w:w="1424"/>
        <w:gridCol w:w="1424"/>
        <w:gridCol w:w="1780"/>
        <w:gridCol w:w="1187"/>
      </w:tblGrid>
      <w:tr>
        <w:trPr>
          <w:tblHeader w:val="true"/>
          <w:cantSplit w:val="true"/>
        </w:trPr>
        <w:tc>
          <w:tcPr>
            <w:tcW w:type="dxa" w:w="4155"/>
            <w:shd w:val="clear" w:color="auto" w:fill="004EA8"/>
            <w:tcMar>
              <w:top w:w="50" w:type="dxa"/>
              <w:bottom w:w="50" w:type="dxa"/>
              <w:left w:w="90" w:type="dxa"/>
              <w:right w:w="90" w:type="dxa"/>
            </w:tcMar>
            <w:vAlign w:val="center"/>
          </w:tcPr>
          <w:p>
            <w:pPr>
              <w:pStyle w:val="BDOITableHeader"/>
            </w:pPr>
            <w:r>
              <w:rPr>
                <w:b/>
                <w:color w:val="FFFFFF"/>
                <w:sz w:val="17"/>
              </w:rPr>
              <w:t>Area</w:t>
            </w:r>
          </w:p>
        </w:tc>
        <w:tc>
          <w:tcPr>
            <w:tcW w:type="dxa" w:w="1425"/>
            <w:shd w:val="clear" w:color="auto" w:fill="004EA8"/>
            <w:tcMar>
              <w:top w:w="50" w:type="dxa"/>
              <w:bottom w:w="50" w:type="dxa"/>
              <w:left w:w="90" w:type="dxa"/>
              <w:right w:w="90" w:type="dxa"/>
            </w:tcMar>
            <w:vAlign w:val="center"/>
          </w:tcPr>
          <w:p>
            <w:pPr>
              <w:pStyle w:val="BDOITableHeader"/>
            </w:pPr>
            <w:r>
              <w:rPr>
                <w:b/>
                <w:color w:val="FFFFFF"/>
                <w:sz w:val="17"/>
              </w:rPr>
              <w:t>Template</w:t>
            </w:r>
          </w:p>
        </w:tc>
        <w:tc>
          <w:tcPr>
            <w:tcW w:type="dxa" w:w="1425"/>
            <w:shd w:val="clear" w:color="auto" w:fill="004EA8"/>
            <w:tcMar>
              <w:top w:w="50" w:type="dxa"/>
              <w:bottom w:w="50" w:type="dxa"/>
              <w:left w:w="90" w:type="dxa"/>
              <w:right w:w="90" w:type="dxa"/>
            </w:tcMar>
            <w:vAlign w:val="center"/>
          </w:tcPr>
          <w:p>
            <w:pPr>
              <w:pStyle w:val="BDOITableHeader"/>
            </w:pPr>
            <w:r>
              <w:rPr>
                <w:b/>
                <w:color w:val="FFFFFF"/>
                <w:sz w:val="17"/>
              </w:rPr>
              <w:t>Screen</w:t>
            </w:r>
          </w:p>
        </w:tc>
        <w:tc>
          <w:tcPr>
            <w:tcW w:type="dxa" w:w="1781"/>
            <w:shd w:val="clear" w:color="auto" w:fill="004EA8"/>
            <w:tcMar>
              <w:top w:w="50" w:type="dxa"/>
              <w:bottom w:w="50" w:type="dxa"/>
              <w:left w:w="90" w:type="dxa"/>
              <w:right w:w="90" w:type="dxa"/>
            </w:tcMar>
            <w:vAlign w:val="center"/>
          </w:tcPr>
          <w:p>
            <w:pPr>
              <w:pStyle w:val="BDOITableHeader"/>
            </w:pPr>
            <w:r>
              <w:rPr>
                <w:b/>
                <w:color w:val="FFFFFF"/>
                <w:sz w:val="17"/>
              </w:rPr>
              <w:t>Migration object</w:t>
            </w:r>
          </w:p>
        </w:tc>
        <w:tc>
          <w:tcPr>
            <w:tcW w:type="dxa" w:w="1187"/>
            <w:shd w:val="clear" w:color="auto" w:fill="004EA8"/>
            <w:tcMar>
              <w:top w:w="50" w:type="dxa"/>
              <w:bottom w:w="50" w:type="dxa"/>
              <w:left w:w="90" w:type="dxa"/>
              <w:right w:w="90" w:type="dxa"/>
            </w:tcMar>
            <w:vAlign w:val="center"/>
          </w:tcPr>
          <w:p>
            <w:pPr>
              <w:pStyle w:val="BDOITableHeader"/>
            </w:pPr>
            <w:r>
              <w:rPr>
                <w:b/>
                <w:color w:val="FFFFFF"/>
                <w:sz w:val="17"/>
              </w:rPr>
              <w:t>Items</w:t>
            </w:r>
          </w:p>
        </w:tc>
      </w:tr>
      <w:tr>
        <w:trPr>
          <w:cantSplit w:val="true"/>
        </w:trPr>
        <w:tc>
          <w:tcPr>
            <w:tcW w:type="dxa" w:w="4155"/>
            <w:tcMar>
              <w:top w:w="50" w:type="dxa"/>
              <w:bottom w:w="50" w:type="dxa"/>
              <w:left w:w="90" w:type="dxa"/>
              <w:right w:w="90" w:type="dxa"/>
            </w:tcMar>
          </w:tcPr>
          <w:p>
            <w:pPr>
              <w:pStyle w:val="BDOITable"/>
            </w:pPr>
            <w:r>
              <w:rPr>
                <w:sz w:val="17"/>
              </w:rPr>
              <w:t>Organisation</w:t>
            </w:r>
          </w:p>
        </w:tc>
        <w:tc>
          <w:tcPr>
            <w:tcW w:type="dxa" w:w="1425"/>
            <w:tcMar>
              <w:top w:w="50" w:type="dxa"/>
              <w:bottom w:w="50" w:type="dxa"/>
              <w:left w:w="90" w:type="dxa"/>
              <w:right w:w="90" w:type="dxa"/>
            </w:tcMar>
          </w:tcPr>
          <w:p>
            <w:pPr>
              <w:pStyle w:val="BDOITable"/>
              <w:jc w:val="center"/>
            </w:pPr>
            <w:r>
              <w:rPr>
                <w:sz w:val="17"/>
              </w:rPr>
              <w:t>5</w:t>
            </w:r>
          </w:p>
        </w:tc>
        <w:tc>
          <w:tcPr>
            <w:tcW w:type="dxa" w:w="1425"/>
            <w:tcMar>
              <w:top w:w="50" w:type="dxa"/>
              <w:bottom w:w="50" w:type="dxa"/>
              <w:left w:w="90" w:type="dxa"/>
              <w:right w:w="90" w:type="dxa"/>
            </w:tcMar>
          </w:tcPr>
          <w:p>
            <w:pPr>
              <w:pStyle w:val="BDOITable"/>
              <w:jc w:val="center"/>
            </w:pPr>
            <w:r>
              <w:rPr>
                <w:sz w:val="17"/>
              </w:rPr>
              <w:t>5</w:t>
            </w:r>
          </w:p>
        </w:tc>
        <w:tc>
          <w:tcPr>
            <w:tcW w:type="dxa" w:w="1781"/>
            <w:tcMar>
              <w:top w:w="50" w:type="dxa"/>
              <w:bottom w:w="50" w:type="dxa"/>
              <w:left w:w="90" w:type="dxa"/>
              <w:right w:w="90" w:type="dxa"/>
            </w:tcMar>
          </w:tcPr>
          <w:p>
            <w:pPr>
              <w:pStyle w:val="BDOITable"/>
              <w:jc w:val="center"/>
            </w:pPr>
            <w:r>
              <w:rPr>
                <w:sz w:val="17"/>
              </w:rPr>
              <w:t>1</w:t>
            </w:r>
          </w:p>
        </w:tc>
        <w:tc>
          <w:tcPr>
            <w:tcW w:type="dxa" w:w="1187"/>
            <w:tcMar>
              <w:top w:w="50" w:type="dxa"/>
              <w:bottom w:w="50" w:type="dxa"/>
              <w:left w:w="90" w:type="dxa"/>
              <w:right w:w="90" w:type="dxa"/>
            </w:tcMar>
          </w:tcPr>
          <w:p>
            <w:pPr>
              <w:pStyle w:val="BDOITable"/>
              <w:jc w:val="center"/>
            </w:pPr>
            <w:r>
              <w:rPr>
                <w:sz w:val="17"/>
              </w:rPr>
              <w:t>11</w:t>
            </w:r>
          </w:p>
        </w:tc>
      </w:tr>
      <w:tr>
        <w:trPr>
          <w:cantSplit w:val="true"/>
        </w:trPr>
        <w:tc>
          <w:tcPr>
            <w:tcW w:type="dxa" w:w="4155"/>
            <w:tcMar>
              <w:top w:w="50" w:type="dxa"/>
              <w:bottom w:w="50" w:type="dxa"/>
              <w:left w:w="90" w:type="dxa"/>
              <w:right w:w="90" w:type="dxa"/>
            </w:tcMar>
            <w:shd w:val="clear" w:color="auto" w:fill="E5F5FF"/>
          </w:tcPr>
          <w:p>
            <w:pPr>
              <w:pStyle w:val="BDOITable"/>
            </w:pPr>
            <w:r>
              <w:rPr>
                <w:sz w:val="17"/>
              </w:rPr>
              <w:t>Chart of accounts and accounting</w:t>
            </w:r>
          </w:p>
        </w:tc>
        <w:tc>
          <w:tcPr>
            <w:tcW w:type="dxa" w:w="1425"/>
            <w:tcMar>
              <w:top w:w="50" w:type="dxa"/>
              <w:bottom w:w="50" w:type="dxa"/>
              <w:left w:w="90" w:type="dxa"/>
              <w:right w:w="90" w:type="dxa"/>
            </w:tcMar>
            <w:shd w:val="clear" w:color="auto" w:fill="E5F5FF"/>
          </w:tcPr>
          <w:p>
            <w:pPr>
              <w:pStyle w:val="BDOITable"/>
              <w:jc w:val="center"/>
            </w:pPr>
            <w:r>
              <w:rPr>
                <w:sz w:val="17"/>
              </w:rPr>
              <w:t>5</w:t>
            </w:r>
          </w:p>
        </w:tc>
        <w:tc>
          <w:tcPr>
            <w:tcW w:type="dxa" w:w="1425"/>
            <w:tcMar>
              <w:top w:w="50" w:type="dxa"/>
              <w:bottom w:w="50" w:type="dxa"/>
              <w:left w:w="90" w:type="dxa"/>
              <w:right w:w="90" w:type="dxa"/>
            </w:tcMar>
            <w:shd w:val="clear" w:color="auto" w:fill="E5F5FF"/>
          </w:tcPr>
          <w:p>
            <w:pPr>
              <w:pStyle w:val="BDOITable"/>
              <w:jc w:val="center"/>
            </w:pPr>
            <w:r>
              <w:rPr>
                <w:sz w:val="17"/>
              </w:rPr>
              <w:t>6</w:t>
            </w:r>
          </w:p>
        </w:tc>
        <w:tc>
          <w:tcPr>
            <w:tcW w:type="dxa" w:w="1781"/>
            <w:tcMar>
              <w:top w:w="50" w:type="dxa"/>
              <w:bottom w:w="50" w:type="dxa"/>
              <w:left w:w="90" w:type="dxa"/>
              <w:right w:w="90" w:type="dxa"/>
            </w:tcMar>
            <w:shd w:val="clear" w:color="auto" w:fill="E5F5FF"/>
          </w:tcPr>
          <w:p>
            <w:pPr>
              <w:pStyle w:val="BDOITable"/>
              <w:jc w:val="center"/>
            </w:pPr>
            <w:r>
              <w:rPr>
                <w:sz w:val="17"/>
              </w:rPr>
              <w:t>1</w:t>
            </w:r>
          </w:p>
        </w:tc>
        <w:tc>
          <w:tcPr>
            <w:tcW w:type="dxa" w:w="1187"/>
            <w:tcMar>
              <w:top w:w="50" w:type="dxa"/>
              <w:bottom w:w="50" w:type="dxa"/>
              <w:left w:w="90" w:type="dxa"/>
              <w:right w:w="90" w:type="dxa"/>
            </w:tcMar>
            <w:shd w:val="clear" w:color="auto" w:fill="E5F5FF"/>
          </w:tcPr>
          <w:p>
            <w:pPr>
              <w:pStyle w:val="BDOITable"/>
              <w:jc w:val="center"/>
            </w:pPr>
            <w:r>
              <w:rPr>
                <w:sz w:val="17"/>
              </w:rPr>
              <w:t>12</w:t>
            </w:r>
          </w:p>
        </w:tc>
      </w:tr>
      <w:tr>
        <w:trPr>
          <w:cantSplit w:val="true"/>
        </w:trPr>
        <w:tc>
          <w:tcPr>
            <w:tcW w:type="dxa" w:w="4155"/>
            <w:tcMar>
              <w:top w:w="50" w:type="dxa"/>
              <w:bottom w:w="50" w:type="dxa"/>
              <w:left w:w="90" w:type="dxa"/>
              <w:right w:w="90" w:type="dxa"/>
            </w:tcMar>
          </w:tcPr>
          <w:p>
            <w:pPr>
              <w:pStyle w:val="BDOITable"/>
            </w:pPr>
            <w:r>
              <w:rPr>
                <w:sz w:val="17"/>
              </w:rPr>
              <w:t>Banks and bank accounts</w:t>
            </w:r>
          </w:p>
        </w:tc>
        <w:tc>
          <w:tcPr>
            <w:tcW w:type="dxa" w:w="1425"/>
            <w:tcMar>
              <w:top w:w="50" w:type="dxa"/>
              <w:bottom w:w="50" w:type="dxa"/>
              <w:left w:w="90" w:type="dxa"/>
              <w:right w:w="90" w:type="dxa"/>
            </w:tcMar>
          </w:tcPr>
          <w:p>
            <w:pPr>
              <w:pStyle w:val="BDOITable"/>
              <w:jc w:val="center"/>
            </w:pPr>
            <w:r>
              <w:rPr>
                <w:sz w:val="17"/>
              </w:rPr>
              <w:t>5</w:t>
            </w:r>
          </w:p>
        </w:tc>
        <w:tc>
          <w:tcPr>
            <w:tcW w:type="dxa" w:w="1425"/>
            <w:tcMar>
              <w:top w:w="50" w:type="dxa"/>
              <w:bottom w:w="50" w:type="dxa"/>
              <w:left w:w="90" w:type="dxa"/>
              <w:right w:w="90" w:type="dxa"/>
            </w:tcMar>
          </w:tcPr>
          <w:p>
            <w:pPr>
              <w:pStyle w:val="BDOITable"/>
              <w:jc w:val="center"/>
            </w:pPr>
            <w:r>
              <w:rPr>
                <w:sz w:val="17"/>
              </w:rPr>
              <w:t>1</w:t>
            </w:r>
          </w:p>
        </w:tc>
        <w:tc>
          <w:tcPr>
            <w:tcW w:type="dxa" w:w="1781"/>
            <w:tcMar>
              <w:top w:w="50" w:type="dxa"/>
              <w:bottom w:w="50" w:type="dxa"/>
              <w:left w:w="90" w:type="dxa"/>
              <w:right w:w="90" w:type="dxa"/>
            </w:tcMar>
          </w:tcPr>
          <w:p>
            <w:pPr>
              <w:pStyle w:val="BDOITable"/>
              <w:jc w:val="center"/>
            </w:pPr>
            <w:r>
              <w:rPr>
                <w:sz w:val="17"/>
              </w:rPr>
              <w:t>0</w:t>
            </w:r>
          </w:p>
        </w:tc>
        <w:tc>
          <w:tcPr>
            <w:tcW w:type="dxa" w:w="1187"/>
            <w:tcMar>
              <w:top w:w="50" w:type="dxa"/>
              <w:bottom w:w="50" w:type="dxa"/>
              <w:left w:w="90" w:type="dxa"/>
              <w:right w:w="90" w:type="dxa"/>
            </w:tcMar>
          </w:tcPr>
          <w:p>
            <w:pPr>
              <w:pStyle w:val="BDOITable"/>
              <w:jc w:val="center"/>
            </w:pPr>
            <w:r>
              <w:rPr>
                <w:sz w:val="17"/>
              </w:rPr>
              <w:t>6</w:t>
            </w:r>
          </w:p>
        </w:tc>
      </w:tr>
      <w:tr>
        <w:trPr>
          <w:cantSplit w:val="true"/>
        </w:trPr>
        <w:tc>
          <w:tcPr>
            <w:tcW w:type="dxa" w:w="4155"/>
            <w:tcMar>
              <w:top w:w="50" w:type="dxa"/>
              <w:bottom w:w="50" w:type="dxa"/>
              <w:left w:w="90" w:type="dxa"/>
              <w:right w:w="90" w:type="dxa"/>
            </w:tcMar>
            <w:shd w:val="clear" w:color="auto" w:fill="E5F5FF"/>
          </w:tcPr>
          <w:p>
            <w:pPr>
              <w:pStyle w:val="BDOITable"/>
            </w:pPr>
            <w:r>
              <w:rPr>
                <w:sz w:val="17"/>
              </w:rPr>
              <w:t>Document numbering</w:t>
            </w:r>
          </w:p>
        </w:tc>
        <w:tc>
          <w:tcPr>
            <w:tcW w:type="dxa" w:w="1425"/>
            <w:tcMar>
              <w:top w:w="50" w:type="dxa"/>
              <w:bottom w:w="50" w:type="dxa"/>
              <w:left w:w="90" w:type="dxa"/>
              <w:right w:w="90" w:type="dxa"/>
            </w:tcMar>
            <w:shd w:val="clear" w:color="auto" w:fill="E5F5FF"/>
          </w:tcPr>
          <w:p>
            <w:pPr>
              <w:pStyle w:val="BDOITable"/>
              <w:jc w:val="center"/>
            </w:pPr>
            <w:r>
              <w:rPr>
                <w:sz w:val="17"/>
              </w:rPr>
              <w:t>2</w:t>
            </w:r>
          </w:p>
        </w:tc>
        <w:tc>
          <w:tcPr>
            <w:tcW w:type="dxa" w:w="1425"/>
            <w:tcMar>
              <w:top w:w="50" w:type="dxa"/>
              <w:bottom w:w="50" w:type="dxa"/>
              <w:left w:w="90" w:type="dxa"/>
              <w:right w:w="90" w:type="dxa"/>
            </w:tcMar>
            <w:shd w:val="clear" w:color="auto" w:fill="E5F5FF"/>
          </w:tcPr>
          <w:p>
            <w:pPr>
              <w:pStyle w:val="BDOITable"/>
              <w:jc w:val="center"/>
            </w:pPr>
            <w:r>
              <w:rPr>
                <w:sz w:val="17"/>
              </w:rPr>
              <w:t>0</w:t>
            </w:r>
          </w:p>
        </w:tc>
        <w:tc>
          <w:tcPr>
            <w:tcW w:type="dxa" w:w="1781"/>
            <w:tcMar>
              <w:top w:w="50" w:type="dxa"/>
              <w:bottom w:w="50" w:type="dxa"/>
              <w:left w:w="90" w:type="dxa"/>
              <w:right w:w="90" w:type="dxa"/>
            </w:tcMar>
            <w:shd w:val="clear" w:color="auto" w:fill="E5F5FF"/>
          </w:tcPr>
          <w:p>
            <w:pPr>
              <w:pStyle w:val="BDOITable"/>
              <w:jc w:val="center"/>
            </w:pPr>
            <w:r>
              <w:rPr>
                <w:sz w:val="17"/>
              </w:rPr>
              <w:t>1</w:t>
            </w:r>
          </w:p>
        </w:tc>
        <w:tc>
          <w:tcPr>
            <w:tcW w:type="dxa" w:w="1187"/>
            <w:tcMar>
              <w:top w:w="50" w:type="dxa"/>
              <w:bottom w:w="50" w:type="dxa"/>
              <w:left w:w="90" w:type="dxa"/>
              <w:right w:w="90" w:type="dxa"/>
            </w:tcMar>
            <w:shd w:val="clear" w:color="auto" w:fill="E5F5FF"/>
          </w:tcPr>
          <w:p>
            <w:pPr>
              <w:pStyle w:val="BDOITable"/>
              <w:jc w:val="center"/>
            </w:pPr>
            <w:r>
              <w:rPr>
                <w:sz w:val="17"/>
              </w:rPr>
              <w:t>3</w:t>
            </w:r>
          </w:p>
        </w:tc>
      </w:tr>
      <w:tr>
        <w:trPr>
          <w:cantSplit w:val="true"/>
        </w:trPr>
        <w:tc>
          <w:tcPr>
            <w:tcW w:type="dxa" w:w="4155"/>
            <w:tcMar>
              <w:top w:w="50" w:type="dxa"/>
              <w:bottom w:w="50" w:type="dxa"/>
              <w:left w:w="90" w:type="dxa"/>
              <w:right w:w="90" w:type="dxa"/>
            </w:tcMar>
          </w:tcPr>
          <w:p>
            <w:pPr>
              <w:pStyle w:val="BDOITable"/>
            </w:pPr>
            <w:r>
              <w:rPr>
                <w:sz w:val="17"/>
              </w:rPr>
              <w:t>Lists of values</w:t>
            </w:r>
          </w:p>
        </w:tc>
        <w:tc>
          <w:tcPr>
            <w:tcW w:type="dxa" w:w="1425"/>
            <w:tcMar>
              <w:top w:w="50" w:type="dxa"/>
              <w:bottom w:w="50" w:type="dxa"/>
              <w:left w:w="90" w:type="dxa"/>
              <w:right w:w="90" w:type="dxa"/>
            </w:tcMar>
          </w:tcPr>
          <w:p>
            <w:pPr>
              <w:pStyle w:val="BDOITable"/>
              <w:jc w:val="center"/>
            </w:pPr>
            <w:r>
              <w:rPr>
                <w:sz w:val="17"/>
              </w:rPr>
              <w:t>1</w:t>
            </w:r>
          </w:p>
        </w:tc>
        <w:tc>
          <w:tcPr>
            <w:tcW w:type="dxa" w:w="1425"/>
            <w:tcMar>
              <w:top w:w="50" w:type="dxa"/>
              <w:bottom w:w="50" w:type="dxa"/>
              <w:left w:w="90" w:type="dxa"/>
              <w:right w:w="90" w:type="dxa"/>
            </w:tcMar>
          </w:tcPr>
          <w:p>
            <w:pPr>
              <w:pStyle w:val="BDOITable"/>
              <w:jc w:val="center"/>
            </w:pPr>
            <w:r>
              <w:rPr>
                <w:sz w:val="17"/>
              </w:rPr>
              <w:t>0</w:t>
            </w:r>
          </w:p>
        </w:tc>
        <w:tc>
          <w:tcPr>
            <w:tcW w:type="dxa" w:w="1781"/>
            <w:tcMar>
              <w:top w:w="50" w:type="dxa"/>
              <w:bottom w:w="50" w:type="dxa"/>
              <w:left w:w="90" w:type="dxa"/>
              <w:right w:w="90" w:type="dxa"/>
            </w:tcMar>
          </w:tcPr>
          <w:p>
            <w:pPr>
              <w:pStyle w:val="BDOITable"/>
              <w:jc w:val="center"/>
            </w:pPr>
            <w:r>
              <w:rPr>
                <w:sz w:val="17"/>
              </w:rPr>
              <w:t>1</w:t>
            </w:r>
          </w:p>
        </w:tc>
        <w:tc>
          <w:tcPr>
            <w:tcW w:type="dxa" w:w="1187"/>
            <w:tcMar>
              <w:top w:w="50" w:type="dxa"/>
              <w:bottom w:w="50" w:type="dxa"/>
              <w:left w:w="90" w:type="dxa"/>
              <w:right w:w="90" w:type="dxa"/>
            </w:tcMar>
          </w:tcPr>
          <w:p>
            <w:pPr>
              <w:pStyle w:val="BDOITable"/>
              <w:jc w:val="center"/>
            </w:pPr>
            <w:r>
              <w:rPr>
                <w:sz w:val="17"/>
              </w:rPr>
              <w:t>2</w:t>
            </w:r>
          </w:p>
        </w:tc>
      </w:tr>
      <w:tr>
        <w:trPr>
          <w:cantSplit w:val="true"/>
        </w:trPr>
        <w:tc>
          <w:tcPr>
            <w:tcW w:type="dxa" w:w="4155"/>
            <w:tcMar>
              <w:top w:w="50" w:type="dxa"/>
              <w:bottom w:w="50" w:type="dxa"/>
              <w:left w:w="90" w:type="dxa"/>
              <w:right w:w="90" w:type="dxa"/>
            </w:tcMar>
            <w:shd w:val="clear" w:color="auto" w:fill="E5F5FF"/>
          </w:tcPr>
          <w:p>
            <w:pPr>
              <w:pStyle w:val="BDOITable"/>
            </w:pPr>
            <w:r>
              <w:rPr>
                <w:sz w:val="17"/>
              </w:rPr>
              <w:t>System and security parameters</w:t>
            </w:r>
          </w:p>
        </w:tc>
        <w:tc>
          <w:tcPr>
            <w:tcW w:type="dxa" w:w="1425"/>
            <w:tcMar>
              <w:top w:w="50" w:type="dxa"/>
              <w:bottom w:w="50" w:type="dxa"/>
              <w:left w:w="90" w:type="dxa"/>
              <w:right w:w="90" w:type="dxa"/>
            </w:tcMar>
            <w:shd w:val="clear" w:color="auto" w:fill="E5F5FF"/>
          </w:tcPr>
          <w:p>
            <w:pPr>
              <w:pStyle w:val="BDOITable"/>
              <w:jc w:val="center"/>
            </w:pPr>
            <w:r>
              <w:rPr>
                <w:sz w:val="17"/>
              </w:rPr>
              <w:t>2</w:t>
            </w:r>
          </w:p>
        </w:tc>
        <w:tc>
          <w:tcPr>
            <w:tcW w:type="dxa" w:w="1425"/>
            <w:tcMar>
              <w:top w:w="50" w:type="dxa"/>
              <w:bottom w:w="50" w:type="dxa"/>
              <w:left w:w="90" w:type="dxa"/>
              <w:right w:w="90" w:type="dxa"/>
            </w:tcMar>
            <w:shd w:val="clear" w:color="auto" w:fill="E5F5FF"/>
          </w:tcPr>
          <w:p>
            <w:pPr>
              <w:pStyle w:val="BDOITable"/>
              <w:jc w:val="center"/>
            </w:pPr>
            <w:r>
              <w:rPr>
                <w:sz w:val="17"/>
              </w:rPr>
              <w:t>4</w:t>
            </w:r>
          </w:p>
        </w:tc>
        <w:tc>
          <w:tcPr>
            <w:tcW w:type="dxa" w:w="1781"/>
            <w:tcMar>
              <w:top w:w="50" w:type="dxa"/>
              <w:bottom w:w="50" w:type="dxa"/>
              <w:left w:w="90" w:type="dxa"/>
              <w:right w:w="90" w:type="dxa"/>
            </w:tcMar>
            <w:shd w:val="clear" w:color="auto" w:fill="E5F5FF"/>
          </w:tcPr>
          <w:p>
            <w:pPr>
              <w:pStyle w:val="BDOITable"/>
              <w:jc w:val="center"/>
            </w:pPr>
            <w:r>
              <w:rPr>
                <w:sz w:val="17"/>
              </w:rPr>
              <w:t>0</w:t>
            </w:r>
          </w:p>
        </w:tc>
        <w:tc>
          <w:tcPr>
            <w:tcW w:type="dxa" w:w="1187"/>
            <w:tcMar>
              <w:top w:w="50" w:type="dxa"/>
              <w:bottom w:w="50" w:type="dxa"/>
              <w:left w:w="90" w:type="dxa"/>
              <w:right w:w="90" w:type="dxa"/>
            </w:tcMar>
            <w:shd w:val="clear" w:color="auto" w:fill="E5F5FF"/>
          </w:tcPr>
          <w:p>
            <w:pPr>
              <w:pStyle w:val="BDOITable"/>
              <w:jc w:val="center"/>
            </w:pPr>
            <w:r>
              <w:rPr>
                <w:sz w:val="17"/>
              </w:rPr>
              <w:t>6</w:t>
            </w:r>
          </w:p>
        </w:tc>
      </w:tr>
      <w:tr>
        <w:trPr>
          <w:cantSplit w:val="true"/>
        </w:trPr>
        <w:tc>
          <w:tcPr>
            <w:tcW w:type="dxa" w:w="4155"/>
            <w:tcMar>
              <w:top w:w="50" w:type="dxa"/>
              <w:bottom w:w="50" w:type="dxa"/>
              <w:left w:w="90" w:type="dxa"/>
              <w:right w:w="90" w:type="dxa"/>
            </w:tcMar>
          </w:tcPr>
          <w:p>
            <w:pPr>
              <w:pStyle w:val="BDOITable"/>
            </w:pPr>
            <w:r>
              <w:rPr>
                <w:sz w:val="17"/>
              </w:rPr>
              <w:t>Notifications and documents</w:t>
            </w:r>
          </w:p>
        </w:tc>
        <w:tc>
          <w:tcPr>
            <w:tcW w:type="dxa" w:w="1425"/>
            <w:tcMar>
              <w:top w:w="50" w:type="dxa"/>
              <w:bottom w:w="50" w:type="dxa"/>
              <w:left w:w="90" w:type="dxa"/>
              <w:right w:w="90" w:type="dxa"/>
            </w:tcMar>
          </w:tcPr>
          <w:p>
            <w:pPr>
              <w:pStyle w:val="BDOITable"/>
              <w:jc w:val="center"/>
            </w:pPr>
            <w:r>
              <w:rPr>
                <w:sz w:val="17"/>
              </w:rPr>
              <w:t>3</w:t>
            </w:r>
          </w:p>
        </w:tc>
        <w:tc>
          <w:tcPr>
            <w:tcW w:type="dxa" w:w="1425"/>
            <w:tcMar>
              <w:top w:w="50" w:type="dxa"/>
              <w:bottom w:w="50" w:type="dxa"/>
              <w:left w:w="90" w:type="dxa"/>
              <w:right w:w="90" w:type="dxa"/>
            </w:tcMar>
          </w:tcPr>
          <w:p>
            <w:pPr>
              <w:pStyle w:val="BDOITable"/>
              <w:jc w:val="center"/>
            </w:pPr>
            <w:r>
              <w:rPr>
                <w:sz w:val="17"/>
              </w:rPr>
              <w:t>1</w:t>
            </w:r>
          </w:p>
        </w:tc>
        <w:tc>
          <w:tcPr>
            <w:tcW w:type="dxa" w:w="1781"/>
            <w:tcMar>
              <w:top w:w="50" w:type="dxa"/>
              <w:bottom w:w="50" w:type="dxa"/>
              <w:left w:w="90" w:type="dxa"/>
              <w:right w:w="90" w:type="dxa"/>
            </w:tcMar>
          </w:tcPr>
          <w:p>
            <w:pPr>
              <w:pStyle w:val="BDOITable"/>
              <w:jc w:val="center"/>
            </w:pPr>
            <w:r>
              <w:rPr>
                <w:sz w:val="17"/>
              </w:rPr>
              <w:t>0</w:t>
            </w:r>
          </w:p>
        </w:tc>
        <w:tc>
          <w:tcPr>
            <w:tcW w:type="dxa" w:w="1187"/>
            <w:tcMar>
              <w:top w:w="50" w:type="dxa"/>
              <w:bottom w:w="50" w:type="dxa"/>
              <w:left w:w="90" w:type="dxa"/>
              <w:right w:w="90" w:type="dxa"/>
            </w:tcMar>
          </w:tcPr>
          <w:p>
            <w:pPr>
              <w:pStyle w:val="BDOITable"/>
              <w:jc w:val="center"/>
            </w:pPr>
            <w:r>
              <w:rPr>
                <w:sz w:val="17"/>
              </w:rPr>
              <w:t>4</w:t>
            </w:r>
          </w:p>
        </w:tc>
      </w:tr>
      <w:tr>
        <w:trPr>
          <w:cantSplit w:val="true"/>
        </w:trPr>
        <w:tc>
          <w:tcPr>
            <w:tcW w:type="dxa" w:w="4155"/>
            <w:tcMar>
              <w:top w:w="50" w:type="dxa"/>
              <w:bottom w:w="50" w:type="dxa"/>
              <w:left w:w="90" w:type="dxa"/>
              <w:right w:w="90" w:type="dxa"/>
            </w:tcMar>
            <w:shd w:val="clear" w:color="auto" w:fill="E5F5FF"/>
          </w:tcPr>
          <w:p>
            <w:pPr>
              <w:pStyle w:val="BDOITable"/>
            </w:pPr>
            <w:r>
              <w:rPr>
                <w:sz w:val="17"/>
              </w:rPr>
              <w:t>Products and packages</w:t>
            </w:r>
          </w:p>
        </w:tc>
        <w:tc>
          <w:tcPr>
            <w:tcW w:type="dxa" w:w="1425"/>
            <w:tcMar>
              <w:top w:w="50" w:type="dxa"/>
              <w:bottom w:w="50" w:type="dxa"/>
              <w:left w:w="90" w:type="dxa"/>
              <w:right w:w="90" w:type="dxa"/>
            </w:tcMar>
            <w:shd w:val="clear" w:color="auto" w:fill="E5F5FF"/>
          </w:tcPr>
          <w:p>
            <w:pPr>
              <w:pStyle w:val="BDOITable"/>
              <w:jc w:val="center"/>
            </w:pPr>
            <w:r>
              <w:rPr>
                <w:sz w:val="17"/>
              </w:rPr>
              <w:t>7</w:t>
            </w:r>
          </w:p>
        </w:tc>
        <w:tc>
          <w:tcPr>
            <w:tcW w:type="dxa" w:w="1425"/>
            <w:tcMar>
              <w:top w:w="50" w:type="dxa"/>
              <w:bottom w:w="50" w:type="dxa"/>
              <w:left w:w="90" w:type="dxa"/>
              <w:right w:w="90" w:type="dxa"/>
            </w:tcMar>
            <w:shd w:val="clear" w:color="auto" w:fill="E5F5FF"/>
          </w:tcPr>
          <w:p>
            <w:pPr>
              <w:pStyle w:val="BDOITable"/>
              <w:jc w:val="center"/>
            </w:pPr>
            <w:r>
              <w:rPr>
                <w:sz w:val="17"/>
              </w:rPr>
              <w:t>0</w:t>
            </w:r>
          </w:p>
        </w:tc>
        <w:tc>
          <w:tcPr>
            <w:tcW w:type="dxa" w:w="1781"/>
            <w:tcMar>
              <w:top w:w="50" w:type="dxa"/>
              <w:bottom w:w="50" w:type="dxa"/>
              <w:left w:w="90" w:type="dxa"/>
              <w:right w:w="90" w:type="dxa"/>
            </w:tcMar>
            <w:shd w:val="clear" w:color="auto" w:fill="E5F5FF"/>
          </w:tcPr>
          <w:p>
            <w:pPr>
              <w:pStyle w:val="BDOITable"/>
              <w:jc w:val="center"/>
            </w:pPr>
            <w:r>
              <w:rPr>
                <w:sz w:val="17"/>
              </w:rPr>
              <w:t>2</w:t>
            </w:r>
          </w:p>
        </w:tc>
        <w:tc>
          <w:tcPr>
            <w:tcW w:type="dxa" w:w="1187"/>
            <w:tcMar>
              <w:top w:w="50" w:type="dxa"/>
              <w:bottom w:w="50" w:type="dxa"/>
              <w:left w:w="90" w:type="dxa"/>
              <w:right w:w="90" w:type="dxa"/>
            </w:tcMar>
            <w:shd w:val="clear" w:color="auto" w:fill="E5F5FF"/>
          </w:tcPr>
          <w:p>
            <w:pPr>
              <w:pStyle w:val="BDOITable"/>
              <w:jc w:val="center"/>
            </w:pPr>
            <w:r>
              <w:rPr>
                <w:sz w:val="17"/>
              </w:rPr>
              <w:t>9</w:t>
            </w:r>
          </w:p>
        </w:tc>
      </w:tr>
      <w:tr>
        <w:trPr>
          <w:cantSplit w:val="true"/>
        </w:trPr>
        <w:tc>
          <w:tcPr>
            <w:tcW w:type="dxa" w:w="4155"/>
            <w:tcMar>
              <w:top w:w="50" w:type="dxa"/>
              <w:bottom w:w="50" w:type="dxa"/>
              <w:left w:w="90" w:type="dxa"/>
              <w:right w:w="90" w:type="dxa"/>
            </w:tcMar>
          </w:tcPr>
          <w:p>
            <w:pPr>
              <w:pStyle w:val="BDOITable"/>
            </w:pPr>
            <w:r>
              <w:rPr>
                <w:sz w:val="17"/>
              </w:rPr>
              <w:t>Insurers and partners</w:t>
            </w:r>
          </w:p>
        </w:tc>
        <w:tc>
          <w:tcPr>
            <w:tcW w:type="dxa" w:w="1425"/>
            <w:tcMar>
              <w:top w:w="50" w:type="dxa"/>
              <w:bottom w:w="50" w:type="dxa"/>
              <w:left w:w="90" w:type="dxa"/>
              <w:right w:w="90" w:type="dxa"/>
            </w:tcMar>
          </w:tcPr>
          <w:p>
            <w:pPr>
              <w:pStyle w:val="BDOITable"/>
              <w:jc w:val="center"/>
            </w:pPr>
            <w:r>
              <w:rPr>
                <w:sz w:val="17"/>
              </w:rPr>
              <w:t>0</w:t>
            </w:r>
          </w:p>
        </w:tc>
        <w:tc>
          <w:tcPr>
            <w:tcW w:type="dxa" w:w="1425"/>
            <w:tcMar>
              <w:top w:w="50" w:type="dxa"/>
              <w:bottom w:w="50" w:type="dxa"/>
              <w:left w:w="90" w:type="dxa"/>
              <w:right w:w="90" w:type="dxa"/>
            </w:tcMar>
          </w:tcPr>
          <w:p>
            <w:pPr>
              <w:pStyle w:val="BDOITable"/>
              <w:jc w:val="center"/>
            </w:pPr>
            <w:r>
              <w:rPr>
                <w:sz w:val="17"/>
              </w:rPr>
              <w:t>2</w:t>
            </w:r>
          </w:p>
        </w:tc>
        <w:tc>
          <w:tcPr>
            <w:tcW w:type="dxa" w:w="1781"/>
            <w:tcMar>
              <w:top w:w="50" w:type="dxa"/>
              <w:bottom w:w="50" w:type="dxa"/>
              <w:left w:w="90" w:type="dxa"/>
              <w:right w:w="90" w:type="dxa"/>
            </w:tcMar>
          </w:tcPr>
          <w:p>
            <w:pPr>
              <w:pStyle w:val="BDOITable"/>
              <w:jc w:val="center"/>
            </w:pPr>
            <w:r>
              <w:rPr>
                <w:sz w:val="17"/>
              </w:rPr>
              <w:t>3</w:t>
            </w:r>
          </w:p>
        </w:tc>
        <w:tc>
          <w:tcPr>
            <w:tcW w:type="dxa" w:w="1187"/>
            <w:tcMar>
              <w:top w:w="50" w:type="dxa"/>
              <w:bottom w:w="50" w:type="dxa"/>
              <w:left w:w="90" w:type="dxa"/>
              <w:right w:w="90" w:type="dxa"/>
            </w:tcMar>
          </w:tcPr>
          <w:p>
            <w:pPr>
              <w:pStyle w:val="BDOITable"/>
              <w:jc w:val="center"/>
            </w:pPr>
            <w:r>
              <w:rPr>
                <w:sz w:val="17"/>
              </w:rPr>
              <w:t>5</w:t>
            </w:r>
          </w:p>
        </w:tc>
      </w:tr>
      <w:tr>
        <w:trPr>
          <w:cantSplit w:val="true"/>
        </w:trPr>
        <w:tc>
          <w:tcPr>
            <w:tcW w:type="dxa" w:w="4155"/>
            <w:tcMar>
              <w:top w:w="50" w:type="dxa"/>
              <w:bottom w:w="50" w:type="dxa"/>
              <w:left w:w="90" w:type="dxa"/>
              <w:right w:w="90" w:type="dxa"/>
            </w:tcMar>
            <w:shd w:val="clear" w:color="auto" w:fill="E5F5FF"/>
          </w:tcPr>
          <w:p>
            <w:pPr>
              <w:pStyle w:val="BDOITable"/>
            </w:pPr>
            <w:r>
              <w:rPr>
                <w:sz w:val="17"/>
              </w:rPr>
              <w:t>Users, roles and approvals</w:t>
            </w:r>
          </w:p>
        </w:tc>
        <w:tc>
          <w:tcPr>
            <w:tcW w:type="dxa" w:w="1425"/>
            <w:tcMar>
              <w:top w:w="50" w:type="dxa"/>
              <w:bottom w:w="50" w:type="dxa"/>
              <w:left w:w="90" w:type="dxa"/>
              <w:right w:w="90" w:type="dxa"/>
            </w:tcMar>
            <w:shd w:val="clear" w:color="auto" w:fill="E5F5FF"/>
          </w:tcPr>
          <w:p>
            <w:pPr>
              <w:pStyle w:val="BDOITable"/>
              <w:jc w:val="center"/>
            </w:pPr>
            <w:r>
              <w:rPr>
                <w:sz w:val="17"/>
              </w:rPr>
              <w:t>5</w:t>
            </w:r>
          </w:p>
        </w:tc>
        <w:tc>
          <w:tcPr>
            <w:tcW w:type="dxa" w:w="1425"/>
            <w:tcMar>
              <w:top w:w="50" w:type="dxa"/>
              <w:bottom w:w="50" w:type="dxa"/>
              <w:left w:w="90" w:type="dxa"/>
              <w:right w:w="90" w:type="dxa"/>
            </w:tcMar>
            <w:shd w:val="clear" w:color="auto" w:fill="E5F5FF"/>
          </w:tcPr>
          <w:p>
            <w:pPr>
              <w:pStyle w:val="BDOITable"/>
              <w:jc w:val="center"/>
            </w:pPr>
            <w:r>
              <w:rPr>
                <w:sz w:val="17"/>
              </w:rPr>
              <w:t>1</w:t>
            </w:r>
          </w:p>
        </w:tc>
        <w:tc>
          <w:tcPr>
            <w:tcW w:type="dxa" w:w="1781"/>
            <w:tcMar>
              <w:top w:w="50" w:type="dxa"/>
              <w:bottom w:w="50" w:type="dxa"/>
              <w:left w:w="90" w:type="dxa"/>
              <w:right w:w="90" w:type="dxa"/>
            </w:tcMar>
            <w:shd w:val="clear" w:color="auto" w:fill="E5F5FF"/>
          </w:tcPr>
          <w:p>
            <w:pPr>
              <w:pStyle w:val="BDOITable"/>
              <w:jc w:val="center"/>
            </w:pPr>
            <w:r>
              <w:rPr>
                <w:sz w:val="17"/>
              </w:rPr>
              <w:t>0</w:t>
            </w:r>
          </w:p>
        </w:tc>
        <w:tc>
          <w:tcPr>
            <w:tcW w:type="dxa" w:w="1187"/>
            <w:tcMar>
              <w:top w:w="50" w:type="dxa"/>
              <w:bottom w:w="50" w:type="dxa"/>
              <w:left w:w="90" w:type="dxa"/>
              <w:right w:w="90" w:type="dxa"/>
            </w:tcMar>
            <w:shd w:val="clear" w:color="auto" w:fill="E5F5FF"/>
          </w:tcPr>
          <w:p>
            <w:pPr>
              <w:pStyle w:val="BDOITable"/>
              <w:jc w:val="center"/>
            </w:pPr>
            <w:r>
              <w:rPr>
                <w:sz w:val="17"/>
              </w:rPr>
              <w:t>6</w:t>
            </w:r>
          </w:p>
        </w:tc>
      </w:tr>
      <w:tr>
        <w:trPr>
          <w:cantSplit w:val="true"/>
        </w:trPr>
        <w:tc>
          <w:tcPr>
            <w:tcW w:type="dxa" w:w="4155"/>
            <w:tcMar>
              <w:top w:w="50" w:type="dxa"/>
              <w:bottom w:w="50" w:type="dxa"/>
              <w:left w:w="90" w:type="dxa"/>
              <w:right w:w="90" w:type="dxa"/>
            </w:tcMar>
          </w:tcPr>
          <w:p>
            <w:pPr>
              <w:pStyle w:val="BDOITable"/>
            </w:pPr>
            <w:r>
              <w:rPr>
                <w:sz w:val="17"/>
              </w:rPr>
              <w:t>Module rules and set-up</w:t>
            </w:r>
          </w:p>
        </w:tc>
        <w:tc>
          <w:tcPr>
            <w:tcW w:type="dxa" w:w="1425"/>
            <w:tcMar>
              <w:top w:w="50" w:type="dxa"/>
              <w:bottom w:w="50" w:type="dxa"/>
              <w:left w:w="90" w:type="dxa"/>
              <w:right w:w="90" w:type="dxa"/>
            </w:tcMar>
          </w:tcPr>
          <w:p>
            <w:pPr>
              <w:pStyle w:val="BDOITable"/>
              <w:jc w:val="center"/>
            </w:pPr>
            <w:r>
              <w:rPr>
                <w:sz w:val="17"/>
              </w:rPr>
              <w:t>0</w:t>
            </w:r>
          </w:p>
        </w:tc>
        <w:tc>
          <w:tcPr>
            <w:tcW w:type="dxa" w:w="1425"/>
            <w:tcMar>
              <w:top w:w="50" w:type="dxa"/>
              <w:bottom w:w="50" w:type="dxa"/>
              <w:left w:w="90" w:type="dxa"/>
              <w:right w:w="90" w:type="dxa"/>
            </w:tcMar>
          </w:tcPr>
          <w:p>
            <w:pPr>
              <w:pStyle w:val="BDOITable"/>
              <w:jc w:val="center"/>
            </w:pPr>
            <w:r>
              <w:rPr>
                <w:sz w:val="17"/>
              </w:rPr>
              <w:t>12</w:t>
            </w:r>
          </w:p>
        </w:tc>
        <w:tc>
          <w:tcPr>
            <w:tcW w:type="dxa" w:w="1781"/>
            <w:tcMar>
              <w:top w:w="50" w:type="dxa"/>
              <w:bottom w:w="50" w:type="dxa"/>
              <w:left w:w="90" w:type="dxa"/>
              <w:right w:w="90" w:type="dxa"/>
            </w:tcMar>
          </w:tcPr>
          <w:p>
            <w:pPr>
              <w:pStyle w:val="BDOITable"/>
              <w:jc w:val="center"/>
            </w:pPr>
            <w:r>
              <w:rPr>
                <w:sz w:val="17"/>
              </w:rPr>
              <w:t>0</w:t>
            </w:r>
          </w:p>
        </w:tc>
        <w:tc>
          <w:tcPr>
            <w:tcW w:type="dxa" w:w="1187"/>
            <w:tcMar>
              <w:top w:w="50" w:type="dxa"/>
              <w:bottom w:w="50" w:type="dxa"/>
              <w:left w:w="90" w:type="dxa"/>
              <w:right w:w="90" w:type="dxa"/>
            </w:tcMar>
          </w:tcPr>
          <w:p>
            <w:pPr>
              <w:pStyle w:val="BDOITable"/>
              <w:jc w:val="center"/>
            </w:pPr>
            <w:r>
              <w:rPr>
                <w:sz w:val="17"/>
              </w:rPr>
              <w:t>12</w:t>
            </w:r>
          </w:p>
        </w:tc>
      </w:tr>
      <w:tr>
        <w:trPr>
          <w:cantSplit w:val="true"/>
        </w:trPr>
        <w:tc>
          <w:tcPr>
            <w:tcW w:type="dxa" w:w="4155"/>
            <w:tcMar>
              <w:top w:w="50" w:type="dxa"/>
              <w:bottom w:w="50" w:type="dxa"/>
              <w:left w:w="90" w:type="dxa"/>
              <w:right w:w="90" w:type="dxa"/>
            </w:tcMar>
            <w:shd w:val="clear" w:color="auto" w:fill="E5F5FF"/>
          </w:tcPr>
          <w:p>
            <w:pPr>
              <w:pStyle w:val="BDOITable"/>
            </w:pPr>
            <w:r>
              <w:rPr>
                <w:sz w:val="17"/>
              </w:rPr>
              <w:t>Data migration reference data</w:t>
            </w:r>
          </w:p>
        </w:tc>
        <w:tc>
          <w:tcPr>
            <w:tcW w:type="dxa" w:w="1425"/>
            <w:tcMar>
              <w:top w:w="50" w:type="dxa"/>
              <w:bottom w:w="50" w:type="dxa"/>
              <w:left w:w="90" w:type="dxa"/>
              <w:right w:w="90" w:type="dxa"/>
            </w:tcMar>
            <w:shd w:val="clear" w:color="auto" w:fill="E5F5FF"/>
          </w:tcPr>
          <w:p>
            <w:pPr>
              <w:pStyle w:val="BDOITable"/>
              <w:jc w:val="center"/>
            </w:pPr>
            <w:r>
              <w:rPr>
                <w:sz w:val="17"/>
              </w:rPr>
              <w:t>0</w:t>
            </w:r>
          </w:p>
        </w:tc>
        <w:tc>
          <w:tcPr>
            <w:tcW w:type="dxa" w:w="1425"/>
            <w:tcMar>
              <w:top w:w="50" w:type="dxa"/>
              <w:bottom w:w="50" w:type="dxa"/>
              <w:left w:w="90" w:type="dxa"/>
              <w:right w:w="90" w:type="dxa"/>
            </w:tcMar>
            <w:shd w:val="clear" w:color="auto" w:fill="E5F5FF"/>
          </w:tcPr>
          <w:p>
            <w:pPr>
              <w:pStyle w:val="BDOITable"/>
              <w:jc w:val="center"/>
            </w:pPr>
            <w:r>
              <w:rPr>
                <w:sz w:val="17"/>
              </w:rPr>
              <w:t>0</w:t>
            </w:r>
          </w:p>
        </w:tc>
        <w:tc>
          <w:tcPr>
            <w:tcW w:type="dxa" w:w="1781"/>
            <w:tcMar>
              <w:top w:w="50" w:type="dxa"/>
              <w:bottom w:w="50" w:type="dxa"/>
              <w:left w:w="90" w:type="dxa"/>
              <w:right w:w="90" w:type="dxa"/>
            </w:tcMar>
            <w:shd w:val="clear" w:color="auto" w:fill="E5F5FF"/>
          </w:tcPr>
          <w:p>
            <w:pPr>
              <w:pStyle w:val="BDOITable"/>
              <w:jc w:val="center"/>
            </w:pPr>
            <w:r>
              <w:rPr>
                <w:sz w:val="17"/>
              </w:rPr>
              <w:t>2</w:t>
            </w:r>
          </w:p>
        </w:tc>
        <w:tc>
          <w:tcPr>
            <w:tcW w:type="dxa" w:w="1187"/>
            <w:tcMar>
              <w:top w:w="50" w:type="dxa"/>
              <w:bottom w:w="50" w:type="dxa"/>
              <w:left w:w="90" w:type="dxa"/>
              <w:right w:w="90" w:type="dxa"/>
            </w:tcMar>
            <w:shd w:val="clear" w:color="auto" w:fill="E5F5FF"/>
          </w:tcPr>
          <w:p>
            <w:pPr>
              <w:pStyle w:val="BDOITable"/>
              <w:jc w:val="center"/>
            </w:pPr>
            <w:r>
              <w:rPr>
                <w:sz w:val="17"/>
              </w:rPr>
              <w:t>2</w:t>
            </w:r>
          </w:p>
        </w:tc>
      </w:tr>
      <w:tr>
        <w:trPr>
          <w:cantSplit w:val="true"/>
        </w:trPr>
        <w:tc>
          <w:tcPr>
            <w:tcW w:type="dxa" w:w="4155"/>
            <w:tcMar>
              <w:top w:w="50" w:type="dxa"/>
              <w:bottom w:w="50" w:type="dxa"/>
              <w:left w:w="90" w:type="dxa"/>
              <w:right w:w="90" w:type="dxa"/>
            </w:tcMar>
          </w:tcPr>
          <w:p>
            <w:pPr>
              <w:pStyle w:val="BDOITable"/>
            </w:pPr>
            <w:r>
              <w:rPr>
                <w:sz w:val="17"/>
              </w:rPr>
              <w:t>Total</w:t>
            </w:r>
          </w:p>
        </w:tc>
        <w:tc>
          <w:tcPr>
            <w:tcW w:type="dxa" w:w="1425"/>
            <w:tcMar>
              <w:top w:w="50" w:type="dxa"/>
              <w:bottom w:w="50" w:type="dxa"/>
              <w:left w:w="90" w:type="dxa"/>
              <w:right w:w="90" w:type="dxa"/>
            </w:tcMar>
          </w:tcPr>
          <w:p>
            <w:pPr>
              <w:pStyle w:val="BDOITable"/>
              <w:jc w:val="center"/>
            </w:pPr>
            <w:r>
              <w:rPr>
                <w:sz w:val="17"/>
              </w:rPr>
              <w:t>35</w:t>
            </w:r>
          </w:p>
        </w:tc>
        <w:tc>
          <w:tcPr>
            <w:tcW w:type="dxa" w:w="1425"/>
            <w:tcMar>
              <w:top w:w="50" w:type="dxa"/>
              <w:bottom w:w="50" w:type="dxa"/>
              <w:left w:w="90" w:type="dxa"/>
              <w:right w:w="90" w:type="dxa"/>
            </w:tcMar>
          </w:tcPr>
          <w:p>
            <w:pPr>
              <w:pStyle w:val="BDOITable"/>
              <w:jc w:val="center"/>
            </w:pPr>
            <w:r>
              <w:rPr>
                <w:sz w:val="17"/>
              </w:rPr>
              <w:t>32</w:t>
            </w:r>
          </w:p>
        </w:tc>
        <w:tc>
          <w:tcPr>
            <w:tcW w:type="dxa" w:w="1781"/>
            <w:tcMar>
              <w:top w:w="50" w:type="dxa"/>
              <w:bottom w:w="50" w:type="dxa"/>
              <w:left w:w="90" w:type="dxa"/>
              <w:right w:w="90" w:type="dxa"/>
            </w:tcMar>
          </w:tcPr>
          <w:p>
            <w:pPr>
              <w:pStyle w:val="BDOITable"/>
              <w:jc w:val="center"/>
            </w:pPr>
            <w:r>
              <w:rPr>
                <w:sz w:val="17"/>
              </w:rPr>
              <w:t>11</w:t>
            </w:r>
          </w:p>
        </w:tc>
        <w:tc>
          <w:tcPr>
            <w:tcW w:type="dxa" w:w="1187"/>
            <w:tcMar>
              <w:top w:w="50" w:type="dxa"/>
              <w:bottom w:w="50" w:type="dxa"/>
              <w:left w:w="90" w:type="dxa"/>
              <w:right w:w="90" w:type="dxa"/>
            </w:tcMar>
          </w:tcPr>
          <w:p>
            <w:pPr>
              <w:pStyle w:val="BDOITable"/>
              <w:jc w:val="center"/>
            </w:pPr>
            <w:r>
              <w:rPr>
                <w:sz w:val="17"/>
              </w:rPr>
              <w:t>78</w:t>
            </w:r>
          </w:p>
        </w:tc>
      </w:tr>
    </w:tbl>
    <w:p>
      <w:pPr>
        <w:pStyle w:val="BDOISpacer"/>
      </w:pPr>
    </w:p>
    <w:p>
      <w:pPr>
        <w:pStyle w:val="Caption"/>
        <w:keepNext/>
        <w:spacing w:after="60"/>
      </w:pPr>
      <w:r>
        <w:rPr>
          <w:b/>
          <w:i w:val="0"/>
        </w:rPr>
        <w:t xml:space="preserve">Table 5: </w:t>
      </w:r>
      <w:r>
        <w:rPr/>
        <w:t>Lists of the workbook with one row per value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986"/>
        <w:gridCol w:w="1869"/>
        <w:gridCol w:w="3116"/>
      </w:tblGrid>
      <w:tr>
        <w:trPr>
          <w:tblHeader w:val="true"/>
          <w:cantSplit w:val="true"/>
        </w:trPr>
        <w:tc>
          <w:tcPr>
            <w:tcW w:type="dxa" w:w="4986"/>
            <w:shd w:val="clear" w:color="auto" w:fill="004EA8"/>
            <w:tcMar>
              <w:top w:w="50" w:type="dxa"/>
              <w:bottom w:w="50" w:type="dxa"/>
              <w:left w:w="90" w:type="dxa"/>
              <w:right w:w="90" w:type="dxa"/>
            </w:tcMar>
            <w:vAlign w:val="center"/>
          </w:tcPr>
          <w:p>
            <w:pPr>
              <w:pStyle w:val="BDOITableHeader"/>
            </w:pPr>
            <w:r>
              <w:rPr>
                <w:b/>
                <w:color w:val="FFFFFF"/>
                <w:sz w:val="17"/>
              </w:rPr>
              <w:t>List</w:t>
            </w:r>
          </w:p>
        </w:tc>
        <w:tc>
          <w:tcPr>
            <w:tcW w:type="dxa" w:w="1870"/>
            <w:shd w:val="clear" w:color="auto" w:fill="004EA8"/>
            <w:tcMar>
              <w:top w:w="50" w:type="dxa"/>
              <w:bottom w:w="50" w:type="dxa"/>
              <w:left w:w="90" w:type="dxa"/>
              <w:right w:w="90" w:type="dxa"/>
            </w:tcMar>
            <w:vAlign w:val="center"/>
          </w:tcPr>
          <w:p>
            <w:pPr>
              <w:pStyle w:val="BDOITableHeader"/>
            </w:pPr>
            <w:r>
              <w:rPr>
                <w:b/>
                <w:color w:val="FFFFFF"/>
                <w:sz w:val="17"/>
              </w:rPr>
              <w:t>Rows</w:t>
            </w:r>
          </w:p>
        </w:tc>
        <w:tc>
          <w:tcPr>
            <w:tcW w:type="dxa" w:w="3116"/>
            <w:shd w:val="clear" w:color="auto" w:fill="004EA8"/>
            <w:tcMar>
              <w:top w:w="50" w:type="dxa"/>
              <w:bottom w:w="50" w:type="dxa"/>
              <w:left w:w="90" w:type="dxa"/>
              <w:right w:w="90" w:type="dxa"/>
            </w:tcMar>
            <w:vAlign w:val="center"/>
          </w:tcPr>
          <w:p>
            <w:pPr>
              <w:pStyle w:val="BDOITableHeader"/>
            </w:pPr>
            <w:r>
              <w:rPr>
                <w:b/>
                <w:color w:val="FFFFFF"/>
                <w:sz w:val="17"/>
              </w:rPr>
              <w:t>Of which loaded by the migration (R01)</w:t>
            </w:r>
          </w:p>
        </w:tc>
      </w:tr>
      <w:tr>
        <w:trPr>
          <w:cantSplit w:val="true"/>
        </w:trPr>
        <w:tc>
          <w:tcPr>
            <w:tcW w:type="dxa" w:w="4986"/>
            <w:tcMar>
              <w:top w:w="50" w:type="dxa"/>
              <w:bottom w:w="50" w:type="dxa"/>
              <w:left w:w="90" w:type="dxa"/>
              <w:right w:w="90" w:type="dxa"/>
            </w:tcMar>
          </w:tcPr>
          <w:p>
            <w:pPr>
              <w:pStyle w:val="BDOITable"/>
            </w:pPr>
            <w:r>
              <w:rPr>
                <w:sz w:val="17"/>
              </w:rPr>
              <w:t>Lists of values</w:t>
            </w:r>
          </w:p>
        </w:tc>
        <w:tc>
          <w:tcPr>
            <w:tcW w:type="dxa" w:w="1870"/>
            <w:tcMar>
              <w:top w:w="50" w:type="dxa"/>
              <w:bottom w:w="50" w:type="dxa"/>
              <w:left w:w="90" w:type="dxa"/>
              <w:right w:w="90" w:type="dxa"/>
            </w:tcMar>
          </w:tcPr>
          <w:p>
            <w:pPr>
              <w:pStyle w:val="BDOITable"/>
              <w:jc w:val="center"/>
            </w:pPr>
            <w:r>
              <w:rPr>
                <w:sz w:val="17"/>
              </w:rPr>
              <w:t>133</w:t>
            </w:r>
          </w:p>
        </w:tc>
        <w:tc>
          <w:tcPr>
            <w:tcW w:type="dxa" w:w="3116"/>
            <w:tcMar>
              <w:top w:w="50" w:type="dxa"/>
              <w:bottom w:w="50" w:type="dxa"/>
              <w:left w:w="90" w:type="dxa"/>
              <w:right w:w="90" w:type="dxa"/>
            </w:tcMar>
          </w:tcPr>
          <w:p>
            <w:pPr>
              <w:pStyle w:val="BDOITable"/>
              <w:jc w:val="center"/>
            </w:pPr>
            <w:r>
              <w:rPr>
                <w:sz w:val="17"/>
              </w:rPr>
              <w:t>8</w:t>
            </w:r>
          </w:p>
        </w:tc>
      </w:tr>
      <w:tr>
        <w:trPr>
          <w:cantSplit w:val="true"/>
        </w:trPr>
        <w:tc>
          <w:tcPr>
            <w:tcW w:type="dxa" w:w="4986"/>
            <w:tcMar>
              <w:top w:w="50" w:type="dxa"/>
              <w:bottom w:w="50" w:type="dxa"/>
              <w:left w:w="90" w:type="dxa"/>
              <w:right w:w="90" w:type="dxa"/>
            </w:tcMar>
            <w:shd w:val="clear" w:color="auto" w:fill="E5F5FF"/>
          </w:tcPr>
          <w:p>
            <w:pPr>
              <w:pStyle w:val="BDOITable"/>
            </w:pPr>
            <w:r>
              <w:rPr>
                <w:sz w:val="17"/>
              </w:rPr>
              <w:t>System parameters</w:t>
            </w:r>
          </w:p>
        </w:tc>
        <w:tc>
          <w:tcPr>
            <w:tcW w:type="dxa" w:w="1870"/>
            <w:tcMar>
              <w:top w:w="50" w:type="dxa"/>
              <w:bottom w:w="50" w:type="dxa"/>
              <w:left w:w="90" w:type="dxa"/>
              <w:right w:w="90" w:type="dxa"/>
            </w:tcMar>
            <w:shd w:val="clear" w:color="auto" w:fill="E5F5FF"/>
          </w:tcPr>
          <w:p>
            <w:pPr>
              <w:pStyle w:val="BDOITable"/>
              <w:jc w:val="center"/>
            </w:pPr>
            <w:r>
              <w:rPr>
                <w:sz w:val="17"/>
              </w:rPr>
              <w:t>208</w:t>
            </w:r>
          </w:p>
        </w:tc>
        <w:tc>
          <w:tcPr>
            <w:tcW w:type="dxa" w:w="3116"/>
            <w:tcMar>
              <w:top w:w="50" w:type="dxa"/>
              <w:bottom w:w="50" w:type="dxa"/>
              <w:left w:w="90" w:type="dxa"/>
              <w:right w:w="90" w:type="dxa"/>
            </w:tcMar>
            <w:shd w:val="clear" w:color="auto" w:fill="E5F5FF"/>
          </w:tcPr>
          <w:p>
            <w:pPr>
              <w:pStyle w:val="BDOITable"/>
              <w:jc w:val="center"/>
            </w:pPr>
            <w:r>
              <w:rPr>
                <w:sz w:val="17"/>
              </w:rPr>
              <w:t>0</w:t>
            </w:r>
          </w:p>
        </w:tc>
      </w:tr>
      <w:tr>
        <w:trPr>
          <w:cantSplit w:val="true"/>
        </w:trPr>
        <w:tc>
          <w:tcPr>
            <w:tcW w:type="dxa" w:w="4986"/>
            <w:tcMar>
              <w:top w:w="50" w:type="dxa"/>
              <w:bottom w:w="50" w:type="dxa"/>
              <w:left w:w="90" w:type="dxa"/>
              <w:right w:w="90" w:type="dxa"/>
            </w:tcMar>
          </w:tcPr>
          <w:p>
            <w:pPr>
              <w:pStyle w:val="BDOITable"/>
            </w:pPr>
            <w:r>
              <w:rPr>
                <w:sz w:val="17"/>
              </w:rPr>
              <w:t>Numbered document prefixes</w:t>
            </w:r>
          </w:p>
        </w:tc>
        <w:tc>
          <w:tcPr>
            <w:tcW w:type="dxa" w:w="1870"/>
            <w:tcMar>
              <w:top w:w="50" w:type="dxa"/>
              <w:bottom w:w="50" w:type="dxa"/>
              <w:left w:w="90" w:type="dxa"/>
              <w:right w:w="90" w:type="dxa"/>
            </w:tcMar>
          </w:tcPr>
          <w:p>
            <w:pPr>
              <w:pStyle w:val="BDOITable"/>
              <w:jc w:val="center"/>
            </w:pPr>
            <w:r>
              <w:rPr>
                <w:sz w:val="17"/>
              </w:rPr>
              <w:t>11</w:t>
            </w:r>
          </w:p>
        </w:tc>
        <w:tc>
          <w:tcPr>
            <w:tcW w:type="dxa" w:w="3116"/>
            <w:tcMar>
              <w:top w:w="50" w:type="dxa"/>
              <w:bottom w:w="50" w:type="dxa"/>
              <w:left w:w="90" w:type="dxa"/>
              <w:right w:w="90" w:type="dxa"/>
            </w:tcMar>
          </w:tcPr>
          <w:p>
            <w:pPr>
              <w:pStyle w:val="BDOITable"/>
              <w:jc w:val="center"/>
            </w:pPr>
            <w:r>
              <w:rPr>
                <w:sz w:val="17"/>
              </w:rPr>
              <w:t>0</w:t>
            </w:r>
          </w:p>
        </w:tc>
      </w:tr>
      <w:tr>
        <w:trPr>
          <w:cantSplit w:val="true"/>
        </w:trPr>
        <w:tc>
          <w:tcPr>
            <w:tcW w:type="dxa" w:w="4986"/>
            <w:tcMar>
              <w:top w:w="50" w:type="dxa"/>
              <w:bottom w:w="50" w:type="dxa"/>
              <w:left w:w="90" w:type="dxa"/>
              <w:right w:w="90" w:type="dxa"/>
            </w:tcMar>
            <w:shd w:val="clear" w:color="auto" w:fill="E5F5FF"/>
          </w:tcPr>
          <w:p>
            <w:pPr>
              <w:pStyle w:val="BDOITable"/>
            </w:pPr>
            <w:r>
              <w:rPr>
                <w:sz w:val="17"/>
              </w:rPr>
              <w:t>Notification events</w:t>
            </w:r>
          </w:p>
        </w:tc>
        <w:tc>
          <w:tcPr>
            <w:tcW w:type="dxa" w:w="1870"/>
            <w:tcMar>
              <w:top w:w="50" w:type="dxa"/>
              <w:bottom w:w="50" w:type="dxa"/>
              <w:left w:w="90" w:type="dxa"/>
              <w:right w:w="90" w:type="dxa"/>
            </w:tcMar>
            <w:shd w:val="clear" w:color="auto" w:fill="E5F5FF"/>
          </w:tcPr>
          <w:p>
            <w:pPr>
              <w:pStyle w:val="BDOITable"/>
              <w:jc w:val="center"/>
            </w:pPr>
            <w:r>
              <w:rPr>
                <w:sz w:val="17"/>
              </w:rPr>
              <w:t>88</w:t>
            </w:r>
          </w:p>
        </w:tc>
        <w:tc>
          <w:tcPr>
            <w:tcW w:type="dxa" w:w="3116"/>
            <w:tcMar>
              <w:top w:w="50" w:type="dxa"/>
              <w:bottom w:w="50" w:type="dxa"/>
              <w:left w:w="90" w:type="dxa"/>
              <w:right w:w="90" w:type="dxa"/>
            </w:tcMar>
            <w:shd w:val="clear" w:color="auto" w:fill="E5F5FF"/>
          </w:tcPr>
          <w:p>
            <w:pPr>
              <w:pStyle w:val="BDOITable"/>
              <w:jc w:val="center"/>
            </w:pPr>
            <w:r>
              <w:rPr>
                <w:sz w:val="17"/>
              </w:rPr>
              <w:t>0</w:t>
            </w:r>
          </w:p>
        </w:tc>
      </w:tr>
      <w:tr>
        <w:trPr>
          <w:cantSplit w:val="true"/>
        </w:trPr>
        <w:tc>
          <w:tcPr>
            <w:tcW w:type="dxa" w:w="4986"/>
            <w:tcMar>
              <w:top w:w="50" w:type="dxa"/>
              <w:bottom w:w="50" w:type="dxa"/>
              <w:left w:w="90" w:type="dxa"/>
              <w:right w:w="90" w:type="dxa"/>
            </w:tcMar>
          </w:tcPr>
          <w:p>
            <w:pPr>
              <w:pStyle w:val="BDOITable"/>
            </w:pPr>
            <w:r>
              <w:rPr>
                <w:sz w:val="17"/>
              </w:rPr>
              <w:t>Document templates</w:t>
            </w:r>
          </w:p>
        </w:tc>
        <w:tc>
          <w:tcPr>
            <w:tcW w:type="dxa" w:w="1870"/>
            <w:tcMar>
              <w:top w:w="50" w:type="dxa"/>
              <w:bottom w:w="50" w:type="dxa"/>
              <w:left w:w="90" w:type="dxa"/>
              <w:right w:w="90" w:type="dxa"/>
            </w:tcMar>
          </w:tcPr>
          <w:p>
            <w:pPr>
              <w:pStyle w:val="BDOITable"/>
              <w:jc w:val="center"/>
            </w:pPr>
            <w:r>
              <w:rPr>
                <w:sz w:val="17"/>
              </w:rPr>
              <w:t>62</w:t>
            </w:r>
          </w:p>
        </w:tc>
        <w:tc>
          <w:tcPr>
            <w:tcW w:type="dxa" w:w="3116"/>
            <w:tcMar>
              <w:top w:w="50" w:type="dxa"/>
              <w:bottom w:w="50" w:type="dxa"/>
              <w:left w:w="90" w:type="dxa"/>
              <w:right w:w="90" w:type="dxa"/>
            </w:tcMar>
          </w:tcPr>
          <w:p>
            <w:pPr>
              <w:pStyle w:val="BDOITable"/>
              <w:jc w:val="center"/>
            </w:pPr>
            <w:r>
              <w:rPr>
                <w:sz w:val="17"/>
              </w:rPr>
              <w:t>0</w:t>
            </w:r>
          </w:p>
        </w:tc>
      </w:tr>
      <w:tr>
        <w:trPr>
          <w:cantSplit w:val="true"/>
        </w:trPr>
        <w:tc>
          <w:tcPr>
            <w:tcW w:type="dxa" w:w="4986"/>
            <w:tcMar>
              <w:top w:w="50" w:type="dxa"/>
              <w:bottom w:w="50" w:type="dxa"/>
              <w:left w:w="90" w:type="dxa"/>
              <w:right w:w="90" w:type="dxa"/>
            </w:tcMar>
            <w:shd w:val="clear" w:color="auto" w:fill="E5F5FF"/>
          </w:tcPr>
          <w:p>
            <w:pPr>
              <w:pStyle w:val="BDOITable"/>
            </w:pPr>
            <w:r>
              <w:rPr>
                <w:sz w:val="17"/>
              </w:rPr>
              <w:t>Accounting events (rules of D0-08)</w:t>
            </w:r>
          </w:p>
        </w:tc>
        <w:tc>
          <w:tcPr>
            <w:tcW w:type="dxa" w:w="1870"/>
            <w:tcMar>
              <w:top w:w="50" w:type="dxa"/>
              <w:bottom w:w="50" w:type="dxa"/>
              <w:left w:w="90" w:type="dxa"/>
              <w:right w:w="90" w:type="dxa"/>
            </w:tcMar>
            <w:shd w:val="clear" w:color="auto" w:fill="E5F5FF"/>
          </w:tcPr>
          <w:p>
            <w:pPr>
              <w:pStyle w:val="BDOITable"/>
              <w:jc w:val="center"/>
            </w:pPr>
            <w:r>
              <w:rPr>
                <w:sz w:val="17"/>
              </w:rPr>
              <w:t>87</w:t>
            </w:r>
          </w:p>
        </w:tc>
        <w:tc>
          <w:tcPr>
            <w:tcW w:type="dxa" w:w="3116"/>
            <w:tcMar>
              <w:top w:w="50" w:type="dxa"/>
              <w:bottom w:w="50" w:type="dxa"/>
              <w:left w:w="90" w:type="dxa"/>
              <w:right w:w="90" w:type="dxa"/>
            </w:tcMar>
            <w:shd w:val="clear" w:color="auto" w:fill="E5F5FF"/>
          </w:tcPr>
          <w:p>
            <w:pPr>
              <w:pStyle w:val="BDOITable"/>
              <w:jc w:val="center"/>
            </w:pPr>
            <w:r>
              <w:rPr>
                <w:sz w:val="17"/>
              </w:rPr>
              <w:t>0</w:t>
            </w:r>
          </w:p>
        </w:tc>
      </w:tr>
    </w:tbl>
    <w:p>
      <w:pPr>
        <w:pStyle w:val="BDOISpacer"/>
      </w:pPr>
    </w:p>
    <w:p>
      <w:pPr>
        <w:pStyle w:val="Heading2"/>
      </w:pPr>
      <w:bookmarkStart w:id="107" w:name="_Toc000107"/>
      <w:r>
        <w:rPr/>
        <w:t>6.1 Timeline</w:t>
      </w:r>
      <w:bookmarkEnd w:id="107"/>
    </w:p>
    <w:p>
      <w:r>
        <w:rPr/>
        <w:t>The due dates are set against the programme milestones and counted back from go-live. The platform set-up that Drop 1 SIT uses is due first; the production values are due before the dress rehearsal, and the reference values freeze with the code maps seven days before go-live.</w:t>
      </w:r>
    </w:p>
    <w:p>
      <w:pPr>
        <w:pStyle w:val="Caption"/>
        <w:keepNext/>
        <w:spacing w:after="60"/>
      </w:pPr>
      <w:r>
        <w:rPr>
          <w:b/>
          <w:i w:val="0"/>
        </w:rPr>
        <w:t xml:space="preserve">Table 6: </w:t>
      </w:r>
      <w:r>
        <w:rPr/>
        <w:t>Configuration inputs timeline (go-live T = 3-Jan-2028)</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554"/>
        <w:gridCol w:w="1994"/>
        <w:gridCol w:w="1218"/>
        <w:gridCol w:w="1218"/>
        <w:gridCol w:w="4986"/>
      </w:tblGrid>
      <w:tr>
        <w:trPr>
          <w:tblHeader w:val="true"/>
          <w:cantSplit w:val="true"/>
        </w:trPr>
        <w:tc>
          <w:tcPr>
            <w:tcW w:type="dxa" w:w="554"/>
            <w:shd w:val="clear" w:color="auto" w:fill="004EA8"/>
            <w:tcMar>
              <w:top w:w="50" w:type="dxa"/>
              <w:bottom w:w="50" w:type="dxa"/>
              <w:left w:w="90" w:type="dxa"/>
              <w:right w:w="90" w:type="dxa"/>
            </w:tcMar>
            <w:vAlign w:val="center"/>
          </w:tcPr>
          <w:p>
            <w:pPr>
              <w:pStyle w:val="BDOITableHeader"/>
            </w:pPr>
            <w:r>
              <w:rPr>
                <w:b/>
                <w:color w:val="FFFFFF"/>
                <w:sz w:val="15"/>
              </w:rPr>
              <w:t>Due</w:t>
            </w:r>
          </w:p>
        </w:tc>
        <w:tc>
          <w:tcPr>
            <w:tcW w:type="dxa" w:w="1994"/>
            <w:shd w:val="clear" w:color="auto" w:fill="004EA8"/>
            <w:tcMar>
              <w:top w:w="50" w:type="dxa"/>
              <w:bottom w:w="50" w:type="dxa"/>
              <w:left w:w="90" w:type="dxa"/>
              <w:right w:w="90" w:type="dxa"/>
            </w:tcMar>
            <w:vAlign w:val="center"/>
          </w:tcPr>
          <w:p>
            <w:pPr>
              <w:pStyle w:val="BDOITableHeader"/>
            </w:pPr>
            <w:r>
              <w:rPr>
                <w:b/>
                <w:color w:val="FFFFFF"/>
                <w:sz w:val="15"/>
              </w:rPr>
              <w:t>Milestone</w:t>
            </w:r>
          </w:p>
        </w:tc>
        <w:tc>
          <w:tcPr>
            <w:tcW w:type="dxa" w:w="1219"/>
            <w:shd w:val="clear" w:color="auto" w:fill="004EA8"/>
            <w:tcMar>
              <w:top w:w="50" w:type="dxa"/>
              <w:bottom w:w="50" w:type="dxa"/>
              <w:left w:w="90" w:type="dxa"/>
              <w:right w:w="90" w:type="dxa"/>
            </w:tcMar>
            <w:vAlign w:val="center"/>
          </w:tcPr>
          <w:p>
            <w:pPr>
              <w:pStyle w:val="BDOITableHeader"/>
            </w:pPr>
            <w:r>
              <w:rPr>
                <w:b/>
                <w:color w:val="FFFFFF"/>
                <w:sz w:val="15"/>
              </w:rPr>
              <w:t>Date</w:t>
            </w:r>
          </w:p>
        </w:tc>
        <w:tc>
          <w:tcPr>
            <w:tcW w:type="dxa" w:w="1219"/>
            <w:shd w:val="clear" w:color="auto" w:fill="004EA8"/>
            <w:tcMar>
              <w:top w:w="50" w:type="dxa"/>
              <w:bottom w:w="50" w:type="dxa"/>
              <w:left w:w="90" w:type="dxa"/>
              <w:right w:w="90" w:type="dxa"/>
            </w:tcMar>
            <w:vAlign w:val="center"/>
          </w:tcPr>
          <w:p>
            <w:pPr>
              <w:pStyle w:val="BDOITableHeader"/>
            </w:pPr>
            <w:r>
              <w:rPr>
                <w:b/>
                <w:color w:val="FFFFFF"/>
                <w:sz w:val="15"/>
              </w:rPr>
              <w:t>Before go-live</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5"/>
              </w:rPr>
              <w:t>Configuration inputs due</w:t>
            </w:r>
          </w:p>
        </w:tc>
      </w:tr>
      <w:tr>
        <w:tc>
          <w:tcPr>
            <w:tcW w:type="dxa" w:w="554"/>
            <w:tcMar>
              <w:top w:w="50" w:type="dxa"/>
              <w:bottom w:w="50" w:type="dxa"/>
              <w:left w:w="90" w:type="dxa"/>
              <w:right w:w="90" w:type="dxa"/>
            </w:tcMar>
          </w:tcPr>
          <w:p>
            <w:pPr>
              <w:pStyle w:val="BDOITable"/>
            </w:pPr>
            <w:r>
              <w:rPr>
                <w:sz w:val="15"/>
              </w:rPr>
              <w:t>D1</w:t>
            </w:r>
          </w:p>
        </w:tc>
        <w:tc>
          <w:tcPr>
            <w:tcW w:type="dxa" w:w="1994"/>
            <w:tcMar>
              <w:top w:w="50" w:type="dxa"/>
              <w:bottom w:w="50" w:type="dxa"/>
              <w:left w:w="90" w:type="dxa"/>
              <w:right w:w="90" w:type="dxa"/>
            </w:tcMar>
          </w:tcPr>
          <w:p>
            <w:pPr>
              <w:pStyle w:val="BDOITable"/>
            </w:pPr>
            <w:r>
              <w:rPr>
                <w:sz w:val="15"/>
              </w:rPr>
              <w:t>Drafts with the Drop 0 sign-off</w:t>
            </w:r>
          </w:p>
        </w:tc>
        <w:tc>
          <w:tcPr>
            <w:tcW w:type="dxa" w:w="1219"/>
            <w:tcMar>
              <w:top w:w="50" w:type="dxa"/>
              <w:bottom w:w="50" w:type="dxa"/>
              <w:left w:w="90" w:type="dxa"/>
              <w:right w:w="90" w:type="dxa"/>
            </w:tcMar>
          </w:tcPr>
          <w:p>
            <w:pPr>
              <w:pStyle w:val="BDOITable"/>
            </w:pPr>
            <w:r>
              <w:rPr>
                <w:sz w:val="15"/>
              </w:rPr>
              <w:t>1-Dec-2026</w:t>
            </w:r>
          </w:p>
        </w:tc>
        <w:tc>
          <w:tcPr>
            <w:tcW w:type="dxa" w:w="1219"/>
            <w:tcMar>
              <w:top w:w="50" w:type="dxa"/>
              <w:bottom w:w="50" w:type="dxa"/>
              <w:left w:w="90" w:type="dxa"/>
              <w:right w:w="90" w:type="dxa"/>
            </w:tcMar>
          </w:tcPr>
          <w:p>
            <w:pPr>
              <w:pStyle w:val="BDOITable"/>
            </w:pPr>
            <w:r>
              <w:rPr>
                <w:sz w:val="15"/>
              </w:rPr>
              <w:t>T-56 weeks</w:t>
            </w:r>
          </w:p>
        </w:tc>
        <w:tc>
          <w:tcPr>
            <w:tcW w:type="dxa" w:w="4986"/>
            <w:tcMar>
              <w:top w:w="50" w:type="dxa"/>
              <w:bottom w:w="50" w:type="dxa"/>
              <w:left w:w="90" w:type="dxa"/>
              <w:right w:w="90" w:type="dxa"/>
            </w:tcMar>
          </w:tcPr>
          <w:p>
            <w:pPr>
              <w:pStyle w:val="BDOITable"/>
              <w:ind w:left="170" w:hanging="170"/>
            </w:pPr>
            <w:r>
              <w:rPr>
                <w:sz w:val="15"/>
              </w:rPr>
              <w:t xml:space="preserve">• </w:t>
            </w:r>
            <w:r>
              <w:rPr>
                <w:sz w:val="15"/>
              </w:rPr>
              <w:t>Legacy control accounts and Migration Clearing</w:t>
            </w:r>
          </w:p>
          <w:p>
            <w:pPr>
              <w:pStyle w:val="BDOITable"/>
              <w:ind w:left="170" w:hanging="170"/>
            </w:pPr>
            <w:r>
              <w:rPr>
                <w:sz w:val="15"/>
              </w:rPr>
              <w:t xml:space="preserve">• </w:t>
            </w:r>
            <w:r>
              <w:rPr>
                <w:sz w:val="15"/>
              </w:rPr>
              <w:t>Directory sign-in and provisioning (EIAM, UIDM-ISC)</w:t>
            </w:r>
          </w:p>
        </w:tc>
      </w:tr>
      <w:tr>
        <w:tc>
          <w:tcPr>
            <w:tcW w:type="dxa" w:w="554"/>
            <w:tcMar>
              <w:top w:w="50" w:type="dxa"/>
              <w:bottom w:w="50" w:type="dxa"/>
              <w:left w:w="90" w:type="dxa"/>
              <w:right w:w="90" w:type="dxa"/>
            </w:tcMar>
            <w:shd w:val="clear" w:color="auto" w:fill="E5F5FF"/>
          </w:tcPr>
          <w:p>
            <w:pPr>
              <w:pStyle w:val="BDOITable"/>
            </w:pPr>
            <w:r>
              <w:rPr>
                <w:sz w:val="15"/>
              </w:rPr>
              <w:t>D2</w:t>
            </w:r>
          </w:p>
        </w:tc>
        <w:tc>
          <w:tcPr>
            <w:tcW w:type="dxa" w:w="1994"/>
            <w:tcMar>
              <w:top w:w="50" w:type="dxa"/>
              <w:bottom w:w="50" w:type="dxa"/>
              <w:left w:w="90" w:type="dxa"/>
              <w:right w:w="90" w:type="dxa"/>
            </w:tcMar>
            <w:shd w:val="clear" w:color="auto" w:fill="E5F5FF"/>
          </w:tcPr>
          <w:p>
            <w:pPr>
              <w:pStyle w:val="BDOITable"/>
            </w:pPr>
            <w:r>
              <w:rPr>
                <w:sz w:val="15"/>
              </w:rPr>
              <w:t>Platform set-up for Drop 1 SIT</w:t>
            </w:r>
          </w:p>
        </w:tc>
        <w:tc>
          <w:tcPr>
            <w:tcW w:type="dxa" w:w="1219"/>
            <w:tcMar>
              <w:top w:w="50" w:type="dxa"/>
              <w:bottom w:w="50" w:type="dxa"/>
              <w:left w:w="90" w:type="dxa"/>
              <w:right w:w="90" w:type="dxa"/>
            </w:tcMar>
            <w:shd w:val="clear" w:color="auto" w:fill="E5F5FF"/>
          </w:tcPr>
          <w:p>
            <w:pPr>
              <w:pStyle w:val="BDOITable"/>
            </w:pPr>
            <w:r>
              <w:rPr>
                <w:sz w:val="15"/>
              </w:rPr>
              <w:t>4-Jan-2027</w:t>
            </w:r>
          </w:p>
        </w:tc>
        <w:tc>
          <w:tcPr>
            <w:tcW w:type="dxa" w:w="1219"/>
            <w:tcMar>
              <w:top w:w="50" w:type="dxa"/>
              <w:bottom w:w="50" w:type="dxa"/>
              <w:left w:w="90" w:type="dxa"/>
              <w:right w:w="90" w:type="dxa"/>
            </w:tcMar>
            <w:shd w:val="clear" w:color="auto" w:fill="E5F5FF"/>
          </w:tcPr>
          <w:p>
            <w:pPr>
              <w:pStyle w:val="BDOITable"/>
            </w:pPr>
            <w:r>
              <w:rPr>
                <w:sz w:val="15"/>
              </w:rPr>
              <w:t>T-52 weeks</w:t>
            </w:r>
          </w:p>
        </w:tc>
        <w:tc>
          <w:tcPr>
            <w:tcW w:type="dxa" w:w="4986"/>
            <w:tcMar>
              <w:top w:w="50" w:type="dxa"/>
              <w:bottom w:w="50" w:type="dxa"/>
              <w:left w:w="90" w:type="dxa"/>
              <w:right w:w="90" w:type="dxa"/>
            </w:tcMar>
            <w:shd w:val="clear" w:color="auto" w:fill="E5F5FF"/>
          </w:tcPr>
          <w:p>
            <w:pPr>
              <w:pStyle w:val="BDOITable"/>
              <w:ind w:left="170" w:hanging="170"/>
            </w:pPr>
            <w:r>
              <w:rPr>
                <w:sz w:val="15"/>
              </w:rPr>
              <w:t xml:space="preserve">• </w:t>
            </w:r>
            <w:r>
              <w:rPr>
                <w:sz w:val="15"/>
              </w:rPr>
              <w:t>Company</w:t>
            </w:r>
          </w:p>
          <w:p>
            <w:pPr>
              <w:pStyle w:val="BDOITable"/>
              <w:ind w:left="170" w:hanging="170"/>
            </w:pPr>
            <w:r>
              <w:rPr>
                <w:sz w:val="15"/>
              </w:rPr>
              <w:t xml:space="preserve">• </w:t>
            </w:r>
            <w:r>
              <w:rPr>
                <w:sz w:val="15"/>
              </w:rPr>
              <w:t>Branches and invoicing branches</w:t>
            </w:r>
          </w:p>
          <w:p>
            <w:pPr>
              <w:pStyle w:val="BDOITable"/>
              <w:ind w:left="170" w:hanging="170"/>
            </w:pPr>
            <w:r>
              <w:rPr>
                <w:sz w:val="15"/>
              </w:rPr>
              <w:t xml:space="preserve">• </w:t>
            </w:r>
            <w:r>
              <w:rPr>
                <w:sz w:val="15"/>
              </w:rPr>
              <w:t>Holiday calendar</w:t>
            </w:r>
          </w:p>
          <w:p>
            <w:pPr>
              <w:pStyle w:val="BDOITable"/>
              <w:ind w:left="170" w:hanging="170"/>
            </w:pPr>
            <w:r>
              <w:rPr>
                <w:sz w:val="15"/>
              </w:rPr>
              <w:t xml:space="preserve">• </w:t>
            </w:r>
            <w:r>
              <w:rPr>
                <w:sz w:val="15"/>
              </w:rPr>
              <w:t>Cost centres and business lines</w:t>
            </w:r>
          </w:p>
          <w:p>
            <w:pPr>
              <w:pStyle w:val="BDOITable"/>
              <w:ind w:left="170" w:hanging="170"/>
            </w:pPr>
            <w:r>
              <w:rPr>
                <w:sz w:val="15"/>
              </w:rPr>
              <w:t xml:space="preserve">• </w:t>
            </w:r>
            <w:r>
              <w:rPr>
                <w:sz w:val="15"/>
              </w:rPr>
              <w:t>Chart of accounts</w:t>
            </w:r>
          </w:p>
          <w:p>
            <w:pPr>
              <w:pStyle w:val="BDOITable"/>
              <w:ind w:left="170" w:hanging="170"/>
            </w:pPr>
            <w:r>
              <w:rPr>
                <w:sz w:val="15"/>
              </w:rPr>
              <w:t xml:space="preserve">• </w:t>
            </w:r>
            <w:r>
              <w:rPr>
                <w:sz w:val="15"/>
              </w:rPr>
              <w:t>Account categories and numbering scheme</w:t>
            </w:r>
          </w:p>
          <w:p>
            <w:pPr>
              <w:pStyle w:val="BDOITable"/>
              <w:ind w:left="170" w:hanging="170"/>
            </w:pPr>
            <w:r>
              <w:rPr>
                <w:sz w:val="15"/>
              </w:rPr>
              <w:t xml:space="preserve">• </w:t>
            </w:r>
            <w:r>
              <w:rPr>
                <w:sz w:val="15"/>
              </w:rPr>
              <w:t>Accounting rules per event</w:t>
            </w:r>
          </w:p>
          <w:p>
            <w:pPr>
              <w:pStyle w:val="BDOITable"/>
              <w:ind w:left="170" w:hanging="170"/>
            </w:pPr>
            <w:r>
              <w:rPr>
                <w:sz w:val="15"/>
              </w:rPr>
              <w:t xml:space="preserve">• </w:t>
            </w:r>
            <w:r>
              <w:rPr>
                <w:sz w:val="15"/>
              </w:rPr>
              <w:t>Company bank accounts</w:t>
            </w:r>
          </w:p>
          <w:p>
            <w:pPr>
              <w:pStyle w:val="BDOITable"/>
              <w:ind w:left="170" w:hanging="170"/>
            </w:pPr>
            <w:r>
              <w:rPr>
                <w:sz w:val="15"/>
              </w:rPr>
              <w:t xml:space="preserve">• </w:t>
            </w:r>
            <w:r>
              <w:rPr>
                <w:sz w:val="15"/>
              </w:rPr>
              <w:t>Account numbering scheme</w:t>
            </w:r>
          </w:p>
        </w:tc>
      </w:tr>
      <w:tr>
        <w:tc>
          <w:tcPr>
            <w:tcW w:type="dxa" w:w="554"/>
            <w:tcMar>
              <w:top w:w="50" w:type="dxa"/>
              <w:bottom w:w="50" w:type="dxa"/>
              <w:left w:w="90" w:type="dxa"/>
              <w:right w:w="90" w:type="dxa"/>
            </w:tcMar>
          </w:tcPr>
          <w:p>
            <w:pPr>
              <w:pStyle w:val="BDOITable"/>
            </w:pPr>
            <w:r>
              <w:rPr>
                <w:sz w:val="15"/>
              </w:rPr>
              <w:t>D3</w:t>
            </w:r>
          </w:p>
        </w:tc>
        <w:tc>
          <w:tcPr>
            <w:tcW w:type="dxa" w:w="1994"/>
            <w:tcMar>
              <w:top w:w="50" w:type="dxa"/>
              <w:bottom w:w="50" w:type="dxa"/>
              <w:left w:w="90" w:type="dxa"/>
              <w:right w:w="90" w:type="dxa"/>
            </w:tcMar>
          </w:tcPr>
          <w:p>
            <w:pPr>
              <w:pStyle w:val="BDOITable"/>
            </w:pPr>
            <w:r>
              <w:rPr>
                <w:sz w:val="15"/>
              </w:rPr>
              <w:t>Reference data for Trial migration 1 (M4)</w:t>
            </w:r>
          </w:p>
        </w:tc>
        <w:tc>
          <w:tcPr>
            <w:tcW w:type="dxa" w:w="1219"/>
            <w:tcMar>
              <w:top w:w="50" w:type="dxa"/>
              <w:bottom w:w="50" w:type="dxa"/>
              <w:left w:w="90" w:type="dxa"/>
              <w:right w:w="90" w:type="dxa"/>
            </w:tcMar>
          </w:tcPr>
          <w:p>
            <w:pPr>
              <w:pStyle w:val="BDOITable"/>
            </w:pPr>
            <w:r>
              <w:rPr>
                <w:sz w:val="15"/>
              </w:rPr>
              <w:t>9-Apr-2027</w:t>
            </w:r>
          </w:p>
        </w:tc>
        <w:tc>
          <w:tcPr>
            <w:tcW w:type="dxa" w:w="1219"/>
            <w:tcMar>
              <w:top w:w="50" w:type="dxa"/>
              <w:bottom w:w="50" w:type="dxa"/>
              <w:left w:w="90" w:type="dxa"/>
              <w:right w:w="90" w:type="dxa"/>
            </w:tcMar>
          </w:tcPr>
          <w:p>
            <w:pPr>
              <w:pStyle w:val="BDOITable"/>
            </w:pPr>
            <w:r>
              <w:rPr>
                <w:sz w:val="15"/>
              </w:rPr>
              <w:t>T-38 weeks</w:t>
            </w:r>
          </w:p>
        </w:tc>
        <w:tc>
          <w:tcPr>
            <w:tcW w:type="dxa" w:w="4986"/>
            <w:tcMar>
              <w:top w:w="50" w:type="dxa"/>
              <w:bottom w:w="50" w:type="dxa"/>
              <w:left w:w="90" w:type="dxa"/>
              <w:right w:w="90" w:type="dxa"/>
            </w:tcMar>
          </w:tcPr>
          <w:p>
            <w:pPr>
              <w:pStyle w:val="BDOITable"/>
              <w:ind w:left="170" w:hanging="170"/>
            </w:pPr>
            <w:r>
              <w:rPr>
                <w:sz w:val="15"/>
              </w:rPr>
              <w:t xml:space="preserve">• </w:t>
            </w:r>
            <w:r>
              <w:rPr>
                <w:sz w:val="15"/>
              </w:rPr>
              <w:t>Sales organisation (regions, departments, teams, unit heads, account officers)</w:t>
            </w:r>
          </w:p>
          <w:p>
            <w:pPr>
              <w:pStyle w:val="BDOITable"/>
              <w:ind w:left="170" w:hanging="170"/>
            </w:pPr>
            <w:r>
              <w:rPr>
                <w:sz w:val="15"/>
              </w:rPr>
              <w:t xml:space="preserve">• </w:t>
            </w:r>
            <w:r>
              <w:rPr>
                <w:sz w:val="15"/>
              </w:rPr>
              <w:t>Bank list (mortgagee banks)</w:t>
            </w:r>
          </w:p>
          <w:p>
            <w:pPr>
              <w:pStyle w:val="BDOITable"/>
              <w:ind w:left="170" w:hanging="170"/>
            </w:pPr>
            <w:r>
              <w:rPr>
                <w:sz w:val="15"/>
              </w:rPr>
              <w:t xml:space="preserve">• </w:t>
            </w:r>
            <w:r>
              <w:rPr>
                <w:sz w:val="15"/>
              </w:rPr>
              <w:t>Lists of values (every list of the platform)</w:t>
            </w:r>
          </w:p>
          <w:p>
            <w:pPr>
              <w:pStyle w:val="BDOITable"/>
              <w:ind w:left="170" w:hanging="170"/>
            </w:pPr>
            <w:r>
              <w:rPr>
                <w:sz w:val="15"/>
              </w:rPr>
              <w:t xml:space="preserve">• </w:t>
            </w:r>
            <w:r>
              <w:rPr>
                <w:sz w:val="15"/>
              </w:rPr>
              <w:t>Product catalogue</w:t>
            </w:r>
          </w:p>
          <w:p>
            <w:pPr>
              <w:pStyle w:val="BDOITable"/>
              <w:ind w:left="170" w:hanging="170"/>
            </w:pPr>
            <w:r>
              <w:rPr>
                <w:sz w:val="15"/>
              </w:rPr>
              <w:t xml:space="preserve">• </w:t>
            </w:r>
            <w:r>
              <w:rPr>
                <w:sz w:val="15"/>
              </w:rPr>
              <w:t>Insurers and insurer branches</w:t>
            </w:r>
          </w:p>
          <w:p>
            <w:pPr>
              <w:pStyle w:val="BDOITable"/>
              <w:ind w:left="170" w:hanging="170"/>
            </w:pPr>
            <w:r>
              <w:rPr>
                <w:sz w:val="15"/>
              </w:rPr>
              <w:t xml:space="preserve">• </w:t>
            </w:r>
            <w:r>
              <w:rPr>
                <w:sz w:val="15"/>
              </w:rPr>
              <w:t>Commission rates by insurer and product</w:t>
            </w:r>
          </w:p>
          <w:p>
            <w:pPr>
              <w:pStyle w:val="BDOITable"/>
              <w:ind w:left="170" w:hanging="170"/>
            </w:pPr>
            <w:r>
              <w:rPr>
                <w:sz w:val="15"/>
              </w:rPr>
              <w:t xml:space="preserve">• </w:t>
            </w:r>
            <w:r>
              <w:rPr>
                <w:sz w:val="15"/>
              </w:rPr>
              <w:t>Payees</w:t>
            </w:r>
          </w:p>
          <w:p>
            <w:pPr>
              <w:pStyle w:val="BDOITable"/>
              <w:ind w:left="170" w:hanging="170"/>
            </w:pPr>
            <w:r>
              <w:rPr>
                <w:sz w:val="15"/>
              </w:rPr>
              <w:t xml:space="preserve">• </w:t>
            </w:r>
            <w:r>
              <w:rPr>
                <w:sz w:val="15"/>
              </w:rPr>
              <w:t>Role-to-permission matrix</w:t>
            </w:r>
          </w:p>
        </w:tc>
      </w:tr>
      <w:tr>
        <w:tc>
          <w:tcPr>
            <w:tcW w:type="dxa" w:w="554"/>
            <w:tcMar>
              <w:top w:w="50" w:type="dxa"/>
              <w:bottom w:w="50" w:type="dxa"/>
              <w:left w:w="90" w:type="dxa"/>
              <w:right w:w="90" w:type="dxa"/>
            </w:tcMar>
            <w:shd w:val="clear" w:color="auto" w:fill="E5F5FF"/>
          </w:tcPr>
          <w:p>
            <w:pPr>
              <w:pStyle w:val="BDOITable"/>
            </w:pPr>
            <w:r>
              <w:rPr>
                <w:sz w:val="15"/>
              </w:rPr>
              <w:t>D4</w:t>
            </w:r>
          </w:p>
        </w:tc>
        <w:tc>
          <w:tcPr>
            <w:tcW w:type="dxa" w:w="1994"/>
            <w:tcMar>
              <w:top w:w="50" w:type="dxa"/>
              <w:bottom w:w="50" w:type="dxa"/>
              <w:left w:w="90" w:type="dxa"/>
              <w:right w:w="90" w:type="dxa"/>
            </w:tcMar>
            <w:shd w:val="clear" w:color="auto" w:fill="E5F5FF"/>
          </w:tcPr>
          <w:p>
            <w:pPr>
              <w:pStyle w:val="BDOITable"/>
            </w:pPr>
            <w:r>
              <w:rPr>
                <w:sz w:val="15"/>
              </w:rPr>
              <w:t>Code maps approved (M5)</w:t>
            </w:r>
          </w:p>
        </w:tc>
        <w:tc>
          <w:tcPr>
            <w:tcW w:type="dxa" w:w="1219"/>
            <w:tcMar>
              <w:top w:w="50" w:type="dxa"/>
              <w:bottom w:w="50" w:type="dxa"/>
              <w:left w:w="90" w:type="dxa"/>
              <w:right w:w="90" w:type="dxa"/>
            </w:tcMar>
            <w:shd w:val="clear" w:color="auto" w:fill="E5F5FF"/>
          </w:tcPr>
          <w:p>
            <w:pPr>
              <w:pStyle w:val="BDOITable"/>
            </w:pPr>
            <w:r>
              <w:rPr>
                <w:sz w:val="15"/>
              </w:rPr>
              <w:t>18-Jun-2027</w:t>
            </w:r>
          </w:p>
        </w:tc>
        <w:tc>
          <w:tcPr>
            <w:tcW w:type="dxa" w:w="1219"/>
            <w:tcMar>
              <w:top w:w="50" w:type="dxa"/>
              <w:bottom w:w="50" w:type="dxa"/>
              <w:left w:w="90" w:type="dxa"/>
              <w:right w:w="90" w:type="dxa"/>
            </w:tcMar>
            <w:shd w:val="clear" w:color="auto" w:fill="E5F5FF"/>
          </w:tcPr>
          <w:p>
            <w:pPr>
              <w:pStyle w:val="BDOITable"/>
            </w:pPr>
            <w:r>
              <w:rPr>
                <w:sz w:val="15"/>
              </w:rPr>
              <w:t>T-28 weeks</w:t>
            </w:r>
          </w:p>
        </w:tc>
        <w:tc>
          <w:tcPr>
            <w:tcW w:type="dxa" w:w="4986"/>
            <w:tcMar>
              <w:top w:w="50" w:type="dxa"/>
              <w:bottom w:w="50" w:type="dxa"/>
              <w:left w:w="90" w:type="dxa"/>
              <w:right w:w="90" w:type="dxa"/>
            </w:tcMar>
            <w:shd w:val="clear" w:color="auto" w:fill="E5F5FF"/>
          </w:tcPr>
          <w:p>
            <w:pPr>
              <w:pStyle w:val="BDOITable"/>
              <w:ind w:left="170" w:hanging="170"/>
            </w:pPr>
            <w:r>
              <w:rPr>
                <w:sz w:val="15"/>
              </w:rPr>
              <w:t xml:space="preserve">• </w:t>
            </w:r>
            <w:r>
              <w:rPr>
                <w:sz w:val="15"/>
              </w:rPr>
              <w:t>Chart of accounts mapping (legacy GL account to BIBS account)</w:t>
            </w:r>
          </w:p>
          <w:p>
            <w:pPr>
              <w:pStyle w:val="BDOITable"/>
              <w:ind w:left="170" w:hanging="170"/>
            </w:pPr>
            <w:r>
              <w:rPr>
                <w:sz w:val="15"/>
              </w:rPr>
              <w:t xml:space="preserve">• </w:t>
            </w:r>
            <w:r>
              <w:rPr>
                <w:sz w:val="15"/>
              </w:rPr>
              <w:t>Values of the lists used by migrated records</w:t>
            </w:r>
          </w:p>
          <w:p>
            <w:pPr>
              <w:pStyle w:val="BDOITable"/>
              <w:ind w:left="170" w:hanging="170"/>
            </w:pPr>
            <w:r>
              <w:rPr>
                <w:sz w:val="15"/>
              </w:rPr>
              <w:t xml:space="preserve">• </w:t>
            </w:r>
            <w:r>
              <w:rPr>
                <w:sz w:val="15"/>
              </w:rPr>
              <w:t>Package map (legacy package to BIBS package version)</w:t>
            </w:r>
          </w:p>
          <w:p>
            <w:pPr>
              <w:pStyle w:val="BDOITable"/>
              <w:ind w:left="170" w:hanging="170"/>
            </w:pPr>
            <w:r>
              <w:rPr>
                <w:sz w:val="15"/>
              </w:rPr>
              <w:t xml:space="preserve">• </w:t>
            </w:r>
            <w:r>
              <w:rPr>
                <w:sz w:val="15"/>
              </w:rPr>
              <w:t>Code maps of the reference data</w:t>
            </w:r>
          </w:p>
          <w:p>
            <w:pPr>
              <w:pStyle w:val="BDOITable"/>
              <w:ind w:left="170" w:hanging="170"/>
            </w:pPr>
            <w:r>
              <w:rPr>
                <w:sz w:val="15"/>
              </w:rPr>
              <w:t xml:space="preserve">• </w:t>
            </w:r>
            <w:r>
              <w:rPr>
                <w:sz w:val="15"/>
              </w:rPr>
              <w:t>Branch code map</w:t>
            </w:r>
          </w:p>
        </w:tc>
      </w:tr>
      <w:tr>
        <w:tc>
          <w:tcPr>
            <w:tcW w:type="dxa" w:w="554"/>
            <w:tcMar>
              <w:top w:w="50" w:type="dxa"/>
              <w:bottom w:w="50" w:type="dxa"/>
              <w:left w:w="90" w:type="dxa"/>
              <w:right w:w="90" w:type="dxa"/>
            </w:tcMar>
          </w:tcPr>
          <w:p>
            <w:pPr>
              <w:pStyle w:val="BDOITable"/>
            </w:pPr>
            <w:r>
              <w:rPr>
                <w:sz w:val="15"/>
              </w:rPr>
              <w:t>D5</w:t>
            </w:r>
          </w:p>
        </w:tc>
        <w:tc>
          <w:tcPr>
            <w:tcW w:type="dxa" w:w="1994"/>
            <w:tcMar>
              <w:top w:w="50" w:type="dxa"/>
              <w:bottom w:w="50" w:type="dxa"/>
              <w:left w:w="90" w:type="dxa"/>
              <w:right w:w="90" w:type="dxa"/>
            </w:tcMar>
          </w:tcPr>
          <w:p>
            <w:pPr>
              <w:pStyle w:val="BDOITable"/>
            </w:pPr>
            <w:r>
              <w:rPr>
                <w:sz w:val="15"/>
              </w:rPr>
              <w:t>Values for UAT</w:t>
            </w:r>
          </w:p>
        </w:tc>
        <w:tc>
          <w:tcPr>
            <w:tcW w:type="dxa" w:w="1219"/>
            <w:tcMar>
              <w:top w:w="50" w:type="dxa"/>
              <w:bottom w:w="50" w:type="dxa"/>
              <w:left w:w="90" w:type="dxa"/>
              <w:right w:w="90" w:type="dxa"/>
            </w:tcMar>
          </w:tcPr>
          <w:p>
            <w:pPr>
              <w:pStyle w:val="BDOITable"/>
            </w:pPr>
            <w:r>
              <w:rPr>
                <w:sz w:val="15"/>
              </w:rPr>
              <w:t>16-Jul-2027</w:t>
            </w:r>
          </w:p>
        </w:tc>
        <w:tc>
          <w:tcPr>
            <w:tcW w:type="dxa" w:w="1219"/>
            <w:tcMar>
              <w:top w:w="50" w:type="dxa"/>
              <w:bottom w:w="50" w:type="dxa"/>
              <w:left w:w="90" w:type="dxa"/>
              <w:right w:w="90" w:type="dxa"/>
            </w:tcMar>
          </w:tcPr>
          <w:p>
            <w:pPr>
              <w:pStyle w:val="BDOITable"/>
            </w:pPr>
            <w:r>
              <w:rPr>
                <w:sz w:val="15"/>
              </w:rPr>
              <w:t>T-24 weeks</w:t>
            </w:r>
          </w:p>
        </w:tc>
        <w:tc>
          <w:tcPr>
            <w:tcW w:type="dxa" w:w="4986"/>
            <w:tcMar>
              <w:top w:w="50" w:type="dxa"/>
              <w:bottom w:w="50" w:type="dxa"/>
              <w:left w:w="90" w:type="dxa"/>
              <w:right w:w="90" w:type="dxa"/>
            </w:tcMar>
          </w:tcPr>
          <w:p>
            <w:pPr>
              <w:pStyle w:val="BDOITable"/>
              <w:ind w:left="170" w:hanging="170"/>
            </w:pPr>
            <w:r>
              <w:rPr>
                <w:sz w:val="15"/>
              </w:rPr>
              <w:t xml:space="preserve">• </w:t>
            </w:r>
            <w:r>
              <w:rPr>
                <w:sz w:val="15"/>
              </w:rPr>
              <w:t>Employees</w:t>
            </w:r>
          </w:p>
          <w:p>
            <w:pPr>
              <w:pStyle w:val="BDOITable"/>
              <w:ind w:left="170" w:hanging="170"/>
            </w:pPr>
            <w:r>
              <w:rPr>
                <w:sz w:val="15"/>
              </w:rPr>
              <w:t xml:space="preserve">• </w:t>
            </w:r>
            <w:r>
              <w:rPr>
                <w:sz w:val="15"/>
              </w:rPr>
              <w:t>Cost-centre rules</w:t>
            </w:r>
          </w:p>
          <w:p>
            <w:pPr>
              <w:pStyle w:val="BDOITable"/>
              <w:ind w:left="170" w:hanging="170"/>
            </w:pPr>
            <w:r>
              <w:rPr>
                <w:sz w:val="15"/>
              </w:rPr>
              <w:t xml:space="preserve">• </w:t>
            </w:r>
            <w:r>
              <w:rPr>
                <w:sz w:val="15"/>
              </w:rPr>
              <w:t>Production targets</w:t>
            </w:r>
          </w:p>
          <w:p>
            <w:pPr>
              <w:pStyle w:val="BDOITable"/>
              <w:ind w:left="170" w:hanging="170"/>
            </w:pPr>
            <w:r>
              <w:rPr>
                <w:sz w:val="15"/>
              </w:rPr>
              <w:t xml:space="preserve">• </w:t>
            </w:r>
            <w:r>
              <w:rPr>
                <w:sz w:val="15"/>
              </w:rPr>
              <w:t>Currencies and exchange rates</w:t>
            </w:r>
          </w:p>
          <w:p>
            <w:pPr>
              <w:pStyle w:val="BDOITable"/>
              <w:ind w:left="170" w:hanging="170"/>
            </w:pPr>
            <w:r>
              <w:rPr>
                <w:sz w:val="15"/>
              </w:rPr>
              <w:t xml:space="preserve">• </w:t>
            </w:r>
            <w:r>
              <w:rPr>
                <w:sz w:val="15"/>
              </w:rPr>
              <w:t>Group, subsidiaries and inter-company relationships</w:t>
            </w:r>
          </w:p>
          <w:p>
            <w:pPr>
              <w:pStyle w:val="BDOITable"/>
              <w:ind w:left="170" w:hanging="170"/>
            </w:pPr>
            <w:r>
              <w:rPr>
                <w:sz w:val="15"/>
              </w:rPr>
              <w:t xml:space="preserve">• </w:t>
            </w:r>
            <w:r>
              <w:rPr>
                <w:sz w:val="15"/>
              </w:rPr>
              <w:t>Tax codes and forms</w:t>
            </w:r>
          </w:p>
          <w:p>
            <w:pPr>
              <w:pStyle w:val="BDOITable"/>
              <w:ind w:left="170" w:hanging="170"/>
            </w:pPr>
            <w:r>
              <w:rPr>
                <w:sz w:val="15"/>
              </w:rPr>
              <w:t xml:space="preserve">• </w:t>
            </w:r>
            <w:r>
              <w:rPr>
                <w:sz w:val="15"/>
              </w:rPr>
              <w:t>Financial statement formats and account schedules</w:t>
            </w:r>
          </w:p>
          <w:p>
            <w:pPr>
              <w:pStyle w:val="BDOITable"/>
              <w:ind w:left="170" w:hanging="170"/>
            </w:pPr>
            <w:r>
              <w:rPr>
                <w:sz w:val="15"/>
              </w:rPr>
              <w:t xml:space="preserve">• </w:t>
            </w:r>
            <w:r>
              <w:rPr>
                <w:sz w:val="15"/>
              </w:rPr>
              <w:t>Asset categories</w:t>
            </w:r>
          </w:p>
          <w:p>
            <w:pPr>
              <w:pStyle w:val="BDOITable"/>
              <w:ind w:left="170" w:hanging="170"/>
            </w:pPr>
            <w:r>
              <w:rPr>
                <w:sz w:val="15"/>
              </w:rPr>
              <w:t xml:space="preserve">• </w:t>
            </w:r>
            <w:r>
              <w:rPr>
                <w:sz w:val="15"/>
              </w:rPr>
              <w:t>Investment portfolios</w:t>
            </w:r>
          </w:p>
          <w:p>
            <w:pPr>
              <w:pStyle w:val="BDOITable"/>
              <w:ind w:left="170" w:hanging="170"/>
            </w:pPr>
            <w:r>
              <w:rPr>
                <w:sz w:val="15"/>
              </w:rPr>
              <w:t xml:space="preserve">• </w:t>
            </w:r>
            <w:r>
              <w:rPr>
                <w:sz w:val="15"/>
              </w:rPr>
              <w:t>GL-SL reconciliation controls (ACSL)</w:t>
            </w:r>
          </w:p>
          <w:p>
            <w:pPr>
              <w:pStyle w:val="BDOITable"/>
              <w:ind w:left="170" w:hanging="170"/>
            </w:pPr>
            <w:r>
              <w:rPr>
                <w:sz w:val="15"/>
              </w:rPr>
              <w:t xml:space="preserve">• </w:t>
            </w:r>
            <w:r>
              <w:rPr>
                <w:sz w:val="15"/>
              </w:rPr>
              <w:t>Service fee rates</w:t>
            </w:r>
          </w:p>
          <w:p>
            <w:pPr>
              <w:pStyle w:val="BDOITable"/>
              <w:ind w:left="170" w:hanging="170"/>
            </w:pPr>
            <w:r>
              <w:rPr>
                <w:sz w:val="15"/>
              </w:rPr>
              <w:t xml:space="preserve">• </w:t>
            </w:r>
            <w:r>
              <w:rPr>
                <w:sz w:val="15"/>
              </w:rPr>
              <w:t>Bank statement layouts</w:t>
            </w:r>
          </w:p>
          <w:p>
            <w:pPr>
              <w:pStyle w:val="BDOITable"/>
              <w:ind w:left="170" w:hanging="170"/>
            </w:pPr>
            <w:r>
              <w:rPr>
                <w:sz w:val="15"/>
              </w:rPr>
              <w:t xml:space="preserve">• </w:t>
            </w:r>
            <w:r>
              <w:rPr>
                <w:sz w:val="15"/>
              </w:rPr>
              <w:t>Payment file layouts of the collection channels</w:t>
            </w:r>
          </w:p>
          <w:p>
            <w:pPr>
              <w:pStyle w:val="BDOITable"/>
              <w:ind w:left="170" w:hanging="170"/>
            </w:pPr>
            <w:r>
              <w:rPr>
                <w:sz w:val="15"/>
              </w:rPr>
              <w:t xml:space="preserve">• </w:t>
            </w:r>
            <w:r>
              <w:rPr>
                <w:sz w:val="15"/>
              </w:rPr>
              <w:t>Document number prefixes</w:t>
            </w:r>
          </w:p>
          <w:p>
            <w:pPr>
              <w:pStyle w:val="BDOITable"/>
              <w:ind w:left="170" w:hanging="170"/>
            </w:pPr>
            <w:r>
              <w:rPr>
                <w:sz w:val="15"/>
              </w:rPr>
              <w:t xml:space="preserve">• </w:t>
            </w:r>
            <w:r>
              <w:rPr>
                <w:sz w:val="15"/>
              </w:rPr>
              <w:t>System parameters (every parameter of the platform)</w:t>
            </w:r>
          </w:p>
          <w:p>
            <w:pPr>
              <w:pStyle w:val="BDOITable"/>
              <w:ind w:left="170" w:hanging="170"/>
            </w:pPr>
            <w:r>
              <w:rPr>
                <w:sz w:val="15"/>
              </w:rPr>
              <w:t xml:space="preserve">• </w:t>
            </w:r>
            <w:r>
              <w:rPr>
                <w:sz w:val="15"/>
              </w:rPr>
              <w:t>Sign-in, password, session and access-request parameters</w:t>
            </w:r>
          </w:p>
          <w:p>
            <w:pPr>
              <w:pStyle w:val="BDOITable"/>
              <w:ind w:left="170" w:hanging="170"/>
            </w:pPr>
            <w:r>
              <w:rPr>
                <w:sz w:val="15"/>
              </w:rPr>
              <w:t xml:space="preserve">• </w:t>
            </w:r>
            <w:r>
              <w:rPr>
                <w:sz w:val="15"/>
              </w:rPr>
              <w:t>Exception codes and alert thresholds</w:t>
            </w:r>
          </w:p>
          <w:p>
            <w:pPr>
              <w:pStyle w:val="BDOITable"/>
              <w:ind w:left="170" w:hanging="170"/>
            </w:pPr>
            <w:r>
              <w:rPr>
                <w:sz w:val="15"/>
              </w:rPr>
              <w:t xml:space="preserve">• </w:t>
            </w:r>
            <w:r>
              <w:rPr>
                <w:sz w:val="15"/>
              </w:rPr>
              <w:t>Scheduled job times</w:t>
            </w:r>
          </w:p>
          <w:p>
            <w:pPr>
              <w:pStyle w:val="BDOITable"/>
              <w:ind w:left="170" w:hanging="170"/>
            </w:pPr>
            <w:r>
              <w:rPr>
                <w:sz w:val="15"/>
              </w:rPr>
              <w:t xml:space="preserve">• </w:t>
            </w:r>
            <w:r>
              <w:rPr>
                <w:sz w:val="15"/>
              </w:rPr>
              <w:t>Data retention rules</w:t>
            </w:r>
          </w:p>
          <w:p>
            <w:pPr>
              <w:pStyle w:val="BDOITable"/>
              <w:ind w:left="170" w:hanging="170"/>
            </w:pPr>
            <w:r>
              <w:rPr>
                <w:sz w:val="15"/>
              </w:rPr>
              <w:t xml:space="preserve">• </w:t>
            </w:r>
            <w:r>
              <w:rPr>
                <w:sz w:val="15"/>
              </w:rPr>
              <w:t>Notification events and recipients</w:t>
            </w:r>
          </w:p>
          <w:p>
            <w:pPr>
              <w:pStyle w:val="BDOITable"/>
              <w:ind w:left="170" w:hanging="170"/>
            </w:pPr>
            <w:r>
              <w:rPr>
                <w:sz w:val="15"/>
              </w:rPr>
              <w:t xml:space="preserve">• </w:t>
            </w:r>
            <w:r>
              <w:rPr>
                <w:sz w:val="15"/>
              </w:rPr>
              <w:t>Fixed recipients and sender address</w:t>
            </w:r>
          </w:p>
          <w:p>
            <w:pPr>
              <w:pStyle w:val="BDOITable"/>
              <w:ind w:left="170" w:hanging="170"/>
            </w:pPr>
            <w:r>
              <w:rPr>
                <w:sz w:val="15"/>
              </w:rPr>
              <w:t xml:space="preserve">• </w:t>
            </w:r>
            <w:r>
              <w:rPr>
                <w:sz w:val="15"/>
              </w:rPr>
              <w:t>Document templates (letters, slips, advices, e-mails)</w:t>
            </w:r>
          </w:p>
          <w:p>
            <w:pPr>
              <w:pStyle w:val="BDOITable"/>
              <w:ind w:left="170" w:hanging="170"/>
            </w:pPr>
            <w:r>
              <w:rPr>
                <w:sz w:val="15"/>
              </w:rPr>
              <w:t xml:space="preserve">• </w:t>
            </w:r>
            <w:r>
              <w:rPr>
                <w:sz w:val="15"/>
              </w:rPr>
              <w:t>Screening forms and STR layout</w:t>
            </w:r>
          </w:p>
          <w:p>
            <w:pPr>
              <w:pStyle w:val="BDOITable"/>
              <w:ind w:left="170" w:hanging="170"/>
            </w:pPr>
            <w:r>
              <w:rPr>
                <w:sz w:val="15"/>
              </w:rPr>
              <w:t xml:space="preserve">• </w:t>
            </w:r>
            <w:r>
              <w:rPr>
                <w:sz w:val="15"/>
              </w:rPr>
              <w:t>Coverages, perils and field rules</w:t>
            </w:r>
          </w:p>
          <w:p>
            <w:pPr>
              <w:pStyle w:val="BDOITable"/>
              <w:ind w:left="170" w:hanging="170"/>
            </w:pPr>
            <w:r>
              <w:rPr>
                <w:sz w:val="15"/>
              </w:rPr>
              <w:t xml:space="preserve">• </w:t>
            </w:r>
            <w:r>
              <w:rPr>
                <w:sz w:val="15"/>
              </w:rPr>
              <w:t>Clause library</w:t>
            </w:r>
          </w:p>
          <w:p>
            <w:pPr>
              <w:pStyle w:val="BDOITable"/>
              <w:ind w:left="170" w:hanging="170"/>
            </w:pPr>
            <w:r>
              <w:rPr>
                <w:sz w:val="15"/>
              </w:rPr>
              <w:t xml:space="preserve">• </w:t>
            </w:r>
            <w:r>
              <w:rPr>
                <w:sz w:val="15"/>
              </w:rPr>
              <w:t>Rate tables</w:t>
            </w:r>
          </w:p>
          <w:p>
            <w:pPr>
              <w:pStyle w:val="BDOITable"/>
              <w:ind w:left="170" w:hanging="170"/>
            </w:pPr>
            <w:r>
              <w:rPr>
                <w:sz w:val="15"/>
              </w:rPr>
              <w:t xml:space="preserve">• </w:t>
            </w:r>
            <w:r>
              <w:rPr>
                <w:sz w:val="15"/>
              </w:rPr>
              <w:t>Incentive criteria</w:t>
            </w:r>
          </w:p>
          <w:p>
            <w:pPr>
              <w:pStyle w:val="BDOITable"/>
              <w:ind w:left="170" w:hanging="170"/>
            </w:pPr>
            <w:r>
              <w:rPr>
                <w:sz w:val="15"/>
              </w:rPr>
              <w:t xml:space="preserve">• </w:t>
            </w:r>
            <w:r>
              <w:rPr>
                <w:sz w:val="15"/>
              </w:rPr>
              <w:t>Lists and parameters of Product Maintenance</w:t>
            </w:r>
          </w:p>
          <w:p>
            <w:pPr>
              <w:pStyle w:val="BDOITable"/>
              <w:ind w:left="170" w:hanging="170"/>
            </w:pPr>
            <w:r>
              <w:rPr>
                <w:sz w:val="15"/>
              </w:rPr>
              <w:t xml:space="preserve">• </w:t>
            </w:r>
            <w:r>
              <w:rPr>
                <w:sz w:val="15"/>
              </w:rPr>
              <w:t>Package document templates</w:t>
            </w:r>
          </w:p>
          <w:p>
            <w:pPr>
              <w:pStyle w:val="BDOITable"/>
              <w:ind w:left="170" w:hanging="170"/>
            </w:pPr>
            <w:r>
              <w:rPr>
                <w:sz w:val="15"/>
              </w:rPr>
              <w:t xml:space="preserve">• </w:t>
            </w:r>
            <w:r>
              <w:rPr>
                <w:sz w:val="15"/>
              </w:rPr>
              <w:t>Business partners other than insurers (suppliers, service providers)</w:t>
            </w:r>
          </w:p>
          <w:p>
            <w:pPr>
              <w:pStyle w:val="BDOITable"/>
              <w:ind w:left="170" w:hanging="170"/>
            </w:pPr>
            <w:r>
              <w:rPr>
                <w:sz w:val="15"/>
              </w:rPr>
              <w:t xml:space="preserve">• </w:t>
            </w:r>
            <w:r>
              <w:rPr>
                <w:sz w:val="15"/>
              </w:rPr>
              <w:t>Insurer location references (claims)</w:t>
            </w:r>
          </w:p>
          <w:p>
            <w:pPr>
              <w:pStyle w:val="BDOITable"/>
              <w:ind w:left="170" w:hanging="170"/>
            </w:pPr>
            <w:r>
              <w:rPr>
                <w:sz w:val="15"/>
              </w:rPr>
              <w:t xml:space="preserve">• </w:t>
            </w:r>
            <w:r>
              <w:rPr>
                <w:sz w:val="15"/>
              </w:rPr>
              <w:t>Approvers, approval rules and authorisation limits</w:t>
            </w:r>
          </w:p>
          <w:p>
            <w:pPr>
              <w:pStyle w:val="BDOITable"/>
              <w:ind w:left="170" w:hanging="170"/>
            </w:pPr>
            <w:r>
              <w:rPr>
                <w:sz w:val="15"/>
              </w:rPr>
              <w:t xml:space="preserve">• </w:t>
            </w:r>
            <w:r>
              <w:rPr>
                <w:sz w:val="15"/>
              </w:rPr>
              <w:t>Separation-of-duties rules</w:t>
            </w:r>
          </w:p>
          <w:p>
            <w:pPr>
              <w:pStyle w:val="BDOITable"/>
              <w:ind w:left="170" w:hanging="170"/>
            </w:pPr>
            <w:r>
              <w:rPr>
                <w:sz w:val="15"/>
              </w:rPr>
              <w:t xml:space="preserve">• </w:t>
            </w:r>
            <w:r>
              <w:rPr>
                <w:sz w:val="15"/>
              </w:rPr>
              <w:t>Approval limits and matrices of the modules</w:t>
            </w:r>
          </w:p>
          <w:p>
            <w:pPr>
              <w:pStyle w:val="BDOITable"/>
              <w:ind w:left="170" w:hanging="170"/>
            </w:pPr>
            <w:r>
              <w:rPr>
                <w:sz w:val="15"/>
              </w:rPr>
              <w:t xml:space="preserve">• </w:t>
            </w:r>
            <w:r>
              <w:rPr>
                <w:sz w:val="15"/>
              </w:rPr>
              <w:t>User scope of Submitted Policies</w:t>
            </w:r>
          </w:p>
          <w:p>
            <w:pPr>
              <w:pStyle w:val="BDOITable"/>
              <w:ind w:left="170" w:hanging="170"/>
            </w:pPr>
            <w:r>
              <w:rPr>
                <w:sz w:val="15"/>
              </w:rPr>
              <w:t xml:space="preserve">• </w:t>
            </w:r>
            <w:r>
              <w:rPr>
                <w:sz w:val="15"/>
              </w:rPr>
              <w:t>Booking rules and incentive rules</w:t>
            </w:r>
          </w:p>
          <w:p>
            <w:pPr>
              <w:pStyle w:val="BDOITable"/>
              <w:ind w:left="170" w:hanging="170"/>
            </w:pPr>
            <w:r>
              <w:rPr>
                <w:sz w:val="15"/>
              </w:rPr>
              <w:t xml:space="preserve">• </w:t>
            </w:r>
            <w:r>
              <w:rPr>
                <w:sz w:val="15"/>
              </w:rPr>
              <w:t>Remittance incentive rules</w:t>
            </w:r>
          </w:p>
          <w:p>
            <w:pPr>
              <w:pStyle w:val="BDOITable"/>
              <w:ind w:left="170" w:hanging="170"/>
            </w:pPr>
            <w:r>
              <w:rPr>
                <w:sz w:val="15"/>
              </w:rPr>
              <w:t xml:space="preserve">• </w:t>
            </w:r>
            <w:r>
              <w:rPr>
                <w:sz w:val="15"/>
              </w:rPr>
              <w:t>Commission incentive schemes</w:t>
            </w:r>
          </w:p>
          <w:p>
            <w:pPr>
              <w:pStyle w:val="BDOITable"/>
              <w:ind w:left="170" w:hanging="170"/>
            </w:pPr>
            <w:r>
              <w:rPr>
                <w:sz w:val="15"/>
              </w:rPr>
              <w:t xml:space="preserve">• </w:t>
            </w:r>
            <w:r>
              <w:rPr>
                <w:sz w:val="15"/>
              </w:rPr>
              <w:t>Collections assignment and escalation rules</w:t>
            </w:r>
          </w:p>
          <w:p>
            <w:pPr>
              <w:pStyle w:val="BDOITable"/>
              <w:ind w:left="170" w:hanging="170"/>
            </w:pPr>
            <w:r>
              <w:rPr>
                <w:sz w:val="15"/>
              </w:rPr>
              <w:t xml:space="preserve">• </w:t>
            </w:r>
            <w:r>
              <w:rPr>
                <w:sz w:val="15"/>
              </w:rPr>
              <w:t>Renewal buckets and decision matrix</w:t>
            </w:r>
          </w:p>
          <w:p>
            <w:pPr>
              <w:pStyle w:val="BDOITable"/>
              <w:ind w:left="170" w:hanging="170"/>
            </w:pPr>
            <w:r>
              <w:rPr>
                <w:sz w:val="15"/>
              </w:rPr>
              <w:t xml:space="preserve">• </w:t>
            </w:r>
            <w:r>
              <w:rPr>
                <w:sz w:val="15"/>
              </w:rPr>
              <w:t>Submitted Policies rules, limits and letters</w:t>
            </w:r>
          </w:p>
          <w:p>
            <w:pPr>
              <w:pStyle w:val="BDOITable"/>
              <w:ind w:left="170" w:hanging="170"/>
            </w:pPr>
            <w:r>
              <w:rPr>
                <w:sz w:val="15"/>
              </w:rPr>
              <w:t xml:space="preserve">• </w:t>
            </w:r>
            <w:r>
              <w:rPr>
                <w:sz w:val="15"/>
              </w:rPr>
              <w:t>Screening configuration</w:t>
            </w:r>
          </w:p>
          <w:p>
            <w:pPr>
              <w:pStyle w:val="BDOITable"/>
              <w:ind w:left="170" w:hanging="170"/>
            </w:pPr>
            <w:r>
              <w:rPr>
                <w:sz w:val="15"/>
              </w:rPr>
              <w:t xml:space="preserve">• </w:t>
            </w:r>
            <w:r>
              <w:rPr>
                <w:sz w:val="15"/>
              </w:rPr>
              <w:t>Watchlist sources and entries</w:t>
            </w:r>
          </w:p>
          <w:p>
            <w:pPr>
              <w:pStyle w:val="BDOITable"/>
              <w:ind w:left="170" w:hanging="170"/>
            </w:pPr>
            <w:r>
              <w:rPr>
                <w:sz w:val="15"/>
              </w:rPr>
              <w:t xml:space="preserve">• </w:t>
            </w:r>
            <w:r>
              <w:rPr>
                <w:sz w:val="15"/>
              </w:rPr>
              <w:t>Employee Benefits set-up</w:t>
            </w:r>
          </w:p>
          <w:p>
            <w:pPr>
              <w:pStyle w:val="BDOITable"/>
              <w:ind w:left="170" w:hanging="170"/>
            </w:pPr>
            <w:r>
              <w:rPr>
                <w:sz w:val="15"/>
              </w:rPr>
              <w:t xml:space="preserve">• </w:t>
            </w:r>
            <w:r>
              <w:rPr>
                <w:sz w:val="15"/>
              </w:rPr>
              <w:t>Claims handlers and set-up</w:t>
            </w:r>
          </w:p>
          <w:p>
            <w:pPr>
              <w:pStyle w:val="BDOITable"/>
              <w:ind w:left="170" w:hanging="170"/>
            </w:pPr>
            <w:r>
              <w:rPr>
                <w:sz w:val="15"/>
              </w:rPr>
              <w:t xml:space="preserve">• </w:t>
            </w:r>
            <w:r>
              <w:rPr>
                <w:sz w:val="15"/>
              </w:rPr>
              <w:t>Production reconciliation extract schedules</w:t>
            </w:r>
          </w:p>
          <w:p>
            <w:pPr>
              <w:pStyle w:val="BDOITable"/>
              <w:ind w:left="170" w:hanging="170"/>
            </w:pPr>
            <w:r>
              <w:rPr>
                <w:sz w:val="15"/>
              </w:rPr>
              <w:t xml:space="preserve">• </w:t>
            </w:r>
            <w:r>
              <w:rPr>
                <w:sz w:val="15"/>
              </w:rPr>
              <w:t>New Business report variants</w:t>
            </w:r>
          </w:p>
        </w:tc>
      </w:tr>
      <w:tr>
        <w:tc>
          <w:tcPr>
            <w:tcW w:type="dxa" w:w="554"/>
            <w:tcMar>
              <w:top w:w="50" w:type="dxa"/>
              <w:bottom w:w="50" w:type="dxa"/>
              <w:left w:w="90" w:type="dxa"/>
              <w:right w:w="90" w:type="dxa"/>
            </w:tcMar>
            <w:shd w:val="clear" w:color="auto" w:fill="E5F5FF"/>
          </w:tcPr>
          <w:p>
            <w:pPr>
              <w:pStyle w:val="BDOITable"/>
            </w:pPr>
            <w:r>
              <w:rPr>
                <w:sz w:val="15"/>
              </w:rPr>
              <w:t>D6</w:t>
            </w:r>
          </w:p>
        </w:tc>
        <w:tc>
          <w:tcPr>
            <w:tcW w:type="dxa" w:w="1994"/>
            <w:tcMar>
              <w:top w:w="50" w:type="dxa"/>
              <w:bottom w:w="50" w:type="dxa"/>
              <w:left w:w="90" w:type="dxa"/>
              <w:right w:w="90" w:type="dxa"/>
            </w:tcMar>
            <w:shd w:val="clear" w:color="auto" w:fill="E5F5FF"/>
          </w:tcPr>
          <w:p>
            <w:pPr>
              <w:pStyle w:val="BDOITable"/>
            </w:pPr>
            <w:r>
              <w:rPr>
                <w:sz w:val="15"/>
              </w:rPr>
              <w:t>Production values before the dress rehearsal</w:t>
            </w:r>
          </w:p>
        </w:tc>
        <w:tc>
          <w:tcPr>
            <w:tcW w:type="dxa" w:w="1219"/>
            <w:tcMar>
              <w:top w:w="50" w:type="dxa"/>
              <w:bottom w:w="50" w:type="dxa"/>
              <w:left w:w="90" w:type="dxa"/>
              <w:right w:w="90" w:type="dxa"/>
            </w:tcMar>
            <w:shd w:val="clear" w:color="auto" w:fill="E5F5FF"/>
          </w:tcPr>
          <w:p>
            <w:pPr>
              <w:pStyle w:val="BDOITable"/>
            </w:pPr>
            <w:r>
              <w:rPr>
                <w:sz w:val="15"/>
              </w:rPr>
              <w:t>1-Nov-2027</w:t>
            </w:r>
          </w:p>
        </w:tc>
        <w:tc>
          <w:tcPr>
            <w:tcW w:type="dxa" w:w="1219"/>
            <w:tcMar>
              <w:top w:w="50" w:type="dxa"/>
              <w:bottom w:w="50" w:type="dxa"/>
              <w:left w:w="90" w:type="dxa"/>
              <w:right w:w="90" w:type="dxa"/>
            </w:tcMar>
            <w:shd w:val="clear" w:color="auto" w:fill="E5F5FF"/>
          </w:tcPr>
          <w:p>
            <w:pPr>
              <w:pStyle w:val="BDOITable"/>
            </w:pPr>
            <w:r>
              <w:rPr>
                <w:sz w:val="15"/>
              </w:rPr>
              <w:t>T-9 weeks</w:t>
            </w:r>
          </w:p>
        </w:tc>
        <w:tc>
          <w:tcPr>
            <w:tcW w:type="dxa" w:w="4986"/>
            <w:tcMar>
              <w:top w:w="50" w:type="dxa"/>
              <w:bottom w:w="50" w:type="dxa"/>
              <w:left w:w="90" w:type="dxa"/>
              <w:right w:w="90" w:type="dxa"/>
            </w:tcMar>
            <w:shd w:val="clear" w:color="auto" w:fill="E5F5FF"/>
          </w:tcPr>
          <w:p>
            <w:pPr>
              <w:pStyle w:val="BDOITable"/>
              <w:ind w:left="170" w:hanging="170"/>
            </w:pPr>
            <w:r>
              <w:rPr>
                <w:sz w:val="15"/>
              </w:rPr>
              <w:t xml:space="preserve">• </w:t>
            </w:r>
            <w:r>
              <w:rPr>
                <w:sz w:val="15"/>
              </w:rPr>
              <w:t>Financial year and periods</w:t>
            </w:r>
          </w:p>
          <w:p>
            <w:pPr>
              <w:pStyle w:val="BDOITable"/>
              <w:ind w:left="170" w:hanging="170"/>
            </w:pPr>
            <w:r>
              <w:rPr>
                <w:sz w:val="15"/>
              </w:rPr>
              <w:t xml:space="preserve">• </w:t>
            </w:r>
            <w:r>
              <w:rPr>
                <w:sz w:val="15"/>
              </w:rPr>
              <w:t>Recurring journals</w:t>
            </w:r>
          </w:p>
          <w:p>
            <w:pPr>
              <w:pStyle w:val="BDOITable"/>
              <w:ind w:left="170" w:hanging="170"/>
            </w:pPr>
            <w:r>
              <w:rPr>
                <w:sz w:val="15"/>
              </w:rPr>
              <w:t xml:space="preserve">• </w:t>
            </w:r>
            <w:r>
              <w:rPr>
                <w:sz w:val="15"/>
              </w:rPr>
              <w:t>Check books</w:t>
            </w:r>
          </w:p>
          <w:p>
            <w:pPr>
              <w:pStyle w:val="BDOITable"/>
              <w:ind w:left="170" w:hanging="170"/>
            </w:pPr>
            <w:r>
              <w:rPr>
                <w:sz w:val="15"/>
              </w:rPr>
              <w:t xml:space="preserve">• </w:t>
            </w:r>
            <w:r>
              <w:rPr>
                <w:sz w:val="15"/>
              </w:rPr>
              <w:t>Petty cash funds</w:t>
            </w:r>
          </w:p>
          <w:p>
            <w:pPr>
              <w:pStyle w:val="BDOITable"/>
              <w:ind w:left="170" w:hanging="170"/>
            </w:pPr>
            <w:r>
              <w:rPr>
                <w:sz w:val="15"/>
              </w:rPr>
              <w:t xml:space="preserve">• </w:t>
            </w:r>
            <w:r>
              <w:rPr>
                <w:sz w:val="15"/>
              </w:rPr>
              <w:t>Packages in force at go-live</w:t>
            </w:r>
          </w:p>
          <w:p>
            <w:pPr>
              <w:pStyle w:val="BDOITable"/>
              <w:ind w:left="170" w:hanging="170"/>
            </w:pPr>
            <w:r>
              <w:rPr>
                <w:sz w:val="15"/>
              </w:rPr>
              <w:t xml:space="preserve">• </w:t>
            </w:r>
            <w:r>
              <w:rPr>
                <w:sz w:val="15"/>
              </w:rPr>
              <w:t>Users at go-live</w:t>
            </w:r>
          </w:p>
        </w:tc>
      </w:tr>
      <w:tr>
        <w:tc>
          <w:tcPr>
            <w:tcW w:type="dxa" w:w="554"/>
            <w:tcMar>
              <w:top w:w="50" w:type="dxa"/>
              <w:bottom w:w="50" w:type="dxa"/>
              <w:left w:w="90" w:type="dxa"/>
              <w:right w:w="90" w:type="dxa"/>
            </w:tcMar>
          </w:tcPr>
          <w:p>
            <w:pPr>
              <w:pStyle w:val="BDOITable"/>
            </w:pPr>
            <w:r>
              <w:rPr>
                <w:sz w:val="15"/>
              </w:rPr>
              <w:t>D7</w:t>
            </w:r>
          </w:p>
        </w:tc>
        <w:tc>
          <w:tcPr>
            <w:tcW w:type="dxa" w:w="1994"/>
            <w:tcMar>
              <w:top w:w="50" w:type="dxa"/>
              <w:bottom w:w="50" w:type="dxa"/>
              <w:left w:w="90" w:type="dxa"/>
              <w:right w:w="90" w:type="dxa"/>
            </w:tcMar>
          </w:tcPr>
          <w:p>
            <w:pPr>
              <w:pStyle w:val="BDOITable"/>
            </w:pPr>
            <w:r>
              <w:rPr>
                <w:sz w:val="15"/>
              </w:rPr>
              <w:t>Map freeze (T-7)</w:t>
            </w:r>
          </w:p>
        </w:tc>
        <w:tc>
          <w:tcPr>
            <w:tcW w:type="dxa" w:w="1219"/>
            <w:tcMar>
              <w:top w:w="50" w:type="dxa"/>
              <w:bottom w:w="50" w:type="dxa"/>
              <w:left w:w="90" w:type="dxa"/>
              <w:right w:w="90" w:type="dxa"/>
            </w:tcMar>
          </w:tcPr>
          <w:p>
            <w:pPr>
              <w:pStyle w:val="BDOITable"/>
            </w:pPr>
            <w:r>
              <w:rPr>
                <w:sz w:val="15"/>
              </w:rPr>
              <w:t>27-Dec-2027</w:t>
            </w:r>
          </w:p>
        </w:tc>
        <w:tc>
          <w:tcPr>
            <w:tcW w:type="dxa" w:w="1219"/>
            <w:tcMar>
              <w:top w:w="50" w:type="dxa"/>
              <w:bottom w:w="50" w:type="dxa"/>
              <w:left w:w="90" w:type="dxa"/>
              <w:right w:w="90" w:type="dxa"/>
            </w:tcMar>
          </w:tcPr>
          <w:p>
            <w:pPr>
              <w:pStyle w:val="BDOITable"/>
            </w:pPr>
            <w:r>
              <w:rPr>
                <w:sz w:val="15"/>
              </w:rPr>
              <w:t>T-1 weeks</w:t>
            </w:r>
          </w:p>
        </w:tc>
        <w:tc>
          <w:tcPr>
            <w:tcW w:type="dxa" w:w="4986"/>
            <w:tcMar>
              <w:top w:w="50" w:type="dxa"/>
              <w:bottom w:w="50" w:type="dxa"/>
              <w:left w:w="90" w:type="dxa"/>
              <w:right w:w="90" w:type="dxa"/>
            </w:tcMar>
          </w:tcPr>
          <w:p>
            <w:pPr>
              <w:pStyle w:val="BDOITable"/>
              <w:ind w:left="170" w:hanging="170"/>
            </w:pPr>
            <w:r>
              <w:rPr>
                <w:sz w:val="15"/>
              </w:rPr>
              <w:t xml:space="preserve">• </w:t>
            </w:r>
            <w:r>
              <w:rPr>
                <w:sz w:val="15"/>
              </w:rPr>
              <w:t>Receipt series in use (AR and OR)</w:t>
            </w:r>
          </w:p>
        </w:tc>
      </w:tr>
    </w:tbl>
    <w:p>
      <w:pPr>
        <w:pStyle w:val="BDOISpacer"/>
      </w:pPr>
    </w:p>
    <w:p>
      <w:pPr>
        <w:pStyle w:val="Heading1"/>
        <w:pageBreakBefore/>
        <w:pBdr>
          <w:bottom w:val="single" w:sz="4" w:space="4" w:color="99C1E7"/>
        </w:pBdr>
      </w:pPr>
      <w:bookmarkStart w:id="108" w:name="_Toc000108"/>
      <w:r>
        <w:rPr/>
        <w:t>7 Entry and exit criteria</w:t>
      </w:r>
      <w:bookmarkEnd w:id="108"/>
    </w:p>
    <w:p>
      <w:pPr>
        <w:pStyle w:val="Heading2"/>
      </w:pPr>
      <w:bookmarkStart w:id="109" w:name="_Toc000109"/>
      <w:r>
        <w:rPr/>
        <w:t>7.1 Entry criteria for closing Drop 0</w:t>
      </w:r>
      <w:bookmarkEnd w:id="109"/>
    </w:p>
    <w:p>
      <w:pPr>
        <w:tabs>
          <w:tab w:pos="312" w:val="left"/>
        </w:tabs>
        <w:spacing w:after="40"/>
        <w:ind w:left="312" w:hanging="283"/>
      </w:pPr>
      <w:r>
        <w:rPr>
          <w:color w:val="004EA8"/>
        </w:rPr>
        <w:t>•</w:t>
        <w:tab/>
      </w:r>
      <w:r>
        <w:rPr/>
        <w:t>The three sign-off sets v2.0 of Drop 0 are issued: BRD-03 Product Maintenance, BRD-11 User Access Maintenance and BRD-13 Data Migration, each with its test plan.</w:t>
      </w:r>
    </w:p>
    <w:p>
      <w:pPr>
        <w:tabs>
          <w:tab w:pos="312" w:val="left"/>
        </w:tabs>
        <w:spacing w:after="40"/>
        <w:ind w:left="312" w:hanging="283"/>
      </w:pPr>
      <w:r>
        <w:rPr>
          <w:color w:val="004EA8"/>
        </w:rPr>
        <w:t>•</w:t>
        <w:tab/>
      </w:r>
      <w:r>
        <w:rPr/>
        <w:t>The configuration inputs workbook of Drop 0 is issued and each owner has received the sheets of the items it owns.</w:t>
      </w:r>
    </w:p>
    <w:p>
      <w:pPr>
        <w:tabs>
          <w:tab w:pos="312" w:val="left"/>
        </w:tabs>
        <w:spacing w:after="120"/>
        <w:ind w:left="312" w:hanging="283"/>
      </w:pPr>
      <w:r>
        <w:rPr>
          <w:color w:val="004EA8"/>
        </w:rPr>
        <w:t>•</w:t>
        <w:tab/>
      </w:r>
      <w:r>
        <w:rPr/>
        <w:t>The walkthrough sessions of each set are held on the SIT environment with seed data.</w:t>
      </w:r>
    </w:p>
    <w:p>
      <w:pPr>
        <w:pStyle w:val="Heading2"/>
      </w:pPr>
      <w:bookmarkStart w:id="110" w:name="_Toc000110"/>
      <w:r>
        <w:rPr/>
        <w:t>7.2 Exit criteria: Drop 0 is closed when</w:t>
      </w:r>
      <w:bookmarkEnd w:id="110"/>
    </w:p>
    <w:p>
      <w:pPr>
        <w:tabs>
          <w:tab w:pos="312" w:val="left"/>
        </w:tabs>
        <w:spacing w:after="40"/>
        <w:ind w:left="312" w:hanging="283"/>
      </w:pPr>
      <w:r>
        <w:rPr>
          <w:color w:val="004EA8"/>
        </w:rPr>
        <w:t>•</w:t>
        <w:tab/>
      </w:r>
      <w:r>
        <w:rPr/>
        <w:t>The sign-off certificate of each of the three sets is signed (BRD-13 by 30-Oct-2026, BRD-03 by 30-Nov-2026, BRD-11 by 1-Dec-2026).</w:t>
      </w:r>
    </w:p>
    <w:p>
      <w:pPr>
        <w:tabs>
          <w:tab w:pos="312" w:val="left"/>
        </w:tabs>
        <w:spacing w:after="40"/>
        <w:ind w:left="312" w:hanging="283"/>
      </w:pPr>
      <w:r>
        <w:rPr>
          <w:color w:val="004EA8"/>
        </w:rPr>
        <w:t>•</w:t>
        <w:tab/>
      </w:r>
      <w:r>
        <w:rPr/>
        <w:t>Every proposed rule and clarification of the three sets is decided, or accepted as the working assumption with its decision date.</w:t>
      </w:r>
    </w:p>
    <w:p>
      <w:pPr>
        <w:tabs>
          <w:tab w:pos="312" w:val="left"/>
        </w:tabs>
        <w:spacing w:after="40"/>
        <w:ind w:left="312" w:hanging="283"/>
      </w:pPr>
      <w:r>
        <w:rPr>
          <w:color w:val="004EA8"/>
        </w:rPr>
        <w:t>•</w:t>
        <w:tab/>
      </w:r>
      <w:r>
        <w:rPr/>
        <w:t>Every consolidated decision of this summary has an owner and a date; those due at M1 and M2 are taken.</w:t>
      </w:r>
    </w:p>
    <w:p>
      <w:pPr>
        <w:tabs>
          <w:tab w:pos="312" w:val="left"/>
        </w:tabs>
        <w:spacing w:after="40"/>
        <w:ind w:left="312" w:hanging="283"/>
      </w:pPr>
      <w:r>
        <w:rPr>
          <w:color w:val="004EA8"/>
        </w:rPr>
        <w:t>•</w:t>
        <w:tab/>
      </w:r>
      <w:r>
        <w:rPr/>
        <w:t>Every configuration item of the workbook has an owner, a due date and one route; the items due at D1 are Provided or In progress.</w:t>
      </w:r>
    </w:p>
    <w:p>
      <w:pPr>
        <w:tabs>
          <w:tab w:pos="312" w:val="left"/>
        </w:tabs>
        <w:spacing w:after="120"/>
        <w:ind w:left="312" w:hanging="283"/>
      </w:pPr>
      <w:r>
        <w:rPr>
          <w:color w:val="004EA8"/>
        </w:rPr>
        <w:t>•</w:t>
        <w:tab/>
      </w:r>
      <w:r>
        <w:rPr/>
        <w:t>The comments logs of the three sets are closed: answered, corrected in v2.1, or raised as change requests.</w:t>
      </w:r>
    </w:p>
    <w:p>
      <w:pPr>
        <w:pStyle w:val="Heading2"/>
      </w:pPr>
      <w:bookmarkStart w:id="111" w:name="_Toc000111"/>
      <w:r>
        <w:rPr/>
        <w:t>7.3 Entry criteria for Drop 1</w:t>
      </w:r>
      <w:bookmarkEnd w:id="111"/>
    </w:p>
    <w:p>
      <w:pPr>
        <w:tabs>
          <w:tab w:pos="312" w:val="left"/>
        </w:tabs>
        <w:spacing w:after="40"/>
        <w:ind w:left="312" w:hanging="283"/>
      </w:pPr>
      <w:r>
        <w:rPr>
          <w:color w:val="004EA8"/>
        </w:rPr>
        <w:t>•</w:t>
        <w:tab/>
      </w:r>
      <w:r>
        <w:rPr/>
        <w:t>Drop 0 is closed: the three sets are signed and the decisions of this summary are recorded.</w:t>
      </w:r>
    </w:p>
    <w:p>
      <w:pPr>
        <w:tabs>
          <w:tab w:pos="312" w:val="left"/>
        </w:tabs>
        <w:spacing w:after="40"/>
        <w:ind w:left="312" w:hanging="283"/>
      </w:pPr>
      <w:r>
        <w:rPr>
          <w:color w:val="004EA8"/>
        </w:rPr>
        <w:t>•</w:t>
        <w:tab/>
      </w:r>
      <w:r>
        <w:rPr/>
        <w:t>The BRD-1 New Business sign-off set v2.0 is issued (folder Drop-1_Transactional); its review and sign-off follow the same steps.</w:t>
      </w:r>
    </w:p>
    <w:p>
      <w:pPr>
        <w:tabs>
          <w:tab w:pos="312" w:val="left"/>
        </w:tabs>
        <w:spacing w:after="40"/>
        <w:ind w:left="312" w:hanging="283"/>
      </w:pPr>
      <w:r>
        <w:rPr>
          <w:color w:val="004EA8"/>
        </w:rPr>
        <w:t>•</w:t>
        <w:tab/>
      </w:r>
      <w:r>
        <w:rPr/>
        <w:t>The platform set-up that Drop 1 SIT uses is provided by D2 (4-Jan-2027): company, branches, holidays, dimensions, chart of accounts and numbering, accounting rules, bank accounts.</w:t>
      </w:r>
    </w:p>
    <w:p>
      <w:pPr>
        <w:tabs>
          <w:tab w:pos="312" w:val="left"/>
        </w:tabs>
        <w:spacing w:after="40"/>
        <w:ind w:left="312" w:hanging="283"/>
      </w:pPr>
      <w:r>
        <w:rPr>
          <w:color w:val="004EA8"/>
        </w:rPr>
        <w:t>•</w:t>
        <w:tab/>
      </w:r>
      <w:r>
        <w:rPr/>
        <w:t>The users and group profiles of the SIT and UAT reviewers are created through access requests.</w:t>
      </w:r>
    </w:p>
    <w:p>
      <w:pPr>
        <w:tabs>
          <w:tab w:pos="312" w:val="left"/>
        </w:tabs>
        <w:spacing w:after="120"/>
        <w:ind w:left="312" w:hanging="283"/>
      </w:pPr>
      <w:r>
        <w:rPr>
          <w:color w:val="004EA8"/>
        </w:rPr>
        <w:t>•</w:t>
        <w:tab/>
      </w:r>
      <w:r>
        <w:rPr/>
        <w:t>The lists of values and parameters of New Business are confirmed on the sheets Lists of values and System parameters.</w:t>
      </w:r>
    </w:p>
    <w:p>
      <w:pPr>
        <w:pStyle w:val="Heading1"/>
        <w:pageBreakBefore/>
        <w:pBdr>
          <w:bottom w:val="single" w:sz="4" w:space="4" w:color="99C1E7"/>
        </w:pBdr>
      </w:pPr>
      <w:bookmarkStart w:id="112" w:name="_Toc000112"/>
      <w:r>
        <w:rPr/>
        <w:t>8 Risks and dependencies</w:t>
      </w:r>
      <w:bookmarkEnd w:id="112"/>
    </w:p>
    <w:p>
      <w:pPr>
        <w:pStyle w:val="Caption"/>
        <w:keepNext/>
        <w:spacing w:after="60"/>
      </w:pPr>
      <w:r>
        <w:rPr>
          <w:b/>
          <w:i w:val="0"/>
        </w:rPr>
        <w:t xml:space="preserve">Table 7: </w:t>
      </w:r>
      <w:r>
        <w:rPr/>
        <w:t>Risks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84"/>
        <w:gridCol w:w="2465"/>
        <w:gridCol w:w="2353"/>
        <w:gridCol w:w="2913"/>
        <w:gridCol w:w="1456"/>
      </w:tblGrid>
      <w:tr>
        <w:trPr>
          <w:tblHeader w:val="true"/>
          <w:cantSplit w:val="true"/>
        </w:trPr>
        <w:tc>
          <w:tcPr>
            <w:tcW w:type="dxa" w:w="784"/>
            <w:shd w:val="clear" w:color="auto" w:fill="004EA8"/>
            <w:tcMar>
              <w:top w:w="50" w:type="dxa"/>
              <w:bottom w:w="50" w:type="dxa"/>
              <w:left w:w="90" w:type="dxa"/>
              <w:right w:w="90" w:type="dxa"/>
            </w:tcMar>
            <w:vAlign w:val="center"/>
          </w:tcPr>
          <w:p>
            <w:pPr>
              <w:pStyle w:val="BDOITableHeader"/>
            </w:pPr>
            <w:r>
              <w:rPr>
                <w:b/>
                <w:color w:val="FFFFFF"/>
                <w:sz w:val="15"/>
              </w:rPr>
              <w:t>ID</w:t>
            </w:r>
          </w:p>
        </w:tc>
        <w:tc>
          <w:tcPr>
            <w:tcW w:type="dxa" w:w="2465"/>
            <w:shd w:val="clear" w:color="auto" w:fill="004EA8"/>
            <w:tcMar>
              <w:top w:w="50" w:type="dxa"/>
              <w:bottom w:w="50" w:type="dxa"/>
              <w:left w:w="90" w:type="dxa"/>
              <w:right w:w="90" w:type="dxa"/>
            </w:tcMar>
            <w:vAlign w:val="center"/>
          </w:tcPr>
          <w:p>
            <w:pPr>
              <w:pStyle w:val="BDOITableHeader"/>
            </w:pPr>
            <w:r>
              <w:rPr>
                <w:b/>
                <w:color w:val="FFFFFF"/>
                <w:sz w:val="15"/>
              </w:rPr>
              <w:t>Risk</w:t>
            </w:r>
          </w:p>
        </w:tc>
        <w:tc>
          <w:tcPr>
            <w:tcW w:type="dxa" w:w="2353"/>
            <w:shd w:val="clear" w:color="auto" w:fill="004EA8"/>
            <w:tcMar>
              <w:top w:w="50" w:type="dxa"/>
              <w:bottom w:w="50" w:type="dxa"/>
              <w:left w:w="90" w:type="dxa"/>
              <w:right w:w="90" w:type="dxa"/>
            </w:tcMar>
            <w:vAlign w:val="center"/>
          </w:tcPr>
          <w:p>
            <w:pPr>
              <w:pStyle w:val="BDOITableHeader"/>
            </w:pPr>
            <w:r>
              <w:rPr>
                <w:b/>
                <w:color w:val="FFFFFF"/>
                <w:sz w:val="15"/>
              </w:rPr>
              <w:t>Impact</w:t>
            </w:r>
          </w:p>
        </w:tc>
        <w:tc>
          <w:tcPr>
            <w:tcW w:type="dxa" w:w="2913"/>
            <w:shd w:val="clear" w:color="auto" w:fill="004EA8"/>
            <w:tcMar>
              <w:top w:w="50" w:type="dxa"/>
              <w:bottom w:w="50" w:type="dxa"/>
              <w:left w:w="90" w:type="dxa"/>
              <w:right w:w="90" w:type="dxa"/>
            </w:tcMar>
            <w:vAlign w:val="center"/>
          </w:tcPr>
          <w:p>
            <w:pPr>
              <w:pStyle w:val="BDOITableHeader"/>
            </w:pPr>
            <w:r>
              <w:rPr>
                <w:b/>
                <w:color w:val="FFFFFF"/>
                <w:sz w:val="15"/>
              </w:rPr>
              <w:t>Mitigation</w:t>
            </w:r>
          </w:p>
        </w:tc>
        <w:tc>
          <w:tcPr>
            <w:tcW w:type="dxa" w:w="1457"/>
            <w:shd w:val="clear" w:color="auto" w:fill="004EA8"/>
            <w:tcMar>
              <w:top w:w="50" w:type="dxa"/>
              <w:bottom w:w="50" w:type="dxa"/>
              <w:left w:w="90" w:type="dxa"/>
              <w:right w:w="90" w:type="dxa"/>
            </w:tcMar>
            <w:vAlign w:val="center"/>
          </w:tcPr>
          <w:p>
            <w:pPr>
              <w:pStyle w:val="BDOITableHeader"/>
            </w:pPr>
            <w:r>
              <w:rPr>
                <w:b/>
                <w:color w:val="FFFFFF"/>
                <w:sz w:val="15"/>
              </w:rPr>
              <w:t>Owner</w:t>
            </w:r>
          </w:p>
        </w:tc>
      </w:tr>
      <w:tr>
        <w:tc>
          <w:tcPr>
            <w:tcW w:type="dxa" w:w="784"/>
            <w:tcMar>
              <w:top w:w="50" w:type="dxa"/>
              <w:bottom w:w="50" w:type="dxa"/>
              <w:left w:w="90" w:type="dxa"/>
              <w:right w:w="90" w:type="dxa"/>
            </w:tcMar>
          </w:tcPr>
          <w:p>
            <w:pPr>
              <w:pStyle w:val="BDOITable"/>
            </w:pPr>
            <w:r>
              <w:rPr>
                <w:sz w:val="15"/>
              </w:rPr>
              <w:t>RSK-01</w:t>
            </w:r>
          </w:p>
        </w:tc>
        <w:tc>
          <w:tcPr>
            <w:tcW w:type="dxa" w:w="2465"/>
            <w:tcMar>
              <w:top w:w="50" w:type="dxa"/>
              <w:bottom w:w="50" w:type="dxa"/>
              <w:left w:w="90" w:type="dxa"/>
              <w:right w:w="90" w:type="dxa"/>
            </w:tcMar>
          </w:tcPr>
          <w:p>
            <w:pPr>
              <w:pStyle w:val="BDOITable"/>
            </w:pPr>
            <w:r>
              <w:rPr>
                <w:sz w:val="15"/>
              </w:rPr>
              <w:t>Configuration inputs arrive after their due date, so Drop 1 SIT or a trial migration runs on seed values</w:t>
            </w:r>
          </w:p>
        </w:tc>
        <w:tc>
          <w:tcPr>
            <w:tcW w:type="dxa" w:w="2353"/>
            <w:tcMar>
              <w:top w:w="50" w:type="dxa"/>
              <w:bottom w:w="50" w:type="dxa"/>
              <w:left w:w="90" w:type="dxa"/>
              <w:right w:w="90" w:type="dxa"/>
            </w:tcMar>
          </w:tcPr>
          <w:p>
            <w:pPr>
              <w:pStyle w:val="BDOITable"/>
            </w:pPr>
            <w:r>
              <w:rPr>
                <w:sz w:val="15"/>
              </w:rPr>
              <w:t>SIT results do not hold for production; trial migrations are repeated</w:t>
            </w:r>
          </w:p>
        </w:tc>
        <w:tc>
          <w:tcPr>
            <w:tcW w:type="dxa" w:w="2913"/>
            <w:tcMar>
              <w:top w:w="50" w:type="dxa"/>
              <w:bottom w:w="50" w:type="dxa"/>
              <w:left w:w="90" w:type="dxa"/>
              <w:right w:w="90" w:type="dxa"/>
            </w:tcMar>
          </w:tcPr>
          <w:p>
            <w:pPr>
              <w:pStyle w:val="BDOITable"/>
            </w:pPr>
            <w:r>
              <w:rPr>
                <w:sz w:val="15"/>
              </w:rPr>
              <w:t>Owner per item and due date in the workbook; status reviewed at the weekly programme meeting from December 2026</w:t>
            </w:r>
          </w:p>
        </w:tc>
        <w:tc>
          <w:tcPr>
            <w:tcW w:type="dxa" w:w="1457"/>
            <w:tcMar>
              <w:top w:w="50" w:type="dxa"/>
              <w:bottom w:w="50" w:type="dxa"/>
              <w:left w:w="90" w:type="dxa"/>
              <w:right w:w="90" w:type="dxa"/>
            </w:tcMar>
          </w:tcPr>
          <w:p>
            <w:pPr>
              <w:pStyle w:val="BDOITable"/>
            </w:pPr>
            <w:r>
              <w:rPr>
                <w:sz w:val="15"/>
              </w:rPr>
              <w:t>Program Manager</w:t>
            </w:r>
          </w:p>
        </w:tc>
      </w:tr>
      <w:tr>
        <w:tc>
          <w:tcPr>
            <w:tcW w:type="dxa" w:w="784"/>
            <w:tcMar>
              <w:top w:w="50" w:type="dxa"/>
              <w:bottom w:w="50" w:type="dxa"/>
              <w:left w:w="90" w:type="dxa"/>
              <w:right w:w="90" w:type="dxa"/>
            </w:tcMar>
            <w:shd w:val="clear" w:color="auto" w:fill="E5F5FF"/>
          </w:tcPr>
          <w:p>
            <w:pPr>
              <w:pStyle w:val="BDOITable"/>
            </w:pPr>
            <w:r>
              <w:rPr>
                <w:sz w:val="15"/>
              </w:rPr>
              <w:t>RSK-02</w:t>
            </w:r>
          </w:p>
        </w:tc>
        <w:tc>
          <w:tcPr>
            <w:tcW w:type="dxa" w:w="2465"/>
            <w:tcMar>
              <w:top w:w="50" w:type="dxa"/>
              <w:bottom w:w="50" w:type="dxa"/>
              <w:left w:w="90" w:type="dxa"/>
              <w:right w:w="90" w:type="dxa"/>
            </w:tcMar>
            <w:shd w:val="clear" w:color="auto" w:fill="E5F5FF"/>
          </w:tcPr>
          <w:p>
            <w:pPr>
              <w:pStyle w:val="BDOITable"/>
            </w:pPr>
            <w:r>
              <w:rPr>
                <w:sz w:val="15"/>
              </w:rPr>
              <w:t>The production chart of accounts and the accounting rules are not final before Drop 1 SIT</w:t>
            </w:r>
          </w:p>
        </w:tc>
        <w:tc>
          <w:tcPr>
            <w:tcW w:type="dxa" w:w="2353"/>
            <w:tcMar>
              <w:top w:w="50" w:type="dxa"/>
              <w:bottom w:w="50" w:type="dxa"/>
              <w:left w:w="90" w:type="dxa"/>
              <w:right w:w="90" w:type="dxa"/>
            </w:tcMar>
            <w:shd w:val="clear" w:color="auto" w:fill="E5F5FF"/>
          </w:tcPr>
          <w:p>
            <w:pPr>
              <w:pStyle w:val="BDOITable"/>
            </w:pPr>
            <w:r>
              <w:rPr>
                <w:sz w:val="15"/>
              </w:rPr>
              <w:t>Postings of Drop 1 are tested against a draft chart; the GL opening (G01) and Migration Clearing cannot be reconciled</w:t>
            </w:r>
          </w:p>
        </w:tc>
        <w:tc>
          <w:tcPr>
            <w:tcW w:type="dxa" w:w="2913"/>
            <w:tcMar>
              <w:top w:w="50" w:type="dxa"/>
              <w:bottom w:w="50" w:type="dxa"/>
              <w:left w:w="90" w:type="dxa"/>
              <w:right w:w="90" w:type="dxa"/>
            </w:tcMar>
            <w:shd w:val="clear" w:color="auto" w:fill="E5F5FF"/>
          </w:tcPr>
          <w:p>
            <w:pPr>
              <w:pStyle w:val="BDOITable"/>
            </w:pPr>
            <w:r>
              <w:rPr>
                <w:sz w:val="15"/>
              </w:rPr>
              <w:t>Chart and rules due at D2; legacy accounts (D0-09) and the GL map (R08) due at D3 and D4</w:t>
            </w:r>
          </w:p>
        </w:tc>
        <w:tc>
          <w:tcPr>
            <w:tcW w:type="dxa" w:w="1457"/>
            <w:tcMar>
              <w:top w:w="50" w:type="dxa"/>
              <w:bottom w:w="50" w:type="dxa"/>
              <w:left w:w="90" w:type="dxa"/>
              <w:right w:w="90" w:type="dxa"/>
            </w:tcMar>
            <w:shd w:val="clear" w:color="auto" w:fill="E5F5FF"/>
          </w:tcPr>
          <w:p>
            <w:pPr>
              <w:pStyle w:val="BDOITable"/>
            </w:pPr>
            <w:r>
              <w:rPr>
                <w:sz w:val="15"/>
              </w:rPr>
              <w:t>Head, Comptrollership</w:t>
            </w:r>
          </w:p>
        </w:tc>
      </w:tr>
      <w:tr>
        <w:tc>
          <w:tcPr>
            <w:tcW w:type="dxa" w:w="784"/>
            <w:tcMar>
              <w:top w:w="50" w:type="dxa"/>
              <w:bottom w:w="50" w:type="dxa"/>
              <w:left w:w="90" w:type="dxa"/>
              <w:right w:w="90" w:type="dxa"/>
            </w:tcMar>
          </w:tcPr>
          <w:p>
            <w:pPr>
              <w:pStyle w:val="BDOITable"/>
            </w:pPr>
            <w:r>
              <w:rPr>
                <w:sz w:val="15"/>
              </w:rPr>
              <w:t>RSK-03</w:t>
            </w:r>
          </w:p>
        </w:tc>
        <w:tc>
          <w:tcPr>
            <w:tcW w:type="dxa" w:w="2465"/>
            <w:tcMar>
              <w:top w:w="50" w:type="dxa"/>
              <w:bottom w:w="50" w:type="dxa"/>
              <w:left w:w="90" w:type="dxa"/>
              <w:right w:w="90" w:type="dxa"/>
            </w:tcMar>
          </w:tcPr>
          <w:p>
            <w:pPr>
              <w:pStyle w:val="BDOITable"/>
            </w:pPr>
            <w:r>
              <w:rPr>
                <w:sz w:val="15"/>
              </w:rPr>
              <w:t>Year-end option A is not confirmed by M6</w:t>
            </w:r>
          </w:p>
        </w:tc>
        <w:tc>
          <w:tcPr>
            <w:tcW w:type="dxa" w:w="2353"/>
            <w:tcMar>
              <w:top w:w="50" w:type="dxa"/>
              <w:bottom w:w="50" w:type="dxa"/>
              <w:left w:w="90" w:type="dxa"/>
              <w:right w:w="90" w:type="dxa"/>
            </w:tcMar>
          </w:tcPr>
          <w:p>
            <w:pPr>
              <w:pStyle w:val="BDOITable"/>
            </w:pPr>
            <w:r>
              <w:rPr>
                <w:sz w:val="15"/>
              </w:rPr>
              <w:t>The cut-over calendar, the GL opening and the true-ups change</w:t>
            </w:r>
          </w:p>
        </w:tc>
        <w:tc>
          <w:tcPr>
            <w:tcW w:type="dxa" w:w="2913"/>
            <w:tcMar>
              <w:top w:w="50" w:type="dxa"/>
              <w:bottom w:w="50" w:type="dxa"/>
              <w:left w:w="90" w:type="dxa"/>
              <w:right w:w="90" w:type="dxa"/>
            </w:tcMar>
          </w:tcPr>
          <w:p>
            <w:pPr>
              <w:pStyle w:val="BDOITable"/>
            </w:pPr>
            <w:r>
              <w:rPr>
                <w:sz w:val="15"/>
              </w:rPr>
              <w:t>Confirmation asked with the Drop 0 closure (DEC-01)</w:t>
            </w:r>
          </w:p>
        </w:tc>
        <w:tc>
          <w:tcPr>
            <w:tcW w:type="dxa" w:w="1457"/>
            <w:tcMar>
              <w:top w:w="50" w:type="dxa"/>
              <w:bottom w:w="50" w:type="dxa"/>
              <w:left w:w="90" w:type="dxa"/>
              <w:right w:w="90" w:type="dxa"/>
            </w:tcMar>
          </w:tcPr>
          <w:p>
            <w:pPr>
              <w:pStyle w:val="BDOITable"/>
            </w:pPr>
            <w:r>
              <w:rPr>
                <w:sz w:val="15"/>
              </w:rPr>
              <w:t>Head, Comptrollership</w:t>
            </w:r>
          </w:p>
        </w:tc>
      </w:tr>
      <w:tr>
        <w:tc>
          <w:tcPr>
            <w:tcW w:type="dxa" w:w="784"/>
            <w:tcMar>
              <w:top w:w="50" w:type="dxa"/>
              <w:bottom w:w="50" w:type="dxa"/>
              <w:left w:w="90" w:type="dxa"/>
              <w:right w:w="90" w:type="dxa"/>
            </w:tcMar>
            <w:shd w:val="clear" w:color="auto" w:fill="E5F5FF"/>
          </w:tcPr>
          <w:p>
            <w:pPr>
              <w:pStyle w:val="BDOITable"/>
            </w:pPr>
            <w:r>
              <w:rPr>
                <w:sz w:val="15"/>
              </w:rPr>
              <w:t>RSK-04</w:t>
            </w:r>
          </w:p>
        </w:tc>
        <w:tc>
          <w:tcPr>
            <w:tcW w:type="dxa" w:w="2465"/>
            <w:tcMar>
              <w:top w:w="50" w:type="dxa"/>
              <w:bottom w:w="50" w:type="dxa"/>
              <w:left w:w="90" w:type="dxa"/>
              <w:right w:w="90" w:type="dxa"/>
            </w:tcMar>
            <w:shd w:val="clear" w:color="auto" w:fill="E5F5FF"/>
          </w:tcPr>
          <w:p>
            <w:pPr>
              <w:pStyle w:val="BDOITable"/>
            </w:pPr>
            <w:r>
              <w:rPr>
                <w:sz w:val="15"/>
              </w:rPr>
              <w:t>EIAM and UIDM-ISC specifications are late</w:t>
            </w:r>
          </w:p>
        </w:tc>
        <w:tc>
          <w:tcPr>
            <w:tcW w:type="dxa" w:w="2353"/>
            <w:tcMar>
              <w:top w:w="50" w:type="dxa"/>
              <w:bottom w:w="50" w:type="dxa"/>
              <w:left w:w="90" w:type="dxa"/>
              <w:right w:w="90" w:type="dxa"/>
            </w:tcMar>
            <w:shd w:val="clear" w:color="auto" w:fill="E5F5FF"/>
          </w:tcPr>
          <w:p>
            <w:pPr>
              <w:pStyle w:val="BDOITable"/>
            </w:pPr>
            <w:r>
              <w:rPr>
                <w:sz w:val="15"/>
              </w:rPr>
              <w:t>Sign-in stays local for SIT; the directory sign-in is tested late</w:t>
            </w:r>
          </w:p>
        </w:tc>
        <w:tc>
          <w:tcPr>
            <w:tcW w:type="dxa" w:w="2913"/>
            <w:tcMar>
              <w:top w:w="50" w:type="dxa"/>
              <w:bottom w:w="50" w:type="dxa"/>
              <w:left w:w="90" w:type="dxa"/>
              <w:right w:w="90" w:type="dxa"/>
            </w:tcMar>
            <w:shd w:val="clear" w:color="auto" w:fill="E5F5FF"/>
          </w:tcPr>
          <w:p>
            <w:pPr>
              <w:pStyle w:val="BDOITable"/>
            </w:pPr>
            <w:r>
              <w:rPr>
                <w:sz w:val="15"/>
              </w:rPr>
              <w:t>Local sign-in with the Windows ID captured on every user; directory mode switched on when specified (DEC-05)</w:t>
            </w:r>
          </w:p>
        </w:tc>
        <w:tc>
          <w:tcPr>
            <w:tcW w:type="dxa" w:w="1457"/>
            <w:tcMar>
              <w:top w:w="50" w:type="dxa"/>
              <w:bottom w:w="50" w:type="dxa"/>
              <w:left w:w="90" w:type="dxa"/>
              <w:right w:w="90" w:type="dxa"/>
            </w:tcMar>
            <w:shd w:val="clear" w:color="auto" w:fill="E5F5FF"/>
          </w:tcPr>
          <w:p>
            <w:pPr>
              <w:pStyle w:val="BDOITable"/>
            </w:pPr>
            <w:r>
              <w:rPr>
                <w:sz w:val="15"/>
              </w:rPr>
              <w:t>BDOI IT</w:t>
            </w:r>
          </w:p>
        </w:tc>
      </w:tr>
      <w:tr>
        <w:tc>
          <w:tcPr>
            <w:tcW w:type="dxa" w:w="784"/>
            <w:tcMar>
              <w:top w:w="50" w:type="dxa"/>
              <w:bottom w:w="50" w:type="dxa"/>
              <w:left w:w="90" w:type="dxa"/>
              <w:right w:w="90" w:type="dxa"/>
            </w:tcMar>
          </w:tcPr>
          <w:p>
            <w:pPr>
              <w:pStyle w:val="BDOITable"/>
            </w:pPr>
            <w:r>
              <w:rPr>
                <w:sz w:val="15"/>
              </w:rPr>
              <w:t>RSK-05</w:t>
            </w:r>
          </w:p>
        </w:tc>
        <w:tc>
          <w:tcPr>
            <w:tcW w:type="dxa" w:w="2465"/>
            <w:tcMar>
              <w:top w:w="50" w:type="dxa"/>
              <w:bottom w:w="50" w:type="dxa"/>
              <w:left w:w="90" w:type="dxa"/>
              <w:right w:w="90" w:type="dxa"/>
            </w:tcMar>
          </w:tcPr>
          <w:p>
            <w:pPr>
              <w:pStyle w:val="BDOITable"/>
            </w:pPr>
            <w:r>
              <w:rPr>
                <w:sz w:val="15"/>
              </w:rPr>
              <w:t>Conditional migration objects are decided late</w:t>
            </w:r>
          </w:p>
        </w:tc>
        <w:tc>
          <w:tcPr>
            <w:tcW w:type="dxa" w:w="2353"/>
            <w:tcMar>
              <w:top w:w="50" w:type="dxa"/>
              <w:bottom w:w="50" w:type="dxa"/>
              <w:left w:w="90" w:type="dxa"/>
              <w:right w:w="90" w:type="dxa"/>
            </w:tcMar>
          </w:tcPr>
          <w:p>
            <w:pPr>
              <w:pStyle w:val="BDOITable"/>
            </w:pPr>
            <w:r>
              <w:rPr>
                <w:sz w:val="15"/>
              </w:rPr>
              <w:t>Layouts, trial migrations and reconciliation of those objects are added late</w:t>
            </w:r>
          </w:p>
        </w:tc>
        <w:tc>
          <w:tcPr>
            <w:tcW w:type="dxa" w:w="2913"/>
            <w:tcMar>
              <w:top w:w="50" w:type="dxa"/>
              <w:bottom w:w="50" w:type="dxa"/>
              <w:left w:w="90" w:type="dxa"/>
              <w:right w:w="90" w:type="dxa"/>
            </w:tcMar>
          </w:tcPr>
          <w:p>
            <w:pPr>
              <w:pStyle w:val="BDOITable"/>
            </w:pPr>
            <w:r>
              <w:rPr>
                <w:sz w:val="15"/>
              </w:rPr>
              <w:t>Decisions at M1 and M2 (DEC-03); objects not decided are completed in legacy before the freeze</w:t>
            </w:r>
          </w:p>
        </w:tc>
        <w:tc>
          <w:tcPr>
            <w:tcW w:type="dxa" w:w="1457"/>
            <w:tcMar>
              <w:top w:w="50" w:type="dxa"/>
              <w:bottom w:w="50" w:type="dxa"/>
              <w:left w:w="90" w:type="dxa"/>
              <w:right w:w="90" w:type="dxa"/>
            </w:tcMar>
          </w:tcPr>
          <w:p>
            <w:pPr>
              <w:pStyle w:val="BDOITable"/>
            </w:pPr>
            <w:r>
              <w:rPr>
                <w:sz w:val="15"/>
              </w:rPr>
              <w:t>Program Manager</w:t>
            </w:r>
          </w:p>
        </w:tc>
      </w:tr>
      <w:tr>
        <w:tc>
          <w:tcPr>
            <w:tcW w:type="dxa" w:w="784"/>
            <w:tcMar>
              <w:top w:w="50" w:type="dxa"/>
              <w:bottom w:w="50" w:type="dxa"/>
              <w:left w:w="90" w:type="dxa"/>
              <w:right w:w="90" w:type="dxa"/>
            </w:tcMar>
            <w:shd w:val="clear" w:color="auto" w:fill="E5F5FF"/>
          </w:tcPr>
          <w:p>
            <w:pPr>
              <w:pStyle w:val="BDOITable"/>
            </w:pPr>
            <w:r>
              <w:rPr>
                <w:sz w:val="15"/>
              </w:rPr>
              <w:t>RSK-06</w:t>
            </w:r>
          </w:p>
        </w:tc>
        <w:tc>
          <w:tcPr>
            <w:tcW w:type="dxa" w:w="2465"/>
            <w:tcMar>
              <w:top w:w="50" w:type="dxa"/>
              <w:bottom w:w="50" w:type="dxa"/>
              <w:left w:w="90" w:type="dxa"/>
              <w:right w:w="90" w:type="dxa"/>
            </w:tcMar>
            <w:shd w:val="clear" w:color="auto" w:fill="E5F5FF"/>
          </w:tcPr>
          <w:p>
            <w:pPr>
              <w:pStyle w:val="BDOITable"/>
            </w:pPr>
            <w:r>
              <w:rPr>
                <w:sz w:val="15"/>
              </w:rPr>
              <w:t>An item reaches BIBS by two routes (keyed on a screen and loaded by the migration)</w:t>
            </w:r>
          </w:p>
        </w:tc>
        <w:tc>
          <w:tcPr>
            <w:tcW w:type="dxa" w:w="2353"/>
            <w:tcMar>
              <w:top w:w="50" w:type="dxa"/>
              <w:bottom w:w="50" w:type="dxa"/>
              <w:left w:w="90" w:type="dxa"/>
              <w:right w:w="90" w:type="dxa"/>
            </w:tcMar>
            <w:shd w:val="clear" w:color="auto" w:fill="E5F5FF"/>
          </w:tcPr>
          <w:p>
            <w:pPr>
              <w:pStyle w:val="BDOITable"/>
            </w:pPr>
            <w:r>
              <w:rPr>
                <w:sz w:val="15"/>
              </w:rPr>
              <w:t>Duplicate or conflicting reference values at go-live</w:t>
            </w:r>
          </w:p>
        </w:tc>
        <w:tc>
          <w:tcPr>
            <w:tcW w:type="dxa" w:w="2913"/>
            <w:tcMar>
              <w:top w:w="50" w:type="dxa"/>
              <w:bottom w:w="50" w:type="dxa"/>
              <w:left w:w="90" w:type="dxa"/>
              <w:right w:w="90" w:type="dxa"/>
            </w:tcMar>
            <w:shd w:val="clear" w:color="auto" w:fill="E5F5FF"/>
          </w:tcPr>
          <w:p>
            <w:pPr>
              <w:pStyle w:val="BDOITable"/>
            </w:pPr>
            <w:r>
              <w:rPr>
                <w:sz w:val="15"/>
              </w:rPr>
              <w:t>One route per item in the workbook; the Migration cross-reference sheet names the object of every migrated item</w:t>
            </w:r>
          </w:p>
        </w:tc>
        <w:tc>
          <w:tcPr>
            <w:tcW w:type="dxa" w:w="1457"/>
            <w:tcMar>
              <w:top w:w="50" w:type="dxa"/>
              <w:bottom w:w="50" w:type="dxa"/>
              <w:left w:w="90" w:type="dxa"/>
              <w:right w:w="90" w:type="dxa"/>
            </w:tcMar>
            <w:shd w:val="clear" w:color="auto" w:fill="E5F5FF"/>
          </w:tcPr>
          <w:p>
            <w:pPr>
              <w:pStyle w:val="BDOITable"/>
            </w:pPr>
            <w:r>
              <w:rPr>
                <w:sz w:val="15"/>
              </w:rPr>
              <w:t>Data Migration Lead</w:t>
            </w:r>
          </w:p>
        </w:tc>
      </w:tr>
      <w:tr>
        <w:tc>
          <w:tcPr>
            <w:tcW w:type="dxa" w:w="784"/>
            <w:tcMar>
              <w:top w:w="50" w:type="dxa"/>
              <w:bottom w:w="50" w:type="dxa"/>
              <w:left w:w="90" w:type="dxa"/>
              <w:right w:w="90" w:type="dxa"/>
            </w:tcMar>
          </w:tcPr>
          <w:p>
            <w:pPr>
              <w:pStyle w:val="BDOITable"/>
            </w:pPr>
            <w:r>
              <w:rPr>
                <w:sz w:val="15"/>
              </w:rPr>
              <w:t>RSK-07</w:t>
            </w:r>
          </w:p>
        </w:tc>
        <w:tc>
          <w:tcPr>
            <w:tcW w:type="dxa" w:w="2465"/>
            <w:tcMar>
              <w:top w:w="50" w:type="dxa"/>
              <w:bottom w:w="50" w:type="dxa"/>
              <w:left w:w="90" w:type="dxa"/>
              <w:right w:w="90" w:type="dxa"/>
            </w:tcMar>
          </w:tcPr>
          <w:p>
            <w:pPr>
              <w:pStyle w:val="BDOITable"/>
            </w:pPr>
            <w:r>
              <w:rPr>
                <w:sz w:val="15"/>
              </w:rPr>
              <w:t>Changes to signed Drop 0 content during Drop 1 reviews</w:t>
            </w:r>
          </w:p>
        </w:tc>
        <w:tc>
          <w:tcPr>
            <w:tcW w:type="dxa" w:w="2353"/>
            <w:tcMar>
              <w:top w:w="50" w:type="dxa"/>
              <w:bottom w:w="50" w:type="dxa"/>
              <w:left w:w="90" w:type="dxa"/>
              <w:right w:w="90" w:type="dxa"/>
            </w:tcMar>
          </w:tcPr>
          <w:p>
            <w:pPr>
              <w:pStyle w:val="BDOITable"/>
            </w:pPr>
            <w:r>
              <w:rPr>
                <w:sz w:val="15"/>
              </w:rPr>
              <w:t>Rework of screens and templates of a signed set</w:t>
            </w:r>
          </w:p>
        </w:tc>
        <w:tc>
          <w:tcPr>
            <w:tcW w:type="dxa" w:w="2913"/>
            <w:tcMar>
              <w:top w:w="50" w:type="dxa"/>
              <w:bottom w:w="50" w:type="dxa"/>
              <w:left w:w="90" w:type="dxa"/>
              <w:right w:w="90" w:type="dxa"/>
            </w:tcMar>
          </w:tcPr>
          <w:p>
            <w:pPr>
              <w:pStyle w:val="BDOITable"/>
            </w:pPr>
            <w:r>
              <w:rPr>
                <w:sz w:val="15"/>
              </w:rPr>
              <w:t>Change control: every change is a change request with its effect on the other BRDs and a delta sign-off</w:t>
            </w:r>
          </w:p>
        </w:tc>
        <w:tc>
          <w:tcPr>
            <w:tcW w:type="dxa" w:w="1457"/>
            <w:tcMar>
              <w:top w:w="50" w:type="dxa"/>
              <w:bottom w:w="50" w:type="dxa"/>
              <w:left w:w="90" w:type="dxa"/>
              <w:right w:w="90" w:type="dxa"/>
            </w:tcMar>
          </w:tcPr>
          <w:p>
            <w:pPr>
              <w:pStyle w:val="BDOITable"/>
            </w:pPr>
            <w:r>
              <w:rPr>
                <w:sz w:val="15"/>
              </w:rPr>
              <w:t>Program Manager</w:t>
            </w:r>
          </w:p>
        </w:tc>
      </w:tr>
    </w:tbl>
    <w:p>
      <w:pPr>
        <w:pStyle w:val="BDOISpacer"/>
      </w:pPr>
    </w:p>
    <w:p>
      <w:pPr>
        <w:pStyle w:val="Caption"/>
        <w:keepNext/>
        <w:spacing w:after="60"/>
      </w:pPr>
      <w:r>
        <w:rPr>
          <w:b/>
          <w:i w:val="0"/>
        </w:rPr>
        <w:t xml:space="preserve">Table 8: </w:t>
      </w:r>
      <w:r>
        <w:rPr/>
        <w:t>Dependencies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84"/>
        <w:gridCol w:w="5042"/>
        <w:gridCol w:w="2241"/>
        <w:gridCol w:w="1905"/>
      </w:tblGrid>
      <w:tr>
        <w:trPr>
          <w:tblHeader w:val="true"/>
          <w:cantSplit w:val="true"/>
        </w:trPr>
        <w:tc>
          <w:tcPr>
            <w:tcW w:type="dxa" w:w="784"/>
            <w:shd w:val="clear" w:color="auto" w:fill="004EA8"/>
            <w:tcMar>
              <w:top w:w="50" w:type="dxa"/>
              <w:bottom w:w="50" w:type="dxa"/>
              <w:left w:w="90" w:type="dxa"/>
              <w:right w:w="90" w:type="dxa"/>
            </w:tcMar>
            <w:vAlign w:val="center"/>
          </w:tcPr>
          <w:p>
            <w:pPr>
              <w:pStyle w:val="BDOITableHeader"/>
            </w:pPr>
            <w:r>
              <w:rPr>
                <w:b/>
                <w:color w:val="FFFFFF"/>
                <w:sz w:val="16"/>
              </w:rPr>
              <w:t>ID</w:t>
            </w:r>
          </w:p>
        </w:tc>
        <w:tc>
          <w:tcPr>
            <w:tcW w:type="dxa" w:w="5042"/>
            <w:shd w:val="clear" w:color="auto" w:fill="004EA8"/>
            <w:tcMar>
              <w:top w:w="50" w:type="dxa"/>
              <w:bottom w:w="50" w:type="dxa"/>
              <w:left w:w="90" w:type="dxa"/>
              <w:right w:w="90" w:type="dxa"/>
            </w:tcMar>
            <w:vAlign w:val="center"/>
          </w:tcPr>
          <w:p>
            <w:pPr>
              <w:pStyle w:val="BDOITableHeader"/>
            </w:pPr>
            <w:r>
              <w:rPr>
                <w:b/>
                <w:color w:val="FFFFFF"/>
                <w:sz w:val="16"/>
              </w:rPr>
              <w:t>Dependency</w:t>
            </w:r>
          </w:p>
        </w:tc>
        <w:tc>
          <w:tcPr>
            <w:tcW w:type="dxa" w:w="2241"/>
            <w:shd w:val="clear" w:color="auto" w:fill="004EA8"/>
            <w:tcMar>
              <w:top w:w="50" w:type="dxa"/>
              <w:bottom w:w="50" w:type="dxa"/>
              <w:left w:w="90" w:type="dxa"/>
              <w:right w:w="90" w:type="dxa"/>
            </w:tcMar>
            <w:vAlign w:val="center"/>
          </w:tcPr>
          <w:p>
            <w:pPr>
              <w:pStyle w:val="BDOITableHeader"/>
            </w:pPr>
            <w:r>
              <w:rPr>
                <w:b/>
                <w:color w:val="FFFFFF"/>
                <w:sz w:val="16"/>
              </w:rPr>
              <w:t>From</w:t>
            </w:r>
          </w:p>
        </w:tc>
        <w:tc>
          <w:tcPr>
            <w:tcW w:type="dxa" w:w="1905"/>
            <w:shd w:val="clear" w:color="auto" w:fill="004EA8"/>
            <w:tcMar>
              <w:top w:w="50" w:type="dxa"/>
              <w:bottom w:w="50" w:type="dxa"/>
              <w:left w:w="90" w:type="dxa"/>
              <w:right w:w="90" w:type="dxa"/>
            </w:tcMar>
            <w:vAlign w:val="center"/>
          </w:tcPr>
          <w:p>
            <w:pPr>
              <w:pStyle w:val="BDOITableHeader"/>
            </w:pPr>
            <w:r>
              <w:rPr>
                <w:b/>
                <w:color w:val="FFFFFF"/>
                <w:sz w:val="16"/>
              </w:rPr>
              <w:t>Needed by</w:t>
            </w:r>
          </w:p>
        </w:tc>
      </w:tr>
      <w:tr>
        <w:trPr>
          <w:cantSplit w:val="true"/>
        </w:trPr>
        <w:tc>
          <w:tcPr>
            <w:tcW w:type="dxa" w:w="784"/>
            <w:tcMar>
              <w:top w:w="50" w:type="dxa"/>
              <w:bottom w:w="50" w:type="dxa"/>
              <w:left w:w="90" w:type="dxa"/>
              <w:right w:w="90" w:type="dxa"/>
            </w:tcMar>
          </w:tcPr>
          <w:p>
            <w:pPr>
              <w:pStyle w:val="BDOITable"/>
            </w:pPr>
            <w:r>
              <w:rPr>
                <w:sz w:val="16"/>
              </w:rPr>
              <w:t>DEP-01</w:t>
            </w:r>
          </w:p>
        </w:tc>
        <w:tc>
          <w:tcPr>
            <w:tcW w:type="dxa" w:w="5042"/>
            <w:tcMar>
              <w:top w:w="50" w:type="dxa"/>
              <w:bottom w:w="50" w:type="dxa"/>
              <w:left w:w="90" w:type="dxa"/>
              <w:right w:w="90" w:type="dxa"/>
            </w:tcMar>
          </w:tcPr>
          <w:p>
            <w:pPr>
              <w:pStyle w:val="BDOITable"/>
            </w:pPr>
            <w:r>
              <w:rPr>
                <w:sz w:val="16"/>
              </w:rPr>
              <w:t>BDOI answers to the M1 and M2 decisions of the Data Migration set</w:t>
            </w:r>
          </w:p>
        </w:tc>
        <w:tc>
          <w:tcPr>
            <w:tcW w:type="dxa" w:w="2241"/>
            <w:tcMar>
              <w:top w:w="50" w:type="dxa"/>
              <w:bottom w:w="50" w:type="dxa"/>
              <w:left w:w="90" w:type="dxa"/>
              <w:right w:w="90" w:type="dxa"/>
            </w:tcMar>
          </w:tcPr>
          <w:p>
            <w:pPr>
              <w:pStyle w:val="BDOITable"/>
            </w:pPr>
            <w:r>
              <w:rPr>
                <w:sz w:val="16"/>
              </w:rPr>
              <w:t>BDOI business owners</w:t>
            </w:r>
          </w:p>
        </w:tc>
        <w:tc>
          <w:tcPr>
            <w:tcW w:type="dxa" w:w="1905"/>
            <w:tcMar>
              <w:top w:w="50" w:type="dxa"/>
              <w:bottom w:w="50" w:type="dxa"/>
              <w:left w:w="90" w:type="dxa"/>
              <w:right w:w="90" w:type="dxa"/>
            </w:tcMar>
          </w:tcPr>
          <w:p>
            <w:pPr>
              <w:pStyle w:val="BDOITable"/>
            </w:pPr>
            <w:r>
              <w:rPr>
                <w:sz w:val="16"/>
              </w:rPr>
              <w:t>16-Oct-2026 and 30-Oct-2026</w:t>
            </w:r>
          </w:p>
        </w:tc>
      </w:tr>
      <w:tr>
        <w:trPr>
          <w:cantSplit w:val="true"/>
        </w:trPr>
        <w:tc>
          <w:tcPr>
            <w:tcW w:type="dxa" w:w="784"/>
            <w:tcMar>
              <w:top w:w="50" w:type="dxa"/>
              <w:bottom w:w="50" w:type="dxa"/>
              <w:left w:w="90" w:type="dxa"/>
              <w:right w:w="90" w:type="dxa"/>
            </w:tcMar>
            <w:shd w:val="clear" w:color="auto" w:fill="E5F5FF"/>
          </w:tcPr>
          <w:p>
            <w:pPr>
              <w:pStyle w:val="BDOITable"/>
            </w:pPr>
            <w:r>
              <w:rPr>
                <w:sz w:val="16"/>
              </w:rPr>
              <w:t>DEP-02</w:t>
            </w:r>
          </w:p>
        </w:tc>
        <w:tc>
          <w:tcPr>
            <w:tcW w:type="dxa" w:w="5042"/>
            <w:tcMar>
              <w:top w:w="50" w:type="dxa"/>
              <w:bottom w:w="50" w:type="dxa"/>
              <w:left w:w="90" w:type="dxa"/>
              <w:right w:w="90" w:type="dxa"/>
            </w:tcMar>
            <w:shd w:val="clear" w:color="auto" w:fill="E5F5FF"/>
          </w:tcPr>
          <w:p>
            <w:pPr>
              <w:pStyle w:val="BDOITable"/>
            </w:pPr>
            <w:r>
              <w:rPr>
                <w:sz w:val="16"/>
              </w:rPr>
              <w:t>Organisation, chart of accounts, accounting rules and bank accounts for Drop 1 SIT</w:t>
            </w:r>
          </w:p>
        </w:tc>
        <w:tc>
          <w:tcPr>
            <w:tcW w:type="dxa" w:w="2241"/>
            <w:tcMar>
              <w:top w:w="50" w:type="dxa"/>
              <w:bottom w:w="50" w:type="dxa"/>
              <w:left w:w="90" w:type="dxa"/>
              <w:right w:w="90" w:type="dxa"/>
            </w:tcMar>
            <w:shd w:val="clear" w:color="auto" w:fill="E5F5FF"/>
          </w:tcPr>
          <w:p>
            <w:pPr>
              <w:pStyle w:val="BDOITable"/>
            </w:pPr>
            <w:r>
              <w:rPr>
                <w:sz w:val="16"/>
              </w:rPr>
              <w:t>Comptrollership</w:t>
            </w:r>
          </w:p>
        </w:tc>
        <w:tc>
          <w:tcPr>
            <w:tcW w:type="dxa" w:w="1905"/>
            <w:tcMar>
              <w:top w:w="50" w:type="dxa"/>
              <w:bottom w:w="50" w:type="dxa"/>
              <w:left w:w="90" w:type="dxa"/>
              <w:right w:w="90" w:type="dxa"/>
            </w:tcMar>
            <w:shd w:val="clear" w:color="auto" w:fill="E5F5FF"/>
          </w:tcPr>
          <w:p>
            <w:pPr>
              <w:pStyle w:val="BDOITable"/>
            </w:pPr>
            <w:r>
              <w:rPr>
                <w:sz w:val="16"/>
              </w:rPr>
              <w:t>4-Jan-2027 (D2)</w:t>
            </w:r>
          </w:p>
        </w:tc>
      </w:tr>
      <w:tr>
        <w:trPr>
          <w:cantSplit w:val="true"/>
        </w:trPr>
        <w:tc>
          <w:tcPr>
            <w:tcW w:type="dxa" w:w="784"/>
            <w:tcMar>
              <w:top w:w="50" w:type="dxa"/>
              <w:bottom w:w="50" w:type="dxa"/>
              <w:left w:w="90" w:type="dxa"/>
              <w:right w:w="90" w:type="dxa"/>
            </w:tcMar>
          </w:tcPr>
          <w:p>
            <w:pPr>
              <w:pStyle w:val="BDOITable"/>
            </w:pPr>
            <w:r>
              <w:rPr>
                <w:sz w:val="16"/>
              </w:rPr>
              <w:t>DEP-03</w:t>
            </w:r>
          </w:p>
        </w:tc>
        <w:tc>
          <w:tcPr>
            <w:tcW w:type="dxa" w:w="5042"/>
            <w:tcMar>
              <w:top w:w="50" w:type="dxa"/>
              <w:bottom w:w="50" w:type="dxa"/>
              <w:left w:w="90" w:type="dxa"/>
              <w:right w:w="90" w:type="dxa"/>
            </w:tcMar>
          </w:tcPr>
          <w:p>
            <w:pPr>
              <w:pStyle w:val="BDOITable"/>
            </w:pPr>
            <w:r>
              <w:rPr>
                <w:sz w:val="16"/>
              </w:rPr>
              <w:t>First full extracts with control files and volumes</w:t>
            </w:r>
          </w:p>
        </w:tc>
        <w:tc>
          <w:tcPr>
            <w:tcW w:type="dxa" w:w="2241"/>
            <w:tcMar>
              <w:top w:w="50" w:type="dxa"/>
              <w:bottom w:w="50" w:type="dxa"/>
              <w:left w:w="90" w:type="dxa"/>
              <w:right w:w="90" w:type="dxa"/>
            </w:tcMar>
          </w:tcPr>
          <w:p>
            <w:pPr>
              <w:pStyle w:val="BDOITable"/>
            </w:pPr>
            <w:r>
              <w:rPr>
                <w:sz w:val="16"/>
              </w:rPr>
              <w:t>BDOI IT</w:t>
            </w:r>
          </w:p>
        </w:tc>
        <w:tc>
          <w:tcPr>
            <w:tcW w:type="dxa" w:w="1905"/>
            <w:tcMar>
              <w:top w:w="50" w:type="dxa"/>
              <w:bottom w:w="50" w:type="dxa"/>
              <w:left w:w="90" w:type="dxa"/>
              <w:right w:w="90" w:type="dxa"/>
            </w:tcMar>
          </w:tcPr>
          <w:p>
            <w:pPr>
              <w:pStyle w:val="BDOITable"/>
            </w:pPr>
            <w:r>
              <w:rPr>
                <w:sz w:val="16"/>
              </w:rPr>
              <w:t>29-Jan-2027 (M3)</w:t>
            </w:r>
          </w:p>
        </w:tc>
      </w:tr>
      <w:tr>
        <w:trPr>
          <w:cantSplit w:val="true"/>
        </w:trPr>
        <w:tc>
          <w:tcPr>
            <w:tcW w:type="dxa" w:w="784"/>
            <w:tcMar>
              <w:top w:w="50" w:type="dxa"/>
              <w:bottom w:w="50" w:type="dxa"/>
              <w:left w:w="90" w:type="dxa"/>
              <w:right w:w="90" w:type="dxa"/>
            </w:tcMar>
            <w:shd w:val="clear" w:color="auto" w:fill="E5F5FF"/>
          </w:tcPr>
          <w:p>
            <w:pPr>
              <w:pStyle w:val="BDOITable"/>
            </w:pPr>
            <w:r>
              <w:rPr>
                <w:sz w:val="16"/>
              </w:rPr>
              <w:t>DEP-04</w:t>
            </w:r>
          </w:p>
        </w:tc>
        <w:tc>
          <w:tcPr>
            <w:tcW w:type="dxa" w:w="5042"/>
            <w:tcMar>
              <w:top w:w="50" w:type="dxa"/>
              <w:bottom w:w="50" w:type="dxa"/>
              <w:left w:w="90" w:type="dxa"/>
              <w:right w:w="90" w:type="dxa"/>
            </w:tcMar>
            <w:shd w:val="clear" w:color="auto" w:fill="E5F5FF"/>
          </w:tcPr>
          <w:p>
            <w:pPr>
              <w:pStyle w:val="BDOITable"/>
            </w:pPr>
            <w:r>
              <w:rPr>
                <w:sz w:val="16"/>
              </w:rPr>
              <w:t>EIAM and UIDM-ISC specifications</w:t>
            </w:r>
          </w:p>
        </w:tc>
        <w:tc>
          <w:tcPr>
            <w:tcW w:type="dxa" w:w="2241"/>
            <w:tcMar>
              <w:top w:w="50" w:type="dxa"/>
              <w:bottom w:w="50" w:type="dxa"/>
              <w:left w:w="90" w:type="dxa"/>
              <w:right w:w="90" w:type="dxa"/>
            </w:tcMar>
            <w:shd w:val="clear" w:color="auto" w:fill="E5F5FF"/>
          </w:tcPr>
          <w:p>
            <w:pPr>
              <w:pStyle w:val="BDOITable"/>
            </w:pPr>
            <w:r>
              <w:rPr>
                <w:sz w:val="16"/>
              </w:rPr>
              <w:t>BDOI IT</w:t>
            </w:r>
          </w:p>
        </w:tc>
        <w:tc>
          <w:tcPr>
            <w:tcW w:type="dxa" w:w="1905"/>
            <w:tcMar>
              <w:top w:w="50" w:type="dxa"/>
              <w:bottom w:w="50" w:type="dxa"/>
              <w:left w:w="90" w:type="dxa"/>
              <w:right w:w="90" w:type="dxa"/>
            </w:tcMar>
            <w:shd w:val="clear" w:color="auto" w:fill="E5F5FF"/>
          </w:tcPr>
          <w:p>
            <w:pPr>
              <w:pStyle w:val="BDOITable"/>
            </w:pPr>
            <w:r>
              <w:rPr>
                <w:sz w:val="16"/>
              </w:rPr>
              <w:t>Q1 2027</w:t>
            </w:r>
          </w:p>
        </w:tc>
      </w:tr>
      <w:tr>
        <w:trPr>
          <w:cantSplit w:val="true"/>
        </w:trPr>
        <w:tc>
          <w:tcPr>
            <w:tcW w:type="dxa" w:w="784"/>
            <w:tcMar>
              <w:top w:w="50" w:type="dxa"/>
              <w:bottom w:w="50" w:type="dxa"/>
              <w:left w:w="90" w:type="dxa"/>
              <w:right w:w="90" w:type="dxa"/>
            </w:tcMar>
          </w:tcPr>
          <w:p>
            <w:pPr>
              <w:pStyle w:val="BDOITable"/>
            </w:pPr>
            <w:r>
              <w:rPr>
                <w:sz w:val="16"/>
              </w:rPr>
              <w:t>DEP-05</w:t>
            </w:r>
          </w:p>
        </w:tc>
        <w:tc>
          <w:tcPr>
            <w:tcW w:type="dxa" w:w="5042"/>
            <w:tcMar>
              <w:top w:w="50" w:type="dxa"/>
              <w:bottom w:w="50" w:type="dxa"/>
              <w:left w:w="90" w:type="dxa"/>
              <w:right w:w="90" w:type="dxa"/>
            </w:tcMar>
          </w:tcPr>
          <w:p>
            <w:pPr>
              <w:pStyle w:val="BDOITable"/>
            </w:pPr>
            <w:r>
              <w:rPr>
                <w:sz w:val="16"/>
              </w:rPr>
              <w:t>Role-to-permission matrix and users of the SIT and UAT reviewers</w:t>
            </w:r>
          </w:p>
        </w:tc>
        <w:tc>
          <w:tcPr>
            <w:tcW w:type="dxa" w:w="2241"/>
            <w:tcMar>
              <w:top w:w="50" w:type="dxa"/>
              <w:bottom w:w="50" w:type="dxa"/>
              <w:left w:w="90" w:type="dxa"/>
              <w:right w:w="90" w:type="dxa"/>
            </w:tcMar>
          </w:tcPr>
          <w:p>
            <w:pPr>
              <w:pStyle w:val="BDOITable"/>
            </w:pPr>
            <w:r>
              <w:rPr>
                <w:sz w:val="16"/>
              </w:rPr>
              <w:t>Business Administration; Information Security</w:t>
            </w:r>
          </w:p>
        </w:tc>
        <w:tc>
          <w:tcPr>
            <w:tcW w:type="dxa" w:w="1905"/>
            <w:tcMar>
              <w:top w:w="50" w:type="dxa"/>
              <w:bottom w:w="50" w:type="dxa"/>
              <w:left w:w="90" w:type="dxa"/>
              <w:right w:w="90" w:type="dxa"/>
            </w:tcMar>
          </w:tcPr>
          <w:p>
            <w:pPr>
              <w:pStyle w:val="BDOITable"/>
            </w:pPr>
            <w:r>
              <w:rPr>
                <w:sz w:val="16"/>
              </w:rPr>
              <w:t>9-Apr-2027 (D3)</w:t>
            </w:r>
          </w:p>
        </w:tc>
      </w:tr>
      <w:tr>
        <w:trPr>
          <w:cantSplit w:val="true"/>
        </w:trPr>
        <w:tc>
          <w:tcPr>
            <w:tcW w:type="dxa" w:w="784"/>
            <w:tcMar>
              <w:top w:w="50" w:type="dxa"/>
              <w:bottom w:w="50" w:type="dxa"/>
              <w:left w:w="90" w:type="dxa"/>
              <w:right w:w="90" w:type="dxa"/>
            </w:tcMar>
            <w:shd w:val="clear" w:color="auto" w:fill="E5F5FF"/>
          </w:tcPr>
          <w:p>
            <w:pPr>
              <w:pStyle w:val="BDOITable"/>
            </w:pPr>
            <w:r>
              <w:rPr>
                <w:sz w:val="16"/>
              </w:rPr>
              <w:t>DEP-06</w:t>
            </w:r>
          </w:p>
        </w:tc>
        <w:tc>
          <w:tcPr>
            <w:tcW w:type="dxa" w:w="5042"/>
            <w:tcMar>
              <w:top w:w="50" w:type="dxa"/>
              <w:bottom w:w="50" w:type="dxa"/>
              <w:left w:w="90" w:type="dxa"/>
              <w:right w:w="90" w:type="dxa"/>
            </w:tcMar>
            <w:shd w:val="clear" w:color="auto" w:fill="E5F5FF"/>
          </w:tcPr>
          <w:p>
            <w:pPr>
              <w:pStyle w:val="BDOITable"/>
            </w:pPr>
            <w:r>
              <w:rPr>
                <w:sz w:val="16"/>
              </w:rPr>
              <w:t>Code maps approved, including the package code map</w:t>
            </w:r>
          </w:p>
        </w:tc>
        <w:tc>
          <w:tcPr>
            <w:tcW w:type="dxa" w:w="2241"/>
            <w:tcMar>
              <w:top w:w="50" w:type="dxa"/>
              <w:bottom w:w="50" w:type="dxa"/>
              <w:left w:w="90" w:type="dxa"/>
              <w:right w:w="90" w:type="dxa"/>
            </w:tcMar>
            <w:shd w:val="clear" w:color="auto" w:fill="E5F5FF"/>
          </w:tcPr>
          <w:p>
            <w:pPr>
              <w:pStyle w:val="BDOITable"/>
            </w:pPr>
            <w:r>
              <w:rPr>
                <w:sz w:val="16"/>
              </w:rPr>
              <w:t>Data owners; TSU</w:t>
            </w:r>
          </w:p>
        </w:tc>
        <w:tc>
          <w:tcPr>
            <w:tcW w:type="dxa" w:w="1905"/>
            <w:tcMar>
              <w:top w:w="50" w:type="dxa"/>
              <w:bottom w:w="50" w:type="dxa"/>
              <w:left w:w="90" w:type="dxa"/>
              <w:right w:w="90" w:type="dxa"/>
            </w:tcMar>
            <w:shd w:val="clear" w:color="auto" w:fill="E5F5FF"/>
          </w:tcPr>
          <w:p>
            <w:pPr>
              <w:pStyle w:val="BDOITable"/>
            </w:pPr>
            <w:r>
              <w:rPr>
                <w:sz w:val="16"/>
              </w:rPr>
              <w:t>18-Jun-2027 (M5)</w:t>
            </w:r>
          </w:p>
        </w:tc>
      </w:tr>
      <w:tr>
        <w:trPr>
          <w:cantSplit w:val="true"/>
        </w:trPr>
        <w:tc>
          <w:tcPr>
            <w:tcW w:type="dxa" w:w="784"/>
            <w:tcMar>
              <w:top w:w="50" w:type="dxa"/>
              <w:bottom w:w="50" w:type="dxa"/>
              <w:left w:w="90" w:type="dxa"/>
              <w:right w:w="90" w:type="dxa"/>
            </w:tcMar>
          </w:tcPr>
          <w:p>
            <w:pPr>
              <w:pStyle w:val="BDOITable"/>
            </w:pPr>
            <w:r>
              <w:rPr>
                <w:sz w:val="16"/>
              </w:rPr>
              <w:t>DEP-07</w:t>
            </w:r>
          </w:p>
        </w:tc>
        <w:tc>
          <w:tcPr>
            <w:tcW w:type="dxa" w:w="5042"/>
            <w:tcMar>
              <w:top w:w="50" w:type="dxa"/>
              <w:bottom w:w="50" w:type="dxa"/>
              <w:left w:w="90" w:type="dxa"/>
              <w:right w:w="90" w:type="dxa"/>
            </w:tcMar>
          </w:tcPr>
          <w:p>
            <w:pPr>
              <w:pStyle w:val="BDOITable"/>
            </w:pPr>
            <w:r>
              <w:rPr>
                <w:sz w:val="16"/>
              </w:rPr>
              <w:t>Production values of every configuration item</w:t>
            </w:r>
          </w:p>
        </w:tc>
        <w:tc>
          <w:tcPr>
            <w:tcW w:type="dxa" w:w="2241"/>
            <w:tcMar>
              <w:top w:w="50" w:type="dxa"/>
              <w:bottom w:w="50" w:type="dxa"/>
              <w:left w:w="90" w:type="dxa"/>
              <w:right w:w="90" w:type="dxa"/>
            </w:tcMar>
          </w:tcPr>
          <w:p>
            <w:pPr>
              <w:pStyle w:val="BDOITable"/>
            </w:pPr>
            <w:r>
              <w:rPr>
                <w:sz w:val="16"/>
              </w:rPr>
              <w:t>Owners in the workbook</w:t>
            </w:r>
          </w:p>
        </w:tc>
        <w:tc>
          <w:tcPr>
            <w:tcW w:type="dxa" w:w="1905"/>
            <w:tcMar>
              <w:top w:w="50" w:type="dxa"/>
              <w:bottom w:w="50" w:type="dxa"/>
              <w:left w:w="90" w:type="dxa"/>
              <w:right w:w="90" w:type="dxa"/>
            </w:tcMar>
          </w:tcPr>
          <w:p>
            <w:pPr>
              <w:pStyle w:val="BDOITable"/>
            </w:pPr>
            <w:r>
              <w:rPr>
                <w:sz w:val="16"/>
              </w:rPr>
              <w:t>1-Nov-2027 (D6), dress rehearsal</w:t>
            </w:r>
          </w:p>
        </w:tc>
      </w:tr>
    </w:tbl>
    <w:p>
      <w:pPr>
        <w:pStyle w:val="BDOISpacer"/>
      </w:pPr>
    </w:p>
    <w:p>
      <w:pPr>
        <w:pStyle w:val="Heading1"/>
        <w:pageBreakBefore/>
        <w:pBdr>
          <w:bottom w:val="single" w:sz="4" w:space="4" w:color="99C1E7"/>
        </w:pBdr>
      </w:pPr>
      <w:bookmarkStart w:id="113" w:name="_Toc000113"/>
      <w:r>
        <w:rPr/>
        <w:t>9 Change control</w:t>
      </w:r>
      <w:bookmarkEnd w:id="113"/>
    </w:p>
    <w:p>
      <w:pPr>
        <w:tabs>
          <w:tab w:pos="312" w:val="left"/>
        </w:tabs>
        <w:spacing w:after="40"/>
        <w:ind w:left="312" w:hanging="283"/>
      </w:pPr>
      <w:r>
        <w:rPr>
          <w:color w:val="004EA8"/>
        </w:rPr>
        <w:t>•</w:t>
        <w:tab/>
      </w:r>
      <w:r>
        <w:rPr>
          <w:b/>
        </w:rPr>
        <w:t>Before signature.</w:t>
      </w:r>
      <w:r>
        <w:rPr/>
        <w:t xml:space="preserve"> A question on a set is answered in the comments log of its sign-off workbook without changing the text; a correction is made once, in version 2.1 of the set, with the changed rows marked.</w:t>
      </w:r>
    </w:p>
    <w:p>
      <w:pPr>
        <w:tabs>
          <w:tab w:pos="312" w:val="left"/>
        </w:tabs>
        <w:spacing w:after="40"/>
        <w:ind w:left="312" w:hanging="283"/>
      </w:pPr>
      <w:r>
        <w:rPr>
          <w:color w:val="004EA8"/>
        </w:rPr>
        <w:t>•</w:t>
        <w:tab/>
      </w:r>
      <w:r>
        <w:rPr>
          <w:b/>
        </w:rPr>
        <w:t>After signature.</w:t>
      </w:r>
      <w:r>
        <w:rPr/>
        <w:t xml:space="preserve"> Nothing in a signed set changes without a change request in the Change Management Register. The request states its effect on the other BRDs through the cross-BRD interface contract of the set and its mandays, is approved by the owners of every BRD it touches, and is delivered as a new version of the set (2.1, 2.2) in which only the changed pages are signed again.</w:t>
      </w:r>
    </w:p>
    <w:p>
      <w:pPr>
        <w:tabs>
          <w:tab w:pos="312" w:val="left"/>
        </w:tabs>
        <w:spacing w:after="40"/>
        <w:ind w:left="312" w:hanging="283"/>
      </w:pPr>
      <w:r>
        <w:rPr>
          <w:color w:val="004EA8"/>
        </w:rPr>
        <w:t>•</w:t>
        <w:tab/>
      </w:r>
      <w:r>
        <w:rPr>
          <w:b/>
        </w:rPr>
        <w:t>Configuration inputs.</w:t>
      </w:r>
      <w:r>
        <w:rPr/>
        <w:t xml:space="preserve"> A value in the workbook is changed by the owner of the row until the due date, and after it by a change request. The reference values and code maps freeze seven days before go-live (D7); a change after the freeze is a change request with a new code map version.</w:t>
      </w:r>
    </w:p>
    <w:p>
      <w:pPr>
        <w:tabs>
          <w:tab w:pos="312" w:val="left"/>
        </w:tabs>
        <w:spacing w:after="120"/>
        <w:ind w:left="312" w:hanging="283"/>
      </w:pPr>
      <w:r>
        <w:rPr>
          <w:color w:val="004EA8"/>
        </w:rPr>
        <w:t>•</w:t>
        <w:tab/>
      </w:r>
      <w:r>
        <w:rPr>
          <w:b/>
        </w:rPr>
        <w:t>Open items.</w:t>
      </w:r>
      <w:r>
        <w:rPr/>
        <w:t xml:space="preserve"> A question still open at signature stays open on its stated working assumption until BDOI answers it; the answer is applied as configuration or through a change request.</w:t>
      </w:r>
    </w:p>
    <w:p>
      <w:pPr>
        <w:pStyle w:val="Heading1"/>
        <w:pageBreakBefore/>
        <w:pBdr>
          <w:bottom w:val="single" w:sz="4" w:space="4" w:color="99C1E7"/>
        </w:pBdr>
      </w:pPr>
      <w:bookmarkStart w:id="114" w:name="_Toc000114"/>
      <w:r>
        <w:rPr/>
        <w:t>10 Closure sign-off</w:t>
      </w:r>
      <w:bookmarkEnd w:id="114"/>
    </w:p>
    <w:p>
      <w:r>
        <w:rPr/>
        <w:t>By signing, the steering committee closes Drop 0 on the basis of the three signed sets, records the decisions of chapter 5 with their owners and dates, accepts the configuration inputs timeline of chapter 6 and opens Drop 1.</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2379"/>
        <w:gridCol w:w="2379"/>
        <w:gridCol w:w="1813"/>
        <w:gridCol w:w="1133"/>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8"/>
              </w:rPr>
              <w:t>Signature</w:t>
            </w:r>
          </w:p>
        </w:tc>
        <w:tc>
          <w:tcPr>
            <w:tcW w:type="dxa" w:w="1133"/>
            <w:shd w:val="clear" w:color="auto" w:fill="004EA8"/>
            <w:tcMar>
              <w:top w:w="50" w:type="dxa"/>
              <w:bottom w:w="50" w:type="dxa"/>
              <w:left w:w="90" w:type="dxa"/>
              <w:right w:w="90" w:type="dxa"/>
            </w:tcMar>
            <w:vAlign w:val="center"/>
          </w:tcPr>
          <w:p>
            <w:pPr>
              <w:pStyle w:val="BDOITableHeader"/>
            </w:pPr>
            <w:r>
              <w:rPr>
                <w:b/>
                <w:color w:val="FFFFFF"/>
                <w:sz w:val="18"/>
              </w:rPr>
              <w:t>Date</w:t>
            </w: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Program Manager, Business Project Services</w:t>
            </w:r>
          </w:p>
        </w:tc>
        <w:tc>
          <w:tcPr>
            <w:tcW w:type="dxa" w:w="2380"/>
            <w:tcMar>
              <w:top w:w="50" w:type="dxa"/>
              <w:bottom w:w="50" w:type="dxa"/>
              <w:left w:w="90" w:type="dxa"/>
              <w:right w:w="90" w:type="dxa"/>
            </w:tcMar>
            <w:vAlign w:val="center"/>
          </w:tcPr>
          <w:p>
            <w:pPr>
              <w:pStyle w:val="BDOITable"/>
            </w:pPr>
            <w:r>
              <w:rPr>
                <w:sz w:val="18"/>
              </w:rPr>
              <w:t>BDO Unibank ESG</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Product Owner, Marketing Business System</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Comptrollership</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BDOI Information Security</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BDOI IT</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Data Migration Lead</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Project Manager</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bl>
    <w:p>
      <w:pPr>
        <w:pStyle w:val="BDOISpacer"/>
      </w:pPr>
    </w:p>
    <w:sectPr w:rsidR="00FC693F" w:rsidRPr="0006063C" w:rsidSect="00034616">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Drop 0 Closure Summary</w:t>
    </w:r>
    <w:r>
      <w:rPr>
        <w:color w:val="656565"/>
        <w:sz w:val="16"/>
      </w:rPr>
      <w:t xml:space="preserve">   Closure Summary for the Steering Committee</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Closure Summary for the Steering Committee Drop 0 Closure Summary</dc:title>
  <dc:subject>BIBS – BDOI Broker System</dc:subject>
  <dc:creator>iorta TechNXT</dc:creator>
  <cp:keywords>ClosureSummary, Drop 0, BIBS, BDOI</cp:keywords>
  <dc:description>Version 2.0. Confidential.</dc:description>
  <cp:lastModifiedBy>iorta TechNXT</cp:lastModifiedBy>
  <cp:revision>1</cp:revision>
  <dcterms:created xsi:type="dcterms:W3CDTF">2013-12-23T23:15:00Z</dcterms:created>
  <dcterms:modified xsi:type="dcterms:W3CDTF">2013-12-23T23:15:00Z</dcterms:modified>
  <cp:category/>
</cp:coreProperties>
</file>