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RECONCILIATION APPROACH</w:t>
      </w:r>
    </w:p>
    <w:p>
      <w:pPr>
        <w:spacing w:after="80" w:line="240" w:lineRule="auto"/>
      </w:pPr>
      <w:r>
        <w:rPr>
          <w:b/>
          <w:color w:val="004EA8"/>
          <w:sz w:val="56"/>
        </w:rPr>
        <w:t>Migration Reconciliation Approach and Sign-off</w:t>
      </w:r>
    </w:p>
    <w:p>
      <w:pPr>
        <w:spacing w:after="40"/>
      </w:pPr>
      <w:r>
        <w:rPr>
          <w:color w:val="2E2E2E"/>
          <w:sz w:val="28"/>
        </w:rPr>
        <w:t>BRD-13 Data Migration - how every data object is proven from source to target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BIBS-DMR-BRD-13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First issue for BDOI review, with the Data Migration Strategy and Approach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Head, Comptrollership (pending)</w:t>
            </w:r>
          </w:p>
        </w:tc>
        <w:tc>
          <w:tcPr>
            <w:tcW w:type="dxa" w:w="2606"/>
            <w:tcMar>
              <w:top w:w="50" w:type="dxa"/>
              <w:bottom w:w="50" w:type="dxa"/>
              <w:left w:w="90" w:type="dxa"/>
              <w:right w:w="90" w:type="dxa"/>
            </w:tcMar>
            <w:shd w:val="clear" w:color="auto" w:fill="E5F5FF"/>
          </w:tcPr>
          <w:p>
            <w:pPr>
              <w:pStyle w:val="BDOITable"/>
            </w:pPr>
            <w:r>
              <w:rPr>
                <w:sz w:val="18"/>
              </w:rPr>
              <w:t>With the Strategy v1.1 (BDOI timeline, go-live January 2028; four trial migrations). L5 compares each legacy control account with the opening detail; sign of a Migration Clearing difference corrected in the worked example; cohort completeness of the carried RMEL cohorts (P03); package remapping samples</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BDOI answers of 26-Sep-2026. Provisional GL opening and FY2027 true-ups (DMQ39, recommended) - true-up reconciliation with cut-off, movement, balance and clearing checks, and its sign-off form. RA-sent file (P03) and the go-live renewal extraction check replace the carried cohorts (DMQ37, DMQ38). The PACKAGE map is reconciled as reference data loaded for the Renewal sanitation (DMQ36)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 FRBS / ACSL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 approver for financial objects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of each object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Business verification and acceptance (G6)</w:t>
            </w:r>
          </w:p>
        </w:tc>
      </w:tr>
      <w:tr>
        <w:trPr>
          <w:cantSplit w:val="true"/>
        </w:trPr>
        <w:tc>
          <w:tcPr>
            <w:tcW w:type="dxa" w:w="2606"/>
            <w:tcMar>
              <w:top w:w="50" w:type="dxa"/>
              <w:bottom w:w="50" w:type="dxa"/>
              <w:left w:w="90" w:type="dxa"/>
              <w:right w:w="90" w:type="dxa"/>
            </w:tcMar>
          </w:tcPr>
          <w:p>
            <w:pPr>
              <w:pStyle w:val="BDOITable"/>
            </w:pPr>
            <w:r>
              <w:rPr>
                <w:sz w:val="18"/>
              </w:rPr>
              <w:t>BDOI Data Migration Lead; Program Manager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Go / no-go evidence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Audit / Compliance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Evidence retention; archive reconciliation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Reconciliation runs and reports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1"/>
      </w:pPr>
      <w:hyperlink w:anchor="_Toc000102" w:history="1">
        <w:r>
          <w:t xml:space="preserve">2 Reconciliation levels</w:t>
        </w:r>
        <w:r>
          <w:t xml:space="preserve">	</w:t>
        </w:r>
        <w:r>
          <w:t xml:space="preserve">4</w:t>
        </w:r>
      </w:hyperlink>
    </w:p>
    <w:p>
      <w:pPr>
        <w:pStyle w:val="toc1"/>
      </w:pPr>
      <w:hyperlink w:anchor="_Toc000103" w:history="1">
        <w:r>
          <w:t xml:space="preserve">3 Control totals BDOI sends</w:t>
        </w:r>
        <w:r>
          <w:t xml:space="preserve">	</w:t>
        </w:r>
        <w:r>
          <w:t xml:space="preserve">5</w:t>
        </w:r>
      </w:hyperlink>
    </w:p>
    <w:p>
      <w:pPr>
        <w:pStyle w:val="toc1"/>
      </w:pPr>
      <w:hyperlink w:anchor="_Toc000104" w:history="1">
        <w:r>
          <w:t xml:space="preserve">4 Reconciliation per data object</w:t>
        </w:r>
        <w:r>
          <w:t xml:space="preserve">	</w:t>
        </w:r>
        <w:r>
          <w:t xml:space="preserve">6</w:t>
        </w:r>
      </w:hyperlink>
    </w:p>
    <w:p>
      <w:pPr>
        <w:pStyle w:val="toc1"/>
      </w:pPr>
      <w:hyperlink w:anchor="_Toc000105" w:history="1">
        <w:r>
          <w:t xml:space="preserve">5 GL reconciliation: Migration Clearing</w:t>
        </w:r>
        <w:r>
          <w:t xml:space="preserve">	</w:t>
        </w:r>
        <w:r>
          <w:t xml:space="preserve">7</w:t>
        </w:r>
      </w:hyperlink>
    </w:p>
    <w:p>
      <w:pPr>
        <w:pStyle w:val="toc2"/>
      </w:pPr>
      <w:hyperlink w:anchor="_Toc000106" w:history="1">
        <w:r>
          <w:t xml:space="preserve">5.1 True-up reconciliation (FY2027 closing and audit adjustments)</w:t>
        </w:r>
        <w:r>
          <w:t xml:space="preserve">	</w:t>
        </w:r>
        <w:r>
          <w:t xml:space="preserve">8</w:t>
        </w:r>
      </w:hyperlink>
    </w:p>
    <w:p>
      <w:pPr>
        <w:pStyle w:val="toc1"/>
      </w:pPr>
      <w:hyperlink w:anchor="_Toc000107" w:history="1">
        <w:r>
          <w:t xml:space="preserve">6 Business verification on screen (gate G6)</w:t>
        </w:r>
        <w:r>
          <w:t xml:space="preserve">	</w:t>
        </w:r>
        <w:r>
          <w:t xml:space="preserve">9</w:t>
        </w:r>
      </w:hyperlink>
    </w:p>
    <w:p>
      <w:pPr>
        <w:pStyle w:val="toc2"/>
      </w:pPr>
      <w:hyperlink w:anchor="_Toc000108" w:history="1">
        <w:r>
          <w:t xml:space="preserve">6.1 Sample plan</w:t>
        </w:r>
        <w:r>
          <w:t xml:space="preserve">	</w:t>
        </w:r>
        <w:r>
          <w:t xml:space="preserve">10</w:t>
        </w:r>
      </w:hyperlink>
    </w:p>
    <w:p>
      <w:pPr>
        <w:pStyle w:val="toc2"/>
      </w:pPr>
      <w:hyperlink w:anchor="_Toc000109" w:history="1">
        <w:r>
          <w:t xml:space="preserve">6.2 Acceptance rule</w:t>
        </w:r>
        <w:r>
          <w:t xml:space="preserve">	</w:t>
        </w:r>
        <w:r>
          <w:t xml:space="preserve">10</w:t>
        </w:r>
      </w:hyperlink>
    </w:p>
    <w:p>
      <w:pPr>
        <w:pStyle w:val="toc1"/>
      </w:pPr>
      <w:hyperlink w:anchor="_Toc000110" w:history="1">
        <w:r>
          <w:t xml:space="preserve">7 Breaks, waivers and exclusions</w:t>
        </w:r>
        <w:r>
          <w:t xml:space="preserve">	</w:t>
        </w:r>
        <w:r>
          <w:t xml:space="preserve">11</w:t>
        </w:r>
      </w:hyperlink>
    </w:p>
    <w:p>
      <w:pPr>
        <w:pStyle w:val="toc1"/>
      </w:pPr>
      <w:hyperlink w:anchor="_Toc000111" w:history="1">
        <w:r>
          <w:t xml:space="preserve">8 Evidence and retention</w:t>
        </w:r>
        <w:r>
          <w:t xml:space="preserve">	</w:t>
        </w:r>
        <w:r>
          <w:t xml:space="preserve">11</w:t>
        </w:r>
      </w:hyperlink>
    </w:p>
    <w:p>
      <w:pPr>
        <w:pStyle w:val="toc1"/>
      </w:pPr>
      <w:hyperlink w:anchor="_Toc000112" w:history="1">
        <w:r>
          <w:t xml:space="preserve">9 Sign-off forms</w:t>
        </w:r>
        <w:r>
          <w:t xml:space="preserve">	</w:t>
        </w:r>
        <w:r>
          <w:t xml:space="preserve">11</w:t>
        </w:r>
      </w:hyperlink>
    </w:p>
    <w:p>
      <w:pPr>
        <w:pStyle w:val="toc2"/>
      </w:pPr>
      <w:hyperlink w:anchor="_Toc000113" w:history="1">
        <w:r>
          <w:t xml:space="preserve">9.1 Object reconciliation and acceptance (G5 and G6)</w:t>
        </w:r>
        <w:r>
          <w:t xml:space="preserve">	</w:t>
        </w:r>
        <w:r>
          <w:t xml:space="preserve">12</w:t>
        </w:r>
      </w:hyperlink>
    </w:p>
    <w:p>
      <w:pPr>
        <w:pStyle w:val="toc2"/>
      </w:pPr>
      <w:hyperlink w:anchor="_Toc000114" w:history="1">
        <w:r>
          <w:t xml:space="preserve">9.2 Cutover reconciliation summary (go / no-go GNG-3)</w:t>
        </w:r>
        <w:r>
          <w:t xml:space="preserve">	</w:t>
        </w:r>
        <w:r>
          <w:t xml:space="preserve">13</w:t>
        </w:r>
      </w:hyperlink>
    </w:p>
    <w:p>
      <w:pPr>
        <w:pStyle w:val="toc2"/>
      </w:pPr>
      <w:hyperlink w:anchor="_Toc000115" w:history="1">
        <w:r>
          <w:t xml:space="preserve">9.3 True-up reconciliation and sign-off (FY2027)</w:t>
        </w:r>
        <w:r>
          <w:t xml:space="preserve">	</w:t>
        </w:r>
        <w:r>
          <w:t xml:space="preserve">14</w:t>
        </w:r>
      </w:hyperlink>
    </w:p>
    <w:p>
      <w:pPr>
        <w:pStyle w:val="toc2"/>
      </w:pPr>
      <w:hyperlink w:anchor="_Toc000116" w:history="1">
        <w:r>
          <w:t xml:space="preserve">9.4 Archive reconciliation (before decommissioning)</w:t>
        </w:r>
        <w:r>
          <w:t xml:space="preserve">	</w:t>
        </w:r>
        <w:r>
          <w:t xml:space="preserve">15</w:t>
        </w:r>
      </w:hyperlink>
      <w:r>
        <w:fldChar w:fldCharType="end"/>
      </w:r>
    </w:p>
    <w:p>
      <w:pPr>
        <w:pStyle w:val="Heading1"/>
        <w:pageBreakBefore/>
        <w:pBdr>
          <w:bottom w:val="single" w:sz="4" w:space="4" w:color="99C1E7"/>
        </w:pBdr>
      </w:pPr>
      <w:bookmarkStart w:id="101" w:name="_Toc000101"/>
      <w:r>
        <w:rPr/>
        <w:t>1 Purpose and scope</w:t>
      </w:r>
      <w:bookmarkEnd w:id="101"/>
    </w:p>
    <w:p>
      <w:r>
        <w:rPr/>
        <w:t>BRID 1.1b asks that, after cutover, "all data objects and items are reconcilable from source to target" from the generated data migration reports (BRD p.7). This document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the Data Migration Strategy and Approach (section 6.10) and FRS BRD-13 (FR-DM-020 to FR-DM-024, FR-DM-003). Account codes are not named: the legacy control accounts and the Migration Clearing account are assigned by Comptrollership (DMQ18, register DCR-197).</w:t>
      </w:r>
    </w:p>
    <w:p>
      <w:pPr>
        <w:pStyle w:val="Heading1"/>
        <w:pBdr>
          <w:bottom w:val="single" w:sz="4" w:space="4" w:color="99C1E7"/>
        </w:pBdr>
      </w:pPr>
      <w:bookmarkStart w:id="102" w:name="_Toc000102"/>
      <w:r>
        <w:rPr/>
        <w:t>2 Reconciliation levels</w:t>
      </w:r>
      <w:bookmarkEnd w:id="102"/>
    </w:p>
    <w:p>
      <w:r>
        <w:rPr/>
        <w:t>Five levels are run by BIBS after each load (job MIG_RECONCILE) and on demand. Levels L1 to L4 apply to every object; L5 to the financial objects.</w:t>
      </w:r>
    </w:p>
    <w:p>
      <w:pPr>
        <w:pStyle w:val="Caption"/>
        <w:keepNext/>
        <w:spacing w:after="60"/>
      </w:pPr>
      <w:r>
        <w:rPr>
          <w:b/>
          <w:i w:val="0"/>
        </w:rPr>
        <w:t xml:space="preserve">Table 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origin LEGACY,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(tolerance MIG_AMOUNT_TOLERANCE,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with ledger context LEGACY)</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MIG_BREAK_REASON (rounding at source, record excluded by the owner, mapping difference, legacy data error, late legacy transaction, other) and a text, and is approved by the reconciliation approver. A reconciliation cannot be signed (gate G5) while a break is open.</w:t>
      </w:r>
    </w:p>
    <w:p>
      <w:r>
        <w:rPr>
          <w:b/>
        </w:rPr>
        <w:t>Reports.</w:t>
      </w:r>
      <w:r>
        <w:rPr/>
        <w:t xml:space="preserve"> MIG-RECON-SUMMARY (object by level with status), MIG-RECON-DETAIL (lines, breaks, explanations, approvals), MIG-REJECTS (rejected and invalid rows with their messages), MIG-GL-CLEARING (Migration Clearing per branch and currency; legacy control accounts against sub-ledgers). All export to Excel and PDF.</w:t>
      </w:r>
    </w:p>
    <w:p>
      <w:pPr>
        <w:pStyle w:val="Heading1"/>
        <w:pBdr>
          <w:bottom w:val="single" w:sz="4" w:space="4" w:color="99C1E7"/>
        </w:pBdr>
      </w:pPr>
      <w:bookmarkStart w:id="103" w:name="_Toc000103"/>
      <w:r>
        <w:rPr/>
        <w:t>3 Control totals BDOI sends</w:t>
      </w:r>
      <w:bookmarkEnd w:id="103"/>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2: </w:t>
      </w:r>
      <w:r>
        <w:rPr/>
        <w:t>Control totals required per layout (row count and SHA-256 for every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3003"/>
        <w:gridCol w:w="318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8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004"/>
            <w:tcMar>
              <w:top w:w="50" w:type="dxa"/>
              <w:bottom w:w="50" w:type="dxa"/>
              <w:left w:w="90" w:type="dxa"/>
              <w:right w:w="90" w:type="dxa"/>
            </w:tcMar>
          </w:tcPr>
          <w:p>
            <w:pPr>
              <w:pStyle w:val="BDOITable"/>
            </w:pPr>
            <w:r>
              <w:rPr>
                <w:sz w:val="16"/>
              </w:rPr>
              <w:t>Count of distinct (list_type, 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004"/>
            <w:tcMar>
              <w:top w:w="50" w:type="dxa"/>
              <w:bottom w:w="50" w:type="dxa"/>
              <w:left w:w="90" w:type="dxa"/>
              <w:right w:w="90" w:type="dxa"/>
            </w:tcMar>
            <w:shd w:val="clear" w:color="auto" w:fill="E5F5FF"/>
          </w:tcPr>
          <w:p>
            <w:pPr>
              <w:pStyle w:val="BDOITable"/>
            </w:pPr>
            <w:r>
              <w:rPr>
                <w:sz w:val="16"/>
              </w:rPr>
              <w:t>Count of distinct branch_code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004"/>
            <w:tcMar>
              <w:top w:w="50" w:type="dxa"/>
              <w:bottom w:w="50" w:type="dxa"/>
              <w:left w:w="90" w:type="dxa"/>
              <w:right w:w="90" w:type="dxa"/>
            </w:tcMar>
          </w:tcPr>
          <w:p>
            <w:pPr>
              <w:pStyle w:val="BDOITable"/>
            </w:pPr>
            <w:r>
              <w:rPr>
                <w:sz w:val="16"/>
              </w:rPr>
              <w:t>Count of rows per record_type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004"/>
            <w:tcMar>
              <w:top w:w="50" w:type="dxa"/>
              <w:bottom w:w="50" w:type="dxa"/>
              <w:left w:w="90" w:type="dxa"/>
              <w:right w:w="90" w:type="dxa"/>
            </w:tcMar>
            <w:shd w:val="clear" w:color="auto" w:fill="E5F5FF"/>
          </w:tcPr>
          <w:p>
            <w:pPr>
              <w:pStyle w:val="BDOITable"/>
            </w:pPr>
            <w:r>
              <w:rPr>
                <w:sz w:val="16"/>
              </w:rPr>
              <w:t>Count of distinct insurer_code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004"/>
            <w:tcMar>
              <w:top w:w="50" w:type="dxa"/>
              <w:bottom w:w="50" w:type="dxa"/>
              <w:left w:w="90" w:type="dxa"/>
              <w:right w:w="90" w:type="dxa"/>
            </w:tcMar>
          </w:tcPr>
          <w:p>
            <w:pPr>
              <w:pStyle w:val="BDOITable"/>
            </w:pPr>
            <w:r>
              <w:rPr>
                <w:sz w:val="16"/>
              </w:rPr>
              <w:t>Count of distinct (insurer_code, branch_code)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004"/>
            <w:tcMar>
              <w:top w:w="50" w:type="dxa"/>
              <w:bottom w:w="50" w:type="dxa"/>
              <w:left w:w="90" w:type="dxa"/>
              <w:right w:w="90" w:type="dxa"/>
            </w:tcMar>
            <w:shd w:val="clear" w:color="auto" w:fill="E5F5FF"/>
          </w:tcPr>
          <w:p>
            <w:pPr>
              <w:pStyle w:val="BDOITable"/>
            </w:pPr>
            <w:r>
              <w:rPr>
                <w:sz w:val="16"/>
              </w:rPr>
              <w:t>Count of distinct risk_code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004"/>
            <w:tcMar>
              <w:top w:w="50" w:type="dxa"/>
              <w:bottom w:w="50" w:type="dxa"/>
              <w:left w:w="90" w:type="dxa"/>
              <w:right w:w="90" w:type="dxa"/>
            </w:tcMar>
          </w:tcPr>
          <w:p>
            <w:pPr>
              <w:pStyle w:val="BDOITable"/>
            </w:pPr>
            <w:r>
              <w:rPr>
                <w:sz w:val="16"/>
              </w:rPr>
              <w:t>Count of distinct (legacy_package_code, legacy_package_version)</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004"/>
            <w:tcMar>
              <w:top w:w="50" w:type="dxa"/>
              <w:bottom w:w="50" w:type="dxa"/>
              <w:left w:w="90" w:type="dxa"/>
              <w:right w:w="90" w:type="dxa"/>
            </w:tcMar>
          </w:tcPr>
          <w:p>
            <w:pPr>
              <w:pStyle w:val="BDOITable"/>
            </w:pPr>
            <w:r>
              <w:rPr>
                <w:sz w:val="16"/>
              </w:rPr>
              <w:t>Count of distinct legacy_account_code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004"/>
            <w:tcMar>
              <w:top w:w="50" w:type="dxa"/>
              <w:bottom w:w="50" w:type="dxa"/>
              <w:left w:w="90" w:type="dxa"/>
              <w:right w:w="90" w:type="dxa"/>
            </w:tcMar>
            <w:shd w:val="clear" w:color="auto" w:fill="E5F5FF"/>
          </w:tcPr>
          <w:p>
            <w:pPr>
              <w:pStyle w:val="BDOITable"/>
            </w:pPr>
            <w:r>
              <w:rPr>
                <w:sz w:val="16"/>
              </w:rPr>
              <w:t>Count of distinct payee_code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004"/>
            <w:tcMar>
              <w:top w:w="50" w:type="dxa"/>
              <w:bottom w:w="50" w:type="dxa"/>
              <w:left w:w="90" w:type="dxa"/>
              <w:right w:w="90" w:type="dxa"/>
            </w:tcMar>
            <w:shd w:val="clear" w:color="auto" w:fill="E5F5FF"/>
          </w:tcPr>
          <w:p>
            <w:pPr>
              <w:pStyle w:val="BDOITable"/>
            </w:pPr>
            <w:r>
              <w:rPr>
                <w:sz w:val="16"/>
              </w:rPr>
              <w:t>Count of distinct legacy_client_no</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proposed_premium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004"/>
            <w:tcMar>
              <w:top w:w="50" w:type="dxa"/>
              <w:bottom w:w="50" w:type="dxa"/>
              <w:left w:w="90" w:type="dxa"/>
              <w:right w:w="90" w:type="dxa"/>
            </w:tcMar>
            <w:shd w:val="clear" w:color="auto" w:fill="E5F5FF"/>
          </w:tcPr>
          <w:p>
            <w:pPr>
              <w:pStyle w:val="BDOITable"/>
            </w:pPr>
            <w:r>
              <w:rPr>
                <w:sz w:val="16"/>
              </w:rPr>
              <w:t>Count of distinct legacy_invoice_no</w:t>
            </w:r>
          </w:p>
        </w:tc>
        <w:tc>
          <w:tcPr>
            <w:tcW w:type="dxa" w:w="3184"/>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004"/>
            <w:tcMar>
              <w:top w:w="50" w:type="dxa"/>
              <w:bottom w:w="50" w:type="dxa"/>
              <w:left w:w="90" w:type="dxa"/>
              <w:right w:w="90" w:type="dxa"/>
            </w:tcMar>
          </w:tcPr>
          <w:p>
            <w:pPr>
              <w:pStyle w:val="BDOITable"/>
            </w:pPr>
            <w:r>
              <w:rPr>
                <w:sz w:val="16"/>
              </w:rPr>
              <w:t>Count of distinct legacy_upp_ref</w:t>
            </w:r>
          </w:p>
        </w:tc>
        <w:tc>
          <w:tcPr>
            <w:tcW w:type="dxa" w:w="3184"/>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004"/>
            <w:tcMar>
              <w:top w:w="50" w:type="dxa"/>
              <w:bottom w:w="50" w:type="dxa"/>
              <w:left w:w="90" w:type="dxa"/>
              <w:right w:w="90" w:type="dxa"/>
            </w:tcMar>
            <w:shd w:val="clear" w:color="auto" w:fill="E5F5FF"/>
          </w:tcPr>
          <w:p>
            <w:pPr>
              <w:pStyle w:val="BDOITable"/>
            </w:pPr>
            <w:r>
              <w:rPr>
                <w:sz w:val="16"/>
              </w:rPr>
              <w:t>Count of rows per record_type</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004"/>
            <w:tcMar>
              <w:top w:w="50" w:type="dxa"/>
              <w:bottom w:w="50" w:type="dxa"/>
              <w:left w:w="90" w:type="dxa"/>
              <w:right w:w="90" w:type="dxa"/>
            </w:tcMar>
            <w:shd w:val="clear" w:color="auto" w:fill="E5F5FF"/>
          </w:tcPr>
          <w:p>
            <w:pPr>
              <w:pStyle w:val="BDOITable"/>
            </w:pPr>
            <w:r>
              <w:rPr>
                <w:sz w:val="16"/>
              </w:rPr>
              <w:t>Count of distinct legacy_journal_no</w:t>
            </w:r>
          </w:p>
        </w:tc>
        <w:tc>
          <w:tcPr>
            <w:tcW w:type="dxa" w:w="3184"/>
            <w:tcMar>
              <w:top w:w="50" w:type="dxa"/>
              <w:bottom w:w="50" w:type="dxa"/>
              <w:left w:w="90" w:type="dxa"/>
              <w:right w:w="90" w:type="dxa"/>
            </w:tcMar>
            <w:shd w:val="clear" w:color="auto" w:fill="E5F5FF"/>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004"/>
            <w:tcMar>
              <w:top w:w="50" w:type="dxa"/>
              <w:bottom w:w="50" w:type="dxa"/>
              <w:left w:w="90" w:type="dxa"/>
              <w:right w:w="90" w:type="dxa"/>
            </w:tcMar>
            <w:shd w:val="clear" w:color="auto" w:fill="E5F5FF"/>
          </w:tcPr>
          <w:p>
            <w:pPr>
              <w:pStyle w:val="BDOITable"/>
            </w:pPr>
            <w:r>
              <w:rPr>
                <w:sz w:val="16"/>
              </w:rPr>
              <w:t>Count of distinct (record_type, legacy_key)</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004"/>
            <w:tcMar>
              <w:top w:w="50" w:type="dxa"/>
              <w:bottom w:w="50" w:type="dxa"/>
              <w:left w:w="90" w:type="dxa"/>
              <w:right w:w="90" w:type="dxa"/>
            </w:tcMar>
          </w:tcPr>
          <w:p>
            <w:pPr>
              <w:pStyle w:val="BDOITable"/>
            </w:pPr>
            <w:r>
              <w:rPr>
                <w:sz w:val="16"/>
              </w:rPr>
              <w:t>Count of rows; SHA-256 per file</w:t>
            </w:r>
          </w:p>
        </w:tc>
        <w:tc>
          <w:tcPr>
            <w:tcW w:type="dxa" w:w="318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Bdr>
          <w:bottom w:val="single" w:sz="4" w:space="4" w:color="99C1E7"/>
        </w:pBdr>
      </w:pPr>
      <w:bookmarkStart w:id="104" w:name="_Toc000104"/>
      <w:r>
        <w:rPr/>
        <w:t>4 Reconciliation per data object</w:t>
      </w:r>
      <w:bookmarkEnd w:id="104"/>
    </w:p>
    <w:p>
      <w:pPr>
        <w:pStyle w:val="Caption"/>
        <w:keepNext/>
        <w:spacing w:after="60"/>
      </w:pPr>
      <w:r>
        <w:rPr>
          <w:b/>
          <w:i w:val="0"/>
        </w:rPr>
        <w:t xml:space="preserve">Table 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extraction check MIG-RENEWAL-GOLIVE per expiry month January-May 2028: P01 headers expiring from T to 31 May 2028 = candidates + renewals booked in legacy; loaded P03 rows = candidates with the RA already sent; every January candidate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Bdr>
          <w:bottom w:val="single" w:sz="4" w:space="4" w:color="99C1E7"/>
        </w:pBdr>
      </w:pPr>
      <w:bookmarkStart w:id="105" w:name="_Toc000105"/>
      <w:r>
        <w:rPr/>
        <w:t>5 GL reconciliation: Migration Clearing</w:t>
      </w:r>
      <w:bookmarkEnd w:id="105"/>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build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6505"/>
            <wp:docPr id="3" name="Picture 3"/>
            <wp:cNvGraphicFramePr>
              <a:graphicFrameLocks noChangeAspect="1"/>
            </wp:cNvGraphicFramePr>
            <a:graphic>
              <a:graphicData uri="http://schemas.openxmlformats.org/drawingml/2006/picture">
                <pic:pic>
                  <pic:nvPicPr>
                    <pic:cNvPr id="0" name="dm_clearing.png"/>
                    <pic:cNvPicPr/>
                  </pic:nvPicPr>
                  <pic:blipFill>
                    <a:blip r:embed="rId15"/>
                    <a:stretch>
                      <a:fillRect/>
                    </a:stretch>
                  </pic:blipFill>
                  <pic:spPr>
                    <a:xfrm>
                      <a:off x="0" y="0"/>
                      <a:ext cx="5400000" cy="1976505"/>
                    </a:xfrm>
                    <a:prstGeom prst="rect"/>
                  </pic:spPr>
                </pic:pic>
              </a:graphicData>
            </a:graphic>
          </wp:inline>
        </w:drawing>
      </w:r>
    </w:p>
    <w:p>
      <w:pPr>
        <w:pStyle w:val="Caption"/>
        <w:jc w:val="center"/>
      </w:pPr>
      <w:r>
        <w:rPr>
          <w:b/>
          <w:i w:val="0"/>
        </w:rPr>
        <w:t xml:space="preserve">Figure 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MIG-GL-CLEARING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with ledger context LEGACY: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106" w:name="_Toc000106"/>
      <w:r>
        <w:rPr/>
        <w:t>5.1 True-up reconciliation (FY2027 closing and audit adjustments)</w:t>
      </w:r>
      <w:bookmarkEnd w:id="106"/>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MIG-TRUEUP-RECON after the posting; the Head of Comptrollership signs the true-up only when every check is met (FR-DM-024).</w:t>
      </w:r>
    </w:p>
    <w:p>
      <w:pPr>
        <w:pStyle w:val="Caption"/>
        <w:keepNext/>
        <w:spacing w:after="60"/>
      </w:pPr>
      <w:r>
        <w:rPr>
          <w:b/>
          <w:i w:val="0"/>
        </w:rPr>
        <w:t xml:space="preserve">Table 5: </w:t>
      </w:r>
      <w:r>
        <w:rPr/>
        <w:t>True-up checks (MIG-TRUEUP-RECON)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context LEGACY)</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Bdr>
          <w:bottom w:val="single" w:sz="4" w:space="4" w:color="99C1E7"/>
        </w:pBdr>
      </w:pPr>
      <w:bookmarkStart w:id="107" w:name="_Toc000107"/>
      <w:r>
        <w:rPr/>
        <w:t>6 Business verification on screen (gate G6)</w:t>
      </w:r>
      <w:bookmarkEnd w:id="107"/>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108" w:name="_Toc000108"/>
      <w:r>
        <w:rPr/>
        <w:t>6.1 Sample plan</w:t>
      </w:r>
      <w:bookmarkEnd w:id="108"/>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109" w:name="_Toc000109"/>
      <w:r>
        <w:rPr/>
        <w:t>6.2 Acceptance rule</w:t>
      </w:r>
      <w:bookmarkEnd w:id="109"/>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loader,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(section 9.1) with the sample seed, the records checked and the errors found.</w:t>
      </w:r>
    </w:p>
    <w:p>
      <w:pPr>
        <w:pStyle w:val="Heading1"/>
        <w:pBdr>
          <w:bottom w:val="single" w:sz="4" w:space="4" w:color="99C1E7"/>
        </w:pBdr>
      </w:pPr>
      <w:bookmarkStart w:id="110" w:name="_Toc000110"/>
      <w:r>
        <w:rPr/>
        <w:t>7 Breaks, waivers and exclusions</w:t>
      </w:r>
      <w:bookmarkEnd w:id="110"/>
    </w:p>
    <w:p>
      <w:pPr>
        <w:pStyle w:val="Caption"/>
        <w:keepNext/>
        <w:spacing w:after="60"/>
      </w:pPr>
      <w:r>
        <w:rPr>
          <w:b/>
          <w:i w:val="0"/>
        </w:rPr>
        <w:t xml:space="preserve">Table 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Loader or mapping defect: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Bdr>
          <w:bottom w:val="single" w:sz="4" w:space="4" w:color="99C1E7"/>
        </w:pBdr>
      </w:pPr>
      <w:bookmarkStart w:id="111" w:name="_Toc000111"/>
      <w:r>
        <w:rPr/>
        <w:t>8 Evidence and retention</w:t>
      </w:r>
      <w:bookmarkEnd w:id="111"/>
    </w:p>
    <w:p>
      <w:r>
        <w:rPr/>
        <w:t>For each object and cycle the evidence pack holds: the extract numbers with file names, SHA-256 and control totals; the map versions used; MIG-DQ-ISSUES with waivers; MIG-REJECTS; MIG-RECON-SUMMARY and MIG-RECON-DETAIL; MIG-GL-CLEARING for financial objects; the sample list with the check results; and the signed forms of section 9. The pack is exported from the Migration Console and filed in the project records. Staging rows and files are purged within 5 days of sign-off, but counts, hashes, totals, reports and sign-offs are kept (proposed 10 years, DMQ29).</w:t>
      </w:r>
    </w:p>
    <w:p>
      <w:pPr>
        <w:pStyle w:val="Heading1"/>
        <w:pBdr>
          <w:bottom w:val="single" w:sz="4" w:space="4" w:color="99C1E7"/>
        </w:pBdr>
      </w:pPr>
      <w:bookmarkStart w:id="112" w:name="_Toc000112"/>
      <w:r>
        <w:rPr/>
        <w:t>9 Sign-off forms</w:t>
      </w:r>
      <w:bookmarkEnd w:id="112"/>
    </w:p>
    <w:p>
      <w:r>
        <w:rPr/>
        <w:t>The forms below are signed in the Migration Console (gates G5 and G6) and printed for the project file. One form per object and cycle.</w:t>
      </w:r>
    </w:p>
    <w:p>
      <w:pPr>
        <w:spacing w:after="0"/>
      </w:pPr>
      <w:r>
        <w:br w:type="page"/>
      </w:r>
    </w:p>
    <w:p>
      <w:pPr>
        <w:pStyle w:val="Heading2"/>
      </w:pPr>
      <w:bookmarkStart w:id="113" w:name="_Toc000113"/>
      <w:r>
        <w:rPr/>
        <w:t>9.1 Object reconciliation and acceptance (G5 and G6)</w:t>
      </w:r>
      <w:bookmarkEnd w:id="1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9: </w:t>
      </w:r>
      <w:r>
        <w:rPr/>
        <w:t>Reconciliation results (from MIG-RECON-SUMMARY)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10: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4" w:name="_Toc000114"/>
      <w:r>
        <w:rPr/>
        <w:t>9.2 Cutover reconciliation summary (go / no-go GNG-3)</w:t>
      </w:r>
      <w:bookmarkEnd w:id="1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13: </w:t>
      </w:r>
      <w:r>
        <w:rPr/>
        <w:t>Go-live renewal extraction check (MIG-RENEWAL-GOLIVE;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5" w:name="_Toc000115"/>
      <w:r>
        <w:rPr/>
        <w:t>9.3 True-up reconciliation and sign-off (FY2027)</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14: </w:t>
      </w:r>
      <w:r>
        <w:rPr/>
        <w:t>True-up checks (from MIG-TRUEUP-RECON)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116" w:name="_Toc000116"/>
      <w:r>
        <w:rPr/>
        <w:t>9.4 Archive reconciliation (before decommissioning)</w:t>
      </w:r>
      <w:bookmarkEnd w:id="1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Migration Reconciliation Approach and Sign-off</w:t>
    </w:r>
    <w:r>
      <w:rPr>
        <w:color w:val="656565"/>
        <w:sz w:val="16"/>
      </w:rPr>
      <w:t xml:space="preserve">   Reconciliation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Reconciliation Approach Migration Reconciliation Approach and Sign-off</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