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Renewal: To-Be Process and Storyboards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PRJ0012475-RN-BPS</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1.3</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Renewal set (taken out of the annexes of the FRS v1.2 and aligned with the system delivered). Numbered 1.3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End-to-end Journey</w:t>
      </w:r>
      <w:r>
        <w:tab/>
      </w:r>
      <w:r>
        <w:t xml:space="preserve">6</w:t>
      </w:r>
    </w:p>
    <w:p>
      <w:pPr>
        <w:pStyle w:val="TOC1"/>
        <w:tabs>
          <w:tab w:val="right" w:leader="dot" w:pos="9630"/>
        </w:tabs>
      </w:pPr>
      <w:r>
        <w:t xml:space="preserve">To-be Processes</w:t>
      </w:r>
      <w:r>
        <w:tab/>
      </w:r>
      <w:r>
        <w:t xml:space="preserve">8</w:t>
      </w:r>
    </w:p>
    <w:p>
      <w:pPr>
        <w:pStyle w:val="TOC2"/>
        <w:tabs>
          <w:tab w:val="right" w:leader="dot" w:pos="9630"/>
        </w:tabs>
      </w:pPr>
      <w:r>
        <w:t xml:space="preserve">P-RN-01 Extraction, sanitation and classification</w:t>
      </w:r>
      <w:r>
        <w:tab/>
      </w:r>
      <w:r>
        <w:t xml:space="preserve">8</w:t>
      </w:r>
    </w:p>
    <w:p>
      <w:pPr>
        <w:pStyle w:val="TOC2"/>
        <w:tabs>
          <w:tab w:val="right" w:leader="dot" w:pos="9630"/>
        </w:tabs>
      </w:pPr>
      <w:r>
        <w:t xml:space="preserve">P-RN-02 Assignment, disposition and posting</w:t>
      </w:r>
      <w:r>
        <w:tab/>
      </w:r>
      <w:r>
        <w:t xml:space="preserve">8</w:t>
      </w:r>
    </w:p>
    <w:p>
      <w:pPr>
        <w:pStyle w:val="TOC2"/>
        <w:tabs>
          <w:tab w:val="right" w:leader="dot" w:pos="9630"/>
        </w:tabs>
      </w:pPr>
      <w:r>
        <w:t xml:space="preserve">P-RN-03 Processing and the insurer's answer</w:t>
      </w:r>
      <w:r>
        <w:tab/>
      </w:r>
      <w:r>
        <w:t xml:space="preserve">8</w:t>
      </w:r>
    </w:p>
    <w:p>
      <w:pPr>
        <w:pStyle w:val="TOC2"/>
        <w:tabs>
          <w:tab w:val="right" w:leader="dot" w:pos="9630"/>
        </w:tabs>
      </w:pPr>
      <w:r>
        <w:t xml:space="preserve">P-RN-04 Renewal Advice, follow-up and acceptance</w:t>
      </w:r>
      <w:r>
        <w:tab/>
      </w:r>
      <w:r>
        <w:t xml:space="preserve">8</w:t>
      </w:r>
    </w:p>
    <w:p>
      <w:pPr>
        <w:pStyle w:val="TOC2"/>
        <w:tabs>
          <w:tab w:val="right" w:leader="dot" w:pos="9630"/>
        </w:tabs>
      </w:pPr>
      <w:r>
        <w:t xml:space="preserve">P-RN-05 Placement, booking and e-policy</w:t>
      </w:r>
      <w:r>
        <w:tab/>
      </w:r>
      <w:r>
        <w:t xml:space="preserve">8</w:t>
      </w:r>
    </w:p>
    <w:p>
      <w:pPr>
        <w:pStyle w:val="TOC2"/>
        <w:tabs>
          <w:tab w:val="right" w:leader="dot" w:pos="9630"/>
        </w:tabs>
      </w:pPr>
      <w:r>
        <w:t xml:space="preserve">P-RN-06 Straight-through CBG renewals</w:t>
      </w:r>
      <w:r>
        <w:tab/>
      </w:r>
      <w:r>
        <w:t xml:space="preserve">9</w:t>
      </w:r>
    </w:p>
    <w:p>
      <w:pPr>
        <w:pStyle w:val="TOC2"/>
        <w:tabs>
          <w:tab w:val="right" w:leader="dot" w:pos="9630"/>
        </w:tabs>
      </w:pPr>
      <w:r>
        <w:t xml:space="preserve">P-RN-07 Set-up under maker-checker</w:t>
      </w:r>
      <w:r>
        <w:tab/>
      </w:r>
      <w:r>
        <w:t xml:space="preserve">9</w:t>
      </w:r>
    </w:p>
    <w:p>
      <w:pPr>
        <w:pStyle w:val="TOC2"/>
        <w:tabs>
          <w:tab w:val="right" w:leader="dot" w:pos="9630"/>
        </w:tabs>
      </w:pPr>
      <w:r>
        <w:t xml:space="preserve">Stages of a renewal account</w:t>
      </w:r>
      <w:r>
        <w:tab/>
      </w:r>
      <w:r>
        <w:t xml:space="preserve">9</w:t>
      </w:r>
    </w:p>
    <w:p>
      <w:pPr>
        <w:pStyle w:val="TOC1"/>
        <w:tabs>
          <w:tab w:val="right" w:leader="dot" w:pos="9630"/>
        </w:tabs>
      </w:pPr>
      <w:r>
        <w:t xml:space="preserve">Storyboards</w:t>
      </w:r>
      <w:r>
        <w:tab/>
      </w:r>
      <w:r>
        <w:t xml:space="preserve">10</w:t>
      </w:r>
    </w:p>
    <w:p>
      <w:pPr>
        <w:pStyle w:val="TOC2"/>
        <w:tabs>
          <w:tab w:val="right" w:leader="dot" w:pos="9630"/>
        </w:tabs>
      </w:pPr>
      <w:r>
        <w:t xml:space="preserve">SB-01 An expiring account from the Expiry List to the Team Leader's post</w:t>
      </w:r>
      <w:r>
        <w:tab/>
      </w:r>
      <w:r>
        <w:t xml:space="preserve">10</w:t>
      </w:r>
    </w:p>
    <w:p>
      <w:pPr>
        <w:pStyle w:val="TOC2"/>
        <w:tabs>
          <w:tab w:val="right" w:leader="dot" w:pos="9630"/>
        </w:tabs>
      </w:pPr>
      <w:r>
        <w:t xml:space="preserve">SB-02 Processing, the insurer's answer and the Renewal Advice</w:t>
      </w:r>
      <w:r>
        <w:tab/>
      </w:r>
      <w:r>
        <w:t xml:space="preserve">18</w:t>
      </w:r>
    </w:p>
    <w:p>
      <w:pPr>
        <w:pStyle w:val="TOC2"/>
        <w:tabs>
          <w:tab w:val="right" w:leader="dot" w:pos="9630"/>
        </w:tabs>
      </w:pPr>
      <w:r>
        <w:t xml:space="preserve">SB-03 The Contact Center follow-up and the client's acceptance</w:t>
      </w:r>
      <w:r>
        <w:tab/>
      </w:r>
      <w:r>
        <w:t xml:space="preserve">25</w:t>
      </w:r>
    </w:p>
    <w:p>
      <w:pPr>
        <w:pStyle w:val="TOC2"/>
        <w:tabs>
          <w:tab w:val="right" w:leader="dot" w:pos="9630"/>
        </w:tabs>
      </w:pPr>
      <w:r>
        <w:t xml:space="preserve">SB-04 Not for Renewal and the closing letter</w:t>
      </w:r>
      <w:r>
        <w:tab/>
      </w:r>
      <w:r>
        <w:t xml:space="preserve">29</w:t>
      </w:r>
    </w:p>
    <w:p>
      <w:pPr>
        <w:pStyle w:val="TOC2"/>
        <w:tabs>
          <w:tab w:val="right" w:leader="dot" w:pos="9630"/>
        </w:tabs>
      </w:pPr>
      <w:r>
        <w:t xml:space="preserve">SB-05 A transfer to another unit, and the controls the user sees</w:t>
      </w:r>
      <w:r>
        <w:tab/>
      </w:r>
      <w:r>
        <w:t xml:space="preserve">33</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shows how Renewal works end to end. The requirements are in the FRS v1.3; the screens in the UX Design v1.3; the reports, letters and notices in the Reports, Notifications and Outputs v1.3.</w:t>
      </w:r>
    </w:p>
    <w:p>
      <w:pPr>
        <w:spacing w:after="120"/>
        <w:ind w:left="363"/>
      </w:pPr>
      <w:r>
        <w:rPr>
          <w:rFonts w:ascii="Arial" w:hAnsi="Arial" w:cs="Arial" w:eastAsia="Arial"/>
          <w:b w:val="0"/>
          <w:i w:val="0"/>
          <w:sz w:val="20"/>
        </w:rPr>
        <w:t>Each storyboard step is illustrated by a full-page screenshot taken on a test environment. The people, clients and insurers are fictitious.</w:t>
      </w:r>
    </w:p>
    <w:p>
      <w:pPr>
        <w:keepNext/>
        <w:spacing w:before="120" w:after="60"/>
        <w:ind w:left="363"/>
      </w:pPr>
      <w:r>
        <w:rPr>
          <w:rFonts w:ascii="Arial" w:hAnsi="Arial" w:cs="Arial" w:eastAsia="Arial"/>
          <w:b/>
          <w:i w:val="0"/>
          <w:sz w:val="18"/>
        </w:rPr>
        <w:t>Table 1: Personas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Marketing Team Lead</w:t>
            </w:r>
          </w:p>
        </w:tc>
        <w:tc>
          <w:tcPr>
            <w:tcW w:type="dxa" w:w="3240"/>
          </w:tcPr>
          <w:p>
            <w:pPr>
              <w:spacing w:before="20" w:after="20"/>
            </w:pPr>
            <w:r>
              <w:rPr>
                <w:rFonts w:ascii="Arial" w:hAnsi="Arial" w:cs="Arial" w:eastAsia="Arial"/>
                <w:b w:val="0"/>
                <w:i w:val="0"/>
                <w:sz w:val="18"/>
              </w:rPr>
              <w:t>Generates and initiates the expiry list, assigns and transfers renewals, reviews, returns, overrides and posts dispositions, decides transfers and TSU requests.</w:t>
            </w:r>
          </w:p>
        </w:tc>
        <w:tc>
          <w:tcPr>
            <w:tcW w:type="dxa" w:w="2340"/>
          </w:tcPr>
          <w:p>
            <w:pPr>
              <w:spacing w:before="20" w:after="20"/>
            </w:pPr>
            <w:r>
              <w:rPr>
                <w:rFonts w:ascii="Arial" w:hAnsi="Arial" w:cs="Arial" w:eastAsia="Arial"/>
                <w:b w:val="0"/>
                <w:i w:val="0"/>
                <w:sz w:val="18"/>
              </w:rPr>
              <w:t>Renewal Home, Dashboard, Expiry List, TL Review, Transfers, Letters, KYC Monitoring</w:t>
            </w:r>
          </w:p>
        </w:tc>
        <w:tc>
          <w:tcPr>
            <w:tcW w:type="dxa" w:w="1440"/>
          </w:tcPr>
          <w:p>
            <w:pPr>
              <w:spacing w:before="20" w:after="20"/>
            </w:pPr>
            <w:r>
              <w:rPr>
                <w:rFonts w:ascii="Arial" w:hAnsi="Arial" w:cs="Arial" w:eastAsia="Arial"/>
                <w:b w:val="0"/>
                <w:i w:val="0"/>
                <w:sz w:val="18"/>
              </w:rPr>
              <w:t>Marites Marketing Lead; Rosario Renewal Team Lead</w:t>
            </w:r>
          </w:p>
        </w:tc>
      </w:tr>
      <w:tr>
        <w:trPr>
          <w:cantSplit/>
        </w:trPr>
        <w:tc>
          <w:tcPr>
            <w:tcW w:type="dxa" w:w="1620"/>
          </w:tcPr>
          <w:p>
            <w:pPr>
              <w:spacing w:before="20" w:after="20"/>
            </w:pPr>
            <w:r>
              <w:rPr>
                <w:rFonts w:ascii="Arial" w:hAnsi="Arial" w:cs="Arial" w:eastAsia="Arial"/>
                <w:b w:val="0"/>
                <w:i w:val="0"/>
                <w:sz w:val="18"/>
              </w:rPr>
              <w:t>Marketing Account Officer</w:t>
            </w:r>
          </w:p>
        </w:tc>
        <w:tc>
          <w:tcPr>
            <w:tcW w:type="dxa" w:w="3240"/>
          </w:tcPr>
          <w:p>
            <w:pPr>
              <w:spacing w:before="20" w:after="20"/>
            </w:pPr>
            <w:r>
              <w:rPr>
                <w:rFonts w:ascii="Arial" w:hAnsi="Arial" w:cs="Arial" w:eastAsia="Arial"/>
                <w:b w:val="0"/>
                <w:i w:val="0"/>
                <w:sz w:val="18"/>
              </w:rPr>
              <w:t>Gives the disposition of assigned renewals, sends the Renewal Advice and letters, records the client's acceptance, raises transfers and TSU requests.</w:t>
            </w:r>
          </w:p>
        </w:tc>
        <w:tc>
          <w:tcPr>
            <w:tcW w:type="dxa" w:w="2340"/>
          </w:tcPr>
          <w:p>
            <w:pPr>
              <w:spacing w:before="20" w:after="20"/>
            </w:pPr>
            <w:r>
              <w:rPr>
                <w:rFonts w:ascii="Arial" w:hAnsi="Arial" w:cs="Arial" w:eastAsia="Arial"/>
                <w:b w:val="0"/>
                <w:i w:val="0"/>
                <w:sz w:val="18"/>
              </w:rPr>
              <w:t>My Dispositions, Renewal, Letters, Transfer Requests, KYC Monitoring</w:t>
            </w:r>
          </w:p>
        </w:tc>
        <w:tc>
          <w:tcPr>
            <w:tcW w:type="dxa" w:w="1440"/>
          </w:tcPr>
          <w:p>
            <w:pPr>
              <w:spacing w:before="20" w:after="20"/>
            </w:pPr>
            <w:r>
              <w:rPr>
                <w:rFonts w:ascii="Arial" w:hAnsi="Arial" w:cs="Arial" w:eastAsia="Arial"/>
                <w:b w:val="0"/>
                <w:i w:val="0"/>
                <w:sz w:val="18"/>
              </w:rPr>
              <w:t>Aileen Account Officer; Arnel Account Officer</w:t>
            </w:r>
          </w:p>
        </w:tc>
      </w:tr>
      <w:tr>
        <w:trPr>
          <w:cantSplit/>
        </w:trPr>
        <w:tc>
          <w:tcPr>
            <w:tcW w:type="dxa" w:w="1620"/>
          </w:tcPr>
          <w:p>
            <w:pPr>
              <w:spacing w:before="20" w:after="20"/>
            </w:pPr>
            <w:r>
              <w:rPr>
                <w:rFonts w:ascii="Arial" w:hAnsi="Arial" w:cs="Arial" w:eastAsia="Arial"/>
                <w:b w:val="0"/>
                <w:i w:val="0"/>
                <w:sz w:val="18"/>
              </w:rPr>
              <w:t>Processing Team Lead</w:t>
            </w:r>
          </w:p>
        </w:tc>
        <w:tc>
          <w:tcPr>
            <w:tcW w:type="dxa" w:w="3240"/>
          </w:tcPr>
          <w:p>
            <w:pPr>
              <w:spacing w:before="20" w:after="20"/>
            </w:pPr>
            <w:r>
              <w:rPr>
                <w:rFonts w:ascii="Arial" w:hAnsi="Arial" w:cs="Arial" w:eastAsia="Arial"/>
                <w:b w:val="0"/>
                <w:i w:val="0"/>
                <w:sz w:val="18"/>
              </w:rPr>
              <w:t>Assigns posted renewals to Processing Officers, uploads files, approves package choices, follows placement and billing.</w:t>
            </w:r>
          </w:p>
        </w:tc>
        <w:tc>
          <w:tcPr>
            <w:tcW w:type="dxa" w:w="2340"/>
          </w:tcPr>
          <w:p>
            <w:pPr>
              <w:spacing w:before="20" w:after="20"/>
            </w:pPr>
            <w:r>
              <w:rPr>
                <w:rFonts w:ascii="Arial" w:hAnsi="Arial" w:cs="Arial" w:eastAsia="Arial"/>
                <w:b w:val="0"/>
                <w:i w:val="0"/>
                <w:sz w:val="18"/>
              </w:rPr>
              <w:t>Processing Dashboard, Processing Worklist, Renewal Setup (package choices), Submitted for Placement</w:t>
            </w:r>
          </w:p>
        </w:tc>
        <w:tc>
          <w:tcPr>
            <w:tcW w:type="dxa" w:w="1440"/>
          </w:tcPr>
          <w:p>
            <w:pPr>
              <w:spacing w:before="20" w:after="20"/>
            </w:pPr>
            <w:r>
              <w:rPr>
                <w:rFonts w:ascii="Arial" w:hAnsi="Arial" w:cs="Arial" w:eastAsia="Arial"/>
                <w:b w:val="0"/>
                <w:i w:val="0"/>
                <w:sz w:val="18"/>
              </w:rPr>
              <w:t>Patricia Processing Lead</w:t>
            </w:r>
          </w:p>
        </w:tc>
      </w:tr>
      <w:tr>
        <w:trPr>
          <w:cantSplit/>
        </w:trPr>
        <w:tc>
          <w:tcPr>
            <w:tcW w:type="dxa" w:w="1620"/>
          </w:tcPr>
          <w:p>
            <w:pPr>
              <w:spacing w:before="20" w:after="20"/>
            </w:pPr>
            <w:r>
              <w:rPr>
                <w:rFonts w:ascii="Arial" w:hAnsi="Arial" w:cs="Arial" w:eastAsia="Arial"/>
                <w:b w:val="0"/>
                <w:i w:val="0"/>
                <w:sz w:val="18"/>
              </w:rPr>
              <w:t>Processing Officer</w:t>
            </w:r>
          </w:p>
        </w:tc>
        <w:tc>
          <w:tcPr>
            <w:tcW w:type="dxa" w:w="3240"/>
          </w:tcPr>
          <w:p>
            <w:pPr>
              <w:spacing w:before="20" w:after="20"/>
            </w:pPr>
            <w:r>
              <w:rPr>
                <w:rFonts w:ascii="Arial" w:hAnsi="Arial" w:cs="Arial" w:eastAsia="Arial"/>
                <w:b w:val="0"/>
                <w:i w:val="0"/>
                <w:sz w:val="18"/>
              </w:rPr>
              <w:t>Sends renewals to the insurers, records the insurer's answer, places, books, sends e-policies and billing files.</w:t>
            </w:r>
          </w:p>
        </w:tc>
        <w:tc>
          <w:tcPr>
            <w:tcW w:type="dxa" w:w="2340"/>
          </w:tcPr>
          <w:p>
            <w:pPr>
              <w:spacing w:before="20" w:after="20"/>
            </w:pPr>
            <w:r>
              <w:rPr>
                <w:rFonts w:ascii="Arial" w:hAnsi="Arial" w:cs="Arial" w:eastAsia="Arial"/>
                <w:b w:val="0"/>
                <w:i w:val="0"/>
                <w:sz w:val="18"/>
              </w:rPr>
              <w:t>Processing Worklist, Insurer Batches, Submitted for Placement, E-Policies, CLPC Billing Files</w:t>
            </w:r>
          </w:p>
        </w:tc>
        <w:tc>
          <w:tcPr>
            <w:tcW w:type="dxa" w:w="1440"/>
          </w:tcPr>
          <w:p>
            <w:pPr>
              <w:spacing w:before="20" w:after="20"/>
            </w:pPr>
            <w:r>
              <w:rPr>
                <w:rFonts w:ascii="Arial" w:hAnsi="Arial" w:cs="Arial" w:eastAsia="Arial"/>
                <w:b w:val="0"/>
                <w:i w:val="0"/>
                <w:sz w:val="18"/>
              </w:rPr>
              <w:t>Paolo Processor</w:t>
            </w:r>
          </w:p>
        </w:tc>
      </w:tr>
      <w:tr>
        <w:trPr>
          <w:cantSplit/>
        </w:trPr>
        <w:tc>
          <w:tcPr>
            <w:tcW w:type="dxa" w:w="1620"/>
          </w:tcPr>
          <w:p>
            <w:pPr>
              <w:spacing w:before="20" w:after="20"/>
            </w:pPr>
            <w:r>
              <w:rPr>
                <w:rFonts w:ascii="Arial" w:hAnsi="Arial" w:cs="Arial" w:eastAsia="Arial"/>
                <w:b w:val="0"/>
                <w:i w:val="0"/>
                <w:sz w:val="18"/>
              </w:rPr>
              <w:t>Contact Center</w:t>
            </w:r>
          </w:p>
        </w:tc>
        <w:tc>
          <w:tcPr>
            <w:tcW w:type="dxa" w:w="3240"/>
          </w:tcPr>
          <w:p>
            <w:pPr>
              <w:spacing w:before="20" w:after="20"/>
            </w:pPr>
            <w:r>
              <w:rPr>
                <w:rFonts w:ascii="Arial" w:hAnsi="Arial" w:cs="Arial" w:eastAsia="Arial"/>
                <w:b w:val="0"/>
                <w:i w:val="0"/>
                <w:sz w:val="18"/>
              </w:rPr>
              <w:t>Follows up clients who have not answered the Renewal Advice; sees no premium or commission.</w:t>
            </w:r>
          </w:p>
        </w:tc>
        <w:tc>
          <w:tcPr>
            <w:tcW w:type="dxa" w:w="2340"/>
          </w:tcPr>
          <w:p>
            <w:pPr>
              <w:spacing w:before="20" w:after="20"/>
            </w:pPr>
            <w:r>
              <w:rPr>
                <w:rFonts w:ascii="Arial" w:hAnsi="Arial" w:cs="Arial" w:eastAsia="Arial"/>
                <w:b w:val="0"/>
                <w:i w:val="0"/>
                <w:sz w:val="18"/>
              </w:rPr>
              <w:t>Follow-ups, Renewal</w:t>
            </w:r>
          </w:p>
        </w:tc>
        <w:tc>
          <w:tcPr>
            <w:tcW w:type="dxa" w:w="1440"/>
          </w:tcPr>
          <w:p>
            <w:pPr>
              <w:spacing w:before="20" w:after="20"/>
            </w:pPr>
            <w:r>
              <w:rPr>
                <w:rFonts w:ascii="Arial" w:hAnsi="Arial" w:cs="Arial" w:eastAsia="Arial"/>
                <w:b w:val="0"/>
                <w:i w:val="0"/>
                <w:sz w:val="18"/>
              </w:rPr>
              <w:t>Cecilia Contact Center</w:t>
            </w:r>
          </w:p>
        </w:tc>
      </w:tr>
      <w:tr>
        <w:trPr>
          <w:cantSplit/>
        </w:trPr>
        <w:tc>
          <w:tcPr>
            <w:tcW w:type="dxa" w:w="1620"/>
          </w:tcPr>
          <w:p>
            <w:pPr>
              <w:spacing w:before="20" w:after="20"/>
            </w:pPr>
            <w:r>
              <w:rPr>
                <w:rFonts w:ascii="Arial" w:hAnsi="Arial" w:cs="Arial" w:eastAsia="Arial"/>
                <w:b w:val="0"/>
                <w:i w:val="0"/>
                <w:sz w:val="18"/>
              </w:rPr>
              <w:t>LAMD</w:t>
            </w:r>
          </w:p>
        </w:tc>
        <w:tc>
          <w:tcPr>
            <w:tcW w:type="dxa" w:w="3240"/>
          </w:tcPr>
          <w:p>
            <w:pPr>
              <w:spacing w:before="20" w:after="20"/>
            </w:pPr>
            <w:r>
              <w:rPr>
                <w:rFonts w:ascii="Arial" w:hAnsi="Arial" w:cs="Arial" w:eastAsia="Arial"/>
                <w:b w:val="0"/>
                <w:i w:val="0"/>
                <w:sz w:val="18"/>
              </w:rPr>
              <w:t>Uploads the LAMD loan reports and reads the matching results.</w:t>
            </w:r>
          </w:p>
        </w:tc>
        <w:tc>
          <w:tcPr>
            <w:tcW w:type="dxa" w:w="2340"/>
          </w:tcPr>
          <w:p>
            <w:pPr>
              <w:spacing w:before="20" w:after="20"/>
            </w:pPr>
            <w:r>
              <w:rPr>
                <w:rFonts w:ascii="Arial" w:hAnsi="Arial" w:cs="Arial" w:eastAsia="Arial"/>
                <w:b w:val="0"/>
                <w:i w:val="0"/>
                <w:sz w:val="18"/>
              </w:rPr>
              <w:t>LAMD Reports, RMU Account Maintenance</w:t>
            </w:r>
          </w:p>
        </w:tc>
        <w:tc>
          <w:tcPr>
            <w:tcW w:type="dxa" w:w="1440"/>
          </w:tcPr>
          <w:p>
            <w:pPr>
              <w:spacing w:before="20" w:after="20"/>
            </w:pPr>
            <w:r>
              <w:rPr>
                <w:rFonts w:ascii="Arial" w:hAnsi="Arial" w:cs="Arial" w:eastAsia="Arial"/>
                <w:b w:val="0"/>
                <w:i w:val="0"/>
                <w:sz w:val="18"/>
              </w:rPr>
              <w:t>Leonardo Loan Monitoring</w:t>
            </w:r>
          </w:p>
        </w:tc>
      </w:tr>
      <w:tr>
        <w:trPr>
          <w:cantSplit/>
        </w:trPr>
        <w:tc>
          <w:tcPr>
            <w:tcW w:type="dxa" w:w="1620"/>
          </w:tcPr>
          <w:p>
            <w:pPr>
              <w:spacing w:before="20" w:after="20"/>
            </w:pPr>
            <w:r>
              <w:rPr>
                <w:rFonts w:ascii="Arial" w:hAnsi="Arial" w:cs="Arial" w:eastAsia="Arial"/>
                <w:b w:val="0"/>
                <w:i w:val="0"/>
                <w:sz w:val="18"/>
              </w:rPr>
              <w:t>TSU Officer</w:t>
            </w:r>
          </w:p>
        </w:tc>
        <w:tc>
          <w:tcPr>
            <w:tcW w:type="dxa" w:w="3240"/>
          </w:tcPr>
          <w:p>
            <w:pPr>
              <w:spacing w:before="20" w:after="20"/>
            </w:pPr>
            <w:r>
              <w:rPr>
                <w:rFonts w:ascii="Arial" w:hAnsi="Arial" w:cs="Arial" w:eastAsia="Arial"/>
                <w:b w:val="0"/>
                <w:i w:val="0"/>
                <w:sz w:val="18"/>
              </w:rPr>
              <w:t>Works the quotation requests raised from renewals.</w:t>
            </w:r>
          </w:p>
        </w:tc>
        <w:tc>
          <w:tcPr>
            <w:tcW w:type="dxa" w:w="2340"/>
          </w:tcPr>
          <w:p>
            <w:pPr>
              <w:spacing w:before="20" w:after="20"/>
            </w:pPr>
            <w:r>
              <w:rPr>
                <w:rFonts w:ascii="Arial" w:hAnsi="Arial" w:cs="Arial" w:eastAsia="Arial"/>
                <w:b w:val="0"/>
                <w:i w:val="0"/>
                <w:sz w:val="18"/>
              </w:rPr>
              <w:t>TSU Requests</w:t>
            </w:r>
          </w:p>
        </w:tc>
        <w:tc>
          <w:tcPr>
            <w:tcW w:type="dxa" w:w="1440"/>
          </w:tcPr>
          <w:p>
            <w:pPr>
              <w:spacing w:before="20" w:after="20"/>
            </w:pPr>
            <w:r>
              <w:rPr>
                <w:rFonts w:ascii="Arial" w:hAnsi="Arial" w:cs="Arial" w:eastAsia="Arial"/>
                <w:b w:val="0"/>
                <w:i w:val="0"/>
                <w:sz w:val="18"/>
              </w:rPr>
              <w:t>Teodoro TSU Analyst</w:t>
            </w:r>
          </w:p>
        </w:tc>
      </w:tr>
      <w:tr>
        <w:trPr>
          <w:cantSplit/>
        </w:trPr>
        <w:tc>
          <w:tcPr>
            <w:tcW w:type="dxa" w:w="1620"/>
          </w:tcPr>
          <w:p>
            <w:pPr>
              <w:spacing w:before="20" w:after="20"/>
            </w:pPr>
            <w:r>
              <w:rPr>
                <w:rFonts w:ascii="Arial" w:hAnsi="Arial" w:cs="Arial" w:eastAsia="Arial"/>
                <w:b w:val="0"/>
                <w:i w:val="0"/>
                <w:sz w:val="18"/>
              </w:rPr>
              <w:t>Business Administrator</w:t>
            </w:r>
          </w:p>
        </w:tc>
        <w:tc>
          <w:tcPr>
            <w:tcW w:type="dxa" w:w="3240"/>
          </w:tcPr>
          <w:p>
            <w:pPr>
              <w:spacing w:before="20" w:after="20"/>
            </w:pPr>
            <w:r>
              <w:rPr>
                <w:rFonts w:ascii="Arial" w:hAnsi="Arial" w:cs="Arial" w:eastAsia="Arial"/>
                <w:b w:val="0"/>
                <w:i w:val="0"/>
                <w:sz w:val="18"/>
              </w:rPr>
              <w:t>Keeps Renewal Setup, risk codes, lists of values, letter templates, RMU codes and the budget.</w:t>
            </w:r>
          </w:p>
        </w:tc>
        <w:tc>
          <w:tcPr>
            <w:tcW w:type="dxa" w:w="2340"/>
          </w:tcPr>
          <w:p>
            <w:pPr>
              <w:spacing w:before="20" w:after="20"/>
            </w:pPr>
            <w:r>
              <w:rPr>
                <w:rFonts w:ascii="Arial" w:hAnsi="Arial" w:cs="Arial" w:eastAsia="Arial"/>
                <w:b w:val="0"/>
                <w:i w:val="0"/>
                <w:sz w:val="18"/>
              </w:rPr>
              <w:t>Renewal Setup, Risk Code Maintenance, Renewal Annual Budget, Channel Monitor, Audit Logs</w:t>
            </w:r>
          </w:p>
        </w:tc>
        <w:tc>
          <w:tcPr>
            <w:tcW w:type="dxa" w:w="1440"/>
          </w:tcPr>
          <w:p>
            <w:pPr>
              <w:spacing w:before="20" w:after="20"/>
            </w:pPr>
            <w:r>
              <w:rPr>
                <w:rFonts w:ascii="Arial" w:hAnsi="Arial" w:cs="Arial" w:eastAsia="Arial"/>
                <w:b w:val="0"/>
                <w:i w:val="0"/>
                <w:sz w:val="18"/>
              </w:rPr>
              <w:t>Bea Business Admin</w:t>
            </w:r>
          </w:p>
        </w:tc>
      </w:tr>
      <w:tr>
        <w:trPr>
          <w:cantSplit/>
        </w:trPr>
        <w:tc>
          <w:tcPr>
            <w:tcW w:type="dxa" w:w="1620"/>
          </w:tcPr>
          <w:p>
            <w:pPr>
              <w:spacing w:before="20" w:after="20"/>
            </w:pPr>
            <w:r>
              <w:rPr>
                <w:rFonts w:ascii="Arial" w:hAnsi="Arial" w:cs="Arial" w:eastAsia="Arial"/>
                <w:b w:val="0"/>
                <w:i w:val="0"/>
                <w:sz w:val="18"/>
              </w:rPr>
              <w:t>System Administrator</w:t>
            </w:r>
          </w:p>
        </w:tc>
        <w:tc>
          <w:tcPr>
            <w:tcW w:type="dxa" w:w="3240"/>
          </w:tcPr>
          <w:p>
            <w:pPr>
              <w:spacing w:before="20" w:after="20"/>
            </w:pPr>
            <w:r>
              <w:rPr>
                <w:rFonts w:ascii="Arial" w:hAnsi="Arial" w:cs="Arial" w:eastAsia="Arial"/>
                <w:b w:val="0"/>
                <w:i w:val="0"/>
                <w:sz w:val="18"/>
              </w:rPr>
              <w:t>Keeps the group profiles and the channel connections.</w:t>
            </w:r>
          </w:p>
        </w:tc>
        <w:tc>
          <w:tcPr>
            <w:tcW w:type="dxa" w:w="2340"/>
          </w:tcPr>
          <w:p>
            <w:pPr>
              <w:spacing w:before="20" w:after="20"/>
            </w:pPr>
            <w:r>
              <w:rPr>
                <w:rFonts w:ascii="Arial" w:hAnsi="Arial" w:cs="Arial" w:eastAsia="Arial"/>
                <w:b w:val="0"/>
                <w:i w:val="0"/>
                <w:sz w:val="18"/>
              </w:rPr>
              <w:t>Channel Monitor; User Access screens (BRD-11)</w:t>
            </w:r>
          </w:p>
        </w:tc>
        <w:tc>
          <w:tcPr>
            <w:tcW w:type="dxa" w:w="1440"/>
          </w:tcPr>
          <w:p>
            <w:pPr>
              <w:spacing w:before="20" w:after="20"/>
            </w:pPr>
            <w:r>
              <w:rPr>
                <w:rFonts w:ascii="Arial" w:hAnsi="Arial" w:cs="Arial" w:eastAsia="Arial"/>
                <w:b w:val="0"/>
                <w:i w:val="0"/>
                <w:sz w:val="18"/>
              </w:rPr>
              <w:t>SIT System Administrator</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renewals, their history, the reports and the audit logs. Changes nothing.</w:t>
            </w:r>
          </w:p>
        </w:tc>
        <w:tc>
          <w:tcPr>
            <w:tcW w:type="dxa" w:w="2340"/>
          </w:tcPr>
          <w:p>
            <w:pPr>
              <w:spacing w:before="20" w:after="20"/>
            </w:pPr>
            <w:r>
              <w:rPr>
                <w:rFonts w:ascii="Arial" w:hAnsi="Arial" w:cs="Arial" w:eastAsia="Arial"/>
                <w:b w:val="0"/>
                <w:i w:val="0"/>
                <w:sz w:val="18"/>
              </w:rPr>
              <w:t>Renewal Dashboard, Renewal Accounts, Audit Logs, reports</w:t>
            </w:r>
          </w:p>
        </w:tc>
        <w:tc>
          <w:tcPr>
            <w:tcW w:type="dxa" w:w="1440"/>
          </w:tcPr>
          <w:p>
            <w:pPr>
              <w:spacing w:before="20" w:after="20"/>
            </w:pPr>
            <w:r>
              <w:rPr>
                <w:rFonts w:ascii="Arial" w:hAnsi="Arial" w:cs="Arial" w:eastAsia="Arial"/>
                <w:b w:val="0"/>
                <w:i w:val="0"/>
                <w:sz w:val="18"/>
              </w:rPr>
              <w:t>Audrey Auditor</w:t>
            </w:r>
          </w:p>
        </w:tc>
      </w:tr>
    </w:tbl>
    <w:p>
      <w:pPr>
        <w:spacing w:after="40"/>
      </w:pPr>
    </w:p>
    <w:p>
      <w:pPr>
        <w:pStyle w:val="Heading1"/>
        <w:pageBreakBefore/>
      </w:pPr>
      <w:r>
        <w:t>End-to-end Journey</w:t>
      </w:r>
    </w:p>
    <w:p>
      <w:pPr>
        <w:spacing w:after="120"/>
        <w:ind w:left="363"/>
      </w:pPr>
      <w:r>
        <w:rPr>
          <w:rFonts w:ascii="Arial" w:hAnsi="Arial" w:cs="Arial" w:eastAsia="Arial"/>
          <w:b w:val="0"/>
          <w:i w:val="0"/>
          <w:sz w:val="20"/>
        </w:rPr>
        <w:t>13 steps from the expiring policy to the booked renewal.</w:t>
      </w:r>
    </w:p>
    <w:p>
      <w:pPr>
        <w:keepNext/>
        <w:jc w:val="center"/>
      </w:pPr>
      <w:r>
        <w:drawing>
          <wp:inline>
            <wp:extent cx="5760000" cy="3636000"/>
            <wp:docPr id="3" name="Picture 3"/>
            <wp:cNvGraphicFramePr>
              <a:graphicFrameLocks noChangeAspect="1"/>
            </wp:cNvGraphicFramePr>
            <a:graphic>
              <a:graphicData uri="http://schemas.openxmlformats.org/drawingml/2006/picture">
                <pic:pic>
                  <pic:nvPicPr>
                    <pic:cNvPr id="0" name="rn_simple.png"/>
                    <pic:cNvPicPr/>
                  </pic:nvPicPr>
                  <pic:blipFill>
                    <a:blip r:embed="rId25"/>
                    <a:stretch>
                      <a:fillRect/>
                    </a:stretch>
                  </pic:blipFill>
                  <pic:spPr>
                    <a:xfrm>
                      <a:off x="0" y="0"/>
                      <a:ext cx="5760000" cy="3636000"/>
                    </a:xfrm>
                    <a:prstGeom prst="rect"/>
                  </pic:spPr>
                </pic:pic>
              </a:graphicData>
            </a:graphic>
          </wp:inline>
        </w:drawing>
      </w:r>
    </w:p>
    <w:p>
      <w:pPr>
        <w:keepNext/>
        <w:spacing w:before="120" w:after="60"/>
        <w:ind w:left="363"/>
      </w:pPr>
      <w:r>
        <w:rPr>
          <w:rFonts w:ascii="Arial" w:hAnsi="Arial" w:cs="Arial" w:eastAsia="Arial"/>
          <w:b/>
          <w:i w:val="0"/>
          <w:sz w:val="18"/>
        </w:rPr>
        <w:t>Figure 1: Renewal: simplified process flow (swimlanes by actor)</w:t>
      </w:r>
    </w:p>
    <w:p>
      <w:pPr>
        <w:keepNext/>
        <w:spacing w:before="120" w:after="60"/>
        <w:ind w:left="363"/>
      </w:pPr>
      <w:r>
        <w:rPr>
          <w:rFonts w:ascii="Arial" w:hAnsi="Arial" w:cs="Arial" w:eastAsia="Arial"/>
          <w:b/>
          <w:i w:val="0"/>
          <w:sz w:val="18"/>
        </w:rPr>
        <w:t>Table 2: The 13 steps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45"/>
        <w:gridCol w:w="1878"/>
        <w:gridCol w:w="5916"/>
      </w:tblGrid>
      <w:tr>
        <w:trPr>
          <w:tblHeader/>
          <w:cantSplit/>
        </w:trPr>
        <w:tc>
          <w:tcPr>
            <w:tcW w:type="dxa" w:w="845"/>
            <w:shd w:val="clear" w:color="auto" w:fill="D9E2F3"/>
          </w:tcPr>
          <w:p>
            <w:pPr>
              <w:spacing w:before="20" w:after="20"/>
            </w:pPr>
            <w:r>
              <w:rPr>
                <w:rFonts w:ascii="Arial" w:hAnsi="Arial" w:cs="Arial" w:eastAsia="Arial"/>
                <w:b/>
                <w:i w:val="0"/>
                <w:sz w:val="18"/>
              </w:rPr>
              <w:t>Step</w:t>
            </w:r>
          </w:p>
        </w:tc>
        <w:tc>
          <w:tcPr>
            <w:tcW w:type="dxa" w:w="1878"/>
            <w:shd w:val="clear" w:color="auto" w:fill="D9E2F3"/>
          </w:tcPr>
          <w:p>
            <w:pPr>
              <w:spacing w:before="20" w:after="20"/>
            </w:pPr>
            <w:r>
              <w:rPr>
                <w:rFonts w:ascii="Arial" w:hAnsi="Arial" w:cs="Arial" w:eastAsia="Arial"/>
                <w:b/>
                <w:i w:val="0"/>
                <w:sz w:val="18"/>
              </w:rPr>
              <w:t>Who</w:t>
            </w:r>
          </w:p>
        </w:tc>
        <w:tc>
          <w:tcPr>
            <w:tcW w:type="dxa" w:w="5916"/>
            <w:shd w:val="clear" w:color="auto" w:fill="D9E2F3"/>
          </w:tcPr>
          <w:p>
            <w:pPr>
              <w:spacing w:before="20" w:after="20"/>
            </w:pPr>
            <w:r>
              <w:rPr>
                <w:rFonts w:ascii="Arial" w:hAnsi="Arial" w:cs="Arial" w:eastAsia="Arial"/>
                <w:b/>
                <w:i w:val="0"/>
                <w:sz w:val="18"/>
              </w:rPr>
              <w:t>What happens</w:t>
            </w:r>
          </w:p>
        </w:tc>
      </w:tr>
      <w:tr>
        <w:trPr>
          <w:cantSplit/>
        </w:trPr>
        <w:tc>
          <w:tcPr>
            <w:tcW w:type="dxa" w:w="845"/>
          </w:tcPr>
          <w:p>
            <w:pPr>
              <w:spacing w:before="20" w:after="20"/>
            </w:pPr>
            <w:r>
              <w:rPr>
                <w:rFonts w:ascii="Arial" w:hAnsi="Arial" w:cs="Arial" w:eastAsia="Arial"/>
                <w:b w:val="0"/>
                <w:i w:val="0"/>
                <w:sz w:val="18"/>
              </w:rPr>
              <w:t>1</w:t>
            </w:r>
          </w:p>
        </w:tc>
        <w:tc>
          <w:tcPr>
            <w:tcW w:type="dxa" w:w="1878"/>
          </w:tcPr>
          <w:p>
            <w:pPr>
              <w:spacing w:before="20" w:after="20"/>
            </w:pPr>
            <w:r>
              <w:rPr>
                <w:rFonts w:ascii="Arial" w:hAnsi="Arial" w:cs="Arial" w:eastAsia="Arial"/>
                <w:b w:val="0"/>
                <w:i w:val="0"/>
                <w:sz w:val="18"/>
              </w:rPr>
              <w:t>BIBS</w:t>
            </w:r>
          </w:p>
        </w:tc>
        <w:tc>
          <w:tcPr>
            <w:tcW w:type="dxa" w:w="5916"/>
          </w:tcPr>
          <w:p>
            <w:pPr>
              <w:spacing w:before="20" w:after="20"/>
            </w:pPr>
            <w:r>
              <w:rPr>
                <w:rFonts w:ascii="Arial" w:hAnsi="Arial" w:cs="Arial" w:eastAsia="Arial"/>
                <w:b w:val="0"/>
                <w:i w:val="0"/>
                <w:sz w:val="18"/>
              </w:rPr>
              <w:t>The daily run extracts the policies at the lead days before expiry; a Team Lead may generate any range. One renewal account per expiring policy.</w:t>
            </w:r>
          </w:p>
        </w:tc>
      </w:tr>
      <w:tr>
        <w:trPr>
          <w:cantSplit/>
        </w:trPr>
        <w:tc>
          <w:tcPr>
            <w:tcW w:type="dxa" w:w="845"/>
          </w:tcPr>
          <w:p>
            <w:pPr>
              <w:spacing w:before="20" w:after="20"/>
            </w:pPr>
            <w:r>
              <w:rPr>
                <w:rFonts w:ascii="Arial" w:hAnsi="Arial" w:cs="Arial" w:eastAsia="Arial"/>
                <w:b w:val="0"/>
                <w:i w:val="0"/>
                <w:sz w:val="18"/>
              </w:rPr>
              <w:t>2</w:t>
            </w:r>
          </w:p>
        </w:tc>
        <w:tc>
          <w:tcPr>
            <w:tcW w:type="dxa" w:w="1878"/>
          </w:tcPr>
          <w:p>
            <w:pPr>
              <w:spacing w:before="20" w:after="20"/>
            </w:pPr>
            <w:r>
              <w:rPr>
                <w:rFonts w:ascii="Arial" w:hAnsi="Arial" w:cs="Arial" w:eastAsia="Arial"/>
                <w:b w:val="0"/>
                <w:i w:val="0"/>
                <w:sz w:val="18"/>
              </w:rPr>
              <w:t>Marketing TL</w:t>
            </w:r>
          </w:p>
        </w:tc>
        <w:tc>
          <w:tcPr>
            <w:tcW w:type="dxa" w:w="5916"/>
          </w:tcPr>
          <w:p>
            <w:pPr>
              <w:spacing w:before="20" w:after="20"/>
            </w:pPr>
            <w:r>
              <w:rPr>
                <w:rFonts w:ascii="Arial" w:hAnsi="Arial" w:cs="Arial" w:eastAsia="Arial"/>
                <w:b w:val="0"/>
                <w:i w:val="0"/>
                <w:sz w:val="18"/>
              </w:rPr>
              <w:t>Initiates the accounts; BIBS runs the checks, classifies them Clean, Review or Exception and the decision matrix proposes or gives the disposition.</w:t>
            </w:r>
          </w:p>
        </w:tc>
      </w:tr>
      <w:tr>
        <w:trPr>
          <w:cantSplit/>
        </w:trPr>
        <w:tc>
          <w:tcPr>
            <w:tcW w:type="dxa" w:w="845"/>
          </w:tcPr>
          <w:p>
            <w:pPr>
              <w:spacing w:before="20" w:after="20"/>
            </w:pPr>
            <w:r>
              <w:rPr>
                <w:rFonts w:ascii="Arial" w:hAnsi="Arial" w:cs="Arial" w:eastAsia="Arial"/>
                <w:b w:val="0"/>
                <w:i w:val="0"/>
                <w:sz w:val="18"/>
              </w:rPr>
              <w:t>3</w:t>
            </w:r>
          </w:p>
        </w:tc>
        <w:tc>
          <w:tcPr>
            <w:tcW w:type="dxa" w:w="1878"/>
          </w:tcPr>
          <w:p>
            <w:pPr>
              <w:spacing w:before="20" w:after="20"/>
            </w:pPr>
            <w:r>
              <w:rPr>
                <w:rFonts w:ascii="Arial" w:hAnsi="Arial" w:cs="Arial" w:eastAsia="Arial"/>
                <w:b w:val="0"/>
                <w:i w:val="0"/>
                <w:sz w:val="18"/>
              </w:rPr>
              <w:t>Marketing TL</w:t>
            </w:r>
          </w:p>
        </w:tc>
        <w:tc>
          <w:tcPr>
            <w:tcW w:type="dxa" w:w="5916"/>
          </w:tcPr>
          <w:p>
            <w:pPr>
              <w:spacing w:before="20" w:after="20"/>
            </w:pPr>
            <w:r>
              <w:rPr>
                <w:rFonts w:ascii="Arial" w:hAnsi="Arial" w:cs="Arial" w:eastAsia="Arial"/>
                <w:b w:val="0"/>
                <w:i w:val="0"/>
                <w:sz w:val="18"/>
              </w:rPr>
              <w:t>Assigns the accounts to Account Officers (or BIBS assigns by round robin); transfers an account to another unit when needed.</w:t>
            </w:r>
          </w:p>
        </w:tc>
      </w:tr>
      <w:tr>
        <w:trPr>
          <w:cantSplit/>
        </w:trPr>
        <w:tc>
          <w:tcPr>
            <w:tcW w:type="dxa" w:w="845"/>
          </w:tcPr>
          <w:p>
            <w:pPr>
              <w:spacing w:before="20" w:after="20"/>
            </w:pPr>
            <w:r>
              <w:rPr>
                <w:rFonts w:ascii="Arial" w:hAnsi="Arial" w:cs="Arial" w:eastAsia="Arial"/>
                <w:b w:val="0"/>
                <w:i w:val="0"/>
                <w:sz w:val="18"/>
              </w:rPr>
              <w:t>4</w:t>
            </w:r>
          </w:p>
        </w:tc>
        <w:tc>
          <w:tcPr>
            <w:tcW w:type="dxa" w:w="1878"/>
          </w:tcPr>
          <w:p>
            <w:pPr>
              <w:spacing w:before="20" w:after="20"/>
            </w:pPr>
            <w:r>
              <w:rPr>
                <w:rFonts w:ascii="Arial" w:hAnsi="Arial" w:cs="Arial" w:eastAsia="Arial"/>
                <w:b w:val="0"/>
                <w:i w:val="0"/>
                <w:sz w:val="18"/>
              </w:rPr>
              <w:t>Account Officer</w:t>
            </w:r>
          </w:p>
        </w:tc>
        <w:tc>
          <w:tcPr>
            <w:tcW w:type="dxa" w:w="5916"/>
          </w:tcPr>
          <w:p>
            <w:pPr>
              <w:spacing w:before="20" w:after="20"/>
            </w:pPr>
            <w:r>
              <w:rPr>
                <w:rFonts w:ascii="Arial" w:hAnsi="Arial" w:cs="Arial" w:eastAsia="Arial"/>
                <w:b w:val="0"/>
                <w:i w:val="0"/>
                <w:sz w:val="18"/>
              </w:rPr>
              <w:t>Reads the account history, gives the disposition and submits the account for posting.</w:t>
            </w:r>
          </w:p>
        </w:tc>
      </w:tr>
      <w:tr>
        <w:trPr>
          <w:cantSplit/>
        </w:trPr>
        <w:tc>
          <w:tcPr>
            <w:tcW w:type="dxa" w:w="845"/>
          </w:tcPr>
          <w:p>
            <w:pPr>
              <w:spacing w:before="20" w:after="20"/>
            </w:pPr>
            <w:r>
              <w:rPr>
                <w:rFonts w:ascii="Arial" w:hAnsi="Arial" w:cs="Arial" w:eastAsia="Arial"/>
                <w:b w:val="0"/>
                <w:i w:val="0"/>
                <w:sz w:val="18"/>
              </w:rPr>
              <w:t>5</w:t>
            </w:r>
          </w:p>
        </w:tc>
        <w:tc>
          <w:tcPr>
            <w:tcW w:type="dxa" w:w="1878"/>
          </w:tcPr>
          <w:p>
            <w:pPr>
              <w:spacing w:before="20" w:after="20"/>
            </w:pPr>
            <w:r>
              <w:rPr>
                <w:rFonts w:ascii="Arial" w:hAnsi="Arial" w:cs="Arial" w:eastAsia="Arial"/>
                <w:b w:val="0"/>
                <w:i w:val="0"/>
                <w:sz w:val="18"/>
              </w:rPr>
              <w:t>Marketing TL</w:t>
            </w:r>
          </w:p>
        </w:tc>
        <w:tc>
          <w:tcPr>
            <w:tcW w:type="dxa" w:w="5916"/>
          </w:tcPr>
          <w:p>
            <w:pPr>
              <w:spacing w:before="20" w:after="20"/>
            </w:pPr>
            <w:r>
              <w:rPr>
                <w:rFonts w:ascii="Arial" w:hAnsi="Arial" w:cs="Arial" w:eastAsia="Arial"/>
                <w:b w:val="0"/>
                <w:i w:val="0"/>
                <w:sz w:val="18"/>
              </w:rPr>
              <w:t>Reviews, returns or overrides, and posts. For Renewal goes to Processing; For Quotation or For Proposal to New Business; Not for Renewal to the closing letter.</w:t>
            </w:r>
          </w:p>
        </w:tc>
      </w:tr>
      <w:tr>
        <w:trPr>
          <w:cantSplit/>
        </w:trPr>
        <w:tc>
          <w:tcPr>
            <w:tcW w:type="dxa" w:w="845"/>
          </w:tcPr>
          <w:p>
            <w:pPr>
              <w:spacing w:before="20" w:after="20"/>
            </w:pPr>
            <w:r>
              <w:rPr>
                <w:rFonts w:ascii="Arial" w:hAnsi="Arial" w:cs="Arial" w:eastAsia="Arial"/>
                <w:b w:val="0"/>
                <w:i w:val="0"/>
                <w:sz w:val="18"/>
              </w:rPr>
              <w:t>6</w:t>
            </w:r>
          </w:p>
        </w:tc>
        <w:tc>
          <w:tcPr>
            <w:tcW w:type="dxa" w:w="1878"/>
          </w:tcPr>
          <w:p>
            <w:pPr>
              <w:spacing w:before="20" w:after="20"/>
            </w:pPr>
            <w:r>
              <w:rPr>
                <w:rFonts w:ascii="Arial" w:hAnsi="Arial" w:cs="Arial" w:eastAsia="Arial"/>
                <w:b w:val="0"/>
                <w:i w:val="0"/>
                <w:sz w:val="18"/>
              </w:rPr>
              <w:t>Processing</w:t>
            </w:r>
          </w:p>
        </w:tc>
        <w:tc>
          <w:tcPr>
            <w:tcW w:type="dxa" w:w="5916"/>
          </w:tcPr>
          <w:p>
            <w:pPr>
              <w:spacing w:before="20" w:after="20"/>
            </w:pPr>
            <w:r>
              <w:rPr>
                <w:rFonts w:ascii="Arial" w:hAnsi="Arial" w:cs="Arial" w:eastAsia="Arial"/>
                <w:b w:val="0"/>
                <w:i w:val="0"/>
                <w:sz w:val="18"/>
              </w:rPr>
              <w:t>Assigns the Processing Officer, sends the insurer request, records the insurer's answer.</w:t>
            </w:r>
          </w:p>
        </w:tc>
      </w:tr>
      <w:tr>
        <w:trPr>
          <w:cantSplit/>
        </w:trPr>
        <w:tc>
          <w:tcPr>
            <w:tcW w:type="dxa" w:w="845"/>
          </w:tcPr>
          <w:p>
            <w:pPr>
              <w:spacing w:before="20" w:after="20"/>
            </w:pPr>
            <w:r>
              <w:rPr>
                <w:rFonts w:ascii="Arial" w:hAnsi="Arial" w:cs="Arial" w:eastAsia="Arial"/>
                <w:b w:val="0"/>
                <w:i w:val="0"/>
                <w:sz w:val="18"/>
              </w:rPr>
              <w:t>7</w:t>
            </w:r>
          </w:p>
        </w:tc>
        <w:tc>
          <w:tcPr>
            <w:tcW w:type="dxa" w:w="1878"/>
          </w:tcPr>
          <w:p>
            <w:pPr>
              <w:spacing w:before="20" w:after="20"/>
            </w:pPr>
            <w:r>
              <w:rPr>
                <w:rFonts w:ascii="Arial" w:hAnsi="Arial" w:cs="Arial" w:eastAsia="Arial"/>
                <w:b w:val="0"/>
                <w:i w:val="0"/>
                <w:sz w:val="18"/>
              </w:rPr>
              <w:t>Insurers</w:t>
            </w:r>
          </w:p>
        </w:tc>
        <w:tc>
          <w:tcPr>
            <w:tcW w:type="dxa" w:w="5916"/>
          </w:tcPr>
          <w:p>
            <w:pPr>
              <w:spacing w:before="20" w:after="20"/>
            </w:pPr>
            <w:r>
              <w:rPr>
                <w:rFonts w:ascii="Arial" w:hAnsi="Arial" w:cs="Arial" w:eastAsia="Arial"/>
                <w:b w:val="0"/>
                <w:i w:val="0"/>
                <w:sz w:val="18"/>
              </w:rPr>
              <w:t>Answer Renew As Is, Revise or Reject by file, MFT or e-mail.</w:t>
            </w:r>
          </w:p>
        </w:tc>
      </w:tr>
      <w:tr>
        <w:trPr>
          <w:cantSplit/>
        </w:trPr>
        <w:tc>
          <w:tcPr>
            <w:tcW w:type="dxa" w:w="845"/>
          </w:tcPr>
          <w:p>
            <w:pPr>
              <w:spacing w:before="20" w:after="20"/>
            </w:pPr>
            <w:r>
              <w:rPr>
                <w:rFonts w:ascii="Arial" w:hAnsi="Arial" w:cs="Arial" w:eastAsia="Arial"/>
                <w:b w:val="0"/>
                <w:i w:val="0"/>
                <w:sz w:val="18"/>
              </w:rPr>
              <w:t>8</w:t>
            </w:r>
          </w:p>
        </w:tc>
        <w:tc>
          <w:tcPr>
            <w:tcW w:type="dxa" w:w="1878"/>
          </w:tcPr>
          <w:p>
            <w:pPr>
              <w:spacing w:before="20" w:after="20"/>
            </w:pPr>
            <w:r>
              <w:rPr>
                <w:rFonts w:ascii="Arial" w:hAnsi="Arial" w:cs="Arial" w:eastAsia="Arial"/>
                <w:b w:val="0"/>
                <w:i w:val="0"/>
                <w:sz w:val="18"/>
              </w:rPr>
              <w:t>Marketing</w:t>
            </w:r>
          </w:p>
        </w:tc>
        <w:tc>
          <w:tcPr>
            <w:tcW w:type="dxa" w:w="5916"/>
          </w:tcPr>
          <w:p>
            <w:pPr>
              <w:spacing w:before="20" w:after="20"/>
            </w:pPr>
            <w:r>
              <w:rPr>
                <w:rFonts w:ascii="Arial" w:hAnsi="Arial" w:cs="Arial" w:eastAsia="Arial"/>
                <w:b w:val="0"/>
                <w:i w:val="0"/>
                <w:sz w:val="18"/>
              </w:rPr>
              <w:t>Generates and sends the Renewal Advice (first, then last notice), protected through CCM.</w:t>
            </w:r>
          </w:p>
        </w:tc>
      </w:tr>
      <w:tr>
        <w:trPr>
          <w:cantSplit/>
        </w:trPr>
        <w:tc>
          <w:tcPr>
            <w:tcW w:type="dxa" w:w="845"/>
          </w:tcPr>
          <w:p>
            <w:pPr>
              <w:spacing w:before="20" w:after="20"/>
            </w:pPr>
            <w:r>
              <w:rPr>
                <w:rFonts w:ascii="Arial" w:hAnsi="Arial" w:cs="Arial" w:eastAsia="Arial"/>
                <w:b w:val="0"/>
                <w:i w:val="0"/>
                <w:sz w:val="18"/>
              </w:rPr>
              <w:t>9</w:t>
            </w:r>
          </w:p>
        </w:tc>
        <w:tc>
          <w:tcPr>
            <w:tcW w:type="dxa" w:w="1878"/>
          </w:tcPr>
          <w:p>
            <w:pPr>
              <w:spacing w:before="20" w:after="20"/>
            </w:pPr>
            <w:r>
              <w:rPr>
                <w:rFonts w:ascii="Arial" w:hAnsi="Arial" w:cs="Arial" w:eastAsia="Arial"/>
                <w:b w:val="0"/>
                <w:i w:val="0"/>
                <w:sz w:val="18"/>
              </w:rPr>
              <w:t>Contact Center</w:t>
            </w:r>
          </w:p>
        </w:tc>
        <w:tc>
          <w:tcPr>
            <w:tcW w:type="dxa" w:w="5916"/>
          </w:tcPr>
          <w:p>
            <w:pPr>
              <w:spacing w:before="20" w:after="20"/>
            </w:pPr>
            <w:r>
              <w:rPr>
                <w:rFonts w:ascii="Arial" w:hAnsi="Arial" w:cs="Arial" w:eastAsia="Arial"/>
                <w:b w:val="0"/>
                <w:i w:val="0"/>
                <w:sz w:val="18"/>
              </w:rPr>
              <w:t>Follows up the client who has not answered.</w:t>
            </w:r>
          </w:p>
        </w:tc>
      </w:tr>
      <w:tr>
        <w:trPr>
          <w:cantSplit/>
        </w:trPr>
        <w:tc>
          <w:tcPr>
            <w:tcW w:type="dxa" w:w="845"/>
          </w:tcPr>
          <w:p>
            <w:pPr>
              <w:spacing w:before="20" w:after="20"/>
            </w:pPr>
            <w:r>
              <w:rPr>
                <w:rFonts w:ascii="Arial" w:hAnsi="Arial" w:cs="Arial" w:eastAsia="Arial"/>
                <w:b w:val="0"/>
                <w:i w:val="0"/>
                <w:sz w:val="18"/>
              </w:rPr>
              <w:t>10</w:t>
            </w:r>
          </w:p>
        </w:tc>
        <w:tc>
          <w:tcPr>
            <w:tcW w:type="dxa" w:w="1878"/>
          </w:tcPr>
          <w:p>
            <w:pPr>
              <w:spacing w:before="20" w:after="20"/>
            </w:pPr>
            <w:r>
              <w:rPr>
                <w:rFonts w:ascii="Arial" w:hAnsi="Arial" w:cs="Arial" w:eastAsia="Arial"/>
                <w:b w:val="0"/>
                <w:i w:val="0"/>
                <w:sz w:val="18"/>
              </w:rPr>
              <w:t>Marketing</w:t>
            </w:r>
          </w:p>
        </w:tc>
        <w:tc>
          <w:tcPr>
            <w:tcW w:type="dxa" w:w="5916"/>
          </w:tcPr>
          <w:p>
            <w:pPr>
              <w:spacing w:before="20" w:after="20"/>
            </w:pPr>
            <w:r>
              <w:rPr>
                <w:rFonts w:ascii="Arial" w:hAnsi="Arial" w:cs="Arial" w:eastAsia="Arial"/>
                <w:b w:val="0"/>
                <w:i w:val="0"/>
                <w:sz w:val="18"/>
              </w:rPr>
              <w:t>Records the client's acceptance; BIBS requests the hold cover where needed.</w:t>
            </w:r>
          </w:p>
        </w:tc>
      </w:tr>
      <w:tr>
        <w:trPr>
          <w:cantSplit/>
        </w:trPr>
        <w:tc>
          <w:tcPr>
            <w:tcW w:type="dxa" w:w="845"/>
          </w:tcPr>
          <w:p>
            <w:pPr>
              <w:spacing w:before="20" w:after="20"/>
            </w:pPr>
            <w:r>
              <w:rPr>
                <w:rFonts w:ascii="Arial" w:hAnsi="Arial" w:cs="Arial" w:eastAsia="Arial"/>
                <w:b w:val="0"/>
                <w:i w:val="0"/>
                <w:sz w:val="18"/>
              </w:rPr>
              <w:t>11</w:t>
            </w:r>
          </w:p>
        </w:tc>
        <w:tc>
          <w:tcPr>
            <w:tcW w:type="dxa" w:w="1878"/>
          </w:tcPr>
          <w:p>
            <w:pPr>
              <w:spacing w:before="20" w:after="20"/>
            </w:pPr>
            <w:r>
              <w:rPr>
                <w:rFonts w:ascii="Arial" w:hAnsi="Arial" w:cs="Arial" w:eastAsia="Arial"/>
                <w:b w:val="0"/>
                <w:i w:val="0"/>
                <w:sz w:val="18"/>
              </w:rPr>
              <w:t>Processing</w:t>
            </w:r>
          </w:p>
        </w:tc>
        <w:tc>
          <w:tcPr>
            <w:tcW w:type="dxa" w:w="5916"/>
          </w:tcPr>
          <w:p>
            <w:pPr>
              <w:spacing w:before="20" w:after="20"/>
            </w:pPr>
            <w:r>
              <w:rPr>
                <w:rFonts w:ascii="Arial" w:hAnsi="Arial" w:cs="Arial" w:eastAsia="Arial"/>
                <w:b w:val="0"/>
                <w:i w:val="0"/>
                <w:sz w:val="18"/>
              </w:rPr>
              <w:t>Places the renewal with the insurer (MFT or CCM), records the placement response.</w:t>
            </w:r>
          </w:p>
        </w:tc>
      </w:tr>
      <w:tr>
        <w:trPr>
          <w:cantSplit/>
        </w:trPr>
        <w:tc>
          <w:tcPr>
            <w:tcW w:type="dxa" w:w="845"/>
          </w:tcPr>
          <w:p>
            <w:pPr>
              <w:spacing w:before="20" w:after="20"/>
            </w:pPr>
            <w:r>
              <w:rPr>
                <w:rFonts w:ascii="Arial" w:hAnsi="Arial" w:cs="Arial" w:eastAsia="Arial"/>
                <w:b w:val="0"/>
                <w:i w:val="0"/>
                <w:sz w:val="18"/>
              </w:rPr>
              <w:t>12</w:t>
            </w:r>
          </w:p>
        </w:tc>
        <w:tc>
          <w:tcPr>
            <w:tcW w:type="dxa" w:w="1878"/>
          </w:tcPr>
          <w:p>
            <w:pPr>
              <w:spacing w:before="20" w:after="20"/>
            </w:pPr>
            <w:r>
              <w:rPr>
                <w:rFonts w:ascii="Arial" w:hAnsi="Arial" w:cs="Arial" w:eastAsia="Arial"/>
                <w:b w:val="0"/>
                <w:i w:val="0"/>
                <w:sz w:val="18"/>
              </w:rPr>
              <w:t>Processing</w:t>
            </w:r>
          </w:p>
        </w:tc>
        <w:tc>
          <w:tcPr>
            <w:tcW w:type="dxa" w:w="5916"/>
          </w:tcPr>
          <w:p>
            <w:pPr>
              <w:spacing w:before="20" w:after="20"/>
            </w:pPr>
            <w:r>
              <w:rPr>
                <w:rFonts w:ascii="Arial" w:hAnsi="Arial" w:cs="Arial" w:eastAsia="Arial"/>
                <w:b w:val="0"/>
                <w:i w:val="0"/>
                <w:sz w:val="18"/>
              </w:rPr>
              <w:t>Books the renewal through New Business; the e-policy is received and sent to the client.</w:t>
            </w:r>
          </w:p>
        </w:tc>
      </w:tr>
      <w:tr>
        <w:trPr>
          <w:cantSplit/>
        </w:trPr>
        <w:tc>
          <w:tcPr>
            <w:tcW w:type="dxa" w:w="845"/>
          </w:tcPr>
          <w:p>
            <w:pPr>
              <w:spacing w:before="20" w:after="20"/>
            </w:pPr>
            <w:r>
              <w:rPr>
                <w:rFonts w:ascii="Arial" w:hAnsi="Arial" w:cs="Arial" w:eastAsia="Arial"/>
                <w:b w:val="0"/>
                <w:i w:val="0"/>
                <w:sz w:val="18"/>
              </w:rPr>
              <w:t>13</w:t>
            </w:r>
          </w:p>
        </w:tc>
        <w:tc>
          <w:tcPr>
            <w:tcW w:type="dxa" w:w="1878"/>
          </w:tcPr>
          <w:p>
            <w:pPr>
              <w:spacing w:before="20" w:after="20"/>
            </w:pPr>
            <w:r>
              <w:rPr>
                <w:rFonts w:ascii="Arial" w:hAnsi="Arial" w:cs="Arial" w:eastAsia="Arial"/>
                <w:b w:val="0"/>
                <w:i w:val="0"/>
                <w:sz w:val="18"/>
              </w:rPr>
              <w:t>BIBS</w:t>
            </w:r>
          </w:p>
        </w:tc>
        <w:tc>
          <w:tcPr>
            <w:tcW w:type="dxa" w:w="5916"/>
          </w:tcPr>
          <w:p>
            <w:pPr>
              <w:spacing w:before="20" w:after="20"/>
            </w:pPr>
            <w:r>
              <w:rPr>
                <w:rFonts w:ascii="Arial" w:hAnsi="Arial" w:cs="Arial" w:eastAsia="Arial"/>
                <w:b w:val="0"/>
                <w:i w:val="0"/>
                <w:sz w:val="18"/>
              </w:rPr>
              <w:t>Closing letters, NRNS reminders, billing files and the closure of unrenewed accounts by the scheduled jobs.</w:t>
            </w:r>
          </w:p>
        </w:tc>
      </w:tr>
    </w:tbl>
    <w:p>
      <w:pPr>
        <w:spacing w:after="40"/>
      </w:pPr>
    </w:p>
    <w:p>
      <w:pPr>
        <w:pStyle w:val="Heading1"/>
        <w:pageBreakBefore/>
      </w:pPr>
      <w:r>
        <w:t>To-be Processes</w:t>
      </w:r>
    </w:p>
    <w:p>
      <w:pPr>
        <w:pStyle w:val="Heading2"/>
      </w:pPr>
      <w:r>
        <w:t>P-RN-01 Extraction, sanitation and classification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6761"/>
      </w:tblGrid>
      <w:tr>
        <w:trPr>
          <w:tblHeader/>
          <w:cantSplit/>
        </w:trPr>
        <w:tc>
          <w:tcPr>
            <w:tcW w:type="dxa" w:w="1878"/>
            <w:shd w:val="clear" w:color="auto" w:fill="D9E2F3"/>
          </w:tcPr>
          <w:p>
            <w:pPr>
              <w:spacing w:before="20" w:after="20"/>
            </w:pPr>
            <w:r>
              <w:rPr>
                <w:rFonts w:ascii="Arial" w:hAnsi="Arial" w:cs="Arial" w:eastAsia="Arial"/>
                <w:b/>
                <w:i w:val="0"/>
                <w:sz w:val="18"/>
              </w:rPr>
              <w:t>Item</w:t>
            </w:r>
          </w:p>
        </w:tc>
        <w:tc>
          <w:tcPr>
            <w:tcW w:type="dxa" w:w="6761"/>
            <w:shd w:val="clear" w:color="auto" w:fill="D9E2F3"/>
          </w:tcPr>
          <w:p>
            <w:pPr>
              <w:spacing w:before="20" w:after="20"/>
            </w:pPr>
            <w:r>
              <w:rPr>
                <w:rFonts w:ascii="Arial" w:hAnsi="Arial" w:cs="Arial" w:eastAsia="Arial"/>
                <w:b/>
                <w:i w:val="0"/>
                <w:sz w:val="18"/>
              </w:rPr>
              <w:t>Value</w:t>
            </w:r>
          </w:p>
        </w:tc>
      </w:tr>
      <w:tr>
        <w:trPr>
          <w:cantSplit/>
        </w:trPr>
        <w:tc>
          <w:tcPr>
            <w:tcW w:type="dxa" w:w="1878"/>
          </w:tcPr>
          <w:p>
            <w:pPr>
              <w:spacing w:before="20" w:after="20"/>
            </w:pPr>
            <w:r>
              <w:rPr>
                <w:rFonts w:ascii="Arial" w:hAnsi="Arial" w:cs="Arial" w:eastAsia="Arial"/>
                <w:b w:val="0"/>
                <w:i w:val="0"/>
                <w:sz w:val="18"/>
              </w:rPr>
              <w:t>Journey steps</w:t>
            </w:r>
          </w:p>
        </w:tc>
        <w:tc>
          <w:tcPr>
            <w:tcW w:type="dxa" w:w="6761"/>
          </w:tcPr>
          <w:p>
            <w:pPr>
              <w:spacing w:before="20" w:after="20"/>
            </w:pPr>
            <w:r>
              <w:rPr>
                <w:rFonts w:ascii="Arial" w:hAnsi="Arial" w:cs="Arial" w:eastAsia="Arial"/>
                <w:b w:val="0"/>
                <w:i w:val="0"/>
                <w:sz w:val="18"/>
              </w:rPr>
              <w:t>1 to 2</w:t>
            </w:r>
          </w:p>
        </w:tc>
      </w:tr>
      <w:tr>
        <w:trPr>
          <w:cantSplit/>
        </w:trPr>
        <w:tc>
          <w:tcPr>
            <w:tcW w:type="dxa" w:w="1878"/>
          </w:tcPr>
          <w:p>
            <w:pPr>
              <w:spacing w:before="20" w:after="20"/>
            </w:pPr>
            <w:r>
              <w:rPr>
                <w:rFonts w:ascii="Arial" w:hAnsi="Arial" w:cs="Arial" w:eastAsia="Arial"/>
                <w:b w:val="0"/>
                <w:i w:val="0"/>
                <w:sz w:val="18"/>
              </w:rPr>
              <w:t>Trigger</w:t>
            </w:r>
          </w:p>
        </w:tc>
        <w:tc>
          <w:tcPr>
            <w:tcW w:type="dxa" w:w="6761"/>
          </w:tcPr>
          <w:p>
            <w:pPr>
              <w:spacing w:before="20" w:after="20"/>
            </w:pPr>
            <w:r>
              <w:rPr>
                <w:rFonts w:ascii="Arial" w:hAnsi="Arial" w:cs="Arial" w:eastAsia="Arial"/>
                <w:b w:val="0"/>
                <w:i w:val="0"/>
                <w:sz w:val="18"/>
              </w:rPr>
              <w:t>Daily run at the lead days, or Generate Expiry List.</w:t>
            </w:r>
          </w:p>
        </w:tc>
      </w:tr>
      <w:tr>
        <w:trPr>
          <w:cantSplit/>
        </w:trPr>
        <w:tc>
          <w:tcPr>
            <w:tcW w:type="dxa" w:w="1878"/>
          </w:tcPr>
          <w:p>
            <w:pPr>
              <w:spacing w:before="20" w:after="20"/>
            </w:pPr>
            <w:r>
              <w:rPr>
                <w:rFonts w:ascii="Arial" w:hAnsi="Arial" w:cs="Arial" w:eastAsia="Arial"/>
                <w:b w:val="0"/>
                <w:i w:val="0"/>
                <w:sz w:val="18"/>
              </w:rPr>
              <w:t>Actors</w:t>
            </w:r>
          </w:p>
        </w:tc>
        <w:tc>
          <w:tcPr>
            <w:tcW w:type="dxa" w:w="6761"/>
          </w:tcPr>
          <w:p>
            <w:pPr>
              <w:spacing w:before="20" w:after="20"/>
            </w:pPr>
            <w:r>
              <w:rPr>
                <w:rFonts w:ascii="Arial" w:hAnsi="Arial" w:cs="Arial" w:eastAsia="Arial"/>
                <w:b w:val="0"/>
                <w:i w:val="0"/>
                <w:sz w:val="18"/>
              </w:rPr>
              <w:t>BIBS, Marketing and Processing Team Leads</w:t>
            </w:r>
          </w:p>
        </w:tc>
      </w:tr>
      <w:tr>
        <w:trPr>
          <w:cantSplit/>
        </w:trPr>
        <w:tc>
          <w:tcPr>
            <w:tcW w:type="dxa" w:w="1878"/>
          </w:tcPr>
          <w:p>
            <w:pPr>
              <w:spacing w:before="20" w:after="20"/>
            </w:pPr>
            <w:r>
              <w:rPr>
                <w:rFonts w:ascii="Arial" w:hAnsi="Arial" w:cs="Arial" w:eastAsia="Arial"/>
                <w:b w:val="0"/>
                <w:i w:val="0"/>
                <w:sz w:val="18"/>
              </w:rPr>
              <w:t>Outcome</w:t>
            </w:r>
          </w:p>
        </w:tc>
        <w:tc>
          <w:tcPr>
            <w:tcW w:type="dxa" w:w="6761"/>
          </w:tcPr>
          <w:p>
            <w:pPr>
              <w:spacing w:before="20" w:after="20"/>
            </w:pPr>
            <w:r>
              <w:rPr>
                <w:rFonts w:ascii="Arial" w:hAnsi="Arial" w:cs="Arial" w:eastAsia="Arial"/>
                <w:b w:val="0"/>
                <w:i w:val="0"/>
                <w:sz w:val="18"/>
              </w:rPr>
              <w:t>Initiated renewal accounts with checks, classification and proposed disposition.</w:t>
            </w:r>
          </w:p>
        </w:tc>
      </w:tr>
      <w:tr>
        <w:trPr>
          <w:cantSplit/>
        </w:trPr>
        <w:tc>
          <w:tcPr>
            <w:tcW w:type="dxa" w:w="1878"/>
          </w:tcPr>
          <w:p>
            <w:pPr>
              <w:spacing w:before="20" w:after="20"/>
            </w:pPr>
            <w:r>
              <w:rPr>
                <w:rFonts w:ascii="Arial" w:hAnsi="Arial" w:cs="Arial" w:eastAsia="Arial"/>
                <w:b w:val="0"/>
                <w:i w:val="0"/>
                <w:sz w:val="18"/>
              </w:rPr>
              <w:t>Controls</w:t>
            </w:r>
          </w:p>
        </w:tc>
        <w:tc>
          <w:tcPr>
            <w:tcW w:type="dxa" w:w="6761"/>
          </w:tcPr>
          <w:p>
            <w:pPr>
              <w:spacing w:before="20" w:after="20"/>
            </w:pPr>
            <w:r>
              <w:rPr>
                <w:rFonts w:ascii="Arial" w:hAnsi="Arial" w:cs="Arial" w:eastAsia="Arial"/>
                <w:b w:val="0"/>
                <w:i w:val="0"/>
                <w:sz w:val="18"/>
              </w:rPr>
              <w:t>BR-RN-02, BR-RN-03, BR-RN-07; RNW_EXTRACTION_LEAD_DAYS.</w:t>
            </w:r>
          </w:p>
        </w:tc>
      </w:tr>
    </w:tbl>
    <w:p>
      <w:pPr>
        <w:spacing w:after="40"/>
      </w:pPr>
    </w:p>
    <w:p>
      <w:pPr>
        <w:pStyle w:val="Heading2"/>
      </w:pPr>
      <w:r>
        <w:t>P-RN-02 Assignment, disposition and posting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6761"/>
      </w:tblGrid>
      <w:tr>
        <w:trPr>
          <w:tblHeader/>
          <w:cantSplit/>
        </w:trPr>
        <w:tc>
          <w:tcPr>
            <w:tcW w:type="dxa" w:w="1878"/>
            <w:shd w:val="clear" w:color="auto" w:fill="D9E2F3"/>
          </w:tcPr>
          <w:p>
            <w:pPr>
              <w:spacing w:before="20" w:after="20"/>
            </w:pPr>
            <w:r>
              <w:rPr>
                <w:rFonts w:ascii="Arial" w:hAnsi="Arial" w:cs="Arial" w:eastAsia="Arial"/>
                <w:b/>
                <w:i w:val="0"/>
                <w:sz w:val="18"/>
              </w:rPr>
              <w:t>Item</w:t>
            </w:r>
          </w:p>
        </w:tc>
        <w:tc>
          <w:tcPr>
            <w:tcW w:type="dxa" w:w="6761"/>
            <w:shd w:val="clear" w:color="auto" w:fill="D9E2F3"/>
          </w:tcPr>
          <w:p>
            <w:pPr>
              <w:spacing w:before="20" w:after="20"/>
            </w:pPr>
            <w:r>
              <w:rPr>
                <w:rFonts w:ascii="Arial" w:hAnsi="Arial" w:cs="Arial" w:eastAsia="Arial"/>
                <w:b/>
                <w:i w:val="0"/>
                <w:sz w:val="18"/>
              </w:rPr>
              <w:t>Value</w:t>
            </w:r>
          </w:p>
        </w:tc>
      </w:tr>
      <w:tr>
        <w:trPr>
          <w:cantSplit/>
        </w:trPr>
        <w:tc>
          <w:tcPr>
            <w:tcW w:type="dxa" w:w="1878"/>
          </w:tcPr>
          <w:p>
            <w:pPr>
              <w:spacing w:before="20" w:after="20"/>
            </w:pPr>
            <w:r>
              <w:rPr>
                <w:rFonts w:ascii="Arial" w:hAnsi="Arial" w:cs="Arial" w:eastAsia="Arial"/>
                <w:b w:val="0"/>
                <w:i w:val="0"/>
                <w:sz w:val="18"/>
              </w:rPr>
              <w:t>Journey steps</w:t>
            </w:r>
          </w:p>
        </w:tc>
        <w:tc>
          <w:tcPr>
            <w:tcW w:type="dxa" w:w="6761"/>
          </w:tcPr>
          <w:p>
            <w:pPr>
              <w:spacing w:before="20" w:after="20"/>
            </w:pPr>
            <w:r>
              <w:rPr>
                <w:rFonts w:ascii="Arial" w:hAnsi="Arial" w:cs="Arial" w:eastAsia="Arial"/>
                <w:b w:val="0"/>
                <w:i w:val="0"/>
                <w:sz w:val="18"/>
              </w:rPr>
              <w:t>3 to 5</w:t>
            </w:r>
          </w:p>
        </w:tc>
      </w:tr>
      <w:tr>
        <w:trPr>
          <w:cantSplit/>
        </w:trPr>
        <w:tc>
          <w:tcPr>
            <w:tcW w:type="dxa" w:w="1878"/>
          </w:tcPr>
          <w:p>
            <w:pPr>
              <w:spacing w:before="20" w:after="20"/>
            </w:pPr>
            <w:r>
              <w:rPr>
                <w:rFonts w:ascii="Arial" w:hAnsi="Arial" w:cs="Arial" w:eastAsia="Arial"/>
                <w:b w:val="0"/>
                <w:i w:val="0"/>
                <w:sz w:val="18"/>
              </w:rPr>
              <w:t>Trigger</w:t>
            </w:r>
          </w:p>
        </w:tc>
        <w:tc>
          <w:tcPr>
            <w:tcW w:type="dxa" w:w="6761"/>
          </w:tcPr>
          <w:p>
            <w:pPr>
              <w:spacing w:before="20" w:after="20"/>
            </w:pPr>
            <w:r>
              <w:rPr>
                <w:rFonts w:ascii="Arial" w:hAnsi="Arial" w:cs="Arial" w:eastAsia="Arial"/>
                <w:b w:val="0"/>
                <w:i w:val="0"/>
                <w:sz w:val="18"/>
              </w:rPr>
              <w:t>Initiated account.</w:t>
            </w:r>
          </w:p>
        </w:tc>
      </w:tr>
      <w:tr>
        <w:trPr>
          <w:cantSplit/>
        </w:trPr>
        <w:tc>
          <w:tcPr>
            <w:tcW w:type="dxa" w:w="1878"/>
          </w:tcPr>
          <w:p>
            <w:pPr>
              <w:spacing w:before="20" w:after="20"/>
            </w:pPr>
            <w:r>
              <w:rPr>
                <w:rFonts w:ascii="Arial" w:hAnsi="Arial" w:cs="Arial" w:eastAsia="Arial"/>
                <w:b w:val="0"/>
                <w:i w:val="0"/>
                <w:sz w:val="18"/>
              </w:rPr>
              <w:t>Actors</w:t>
            </w:r>
          </w:p>
        </w:tc>
        <w:tc>
          <w:tcPr>
            <w:tcW w:type="dxa" w:w="6761"/>
          </w:tcPr>
          <w:p>
            <w:pPr>
              <w:spacing w:before="20" w:after="20"/>
            </w:pPr>
            <w:r>
              <w:rPr>
                <w:rFonts w:ascii="Arial" w:hAnsi="Arial" w:cs="Arial" w:eastAsia="Arial"/>
                <w:b w:val="0"/>
                <w:i w:val="0"/>
                <w:sz w:val="18"/>
              </w:rPr>
              <w:t>Marketing Team Lead, Account Officer</w:t>
            </w:r>
          </w:p>
        </w:tc>
      </w:tr>
      <w:tr>
        <w:trPr>
          <w:cantSplit/>
        </w:trPr>
        <w:tc>
          <w:tcPr>
            <w:tcW w:type="dxa" w:w="1878"/>
          </w:tcPr>
          <w:p>
            <w:pPr>
              <w:spacing w:before="20" w:after="20"/>
            </w:pPr>
            <w:r>
              <w:rPr>
                <w:rFonts w:ascii="Arial" w:hAnsi="Arial" w:cs="Arial" w:eastAsia="Arial"/>
                <w:b w:val="0"/>
                <w:i w:val="0"/>
                <w:sz w:val="18"/>
              </w:rPr>
              <w:t>Outcome</w:t>
            </w:r>
          </w:p>
        </w:tc>
        <w:tc>
          <w:tcPr>
            <w:tcW w:type="dxa" w:w="6761"/>
          </w:tcPr>
          <w:p>
            <w:pPr>
              <w:spacing w:before="20" w:after="20"/>
            </w:pPr>
            <w:r>
              <w:rPr>
                <w:rFonts w:ascii="Arial" w:hAnsi="Arial" w:cs="Arial" w:eastAsia="Arial"/>
                <w:b w:val="0"/>
                <w:i w:val="0"/>
                <w:sz w:val="18"/>
              </w:rPr>
              <w:t>Posted renewal routed by its disposition.</w:t>
            </w:r>
          </w:p>
        </w:tc>
      </w:tr>
      <w:tr>
        <w:trPr>
          <w:cantSplit/>
        </w:trPr>
        <w:tc>
          <w:tcPr>
            <w:tcW w:type="dxa" w:w="1878"/>
          </w:tcPr>
          <w:p>
            <w:pPr>
              <w:spacing w:before="20" w:after="20"/>
            </w:pPr>
            <w:r>
              <w:rPr>
                <w:rFonts w:ascii="Arial" w:hAnsi="Arial" w:cs="Arial" w:eastAsia="Arial"/>
                <w:b w:val="0"/>
                <w:i w:val="0"/>
                <w:sz w:val="18"/>
              </w:rPr>
              <w:t>Controls</w:t>
            </w:r>
          </w:p>
        </w:tc>
        <w:tc>
          <w:tcPr>
            <w:tcW w:type="dxa" w:w="6761"/>
          </w:tcPr>
          <w:p>
            <w:pPr>
              <w:spacing w:before="20" w:after="20"/>
            </w:pPr>
            <w:r>
              <w:rPr>
                <w:rFonts w:ascii="Arial" w:hAnsi="Arial" w:cs="Arial" w:eastAsia="Arial"/>
                <w:b w:val="0"/>
                <w:i w:val="0"/>
                <w:sz w:val="18"/>
              </w:rPr>
              <w:t>BR-RN-04, BR-RN-06, BR-RN-15, BR-RN-16.</w:t>
            </w:r>
          </w:p>
        </w:tc>
      </w:tr>
    </w:tbl>
    <w:p>
      <w:pPr>
        <w:spacing w:after="40"/>
      </w:pPr>
    </w:p>
    <w:p>
      <w:pPr>
        <w:pStyle w:val="Heading2"/>
      </w:pPr>
      <w:r>
        <w:t>P-RN-03 Processing and the insurer's answer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6761"/>
      </w:tblGrid>
      <w:tr>
        <w:trPr>
          <w:tblHeader/>
          <w:cantSplit/>
        </w:trPr>
        <w:tc>
          <w:tcPr>
            <w:tcW w:type="dxa" w:w="1878"/>
            <w:shd w:val="clear" w:color="auto" w:fill="D9E2F3"/>
          </w:tcPr>
          <w:p>
            <w:pPr>
              <w:spacing w:before="20" w:after="20"/>
            </w:pPr>
            <w:r>
              <w:rPr>
                <w:rFonts w:ascii="Arial" w:hAnsi="Arial" w:cs="Arial" w:eastAsia="Arial"/>
                <w:b/>
                <w:i w:val="0"/>
                <w:sz w:val="18"/>
              </w:rPr>
              <w:t>Item</w:t>
            </w:r>
          </w:p>
        </w:tc>
        <w:tc>
          <w:tcPr>
            <w:tcW w:type="dxa" w:w="6761"/>
            <w:shd w:val="clear" w:color="auto" w:fill="D9E2F3"/>
          </w:tcPr>
          <w:p>
            <w:pPr>
              <w:spacing w:before="20" w:after="20"/>
            </w:pPr>
            <w:r>
              <w:rPr>
                <w:rFonts w:ascii="Arial" w:hAnsi="Arial" w:cs="Arial" w:eastAsia="Arial"/>
                <w:b/>
                <w:i w:val="0"/>
                <w:sz w:val="18"/>
              </w:rPr>
              <w:t>Value</w:t>
            </w:r>
          </w:p>
        </w:tc>
      </w:tr>
      <w:tr>
        <w:trPr>
          <w:cantSplit/>
        </w:trPr>
        <w:tc>
          <w:tcPr>
            <w:tcW w:type="dxa" w:w="1878"/>
          </w:tcPr>
          <w:p>
            <w:pPr>
              <w:spacing w:before="20" w:after="20"/>
            </w:pPr>
            <w:r>
              <w:rPr>
                <w:rFonts w:ascii="Arial" w:hAnsi="Arial" w:cs="Arial" w:eastAsia="Arial"/>
                <w:b w:val="0"/>
                <w:i w:val="0"/>
                <w:sz w:val="18"/>
              </w:rPr>
              <w:t>Journey steps</w:t>
            </w:r>
          </w:p>
        </w:tc>
        <w:tc>
          <w:tcPr>
            <w:tcW w:type="dxa" w:w="6761"/>
          </w:tcPr>
          <w:p>
            <w:pPr>
              <w:spacing w:before="20" w:after="20"/>
            </w:pPr>
            <w:r>
              <w:rPr>
                <w:rFonts w:ascii="Arial" w:hAnsi="Arial" w:cs="Arial" w:eastAsia="Arial"/>
                <w:b w:val="0"/>
                <w:i w:val="0"/>
                <w:sz w:val="18"/>
              </w:rPr>
              <w:t>6 to 7</w:t>
            </w:r>
          </w:p>
        </w:tc>
      </w:tr>
      <w:tr>
        <w:trPr>
          <w:cantSplit/>
        </w:trPr>
        <w:tc>
          <w:tcPr>
            <w:tcW w:type="dxa" w:w="1878"/>
          </w:tcPr>
          <w:p>
            <w:pPr>
              <w:spacing w:before="20" w:after="20"/>
            </w:pPr>
            <w:r>
              <w:rPr>
                <w:rFonts w:ascii="Arial" w:hAnsi="Arial" w:cs="Arial" w:eastAsia="Arial"/>
                <w:b w:val="0"/>
                <w:i w:val="0"/>
                <w:sz w:val="18"/>
              </w:rPr>
              <w:t>Trigger</w:t>
            </w:r>
          </w:p>
        </w:tc>
        <w:tc>
          <w:tcPr>
            <w:tcW w:type="dxa" w:w="6761"/>
          </w:tcPr>
          <w:p>
            <w:pPr>
              <w:spacing w:before="20" w:after="20"/>
            </w:pPr>
            <w:r>
              <w:rPr>
                <w:rFonts w:ascii="Arial" w:hAnsi="Arial" w:cs="Arial" w:eastAsia="Arial"/>
                <w:b w:val="0"/>
                <w:i w:val="0"/>
                <w:sz w:val="18"/>
              </w:rPr>
              <w:t>Renewal posted For Renewal.</w:t>
            </w:r>
          </w:p>
        </w:tc>
      </w:tr>
      <w:tr>
        <w:trPr>
          <w:cantSplit/>
        </w:trPr>
        <w:tc>
          <w:tcPr>
            <w:tcW w:type="dxa" w:w="1878"/>
          </w:tcPr>
          <w:p>
            <w:pPr>
              <w:spacing w:before="20" w:after="20"/>
            </w:pPr>
            <w:r>
              <w:rPr>
                <w:rFonts w:ascii="Arial" w:hAnsi="Arial" w:cs="Arial" w:eastAsia="Arial"/>
                <w:b w:val="0"/>
                <w:i w:val="0"/>
                <w:sz w:val="18"/>
              </w:rPr>
              <w:t>Actors</w:t>
            </w:r>
          </w:p>
        </w:tc>
        <w:tc>
          <w:tcPr>
            <w:tcW w:type="dxa" w:w="6761"/>
          </w:tcPr>
          <w:p>
            <w:pPr>
              <w:spacing w:before="20" w:after="20"/>
            </w:pPr>
            <w:r>
              <w:rPr>
                <w:rFonts w:ascii="Arial" w:hAnsi="Arial" w:cs="Arial" w:eastAsia="Arial"/>
                <w:b w:val="0"/>
                <w:i w:val="0"/>
                <w:sz w:val="18"/>
              </w:rPr>
              <w:t>Processing Team Lead, Processing Officer, insurers</w:t>
            </w:r>
          </w:p>
        </w:tc>
      </w:tr>
      <w:tr>
        <w:trPr>
          <w:cantSplit/>
        </w:trPr>
        <w:tc>
          <w:tcPr>
            <w:tcW w:type="dxa" w:w="1878"/>
          </w:tcPr>
          <w:p>
            <w:pPr>
              <w:spacing w:before="20" w:after="20"/>
            </w:pPr>
            <w:r>
              <w:rPr>
                <w:rFonts w:ascii="Arial" w:hAnsi="Arial" w:cs="Arial" w:eastAsia="Arial"/>
                <w:b w:val="0"/>
                <w:i w:val="0"/>
                <w:sz w:val="18"/>
              </w:rPr>
              <w:t>Outcome</w:t>
            </w:r>
          </w:p>
        </w:tc>
        <w:tc>
          <w:tcPr>
            <w:tcW w:type="dxa" w:w="6761"/>
          </w:tcPr>
          <w:p>
            <w:pPr>
              <w:spacing w:before="20" w:after="20"/>
            </w:pPr>
            <w:r>
              <w:rPr>
                <w:rFonts w:ascii="Arial" w:hAnsi="Arial" w:cs="Arial" w:eastAsia="Arial"/>
                <w:b w:val="0"/>
                <w:i w:val="0"/>
                <w:sz w:val="18"/>
              </w:rPr>
              <w:t>Insurer disposition recorded; RA Ready, or returned to Marketing.</w:t>
            </w:r>
          </w:p>
        </w:tc>
      </w:tr>
      <w:tr>
        <w:trPr>
          <w:cantSplit/>
        </w:trPr>
        <w:tc>
          <w:tcPr>
            <w:tcW w:type="dxa" w:w="1878"/>
          </w:tcPr>
          <w:p>
            <w:pPr>
              <w:spacing w:before="20" w:after="20"/>
            </w:pPr>
            <w:r>
              <w:rPr>
                <w:rFonts w:ascii="Arial" w:hAnsi="Arial" w:cs="Arial" w:eastAsia="Arial"/>
                <w:b w:val="0"/>
                <w:i w:val="0"/>
                <w:sz w:val="18"/>
              </w:rPr>
              <w:t>Controls</w:t>
            </w:r>
          </w:p>
        </w:tc>
        <w:tc>
          <w:tcPr>
            <w:tcW w:type="dxa" w:w="6761"/>
          </w:tcPr>
          <w:p>
            <w:pPr>
              <w:spacing w:before="20" w:after="20"/>
            </w:pPr>
            <w:r>
              <w:rPr>
                <w:rFonts w:ascii="Arial" w:hAnsi="Arial" w:cs="Arial" w:eastAsia="Arial"/>
                <w:b w:val="0"/>
                <w:i w:val="0"/>
                <w:sz w:val="18"/>
              </w:rPr>
              <w:t>BR-RN-09, BR-RN-15; RNW_INSURER_REPLY_DAYS.</w:t>
            </w:r>
          </w:p>
        </w:tc>
      </w:tr>
    </w:tbl>
    <w:p>
      <w:pPr>
        <w:spacing w:after="40"/>
      </w:pPr>
    </w:p>
    <w:p>
      <w:pPr>
        <w:pStyle w:val="Heading2"/>
      </w:pPr>
      <w:r>
        <w:t>P-RN-04 Renewal Advice, follow-up and acceptance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6761"/>
      </w:tblGrid>
      <w:tr>
        <w:trPr>
          <w:tblHeader/>
          <w:cantSplit/>
        </w:trPr>
        <w:tc>
          <w:tcPr>
            <w:tcW w:type="dxa" w:w="1878"/>
            <w:shd w:val="clear" w:color="auto" w:fill="D9E2F3"/>
          </w:tcPr>
          <w:p>
            <w:pPr>
              <w:spacing w:before="20" w:after="20"/>
            </w:pPr>
            <w:r>
              <w:rPr>
                <w:rFonts w:ascii="Arial" w:hAnsi="Arial" w:cs="Arial" w:eastAsia="Arial"/>
                <w:b/>
                <w:i w:val="0"/>
                <w:sz w:val="18"/>
              </w:rPr>
              <w:t>Item</w:t>
            </w:r>
          </w:p>
        </w:tc>
        <w:tc>
          <w:tcPr>
            <w:tcW w:type="dxa" w:w="6761"/>
            <w:shd w:val="clear" w:color="auto" w:fill="D9E2F3"/>
          </w:tcPr>
          <w:p>
            <w:pPr>
              <w:spacing w:before="20" w:after="20"/>
            </w:pPr>
            <w:r>
              <w:rPr>
                <w:rFonts w:ascii="Arial" w:hAnsi="Arial" w:cs="Arial" w:eastAsia="Arial"/>
                <w:b/>
                <w:i w:val="0"/>
                <w:sz w:val="18"/>
              </w:rPr>
              <w:t>Value</w:t>
            </w:r>
          </w:p>
        </w:tc>
      </w:tr>
      <w:tr>
        <w:trPr>
          <w:cantSplit/>
        </w:trPr>
        <w:tc>
          <w:tcPr>
            <w:tcW w:type="dxa" w:w="1878"/>
          </w:tcPr>
          <w:p>
            <w:pPr>
              <w:spacing w:before="20" w:after="20"/>
            </w:pPr>
            <w:r>
              <w:rPr>
                <w:rFonts w:ascii="Arial" w:hAnsi="Arial" w:cs="Arial" w:eastAsia="Arial"/>
                <w:b w:val="0"/>
                <w:i w:val="0"/>
                <w:sz w:val="18"/>
              </w:rPr>
              <w:t>Journey steps</w:t>
            </w:r>
          </w:p>
        </w:tc>
        <w:tc>
          <w:tcPr>
            <w:tcW w:type="dxa" w:w="6761"/>
          </w:tcPr>
          <w:p>
            <w:pPr>
              <w:spacing w:before="20" w:after="20"/>
            </w:pPr>
            <w:r>
              <w:rPr>
                <w:rFonts w:ascii="Arial" w:hAnsi="Arial" w:cs="Arial" w:eastAsia="Arial"/>
                <w:b w:val="0"/>
                <w:i w:val="0"/>
                <w:sz w:val="18"/>
              </w:rPr>
              <w:t>8 to 10</w:t>
            </w:r>
          </w:p>
        </w:tc>
      </w:tr>
      <w:tr>
        <w:trPr>
          <w:cantSplit/>
        </w:trPr>
        <w:tc>
          <w:tcPr>
            <w:tcW w:type="dxa" w:w="1878"/>
          </w:tcPr>
          <w:p>
            <w:pPr>
              <w:spacing w:before="20" w:after="20"/>
            </w:pPr>
            <w:r>
              <w:rPr>
                <w:rFonts w:ascii="Arial" w:hAnsi="Arial" w:cs="Arial" w:eastAsia="Arial"/>
                <w:b w:val="0"/>
                <w:i w:val="0"/>
                <w:sz w:val="18"/>
              </w:rPr>
              <w:t>Trigger</w:t>
            </w:r>
          </w:p>
        </w:tc>
        <w:tc>
          <w:tcPr>
            <w:tcW w:type="dxa" w:w="6761"/>
          </w:tcPr>
          <w:p>
            <w:pPr>
              <w:spacing w:before="20" w:after="20"/>
            </w:pPr>
            <w:r>
              <w:rPr>
                <w:rFonts w:ascii="Arial" w:hAnsi="Arial" w:cs="Arial" w:eastAsia="Arial"/>
                <w:b w:val="0"/>
                <w:i w:val="0"/>
                <w:sz w:val="18"/>
              </w:rPr>
              <w:t>RA Ready.</w:t>
            </w:r>
          </w:p>
        </w:tc>
      </w:tr>
      <w:tr>
        <w:trPr>
          <w:cantSplit/>
        </w:trPr>
        <w:tc>
          <w:tcPr>
            <w:tcW w:type="dxa" w:w="1878"/>
          </w:tcPr>
          <w:p>
            <w:pPr>
              <w:spacing w:before="20" w:after="20"/>
            </w:pPr>
            <w:r>
              <w:rPr>
                <w:rFonts w:ascii="Arial" w:hAnsi="Arial" w:cs="Arial" w:eastAsia="Arial"/>
                <w:b w:val="0"/>
                <w:i w:val="0"/>
                <w:sz w:val="18"/>
              </w:rPr>
              <w:t>Actors</w:t>
            </w:r>
          </w:p>
        </w:tc>
        <w:tc>
          <w:tcPr>
            <w:tcW w:type="dxa" w:w="6761"/>
          </w:tcPr>
          <w:p>
            <w:pPr>
              <w:spacing w:before="20" w:after="20"/>
            </w:pPr>
            <w:r>
              <w:rPr>
                <w:rFonts w:ascii="Arial" w:hAnsi="Arial" w:cs="Arial" w:eastAsia="Arial"/>
                <w:b w:val="0"/>
                <w:i w:val="0"/>
                <w:sz w:val="18"/>
              </w:rPr>
              <w:t>Account Officer, Contact Center, client</w:t>
            </w:r>
          </w:p>
        </w:tc>
      </w:tr>
      <w:tr>
        <w:trPr>
          <w:cantSplit/>
        </w:trPr>
        <w:tc>
          <w:tcPr>
            <w:tcW w:type="dxa" w:w="1878"/>
          </w:tcPr>
          <w:p>
            <w:pPr>
              <w:spacing w:before="20" w:after="20"/>
            </w:pPr>
            <w:r>
              <w:rPr>
                <w:rFonts w:ascii="Arial" w:hAnsi="Arial" w:cs="Arial" w:eastAsia="Arial"/>
                <w:b w:val="0"/>
                <w:i w:val="0"/>
                <w:sz w:val="18"/>
              </w:rPr>
              <w:t>Outcome</w:t>
            </w:r>
          </w:p>
        </w:tc>
        <w:tc>
          <w:tcPr>
            <w:tcW w:type="dxa" w:w="6761"/>
          </w:tcPr>
          <w:p>
            <w:pPr>
              <w:spacing w:before="20" w:after="20"/>
            </w:pPr>
            <w:r>
              <w:rPr>
                <w:rFonts w:ascii="Arial" w:hAnsi="Arial" w:cs="Arial" w:eastAsia="Arial"/>
                <w:b w:val="0"/>
                <w:i w:val="0"/>
                <w:sz w:val="18"/>
              </w:rPr>
              <w:t>Client acceptance recorded, or NRNS and closing letters.</w:t>
            </w:r>
          </w:p>
        </w:tc>
      </w:tr>
      <w:tr>
        <w:trPr>
          <w:cantSplit/>
        </w:trPr>
        <w:tc>
          <w:tcPr>
            <w:tcW w:type="dxa" w:w="1878"/>
          </w:tcPr>
          <w:p>
            <w:pPr>
              <w:spacing w:before="20" w:after="20"/>
            </w:pPr>
            <w:r>
              <w:rPr>
                <w:rFonts w:ascii="Arial" w:hAnsi="Arial" w:cs="Arial" w:eastAsia="Arial"/>
                <w:b w:val="0"/>
                <w:i w:val="0"/>
                <w:sz w:val="18"/>
              </w:rPr>
              <w:t>Controls</w:t>
            </w:r>
          </w:p>
        </w:tc>
        <w:tc>
          <w:tcPr>
            <w:tcW w:type="dxa" w:w="6761"/>
          </w:tcPr>
          <w:p>
            <w:pPr>
              <w:spacing w:before="20" w:after="20"/>
            </w:pPr>
            <w:r>
              <w:rPr>
                <w:rFonts w:ascii="Arial" w:hAnsi="Arial" w:cs="Arial" w:eastAsia="Arial"/>
                <w:b w:val="0"/>
                <w:i w:val="0"/>
                <w:sz w:val="18"/>
              </w:rPr>
              <w:t>BR-RN-05, BR-RN-08, BR-RN-09; RNW_RA_FIRST_NOTICE_DAYS, RNW_NRNS_REMINDER_DAYS.</w:t>
            </w:r>
          </w:p>
        </w:tc>
      </w:tr>
    </w:tbl>
    <w:p>
      <w:pPr>
        <w:spacing w:after="40"/>
      </w:pPr>
    </w:p>
    <w:p>
      <w:pPr>
        <w:pStyle w:val="Heading2"/>
      </w:pPr>
      <w:r>
        <w:t>P-RN-05 Placement, booking and e-policy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6761"/>
      </w:tblGrid>
      <w:tr>
        <w:trPr>
          <w:tblHeader/>
          <w:cantSplit/>
        </w:trPr>
        <w:tc>
          <w:tcPr>
            <w:tcW w:type="dxa" w:w="1878"/>
            <w:shd w:val="clear" w:color="auto" w:fill="D9E2F3"/>
          </w:tcPr>
          <w:p>
            <w:pPr>
              <w:spacing w:before="20" w:after="20"/>
            </w:pPr>
            <w:r>
              <w:rPr>
                <w:rFonts w:ascii="Arial" w:hAnsi="Arial" w:cs="Arial" w:eastAsia="Arial"/>
                <w:b/>
                <w:i w:val="0"/>
                <w:sz w:val="18"/>
              </w:rPr>
              <w:t>Item</w:t>
            </w:r>
          </w:p>
        </w:tc>
        <w:tc>
          <w:tcPr>
            <w:tcW w:type="dxa" w:w="6761"/>
            <w:shd w:val="clear" w:color="auto" w:fill="D9E2F3"/>
          </w:tcPr>
          <w:p>
            <w:pPr>
              <w:spacing w:before="20" w:after="20"/>
            </w:pPr>
            <w:r>
              <w:rPr>
                <w:rFonts w:ascii="Arial" w:hAnsi="Arial" w:cs="Arial" w:eastAsia="Arial"/>
                <w:b/>
                <w:i w:val="0"/>
                <w:sz w:val="18"/>
              </w:rPr>
              <w:t>Value</w:t>
            </w:r>
          </w:p>
        </w:tc>
      </w:tr>
      <w:tr>
        <w:trPr>
          <w:cantSplit/>
        </w:trPr>
        <w:tc>
          <w:tcPr>
            <w:tcW w:type="dxa" w:w="1878"/>
          </w:tcPr>
          <w:p>
            <w:pPr>
              <w:spacing w:before="20" w:after="20"/>
            </w:pPr>
            <w:r>
              <w:rPr>
                <w:rFonts w:ascii="Arial" w:hAnsi="Arial" w:cs="Arial" w:eastAsia="Arial"/>
                <w:b w:val="0"/>
                <w:i w:val="0"/>
                <w:sz w:val="18"/>
              </w:rPr>
              <w:t>Journey steps</w:t>
            </w:r>
          </w:p>
        </w:tc>
        <w:tc>
          <w:tcPr>
            <w:tcW w:type="dxa" w:w="6761"/>
          </w:tcPr>
          <w:p>
            <w:pPr>
              <w:spacing w:before="20" w:after="20"/>
            </w:pPr>
            <w:r>
              <w:rPr>
                <w:rFonts w:ascii="Arial" w:hAnsi="Arial" w:cs="Arial" w:eastAsia="Arial"/>
                <w:b w:val="0"/>
                <w:i w:val="0"/>
                <w:sz w:val="18"/>
              </w:rPr>
              <w:t>11 to 12</w:t>
            </w:r>
          </w:p>
        </w:tc>
      </w:tr>
      <w:tr>
        <w:trPr>
          <w:cantSplit/>
        </w:trPr>
        <w:tc>
          <w:tcPr>
            <w:tcW w:type="dxa" w:w="1878"/>
          </w:tcPr>
          <w:p>
            <w:pPr>
              <w:spacing w:before="20" w:after="20"/>
            </w:pPr>
            <w:r>
              <w:rPr>
                <w:rFonts w:ascii="Arial" w:hAnsi="Arial" w:cs="Arial" w:eastAsia="Arial"/>
                <w:b w:val="0"/>
                <w:i w:val="0"/>
                <w:sz w:val="18"/>
              </w:rPr>
              <w:t>Trigger</w:t>
            </w:r>
          </w:p>
        </w:tc>
        <w:tc>
          <w:tcPr>
            <w:tcW w:type="dxa" w:w="6761"/>
          </w:tcPr>
          <w:p>
            <w:pPr>
              <w:spacing w:before="20" w:after="20"/>
            </w:pPr>
            <w:r>
              <w:rPr>
                <w:rFonts w:ascii="Arial" w:hAnsi="Arial" w:cs="Arial" w:eastAsia="Arial"/>
                <w:b w:val="0"/>
                <w:i w:val="0"/>
                <w:sz w:val="18"/>
              </w:rPr>
              <w:t>Accepted renewal; paid CBG account.</w:t>
            </w:r>
          </w:p>
        </w:tc>
      </w:tr>
      <w:tr>
        <w:trPr>
          <w:cantSplit/>
        </w:trPr>
        <w:tc>
          <w:tcPr>
            <w:tcW w:type="dxa" w:w="1878"/>
          </w:tcPr>
          <w:p>
            <w:pPr>
              <w:spacing w:before="20" w:after="20"/>
            </w:pPr>
            <w:r>
              <w:rPr>
                <w:rFonts w:ascii="Arial" w:hAnsi="Arial" w:cs="Arial" w:eastAsia="Arial"/>
                <w:b w:val="0"/>
                <w:i w:val="0"/>
                <w:sz w:val="18"/>
              </w:rPr>
              <w:t>Actors</w:t>
            </w:r>
          </w:p>
        </w:tc>
        <w:tc>
          <w:tcPr>
            <w:tcW w:type="dxa" w:w="6761"/>
          </w:tcPr>
          <w:p>
            <w:pPr>
              <w:spacing w:before="20" w:after="20"/>
            </w:pPr>
            <w:r>
              <w:rPr>
                <w:rFonts w:ascii="Arial" w:hAnsi="Arial" w:cs="Arial" w:eastAsia="Arial"/>
                <w:b w:val="0"/>
                <w:i w:val="0"/>
                <w:sz w:val="18"/>
              </w:rPr>
              <w:t>Processing Officer, insurers</w:t>
            </w:r>
          </w:p>
        </w:tc>
      </w:tr>
      <w:tr>
        <w:trPr>
          <w:cantSplit/>
        </w:trPr>
        <w:tc>
          <w:tcPr>
            <w:tcW w:type="dxa" w:w="1878"/>
          </w:tcPr>
          <w:p>
            <w:pPr>
              <w:spacing w:before="20" w:after="20"/>
            </w:pPr>
            <w:r>
              <w:rPr>
                <w:rFonts w:ascii="Arial" w:hAnsi="Arial" w:cs="Arial" w:eastAsia="Arial"/>
                <w:b w:val="0"/>
                <w:i w:val="0"/>
                <w:sz w:val="18"/>
              </w:rPr>
              <w:t>Outcome</w:t>
            </w:r>
          </w:p>
        </w:tc>
        <w:tc>
          <w:tcPr>
            <w:tcW w:type="dxa" w:w="6761"/>
          </w:tcPr>
          <w:p>
            <w:pPr>
              <w:spacing w:before="20" w:after="20"/>
            </w:pPr>
            <w:r>
              <w:rPr>
                <w:rFonts w:ascii="Arial" w:hAnsi="Arial" w:cs="Arial" w:eastAsia="Arial"/>
                <w:b w:val="0"/>
                <w:i w:val="0"/>
                <w:sz w:val="18"/>
              </w:rPr>
              <w:t>Renewal booked as business type Renewal; e-policy sent.</w:t>
            </w:r>
          </w:p>
        </w:tc>
      </w:tr>
      <w:tr>
        <w:trPr>
          <w:cantSplit/>
        </w:trPr>
        <w:tc>
          <w:tcPr>
            <w:tcW w:type="dxa" w:w="1878"/>
          </w:tcPr>
          <w:p>
            <w:pPr>
              <w:spacing w:before="20" w:after="20"/>
            </w:pPr>
            <w:r>
              <w:rPr>
                <w:rFonts w:ascii="Arial" w:hAnsi="Arial" w:cs="Arial" w:eastAsia="Arial"/>
                <w:b w:val="0"/>
                <w:i w:val="0"/>
                <w:sz w:val="18"/>
              </w:rPr>
              <w:t>Controls</w:t>
            </w:r>
          </w:p>
        </w:tc>
        <w:tc>
          <w:tcPr>
            <w:tcW w:type="dxa" w:w="6761"/>
          </w:tcPr>
          <w:p>
            <w:pPr>
              <w:spacing w:before="20" w:after="20"/>
            </w:pPr>
            <w:r>
              <w:rPr>
                <w:rFonts w:ascii="Arial" w:hAnsi="Arial" w:cs="Arial" w:eastAsia="Arial"/>
                <w:b w:val="0"/>
                <w:i w:val="0"/>
                <w:sz w:val="18"/>
              </w:rPr>
              <w:t>BR-RN-12, BR-RN-13.</w:t>
            </w:r>
          </w:p>
        </w:tc>
      </w:tr>
    </w:tbl>
    <w:p>
      <w:pPr>
        <w:spacing w:after="40"/>
      </w:pPr>
    </w:p>
    <w:p>
      <w:pPr>
        <w:pStyle w:val="Heading2"/>
      </w:pPr>
      <w:r>
        <w:t>P-RN-06 Straight-through CBG renewals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6761"/>
      </w:tblGrid>
      <w:tr>
        <w:trPr>
          <w:tblHeader/>
          <w:cantSplit/>
        </w:trPr>
        <w:tc>
          <w:tcPr>
            <w:tcW w:type="dxa" w:w="1878"/>
            <w:shd w:val="clear" w:color="auto" w:fill="D9E2F3"/>
          </w:tcPr>
          <w:p>
            <w:pPr>
              <w:spacing w:before="20" w:after="20"/>
            </w:pPr>
            <w:r>
              <w:rPr>
                <w:rFonts w:ascii="Arial" w:hAnsi="Arial" w:cs="Arial" w:eastAsia="Arial"/>
                <w:b/>
                <w:i w:val="0"/>
                <w:sz w:val="18"/>
              </w:rPr>
              <w:t>Item</w:t>
            </w:r>
          </w:p>
        </w:tc>
        <w:tc>
          <w:tcPr>
            <w:tcW w:type="dxa" w:w="6761"/>
            <w:shd w:val="clear" w:color="auto" w:fill="D9E2F3"/>
          </w:tcPr>
          <w:p>
            <w:pPr>
              <w:spacing w:before="20" w:after="20"/>
            </w:pPr>
            <w:r>
              <w:rPr>
                <w:rFonts w:ascii="Arial" w:hAnsi="Arial" w:cs="Arial" w:eastAsia="Arial"/>
                <w:b/>
                <w:i w:val="0"/>
                <w:sz w:val="18"/>
              </w:rPr>
              <w:t>Value</w:t>
            </w:r>
          </w:p>
        </w:tc>
      </w:tr>
      <w:tr>
        <w:trPr>
          <w:cantSplit/>
        </w:trPr>
        <w:tc>
          <w:tcPr>
            <w:tcW w:type="dxa" w:w="1878"/>
          </w:tcPr>
          <w:p>
            <w:pPr>
              <w:spacing w:before="20" w:after="20"/>
            </w:pPr>
            <w:r>
              <w:rPr>
                <w:rFonts w:ascii="Arial" w:hAnsi="Arial" w:cs="Arial" w:eastAsia="Arial"/>
                <w:b w:val="0"/>
                <w:i w:val="0"/>
                <w:sz w:val="18"/>
              </w:rPr>
              <w:t>Journey steps</w:t>
            </w:r>
          </w:p>
        </w:tc>
        <w:tc>
          <w:tcPr>
            <w:tcW w:type="dxa" w:w="6761"/>
          </w:tcPr>
          <w:p>
            <w:pPr>
              <w:spacing w:before="20" w:after="20"/>
            </w:pPr>
            <w:r>
              <w:rPr>
                <w:rFonts w:ascii="Arial" w:hAnsi="Arial" w:cs="Arial" w:eastAsia="Arial"/>
                <w:b w:val="0"/>
                <w:i w:val="0"/>
                <w:sz w:val="18"/>
              </w:rPr>
              <w:t>1, 10 to 13</w:t>
            </w:r>
          </w:p>
        </w:tc>
      </w:tr>
      <w:tr>
        <w:trPr>
          <w:cantSplit/>
        </w:trPr>
        <w:tc>
          <w:tcPr>
            <w:tcW w:type="dxa" w:w="1878"/>
          </w:tcPr>
          <w:p>
            <w:pPr>
              <w:spacing w:before="20" w:after="20"/>
            </w:pPr>
            <w:r>
              <w:rPr>
                <w:rFonts w:ascii="Arial" w:hAnsi="Arial" w:cs="Arial" w:eastAsia="Arial"/>
                <w:b w:val="0"/>
                <w:i w:val="0"/>
                <w:sz w:val="18"/>
              </w:rPr>
              <w:t>Trigger</w:t>
            </w:r>
          </w:p>
        </w:tc>
        <w:tc>
          <w:tcPr>
            <w:tcW w:type="dxa" w:w="6761"/>
          </w:tcPr>
          <w:p>
            <w:pPr>
              <w:spacing w:before="20" w:after="20"/>
            </w:pPr>
            <w:r>
              <w:rPr>
                <w:rFonts w:ascii="Arial" w:hAnsi="Arial" w:cs="Arial" w:eastAsia="Arial"/>
                <w:b w:val="0"/>
                <w:i w:val="0"/>
                <w:sz w:val="18"/>
              </w:rPr>
              <w:t>Clean CBG account.</w:t>
            </w:r>
          </w:p>
        </w:tc>
      </w:tr>
      <w:tr>
        <w:trPr>
          <w:cantSplit/>
        </w:trPr>
        <w:tc>
          <w:tcPr>
            <w:tcW w:type="dxa" w:w="1878"/>
          </w:tcPr>
          <w:p>
            <w:pPr>
              <w:spacing w:before="20" w:after="20"/>
            </w:pPr>
            <w:r>
              <w:rPr>
                <w:rFonts w:ascii="Arial" w:hAnsi="Arial" w:cs="Arial" w:eastAsia="Arial"/>
                <w:b w:val="0"/>
                <w:i w:val="0"/>
                <w:sz w:val="18"/>
              </w:rPr>
              <w:t>Actors</w:t>
            </w:r>
          </w:p>
        </w:tc>
        <w:tc>
          <w:tcPr>
            <w:tcW w:type="dxa" w:w="6761"/>
          </w:tcPr>
          <w:p>
            <w:pPr>
              <w:spacing w:before="20" w:after="20"/>
            </w:pPr>
            <w:r>
              <w:rPr>
                <w:rFonts w:ascii="Arial" w:hAnsi="Arial" w:cs="Arial" w:eastAsia="Arial"/>
                <w:b w:val="0"/>
                <w:i w:val="0"/>
                <w:sz w:val="18"/>
              </w:rPr>
              <w:t>BIBS, LAMD, Processing</w:t>
            </w:r>
          </w:p>
        </w:tc>
      </w:tr>
      <w:tr>
        <w:trPr>
          <w:cantSplit/>
        </w:trPr>
        <w:tc>
          <w:tcPr>
            <w:tcW w:type="dxa" w:w="1878"/>
          </w:tcPr>
          <w:p>
            <w:pPr>
              <w:spacing w:before="20" w:after="20"/>
            </w:pPr>
            <w:r>
              <w:rPr>
                <w:rFonts w:ascii="Arial" w:hAnsi="Arial" w:cs="Arial" w:eastAsia="Arial"/>
                <w:b w:val="0"/>
                <w:i w:val="0"/>
                <w:sz w:val="18"/>
              </w:rPr>
              <w:t>Outcome</w:t>
            </w:r>
          </w:p>
        </w:tc>
        <w:tc>
          <w:tcPr>
            <w:tcW w:type="dxa" w:w="6761"/>
          </w:tcPr>
          <w:p>
            <w:pPr>
              <w:spacing w:before="20" w:after="20"/>
            </w:pPr>
            <w:r>
              <w:rPr>
                <w:rFonts w:ascii="Arial" w:hAnsi="Arial" w:cs="Arial" w:eastAsia="Arial"/>
                <w:b w:val="0"/>
                <w:i w:val="0"/>
                <w:sz w:val="18"/>
              </w:rPr>
              <w:t>Hold cover at 75 days, billing file to LMS, placement on payment.</w:t>
            </w:r>
          </w:p>
        </w:tc>
      </w:tr>
      <w:tr>
        <w:trPr>
          <w:cantSplit/>
        </w:trPr>
        <w:tc>
          <w:tcPr>
            <w:tcW w:type="dxa" w:w="1878"/>
          </w:tcPr>
          <w:p>
            <w:pPr>
              <w:spacing w:before="20" w:after="20"/>
            </w:pPr>
            <w:r>
              <w:rPr>
                <w:rFonts w:ascii="Arial" w:hAnsi="Arial" w:cs="Arial" w:eastAsia="Arial"/>
                <w:b w:val="0"/>
                <w:i w:val="0"/>
                <w:sz w:val="18"/>
              </w:rPr>
              <w:t>Controls</w:t>
            </w:r>
          </w:p>
        </w:tc>
        <w:tc>
          <w:tcPr>
            <w:tcW w:type="dxa" w:w="6761"/>
          </w:tcPr>
          <w:p>
            <w:pPr>
              <w:spacing w:before="20" w:after="20"/>
            </w:pPr>
            <w:r>
              <w:rPr>
                <w:rFonts w:ascii="Arial" w:hAnsi="Arial" w:cs="Arial" w:eastAsia="Arial"/>
                <w:b w:val="0"/>
                <w:i w:val="0"/>
                <w:sz w:val="18"/>
              </w:rPr>
              <w:t>BR-RN-07, BR-RN-12; RNW_HOLD_COVER_CBG_DAYS_BEFORE, RNW_CLPC_BILLING_DAYS_BEFORE.</w:t>
            </w:r>
          </w:p>
        </w:tc>
      </w:tr>
    </w:tbl>
    <w:p>
      <w:pPr>
        <w:spacing w:after="40"/>
      </w:pPr>
    </w:p>
    <w:p>
      <w:pPr>
        <w:pStyle w:val="Heading2"/>
      </w:pPr>
      <w:r>
        <w:t>P-RN-07 Set-up under maker-checker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6761"/>
      </w:tblGrid>
      <w:tr>
        <w:trPr>
          <w:tblHeader/>
          <w:cantSplit/>
        </w:trPr>
        <w:tc>
          <w:tcPr>
            <w:tcW w:type="dxa" w:w="1878"/>
            <w:shd w:val="clear" w:color="auto" w:fill="D9E2F3"/>
          </w:tcPr>
          <w:p>
            <w:pPr>
              <w:spacing w:before="20" w:after="20"/>
            </w:pPr>
            <w:r>
              <w:rPr>
                <w:rFonts w:ascii="Arial" w:hAnsi="Arial" w:cs="Arial" w:eastAsia="Arial"/>
                <w:b/>
                <w:i w:val="0"/>
                <w:sz w:val="18"/>
              </w:rPr>
              <w:t>Item</w:t>
            </w:r>
          </w:p>
        </w:tc>
        <w:tc>
          <w:tcPr>
            <w:tcW w:type="dxa" w:w="6761"/>
            <w:shd w:val="clear" w:color="auto" w:fill="D9E2F3"/>
          </w:tcPr>
          <w:p>
            <w:pPr>
              <w:spacing w:before="20" w:after="20"/>
            </w:pPr>
            <w:r>
              <w:rPr>
                <w:rFonts w:ascii="Arial" w:hAnsi="Arial" w:cs="Arial" w:eastAsia="Arial"/>
                <w:b/>
                <w:i w:val="0"/>
                <w:sz w:val="18"/>
              </w:rPr>
              <w:t>Value</w:t>
            </w:r>
          </w:p>
        </w:tc>
      </w:tr>
      <w:tr>
        <w:trPr>
          <w:cantSplit/>
        </w:trPr>
        <w:tc>
          <w:tcPr>
            <w:tcW w:type="dxa" w:w="1878"/>
          </w:tcPr>
          <w:p>
            <w:pPr>
              <w:spacing w:before="20" w:after="20"/>
            </w:pPr>
            <w:r>
              <w:rPr>
                <w:rFonts w:ascii="Arial" w:hAnsi="Arial" w:cs="Arial" w:eastAsia="Arial"/>
                <w:b w:val="0"/>
                <w:i w:val="0"/>
                <w:sz w:val="18"/>
              </w:rPr>
              <w:t>Journey steps</w:t>
            </w:r>
          </w:p>
        </w:tc>
        <w:tc>
          <w:tcPr>
            <w:tcW w:type="dxa" w:w="6761"/>
          </w:tcPr>
          <w:p>
            <w:pPr>
              <w:spacing w:before="20" w:after="20"/>
            </w:pPr>
            <w:r>
              <w:rPr>
                <w:rFonts w:ascii="Arial" w:hAnsi="Arial" w:cs="Arial" w:eastAsia="Arial"/>
                <w:b w:val="0"/>
                <w:i w:val="0"/>
                <w:sz w:val="18"/>
              </w:rPr>
              <w:t>-</w:t>
            </w:r>
          </w:p>
        </w:tc>
      </w:tr>
      <w:tr>
        <w:trPr>
          <w:cantSplit/>
        </w:trPr>
        <w:tc>
          <w:tcPr>
            <w:tcW w:type="dxa" w:w="1878"/>
          </w:tcPr>
          <w:p>
            <w:pPr>
              <w:spacing w:before="20" w:after="20"/>
            </w:pPr>
            <w:r>
              <w:rPr>
                <w:rFonts w:ascii="Arial" w:hAnsi="Arial" w:cs="Arial" w:eastAsia="Arial"/>
                <w:b w:val="0"/>
                <w:i w:val="0"/>
                <w:sz w:val="18"/>
              </w:rPr>
              <w:t>Trigger</w:t>
            </w:r>
          </w:p>
        </w:tc>
        <w:tc>
          <w:tcPr>
            <w:tcW w:type="dxa" w:w="6761"/>
          </w:tcPr>
          <w:p>
            <w:pPr>
              <w:spacing w:before="20" w:after="20"/>
            </w:pPr>
            <w:r>
              <w:rPr>
                <w:rFonts w:ascii="Arial" w:hAnsi="Arial" w:cs="Arial" w:eastAsia="Arial"/>
                <w:b w:val="0"/>
                <w:i w:val="0"/>
                <w:sz w:val="18"/>
              </w:rPr>
              <w:t>A change of risk codes, checks, rules, decision matrix, lists, templates or settings.</w:t>
            </w:r>
          </w:p>
        </w:tc>
      </w:tr>
      <w:tr>
        <w:trPr>
          <w:cantSplit/>
        </w:trPr>
        <w:tc>
          <w:tcPr>
            <w:tcW w:type="dxa" w:w="1878"/>
          </w:tcPr>
          <w:p>
            <w:pPr>
              <w:spacing w:before="20" w:after="20"/>
            </w:pPr>
            <w:r>
              <w:rPr>
                <w:rFonts w:ascii="Arial" w:hAnsi="Arial" w:cs="Arial" w:eastAsia="Arial"/>
                <w:b w:val="0"/>
                <w:i w:val="0"/>
                <w:sz w:val="18"/>
              </w:rPr>
              <w:t>Actors</w:t>
            </w:r>
          </w:p>
        </w:tc>
        <w:tc>
          <w:tcPr>
            <w:tcW w:type="dxa" w:w="6761"/>
          </w:tcPr>
          <w:p>
            <w:pPr>
              <w:spacing w:before="20" w:after="20"/>
            </w:pPr>
            <w:r>
              <w:rPr>
                <w:rFonts w:ascii="Arial" w:hAnsi="Arial" w:cs="Arial" w:eastAsia="Arial"/>
                <w:b w:val="0"/>
                <w:i w:val="0"/>
                <w:sz w:val="18"/>
              </w:rPr>
              <w:t>Business Administrator (maker), second user (checker)</w:t>
            </w:r>
          </w:p>
        </w:tc>
      </w:tr>
      <w:tr>
        <w:trPr>
          <w:cantSplit/>
        </w:trPr>
        <w:tc>
          <w:tcPr>
            <w:tcW w:type="dxa" w:w="1878"/>
          </w:tcPr>
          <w:p>
            <w:pPr>
              <w:spacing w:before="20" w:after="20"/>
            </w:pPr>
            <w:r>
              <w:rPr>
                <w:rFonts w:ascii="Arial" w:hAnsi="Arial" w:cs="Arial" w:eastAsia="Arial"/>
                <w:b w:val="0"/>
                <w:i w:val="0"/>
                <w:sz w:val="18"/>
              </w:rPr>
              <w:t>Outcome</w:t>
            </w:r>
          </w:p>
        </w:tc>
        <w:tc>
          <w:tcPr>
            <w:tcW w:type="dxa" w:w="6761"/>
          </w:tcPr>
          <w:p>
            <w:pPr>
              <w:spacing w:before="20" w:after="20"/>
            </w:pPr>
            <w:r>
              <w:rPr>
                <w:rFonts w:ascii="Arial" w:hAnsi="Arial" w:cs="Arial" w:eastAsia="Arial"/>
                <w:b w:val="0"/>
                <w:i w:val="0"/>
                <w:sz w:val="18"/>
              </w:rPr>
              <w:t>Approved set-up in force.</w:t>
            </w:r>
          </w:p>
        </w:tc>
      </w:tr>
      <w:tr>
        <w:trPr>
          <w:cantSplit/>
        </w:trPr>
        <w:tc>
          <w:tcPr>
            <w:tcW w:type="dxa" w:w="1878"/>
          </w:tcPr>
          <w:p>
            <w:pPr>
              <w:spacing w:before="20" w:after="20"/>
            </w:pPr>
            <w:r>
              <w:rPr>
                <w:rFonts w:ascii="Arial" w:hAnsi="Arial" w:cs="Arial" w:eastAsia="Arial"/>
                <w:b w:val="0"/>
                <w:i w:val="0"/>
                <w:sz w:val="18"/>
              </w:rPr>
              <w:t>Controls</w:t>
            </w:r>
          </w:p>
        </w:tc>
        <w:tc>
          <w:tcPr>
            <w:tcW w:type="dxa" w:w="6761"/>
          </w:tcPr>
          <w:p>
            <w:pPr>
              <w:spacing w:before="20" w:after="20"/>
            </w:pPr>
            <w:r>
              <w:rPr>
                <w:rFonts w:ascii="Arial" w:hAnsi="Arial" w:cs="Arial" w:eastAsia="Arial"/>
                <w:b w:val="0"/>
                <w:i w:val="0"/>
                <w:sz w:val="18"/>
              </w:rPr>
              <w:t>BR-RN-01, BR-RN-14.</w:t>
            </w:r>
          </w:p>
        </w:tc>
      </w:tr>
    </w:tbl>
    <w:p>
      <w:pPr>
        <w:spacing w:after="40"/>
      </w:pPr>
    </w:p>
    <w:p>
      <w:pPr>
        <w:pStyle w:val="Heading2"/>
      </w:pPr>
      <w:r>
        <w:t>Stages of a renewal account</w:t>
      </w:r>
    </w:p>
    <w:p>
      <w:pPr>
        <w:keepNext/>
        <w:jc w:val="center"/>
      </w:pPr>
      <w:r>
        <w:drawing>
          <wp:inline>
            <wp:extent cx="5760000" cy="957648"/>
            <wp:docPr id="4" name="Picture 4"/>
            <wp:cNvGraphicFramePr>
              <a:graphicFrameLocks noChangeAspect="1"/>
            </wp:cNvGraphicFramePr>
            <a:graphic>
              <a:graphicData uri="http://schemas.openxmlformats.org/drawingml/2006/picture">
                <pic:pic>
                  <pic:nvPicPr>
                    <pic:cNvPr id="0" name="lifecycle.png"/>
                    <pic:cNvPicPr/>
                  </pic:nvPicPr>
                  <pic:blipFill>
                    <a:blip r:embed="rId26"/>
                    <a:stretch>
                      <a:fillRect/>
                    </a:stretch>
                  </pic:blipFill>
                  <pic:spPr>
                    <a:xfrm>
                      <a:off x="0" y="0"/>
                      <a:ext cx="5760000" cy="957648"/>
                    </a:xfrm>
                    <a:prstGeom prst="rect"/>
                  </pic:spPr>
                </pic:pic>
              </a:graphicData>
            </a:graphic>
          </wp:inline>
        </w:drawing>
      </w:r>
    </w:p>
    <w:p>
      <w:pPr>
        <w:keepNext/>
        <w:spacing w:before="120" w:after="60"/>
        <w:ind w:left="363"/>
      </w:pPr>
      <w:r>
        <w:rPr>
          <w:rFonts w:ascii="Arial" w:hAnsi="Arial" w:cs="Arial" w:eastAsia="Arial"/>
          <w:b/>
          <w:i w:val="0"/>
          <w:sz w:val="18"/>
        </w:rPr>
        <w:t>Figure 2: Stages of a renewal account</w:t>
      </w:r>
    </w:p>
    <w:p>
      <w:pPr>
        <w:pStyle w:val="Heading1"/>
        <w:pageBreakBefore/>
      </w:pPr>
      <w:r>
        <w:t>Storyboards</w:t>
      </w:r>
    </w:p>
    <w:p>
      <w:pPr>
        <w:pStyle w:val="Heading2"/>
      </w:pPr>
      <w:r>
        <w:t>SB-01 An expiring account from the Expiry List to the Team Leader's post</w:t>
      </w:r>
    </w:p>
    <w:p>
      <w:pPr>
        <w:spacing w:after="120"/>
        <w:ind w:left="363"/>
      </w:pPr>
      <w:r>
        <w:rPr>
          <w:rFonts w:ascii="Arial" w:hAnsi="Arial" w:cs="Arial" w:eastAsia="Arial"/>
          <w:b w:val="0"/>
          <w:i w:val="0"/>
          <w:sz w:val="20"/>
        </w:rPr>
        <w:t>The booked accounts expiring in the renewal horizon are extracted and initiated; the renewal of Pacific Harbor Logistics Inc. waits in the Unassigned Disposition tab of Corporate Marketing Team 1, classified Review: its expiring premium is outstanding, a claim is open and an endorsement is in progress. The Team Leader assigns it to the Account Officer, who reads the account history, gives the disposition For Renewal and pushes it. The Team Leader's post is refused while the blocking checks fail; she overrides them with a reason and posts the renewal to Processing.</w:t>
      </w:r>
    </w:p>
    <w:p>
      <w:pPr>
        <w:spacing w:after="120"/>
        <w:ind w:left="363"/>
      </w:pPr>
      <w:r>
        <w:rPr>
          <w:rFonts w:ascii="Arial" w:hAnsi="Arial" w:cs="Arial" w:eastAsia="Arial"/>
          <w:b w:val="0"/>
          <w:i/>
          <w:sz w:val="20"/>
        </w:rPr>
        <w:t>Test data: Seed data: renewal of account ARN-2026-940004 (Pacific Harbor Logistics Inc., Luzon Assurance Co.), Corporate Marketing Team 1.</w:t>
      </w:r>
    </w:p>
    <w:p>
      <w:pPr>
        <w:keepNext/>
        <w:spacing w:before="120" w:after="60"/>
        <w:ind w:left="363"/>
      </w:pPr>
      <w:r>
        <w:rPr>
          <w:rFonts w:ascii="Arial" w:hAnsi="Arial" w:cs="Arial" w:eastAsia="Arial"/>
          <w:b/>
          <w:i w:val="0"/>
          <w:sz w:val="18"/>
        </w:rPr>
        <w:t>Table 3: SB-01 steps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57"/>
        <w:gridCol w:w="1784"/>
        <w:gridCol w:w="1690"/>
        <w:gridCol w:w="2441"/>
        <w:gridCol w:w="2066"/>
      </w:tblGrid>
      <w:tr>
        <w:trPr>
          <w:tblHeader/>
          <w:cantSplit/>
        </w:trPr>
        <w:tc>
          <w:tcPr>
            <w:tcW w:type="dxa" w:w="657"/>
            <w:shd w:val="clear" w:color="auto" w:fill="D9E2F3"/>
          </w:tcPr>
          <w:p>
            <w:pPr>
              <w:spacing w:before="20" w:after="20"/>
            </w:pPr>
            <w:r>
              <w:rPr>
                <w:rFonts w:ascii="Arial" w:hAnsi="Arial" w:cs="Arial" w:eastAsia="Arial"/>
                <w:b/>
                <w:i w:val="0"/>
                <w:sz w:val="18"/>
              </w:rPr>
              <w:t>Step</w:t>
            </w:r>
          </w:p>
        </w:tc>
        <w:tc>
          <w:tcPr>
            <w:tcW w:type="dxa" w:w="1784"/>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Screen</w:t>
            </w:r>
          </w:p>
        </w:tc>
        <w:tc>
          <w:tcPr>
            <w:tcW w:type="dxa" w:w="2441"/>
            <w:shd w:val="clear" w:color="auto" w:fill="D9E2F3"/>
          </w:tcPr>
          <w:p>
            <w:pPr>
              <w:spacing w:before="20" w:after="20"/>
            </w:pPr>
            <w:r>
              <w:rPr>
                <w:rFonts w:ascii="Arial" w:hAnsi="Arial" w:cs="Arial" w:eastAsia="Arial"/>
                <w:b/>
                <w:i w:val="0"/>
                <w:sz w:val="18"/>
              </w:rPr>
              <w:t>Does</w:t>
            </w:r>
          </w:p>
        </w:tc>
        <w:tc>
          <w:tcPr>
            <w:tcW w:type="dxa" w:w="2066"/>
            <w:shd w:val="clear" w:color="auto" w:fill="D9E2F3"/>
          </w:tcPr>
          <w:p>
            <w:pPr>
              <w:spacing w:before="20" w:after="20"/>
            </w:pPr>
            <w:r>
              <w:rPr>
                <w:rFonts w:ascii="Arial" w:hAnsi="Arial" w:cs="Arial" w:eastAsia="Arial"/>
                <w:b/>
                <w:i w:val="0"/>
                <w:sz w:val="18"/>
              </w:rPr>
              <w:t>Sees</w:t>
            </w:r>
          </w:p>
        </w:tc>
      </w:tr>
      <w:tr>
        <w:trPr>
          <w:cantSplit/>
        </w:trPr>
        <w:tc>
          <w:tcPr>
            <w:tcW w:type="dxa" w:w="657"/>
          </w:tcPr>
          <w:p>
            <w:pPr>
              <w:spacing w:before="20" w:after="20"/>
            </w:pPr>
            <w:r>
              <w:rPr>
                <w:rFonts w:ascii="Arial" w:hAnsi="Arial" w:cs="Arial" w:eastAsia="Arial"/>
                <w:b w:val="0"/>
                <w:i w:val="0"/>
                <w:sz w:val="18"/>
              </w:rPr>
              <w:t>1</w:t>
            </w:r>
          </w:p>
        </w:tc>
        <w:tc>
          <w:tcPr>
            <w:tcW w:type="dxa" w:w="1784"/>
          </w:tcPr>
          <w:p>
            <w:pPr>
              <w:spacing w:before="20" w:after="20"/>
            </w:pPr>
            <w:r>
              <w:rPr>
                <w:rFonts w:ascii="Arial" w:hAnsi="Arial" w:cs="Arial" w:eastAsia="Arial"/>
                <w:b w:val="0"/>
                <w:i w:val="0"/>
                <w:sz w:val="18"/>
              </w:rPr>
              <w:t>Marketing Team Lead</w:t>
            </w:r>
          </w:p>
        </w:tc>
        <w:tc>
          <w:tcPr>
            <w:tcW w:type="dxa" w:w="1690"/>
          </w:tcPr>
          <w:p>
            <w:pPr>
              <w:spacing w:before="20" w:after="20"/>
            </w:pPr>
            <w:r>
              <w:rPr>
                <w:rFonts w:ascii="Arial" w:hAnsi="Arial" w:cs="Arial" w:eastAsia="Arial"/>
                <w:b w:val="0"/>
                <w:i w:val="0"/>
                <w:sz w:val="18"/>
              </w:rPr>
              <w:t>Expiry List</w:t>
            </w:r>
          </w:p>
        </w:tc>
        <w:tc>
          <w:tcPr>
            <w:tcW w:type="dxa" w:w="2441"/>
          </w:tcPr>
          <w:p>
            <w:pPr>
              <w:spacing w:before="20" w:after="20"/>
            </w:pPr>
            <w:r>
              <w:rPr>
                <w:rFonts w:ascii="Arial" w:hAnsi="Arial" w:cs="Arial" w:eastAsia="Arial"/>
                <w:b w:val="0"/>
                <w:i w:val="0"/>
                <w:sz w:val="18"/>
              </w:rPr>
              <w:t>Opens the Expiry List, tab Unassigned Disposition, ticks the renewal of Pacific Harbor Logistics Inc. and clicks Assign Disposition: Arnel Account Officer, then Assign and Push</w:t>
            </w:r>
          </w:p>
        </w:tc>
        <w:tc>
          <w:tcPr>
            <w:tcW w:type="dxa" w:w="2066"/>
          </w:tcPr>
          <w:p>
            <w:pPr>
              <w:spacing w:before="20" w:after="20"/>
            </w:pPr>
            <w:r>
              <w:rPr>
                <w:rFonts w:ascii="Arial" w:hAnsi="Arial" w:cs="Arial" w:eastAsia="Arial"/>
                <w:b w:val="0"/>
                <w:i w:val="0"/>
                <w:sz w:val="18"/>
              </w:rPr>
              <w:t>Message: 1 assigned; the renewal leaves the tab</w:t>
            </w:r>
          </w:p>
        </w:tc>
      </w:tr>
      <w:tr>
        <w:trPr>
          <w:cantSplit/>
        </w:trPr>
        <w:tc>
          <w:tcPr>
            <w:tcW w:type="dxa" w:w="657"/>
          </w:tcPr>
          <w:p>
            <w:pPr>
              <w:spacing w:before="20" w:after="20"/>
            </w:pPr>
            <w:r>
              <w:rPr>
                <w:rFonts w:ascii="Arial" w:hAnsi="Arial" w:cs="Arial" w:eastAsia="Arial"/>
                <w:b w:val="0"/>
                <w:i w:val="0"/>
                <w:sz w:val="18"/>
              </w:rPr>
              <w:t>2</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My Dispositions</w:t>
            </w:r>
          </w:p>
        </w:tc>
        <w:tc>
          <w:tcPr>
            <w:tcW w:type="dxa" w:w="2441"/>
          </w:tcPr>
          <w:p>
            <w:pPr>
              <w:spacing w:before="20" w:after="20"/>
            </w:pPr>
            <w:r>
              <w:rPr>
                <w:rFonts w:ascii="Arial" w:hAnsi="Arial" w:cs="Arial" w:eastAsia="Arial"/>
                <w:b w:val="0"/>
                <w:i w:val="0"/>
                <w:sz w:val="18"/>
              </w:rPr>
              <w:t>Opens My Dispositions</w:t>
            </w:r>
          </w:p>
        </w:tc>
        <w:tc>
          <w:tcPr>
            <w:tcW w:type="dxa" w:w="2066"/>
          </w:tcPr>
          <w:p>
            <w:pPr>
              <w:spacing w:before="20" w:after="20"/>
            </w:pPr>
            <w:r>
              <w:rPr>
                <w:rFonts w:ascii="Arial" w:hAnsi="Arial" w:cs="Arial" w:eastAsia="Arial"/>
                <w:b w:val="0"/>
                <w:i w:val="0"/>
                <w:sz w:val="18"/>
              </w:rPr>
              <w:t>The renewal assigned to him with its expiry, the Review classification and the flags Outstanding and Claims</w:t>
            </w:r>
          </w:p>
        </w:tc>
      </w:tr>
      <w:tr>
        <w:trPr>
          <w:cantSplit/>
        </w:trPr>
        <w:tc>
          <w:tcPr>
            <w:tcW w:type="dxa" w:w="657"/>
          </w:tcPr>
          <w:p>
            <w:pPr>
              <w:spacing w:before="20" w:after="20"/>
            </w:pPr>
            <w:r>
              <w:rPr>
                <w:rFonts w:ascii="Arial" w:hAnsi="Arial" w:cs="Arial" w:eastAsia="Arial"/>
                <w:b w:val="0"/>
                <w:i w:val="0"/>
                <w:sz w:val="18"/>
              </w:rPr>
              <w:t>3</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Renewal</w:t>
            </w:r>
          </w:p>
        </w:tc>
        <w:tc>
          <w:tcPr>
            <w:tcW w:type="dxa" w:w="2441"/>
          </w:tcPr>
          <w:p>
            <w:pPr>
              <w:spacing w:before="20" w:after="20"/>
            </w:pPr>
            <w:r>
              <w:rPr>
                <w:rFonts w:ascii="Arial" w:hAnsi="Arial" w:cs="Arial" w:eastAsia="Arial"/>
                <w:b w:val="0"/>
                <w:i w:val="0"/>
                <w:sz w:val="18"/>
              </w:rPr>
              <w:t>Opens the renewal, tab Account History, and clicks View Account History</w:t>
            </w:r>
          </w:p>
        </w:tc>
        <w:tc>
          <w:tcPr>
            <w:tcW w:type="dxa" w:w="2066"/>
          </w:tcPr>
          <w:p>
            <w:pPr>
              <w:spacing w:before="20" w:after="20"/>
            </w:pPr>
            <w:r>
              <w:rPr>
                <w:rFonts w:ascii="Arial" w:hAnsi="Arial" w:cs="Arial" w:eastAsia="Arial"/>
                <w:b w:val="0"/>
                <w:i w:val="0"/>
                <w:sz w:val="18"/>
              </w:rPr>
              <w:t>The payments of the expiring invoice and the open claim; the viewing is recorded</w:t>
            </w:r>
          </w:p>
        </w:tc>
      </w:tr>
      <w:tr>
        <w:trPr>
          <w:cantSplit/>
        </w:trPr>
        <w:tc>
          <w:tcPr>
            <w:tcW w:type="dxa" w:w="657"/>
          </w:tcPr>
          <w:p>
            <w:pPr>
              <w:spacing w:before="20" w:after="20"/>
            </w:pPr>
            <w:r>
              <w:rPr>
                <w:rFonts w:ascii="Arial" w:hAnsi="Arial" w:cs="Arial" w:eastAsia="Arial"/>
                <w:b w:val="0"/>
                <w:i w:val="0"/>
                <w:sz w:val="18"/>
              </w:rPr>
              <w:t>4</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Set Disposition, Add Remark and Re-open</w:t>
            </w:r>
          </w:p>
        </w:tc>
        <w:tc>
          <w:tcPr>
            <w:tcW w:type="dxa" w:w="2441"/>
          </w:tcPr>
          <w:p>
            <w:pPr>
              <w:spacing w:before="20" w:after="20"/>
            </w:pPr>
            <w:r>
              <w:rPr>
                <w:rFonts w:ascii="Arial" w:hAnsi="Arial" w:cs="Arial" w:eastAsia="Arial"/>
                <w:b w:val="0"/>
                <w:i w:val="0"/>
                <w:sz w:val="18"/>
              </w:rPr>
              <w:t>Clicks Set Disposition: For Renewal with the remarks of the client's call, then Save</w:t>
            </w:r>
          </w:p>
        </w:tc>
        <w:tc>
          <w:tcPr>
            <w:tcW w:type="dxa" w:w="2066"/>
          </w:tcPr>
          <w:p>
            <w:pPr>
              <w:spacing w:before="20" w:after="20"/>
            </w:pPr>
            <w:r>
              <w:rPr>
                <w:rFonts w:ascii="Arial" w:hAnsi="Arial" w:cs="Arial" w:eastAsia="Arial"/>
                <w:b w:val="0"/>
                <w:i w:val="0"/>
                <w:sz w:val="18"/>
              </w:rPr>
              <w:t>Message: Saved; the disposition For Renewal on the renewal</w:t>
            </w:r>
          </w:p>
        </w:tc>
      </w:tr>
      <w:tr>
        <w:trPr>
          <w:cantSplit/>
        </w:trPr>
        <w:tc>
          <w:tcPr>
            <w:tcW w:type="dxa" w:w="657"/>
          </w:tcPr>
          <w:p>
            <w:pPr>
              <w:spacing w:before="20" w:after="20"/>
            </w:pPr>
            <w:r>
              <w:rPr>
                <w:rFonts w:ascii="Arial" w:hAnsi="Arial" w:cs="Arial" w:eastAsia="Arial"/>
                <w:b w:val="0"/>
                <w:i w:val="0"/>
                <w:sz w:val="18"/>
              </w:rPr>
              <w:t>5</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Set Disposition, Add Remark and Re-open</w:t>
            </w:r>
          </w:p>
        </w:tc>
        <w:tc>
          <w:tcPr>
            <w:tcW w:type="dxa" w:w="2441"/>
          </w:tcPr>
          <w:p>
            <w:pPr>
              <w:spacing w:before="20" w:after="20"/>
            </w:pPr>
            <w:r>
              <w:rPr>
                <w:rFonts w:ascii="Arial" w:hAnsi="Arial" w:cs="Arial" w:eastAsia="Arial"/>
                <w:b w:val="0"/>
                <w:i w:val="0"/>
                <w:sz w:val="18"/>
              </w:rPr>
              <w:t>Clicks Push</w:t>
            </w:r>
          </w:p>
        </w:tc>
        <w:tc>
          <w:tcPr>
            <w:tcW w:type="dxa" w:w="2066"/>
          </w:tcPr>
          <w:p>
            <w:pPr>
              <w:spacing w:before="20" w:after="20"/>
            </w:pPr>
            <w:r>
              <w:rPr>
                <w:rFonts w:ascii="Arial" w:hAnsi="Arial" w:cs="Arial" w:eastAsia="Arial"/>
                <w:b w:val="0"/>
                <w:i w:val="0"/>
                <w:sz w:val="18"/>
              </w:rPr>
              <w:t>Message: Pushed to the Team Leader; the status Review in Progress</w:t>
            </w:r>
          </w:p>
        </w:tc>
      </w:tr>
      <w:tr>
        <w:trPr>
          <w:cantSplit/>
        </w:trPr>
        <w:tc>
          <w:tcPr>
            <w:tcW w:type="dxa" w:w="657"/>
          </w:tcPr>
          <w:p>
            <w:pPr>
              <w:spacing w:before="20" w:after="20"/>
            </w:pPr>
            <w:r>
              <w:rPr>
                <w:rFonts w:ascii="Arial" w:hAnsi="Arial" w:cs="Arial" w:eastAsia="Arial"/>
                <w:b w:val="0"/>
                <w:i w:val="0"/>
                <w:sz w:val="18"/>
              </w:rPr>
              <w:t>6</w:t>
            </w:r>
          </w:p>
        </w:tc>
        <w:tc>
          <w:tcPr>
            <w:tcW w:type="dxa" w:w="1784"/>
          </w:tcPr>
          <w:p>
            <w:pPr>
              <w:spacing w:before="20" w:after="20"/>
            </w:pPr>
            <w:r>
              <w:rPr>
                <w:rFonts w:ascii="Arial" w:hAnsi="Arial" w:cs="Arial" w:eastAsia="Arial"/>
                <w:b w:val="0"/>
                <w:i w:val="0"/>
                <w:sz w:val="18"/>
              </w:rPr>
              <w:t>Marketing Team Lead</w:t>
            </w:r>
          </w:p>
        </w:tc>
        <w:tc>
          <w:tcPr>
            <w:tcW w:type="dxa" w:w="1690"/>
          </w:tcPr>
          <w:p>
            <w:pPr>
              <w:spacing w:before="20" w:after="20"/>
            </w:pPr>
            <w:r>
              <w:rPr>
                <w:rFonts w:ascii="Arial" w:hAnsi="Arial" w:cs="Arial" w:eastAsia="Arial"/>
                <w:b w:val="0"/>
                <w:i w:val="0"/>
                <w:sz w:val="18"/>
              </w:rPr>
              <w:t>TL Review</w:t>
            </w:r>
          </w:p>
        </w:tc>
        <w:tc>
          <w:tcPr>
            <w:tcW w:type="dxa" w:w="2441"/>
          </w:tcPr>
          <w:p>
            <w:pPr>
              <w:spacing w:before="20" w:after="20"/>
            </w:pPr>
            <w:r>
              <w:rPr>
                <w:rFonts w:ascii="Arial" w:hAnsi="Arial" w:cs="Arial" w:eastAsia="Arial"/>
                <w:b w:val="0"/>
                <w:i w:val="0"/>
                <w:sz w:val="18"/>
              </w:rPr>
              <w:t>Opens TL Review, tab For Review, ticks the renewal and clicks Post, then confirms</w:t>
            </w:r>
          </w:p>
        </w:tc>
        <w:tc>
          <w:tcPr>
            <w:tcW w:type="dxa" w:w="2066"/>
          </w:tcPr>
          <w:p>
            <w:pPr>
              <w:spacing w:before="20" w:after="20"/>
            </w:pPr>
            <w:r>
              <w:rPr>
                <w:rFonts w:ascii="Arial" w:hAnsi="Arial" w:cs="Arial" w:eastAsia="Arial"/>
                <w:b w:val="0"/>
                <w:i w:val="0"/>
                <w:sz w:val="18"/>
              </w:rPr>
              <w:t>The outcome: 1 refused, the renewal cannot be posted while the claims, endorsement and outstanding premium checks fail</w:t>
            </w:r>
          </w:p>
        </w:tc>
      </w:tr>
      <w:tr>
        <w:trPr>
          <w:cantSplit/>
        </w:trPr>
        <w:tc>
          <w:tcPr>
            <w:tcW w:type="dxa" w:w="657"/>
          </w:tcPr>
          <w:p>
            <w:pPr>
              <w:spacing w:before="20" w:after="20"/>
            </w:pPr>
            <w:r>
              <w:rPr>
                <w:rFonts w:ascii="Arial" w:hAnsi="Arial" w:cs="Arial" w:eastAsia="Arial"/>
                <w:b w:val="0"/>
                <w:i w:val="0"/>
                <w:sz w:val="18"/>
              </w:rPr>
              <w:t>7</w:t>
            </w:r>
          </w:p>
        </w:tc>
        <w:tc>
          <w:tcPr>
            <w:tcW w:type="dxa" w:w="1784"/>
          </w:tcPr>
          <w:p>
            <w:pPr>
              <w:spacing w:before="20" w:after="20"/>
            </w:pPr>
            <w:r>
              <w:rPr>
                <w:rFonts w:ascii="Arial" w:hAnsi="Arial" w:cs="Arial" w:eastAsia="Arial"/>
                <w:b w:val="0"/>
                <w:i w:val="0"/>
                <w:sz w:val="18"/>
              </w:rPr>
              <w:t>Marketing Team Lead</w:t>
            </w:r>
          </w:p>
        </w:tc>
        <w:tc>
          <w:tcPr>
            <w:tcW w:type="dxa" w:w="1690"/>
          </w:tcPr>
          <w:p>
            <w:pPr>
              <w:spacing w:before="20" w:after="20"/>
            </w:pPr>
            <w:r>
              <w:rPr>
                <w:rFonts w:ascii="Arial" w:hAnsi="Arial" w:cs="Arial" w:eastAsia="Arial"/>
                <w:b w:val="0"/>
                <w:i w:val="0"/>
                <w:sz w:val="18"/>
              </w:rPr>
              <w:t>TL Review</w:t>
            </w:r>
          </w:p>
        </w:tc>
        <w:tc>
          <w:tcPr>
            <w:tcW w:type="dxa" w:w="2441"/>
          </w:tcPr>
          <w:p>
            <w:pPr>
              <w:spacing w:before="20" w:after="20"/>
            </w:pPr>
            <w:r>
              <w:rPr>
                <w:rFonts w:ascii="Arial" w:hAnsi="Arial" w:cs="Arial" w:eastAsia="Arial"/>
                <w:b w:val="0"/>
                <w:i w:val="0"/>
                <w:sz w:val="18"/>
              </w:rPr>
              <w:t>Clicks Override: Outstanding balance, reason Approved by the Team Leader, with remarks (the open claim and the endorsement are overridden the same way)</w:t>
            </w:r>
          </w:p>
        </w:tc>
        <w:tc>
          <w:tcPr>
            <w:tcW w:type="dxa" w:w="2066"/>
          </w:tcPr>
          <w:p>
            <w:pPr>
              <w:spacing w:before="20" w:after="20"/>
            </w:pPr>
            <w:r>
              <w:rPr>
                <w:rFonts w:ascii="Arial" w:hAnsi="Arial" w:cs="Arial" w:eastAsia="Arial"/>
                <w:b w:val="0"/>
                <w:i w:val="0"/>
                <w:sz w:val="18"/>
              </w:rPr>
              <w:t>Message: 1 overridden; the override kept in the History tab of the renewal</w:t>
            </w:r>
          </w:p>
        </w:tc>
      </w:tr>
      <w:tr>
        <w:trPr>
          <w:cantSplit/>
        </w:trPr>
        <w:tc>
          <w:tcPr>
            <w:tcW w:type="dxa" w:w="657"/>
          </w:tcPr>
          <w:p>
            <w:pPr>
              <w:spacing w:before="20" w:after="20"/>
            </w:pPr>
            <w:r>
              <w:rPr>
                <w:rFonts w:ascii="Arial" w:hAnsi="Arial" w:cs="Arial" w:eastAsia="Arial"/>
                <w:b w:val="0"/>
                <w:i w:val="0"/>
                <w:sz w:val="18"/>
              </w:rPr>
              <w:t>8</w:t>
            </w:r>
          </w:p>
        </w:tc>
        <w:tc>
          <w:tcPr>
            <w:tcW w:type="dxa" w:w="1784"/>
          </w:tcPr>
          <w:p>
            <w:pPr>
              <w:spacing w:before="20" w:after="20"/>
            </w:pPr>
            <w:r>
              <w:rPr>
                <w:rFonts w:ascii="Arial" w:hAnsi="Arial" w:cs="Arial" w:eastAsia="Arial"/>
                <w:b w:val="0"/>
                <w:i w:val="0"/>
                <w:sz w:val="18"/>
              </w:rPr>
              <w:t>Marketing Team Lead</w:t>
            </w:r>
          </w:p>
        </w:tc>
        <w:tc>
          <w:tcPr>
            <w:tcW w:type="dxa" w:w="1690"/>
          </w:tcPr>
          <w:p>
            <w:pPr>
              <w:spacing w:before="20" w:after="20"/>
            </w:pPr>
            <w:r>
              <w:rPr>
                <w:rFonts w:ascii="Arial" w:hAnsi="Arial" w:cs="Arial" w:eastAsia="Arial"/>
                <w:b w:val="0"/>
                <w:i w:val="0"/>
                <w:sz w:val="18"/>
              </w:rPr>
              <w:t>TL Review</w:t>
            </w:r>
          </w:p>
        </w:tc>
        <w:tc>
          <w:tcPr>
            <w:tcW w:type="dxa" w:w="2441"/>
          </w:tcPr>
          <w:p>
            <w:pPr>
              <w:spacing w:before="20" w:after="20"/>
            </w:pPr>
            <w:r>
              <w:rPr>
                <w:rFonts w:ascii="Arial" w:hAnsi="Arial" w:cs="Arial" w:eastAsia="Arial"/>
                <w:b w:val="0"/>
                <w:i w:val="0"/>
                <w:sz w:val="18"/>
              </w:rPr>
              <w:t>Clicks Post again and confirms</w:t>
            </w:r>
          </w:p>
        </w:tc>
        <w:tc>
          <w:tcPr>
            <w:tcW w:type="dxa" w:w="2066"/>
          </w:tcPr>
          <w:p>
            <w:pPr>
              <w:spacing w:before="20" w:after="20"/>
            </w:pPr>
            <w:r>
              <w:rPr>
                <w:rFonts w:ascii="Arial" w:hAnsi="Arial" w:cs="Arial" w:eastAsia="Arial"/>
                <w:b w:val="0"/>
                <w:i w:val="0"/>
                <w:sz w:val="18"/>
              </w:rPr>
              <w:t>Message: 1 posted; the renewal moves to Processing</w:t>
            </w:r>
          </w:p>
        </w:tc>
      </w:tr>
    </w:tbl>
    <w:p>
      <w:pPr>
        <w:spacing w:after="40"/>
      </w:pPr>
    </w:p>
    <w:p>
      <w:pPr>
        <w:keepNext/>
        <w:pageBreakBefore/>
        <w:jc w:val="center"/>
      </w:pPr>
      <w:r>
        <w:drawing>
          <wp:inline>
            <wp:extent cx="5760000" cy="3600000"/>
            <wp:docPr id="5" name="Picture 5"/>
            <wp:cNvGraphicFramePr>
              <a:graphicFrameLocks noChangeAspect="1"/>
            </wp:cNvGraphicFramePr>
            <a:graphic>
              <a:graphicData uri="http://schemas.openxmlformats.org/drawingml/2006/picture">
                <pic:pic>
                  <pic:nvPicPr>
                    <pic:cNvPr id="0" name="sb1-01.png"/>
                    <pic:cNvPicPr/>
                  </pic:nvPicPr>
                  <pic:blipFill>
                    <a:blip r:embed="rId2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 SB-01 step 1: Marketing Team Lead, Expiry List</w:t>
      </w:r>
    </w:p>
    <w:p>
      <w:pPr>
        <w:keepNext/>
        <w:pageBreakBefore/>
        <w:jc w:val="center"/>
      </w:pPr>
      <w:r>
        <w:drawing>
          <wp:inline>
            <wp:extent cx="5760000" cy="3600000"/>
            <wp:docPr id="6" name="Picture 6"/>
            <wp:cNvGraphicFramePr>
              <a:graphicFrameLocks noChangeAspect="1"/>
            </wp:cNvGraphicFramePr>
            <a:graphic>
              <a:graphicData uri="http://schemas.openxmlformats.org/drawingml/2006/picture">
                <pic:pic>
                  <pic:nvPicPr>
                    <pic:cNvPr id="0" name="sb1-02.png"/>
                    <pic:cNvPicPr/>
                  </pic:nvPicPr>
                  <pic:blipFill>
                    <a:blip r:embed="rId2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 SB-01 step 2: Account Officer, My Dispositions</w:t>
      </w:r>
    </w:p>
    <w:p>
      <w:pPr>
        <w:keepNext/>
        <w:pageBreakBefore/>
        <w:jc w:val="center"/>
      </w:pPr>
      <w:r>
        <w:drawing>
          <wp:inline>
            <wp:extent cx="5760000" cy="5352000"/>
            <wp:docPr id="7" name="Picture 7"/>
            <wp:cNvGraphicFramePr>
              <a:graphicFrameLocks noChangeAspect="1"/>
            </wp:cNvGraphicFramePr>
            <a:graphic>
              <a:graphicData uri="http://schemas.openxmlformats.org/drawingml/2006/picture">
                <pic:pic>
                  <pic:nvPicPr>
                    <pic:cNvPr id="0" name="sb1-03.png"/>
                    <pic:cNvPicPr/>
                  </pic:nvPicPr>
                  <pic:blipFill>
                    <a:blip r:embed="rId31"/>
                    <a:stretch>
                      <a:fillRect/>
                    </a:stretch>
                  </pic:blipFill>
                  <pic:spPr>
                    <a:xfrm>
                      <a:off x="0" y="0"/>
                      <a:ext cx="5760000" cy="5352000"/>
                    </a:xfrm>
                    <a:prstGeom prst="rect"/>
                  </pic:spPr>
                </pic:pic>
              </a:graphicData>
            </a:graphic>
          </wp:inline>
        </w:drawing>
      </w:r>
    </w:p>
    <w:p>
      <w:pPr>
        <w:keepNext/>
        <w:spacing w:before="120" w:after="60"/>
        <w:ind w:left="363"/>
      </w:pPr>
      <w:r>
        <w:rPr>
          <w:rFonts w:ascii="Arial" w:hAnsi="Arial" w:cs="Arial" w:eastAsia="Arial"/>
          <w:b/>
          <w:i w:val="0"/>
          <w:sz w:val="18"/>
        </w:rPr>
        <w:t>Figure 5: SB-01 step 3: Account Officer, Renewal</w:t>
      </w:r>
    </w:p>
    <w:p>
      <w:pPr>
        <w:keepNext/>
        <w:pageBreakBefore/>
        <w:jc w:val="center"/>
      </w:pPr>
      <w:r>
        <w:drawing>
          <wp:inline>
            <wp:extent cx="5709836" cy="7740000"/>
            <wp:docPr id="8" name="Picture 8"/>
            <wp:cNvGraphicFramePr>
              <a:graphicFrameLocks noChangeAspect="1"/>
            </wp:cNvGraphicFramePr>
            <a:graphic>
              <a:graphicData uri="http://schemas.openxmlformats.org/drawingml/2006/picture">
                <pic:pic>
                  <pic:nvPicPr>
                    <pic:cNvPr id="0" name="sb1-04.png"/>
                    <pic:cNvPicPr/>
                  </pic:nvPicPr>
                  <pic:blipFill>
                    <a:blip r:embed="rId37"/>
                    <a:stretch>
                      <a:fillRect/>
                    </a:stretch>
                  </pic:blipFill>
                  <pic:spPr>
                    <a:xfrm>
                      <a:off x="0" y="0"/>
                      <a:ext cx="5709836" cy="7740000"/>
                    </a:xfrm>
                    <a:prstGeom prst="rect"/>
                  </pic:spPr>
                </pic:pic>
              </a:graphicData>
            </a:graphic>
          </wp:inline>
        </w:drawing>
      </w:r>
    </w:p>
    <w:p>
      <w:pPr>
        <w:keepNext/>
        <w:spacing w:before="120" w:after="60"/>
        <w:ind w:left="363"/>
      </w:pPr>
      <w:r>
        <w:rPr>
          <w:rFonts w:ascii="Arial" w:hAnsi="Arial" w:cs="Arial" w:eastAsia="Arial"/>
          <w:b/>
          <w:i w:val="0"/>
          <w:sz w:val="18"/>
        </w:rPr>
        <w:t>Figure 6: SB-01 step 4: Account Officer, Set Disposition, Add Remark and Re-open</w:t>
      </w:r>
    </w:p>
    <w:p>
      <w:pPr>
        <w:keepNext/>
        <w:pageBreakBefore/>
        <w:jc w:val="center"/>
      </w:pPr>
      <w:r>
        <w:drawing>
          <wp:inline>
            <wp:extent cx="5760000" cy="7592000"/>
            <wp:docPr id="9" name="Picture 9"/>
            <wp:cNvGraphicFramePr>
              <a:graphicFrameLocks noChangeAspect="1"/>
            </wp:cNvGraphicFramePr>
            <a:graphic>
              <a:graphicData uri="http://schemas.openxmlformats.org/drawingml/2006/picture">
                <pic:pic>
                  <pic:nvPicPr>
                    <pic:cNvPr id="0" name="sb1-05.png"/>
                    <pic:cNvPicPr/>
                  </pic:nvPicPr>
                  <pic:blipFill>
                    <a:blip r:embed="rId38"/>
                    <a:stretch>
                      <a:fillRect/>
                    </a:stretch>
                  </pic:blipFill>
                  <pic:spPr>
                    <a:xfrm>
                      <a:off x="0" y="0"/>
                      <a:ext cx="5760000" cy="7592000"/>
                    </a:xfrm>
                    <a:prstGeom prst="rect"/>
                  </pic:spPr>
                </pic:pic>
              </a:graphicData>
            </a:graphic>
          </wp:inline>
        </w:drawing>
      </w:r>
    </w:p>
    <w:p>
      <w:pPr>
        <w:keepNext/>
        <w:spacing w:before="120" w:after="60"/>
        <w:ind w:left="363"/>
      </w:pPr>
      <w:r>
        <w:rPr>
          <w:rFonts w:ascii="Arial" w:hAnsi="Arial" w:cs="Arial" w:eastAsia="Arial"/>
          <w:b/>
          <w:i w:val="0"/>
          <w:sz w:val="18"/>
        </w:rPr>
        <w:t>Figure 7: SB-01 step 5: Account Officer, Set Disposition, Add Remark and Re-open</w:t>
      </w:r>
    </w:p>
    <w:p>
      <w:pPr>
        <w:keepNext/>
        <w:pageBreakBefore/>
        <w:jc w:val="center"/>
      </w:pPr>
      <w:r>
        <w:drawing>
          <wp:inline>
            <wp:extent cx="5760000" cy="3600000"/>
            <wp:docPr id="10" name="Picture 10"/>
            <wp:cNvGraphicFramePr>
              <a:graphicFrameLocks noChangeAspect="1"/>
            </wp:cNvGraphicFramePr>
            <a:graphic>
              <a:graphicData uri="http://schemas.openxmlformats.org/drawingml/2006/picture">
                <pic:pic>
                  <pic:nvPicPr>
                    <pic:cNvPr id="0" name="sb1-06.png"/>
                    <pic:cNvPicPr/>
                  </pic:nvPicPr>
                  <pic:blipFill>
                    <a:blip r:embed="rId3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8: SB-01 step 6: Marketing Team Lead, TL Review</w:t>
      </w:r>
    </w:p>
    <w:p>
      <w:pPr>
        <w:keepNext/>
        <w:pageBreakBefore/>
        <w:jc w:val="center"/>
      </w:pPr>
      <w:r>
        <w:drawing>
          <wp:inline>
            <wp:extent cx="5760000" cy="3600000"/>
            <wp:docPr id="11" name="Picture 11"/>
            <wp:cNvGraphicFramePr>
              <a:graphicFrameLocks noChangeAspect="1"/>
            </wp:cNvGraphicFramePr>
            <a:graphic>
              <a:graphicData uri="http://schemas.openxmlformats.org/drawingml/2006/picture">
                <pic:pic>
                  <pic:nvPicPr>
                    <pic:cNvPr id="0" name="sb1-07.png"/>
                    <pic:cNvPicPr/>
                  </pic:nvPicPr>
                  <pic:blipFill>
                    <a:blip r:embed="rId4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9: SB-01 step 7: Marketing Team Lead, TL Review</w:t>
      </w:r>
    </w:p>
    <w:p>
      <w:pPr>
        <w:keepNext/>
        <w:pageBreakBefore/>
        <w:jc w:val="center"/>
      </w:pPr>
      <w:r>
        <w:drawing>
          <wp:inline>
            <wp:extent cx="5760000" cy="3600000"/>
            <wp:docPr id="12" name="Picture 12"/>
            <wp:cNvGraphicFramePr>
              <a:graphicFrameLocks noChangeAspect="1"/>
            </wp:cNvGraphicFramePr>
            <a:graphic>
              <a:graphicData uri="http://schemas.openxmlformats.org/drawingml/2006/picture">
                <pic:pic>
                  <pic:nvPicPr>
                    <pic:cNvPr id="0" name="sb1-08.png"/>
                    <pic:cNvPicPr/>
                  </pic:nvPicPr>
                  <pic:blipFill>
                    <a:blip r:embed="rId4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10: SB-01 step 8: Marketing Team Lead, TL Review</w:t>
      </w:r>
    </w:p>
    <w:p>
      <w:pPr>
        <w:pStyle w:val="Heading2"/>
      </w:pPr>
      <w:r>
        <w:t>SB-02 Processing, the insurer's answer and the Renewal Advice</w:t>
      </w:r>
    </w:p>
    <w:p>
      <w:pPr>
        <w:spacing w:after="120"/>
        <w:ind w:left="363"/>
      </w:pPr>
      <w:r>
        <w:rPr>
          <w:rFonts w:ascii="Arial" w:hAnsi="Arial" w:cs="Arial" w:eastAsia="Arial"/>
          <w:b w:val="0"/>
          <w:i w:val="0"/>
          <w:sz w:val="20"/>
        </w:rPr>
        <w:t>The Processing Team Leader assigns the renewal of walkthrough A to a Processing Officer, who sends it to the insurer in a batch and records the insurer's answer Renew as is. The renewal is then ready for its Renewal Advice: the Account Officer generates the first notice and sends it to the client, protected.</w:t>
      </w:r>
    </w:p>
    <w:p>
      <w:pPr>
        <w:spacing w:after="120"/>
        <w:ind w:left="363"/>
      </w:pPr>
      <w:r>
        <w:rPr>
          <w:rFonts w:ascii="Arial" w:hAnsi="Arial" w:cs="Arial" w:eastAsia="Arial"/>
          <w:b w:val="0"/>
          <w:i/>
          <w:sz w:val="20"/>
        </w:rPr>
        <w:t>Test data: Seed data: the renewal posted in walkthrough A; Patricia Processing Lead and Paolo Processor.</w:t>
      </w:r>
    </w:p>
    <w:p>
      <w:pPr>
        <w:keepNext/>
        <w:spacing w:before="120" w:after="60"/>
        <w:ind w:left="363"/>
      </w:pPr>
      <w:r>
        <w:rPr>
          <w:rFonts w:ascii="Arial" w:hAnsi="Arial" w:cs="Arial" w:eastAsia="Arial"/>
          <w:b/>
          <w:i w:val="0"/>
          <w:sz w:val="18"/>
        </w:rPr>
        <w:t>Table 4: SB-02 steps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57"/>
        <w:gridCol w:w="1784"/>
        <w:gridCol w:w="1690"/>
        <w:gridCol w:w="2441"/>
        <w:gridCol w:w="2066"/>
      </w:tblGrid>
      <w:tr>
        <w:trPr>
          <w:tblHeader/>
          <w:cantSplit/>
        </w:trPr>
        <w:tc>
          <w:tcPr>
            <w:tcW w:type="dxa" w:w="657"/>
            <w:shd w:val="clear" w:color="auto" w:fill="D9E2F3"/>
          </w:tcPr>
          <w:p>
            <w:pPr>
              <w:spacing w:before="20" w:after="20"/>
            </w:pPr>
            <w:r>
              <w:rPr>
                <w:rFonts w:ascii="Arial" w:hAnsi="Arial" w:cs="Arial" w:eastAsia="Arial"/>
                <w:b/>
                <w:i w:val="0"/>
                <w:sz w:val="18"/>
              </w:rPr>
              <w:t>Step</w:t>
            </w:r>
          </w:p>
        </w:tc>
        <w:tc>
          <w:tcPr>
            <w:tcW w:type="dxa" w:w="1784"/>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Screen</w:t>
            </w:r>
          </w:p>
        </w:tc>
        <w:tc>
          <w:tcPr>
            <w:tcW w:type="dxa" w:w="2441"/>
            <w:shd w:val="clear" w:color="auto" w:fill="D9E2F3"/>
          </w:tcPr>
          <w:p>
            <w:pPr>
              <w:spacing w:before="20" w:after="20"/>
            </w:pPr>
            <w:r>
              <w:rPr>
                <w:rFonts w:ascii="Arial" w:hAnsi="Arial" w:cs="Arial" w:eastAsia="Arial"/>
                <w:b/>
                <w:i w:val="0"/>
                <w:sz w:val="18"/>
              </w:rPr>
              <w:t>Does</w:t>
            </w:r>
          </w:p>
        </w:tc>
        <w:tc>
          <w:tcPr>
            <w:tcW w:type="dxa" w:w="2066"/>
            <w:shd w:val="clear" w:color="auto" w:fill="D9E2F3"/>
          </w:tcPr>
          <w:p>
            <w:pPr>
              <w:spacing w:before="20" w:after="20"/>
            </w:pPr>
            <w:r>
              <w:rPr>
                <w:rFonts w:ascii="Arial" w:hAnsi="Arial" w:cs="Arial" w:eastAsia="Arial"/>
                <w:b/>
                <w:i w:val="0"/>
                <w:sz w:val="18"/>
              </w:rPr>
              <w:t>Sees</w:t>
            </w:r>
          </w:p>
        </w:tc>
      </w:tr>
      <w:tr>
        <w:trPr>
          <w:cantSplit/>
        </w:trPr>
        <w:tc>
          <w:tcPr>
            <w:tcW w:type="dxa" w:w="657"/>
          </w:tcPr>
          <w:p>
            <w:pPr>
              <w:spacing w:before="20" w:after="20"/>
            </w:pPr>
            <w:r>
              <w:rPr>
                <w:rFonts w:ascii="Arial" w:hAnsi="Arial" w:cs="Arial" w:eastAsia="Arial"/>
                <w:b w:val="0"/>
                <w:i w:val="0"/>
                <w:sz w:val="18"/>
              </w:rPr>
              <w:t>1</w:t>
            </w:r>
          </w:p>
        </w:tc>
        <w:tc>
          <w:tcPr>
            <w:tcW w:type="dxa" w:w="1784"/>
          </w:tcPr>
          <w:p>
            <w:pPr>
              <w:spacing w:before="20" w:after="20"/>
            </w:pPr>
            <w:r>
              <w:rPr>
                <w:rFonts w:ascii="Arial" w:hAnsi="Arial" w:cs="Arial" w:eastAsia="Arial"/>
                <w:b w:val="0"/>
                <w:i w:val="0"/>
                <w:sz w:val="18"/>
              </w:rPr>
              <w:t>Processing Team Lead</w:t>
            </w:r>
          </w:p>
        </w:tc>
        <w:tc>
          <w:tcPr>
            <w:tcW w:type="dxa" w:w="1690"/>
          </w:tcPr>
          <w:p>
            <w:pPr>
              <w:spacing w:before="20" w:after="20"/>
            </w:pPr>
            <w:r>
              <w:rPr>
                <w:rFonts w:ascii="Arial" w:hAnsi="Arial" w:cs="Arial" w:eastAsia="Arial"/>
                <w:b w:val="0"/>
                <w:i w:val="0"/>
                <w:sz w:val="18"/>
              </w:rPr>
              <w:t>Processing Worklist</w:t>
            </w:r>
          </w:p>
        </w:tc>
        <w:tc>
          <w:tcPr>
            <w:tcW w:type="dxa" w:w="2441"/>
          </w:tcPr>
          <w:p>
            <w:pPr>
              <w:spacing w:before="20" w:after="20"/>
            </w:pPr>
            <w:r>
              <w:rPr>
                <w:rFonts w:ascii="Arial" w:hAnsi="Arial" w:cs="Arial" w:eastAsia="Arial"/>
                <w:b w:val="0"/>
                <w:i w:val="0"/>
                <w:sz w:val="18"/>
              </w:rPr>
              <w:t>Opens the Processing Worklist, tab For Processing, ticks the renewal and clicks Assign PO: Paolo Processor, then Assign</w:t>
            </w:r>
          </w:p>
        </w:tc>
        <w:tc>
          <w:tcPr>
            <w:tcW w:type="dxa" w:w="2066"/>
          </w:tcPr>
          <w:p>
            <w:pPr>
              <w:spacing w:before="20" w:after="20"/>
            </w:pPr>
            <w:r>
              <w:rPr>
                <w:rFonts w:ascii="Arial" w:hAnsi="Arial" w:cs="Arial" w:eastAsia="Arial"/>
                <w:b w:val="0"/>
                <w:i w:val="0"/>
                <w:sz w:val="18"/>
              </w:rPr>
              <w:t>Message: 1 assigned; the renewal In Processing</w:t>
            </w:r>
          </w:p>
        </w:tc>
      </w:tr>
      <w:tr>
        <w:trPr>
          <w:cantSplit/>
        </w:trPr>
        <w:tc>
          <w:tcPr>
            <w:tcW w:type="dxa" w:w="657"/>
          </w:tcPr>
          <w:p>
            <w:pPr>
              <w:spacing w:before="20" w:after="20"/>
            </w:pPr>
            <w:r>
              <w:rPr>
                <w:rFonts w:ascii="Arial" w:hAnsi="Arial" w:cs="Arial" w:eastAsia="Arial"/>
                <w:b w:val="0"/>
                <w:i w:val="0"/>
                <w:sz w:val="18"/>
              </w:rPr>
              <w:t>2</w:t>
            </w:r>
          </w:p>
        </w:tc>
        <w:tc>
          <w:tcPr>
            <w:tcW w:type="dxa" w:w="1784"/>
          </w:tcPr>
          <w:p>
            <w:pPr>
              <w:spacing w:before="20" w:after="20"/>
            </w:pPr>
            <w:r>
              <w:rPr>
                <w:rFonts w:ascii="Arial" w:hAnsi="Arial" w:cs="Arial" w:eastAsia="Arial"/>
                <w:b w:val="0"/>
                <w:i w:val="0"/>
                <w:sz w:val="18"/>
              </w:rPr>
              <w:t>Processing Officer</w:t>
            </w:r>
          </w:p>
        </w:tc>
        <w:tc>
          <w:tcPr>
            <w:tcW w:type="dxa" w:w="1690"/>
          </w:tcPr>
          <w:p>
            <w:pPr>
              <w:spacing w:before="20" w:after="20"/>
            </w:pPr>
            <w:r>
              <w:rPr>
                <w:rFonts w:ascii="Arial" w:hAnsi="Arial" w:cs="Arial" w:eastAsia="Arial"/>
                <w:b w:val="0"/>
                <w:i w:val="0"/>
                <w:sz w:val="18"/>
              </w:rPr>
              <w:t>Insurer Batches</w:t>
            </w:r>
          </w:p>
        </w:tc>
        <w:tc>
          <w:tcPr>
            <w:tcW w:type="dxa" w:w="2441"/>
          </w:tcPr>
          <w:p>
            <w:pPr>
              <w:spacing w:before="20" w:after="20"/>
            </w:pPr>
            <w:r>
              <w:rPr>
                <w:rFonts w:ascii="Arial" w:hAnsi="Arial" w:cs="Arial" w:eastAsia="Arial"/>
                <w:b w:val="0"/>
                <w:i w:val="0"/>
                <w:sz w:val="18"/>
              </w:rPr>
              <w:t>Opens Insurer Batches, clicks New Batch with Luzon Assurance Co. and the expiry date of the renewal, then Create Batch, and opens the batch</w:t>
            </w:r>
          </w:p>
        </w:tc>
        <w:tc>
          <w:tcPr>
            <w:tcW w:type="dxa" w:w="2066"/>
          </w:tcPr>
          <w:p>
            <w:pPr>
              <w:spacing w:before="20" w:after="20"/>
            </w:pPr>
            <w:r>
              <w:rPr>
                <w:rFonts w:ascii="Arial" w:hAnsi="Arial" w:cs="Arial" w:eastAsia="Arial"/>
                <w:b w:val="0"/>
                <w:i w:val="0"/>
                <w:sz w:val="18"/>
              </w:rPr>
              <w:t>The batch Draft with the renewal and the columns of the insurer extract</w:t>
            </w:r>
          </w:p>
        </w:tc>
      </w:tr>
      <w:tr>
        <w:trPr>
          <w:cantSplit/>
        </w:trPr>
        <w:tc>
          <w:tcPr>
            <w:tcW w:type="dxa" w:w="657"/>
          </w:tcPr>
          <w:p>
            <w:pPr>
              <w:spacing w:before="20" w:after="20"/>
            </w:pPr>
            <w:r>
              <w:rPr>
                <w:rFonts w:ascii="Arial" w:hAnsi="Arial" w:cs="Arial" w:eastAsia="Arial"/>
                <w:b w:val="0"/>
                <w:i w:val="0"/>
                <w:sz w:val="18"/>
              </w:rPr>
              <w:t>3</w:t>
            </w:r>
          </w:p>
        </w:tc>
        <w:tc>
          <w:tcPr>
            <w:tcW w:type="dxa" w:w="1784"/>
          </w:tcPr>
          <w:p>
            <w:pPr>
              <w:spacing w:before="20" w:after="20"/>
            </w:pPr>
            <w:r>
              <w:rPr>
                <w:rFonts w:ascii="Arial" w:hAnsi="Arial" w:cs="Arial" w:eastAsia="Arial"/>
                <w:b w:val="0"/>
                <w:i w:val="0"/>
                <w:sz w:val="18"/>
              </w:rPr>
              <w:t>Processing Officer</w:t>
            </w:r>
          </w:p>
        </w:tc>
        <w:tc>
          <w:tcPr>
            <w:tcW w:type="dxa" w:w="1690"/>
          </w:tcPr>
          <w:p>
            <w:pPr>
              <w:spacing w:before="20" w:after="20"/>
            </w:pPr>
            <w:r>
              <w:rPr>
                <w:rFonts w:ascii="Arial" w:hAnsi="Arial" w:cs="Arial" w:eastAsia="Arial"/>
                <w:b w:val="0"/>
                <w:i w:val="0"/>
                <w:sz w:val="18"/>
              </w:rPr>
              <w:t>Insurer Batches</w:t>
            </w:r>
          </w:p>
        </w:tc>
        <w:tc>
          <w:tcPr>
            <w:tcW w:type="dxa" w:w="2441"/>
          </w:tcPr>
          <w:p>
            <w:pPr>
              <w:spacing w:before="20" w:after="20"/>
            </w:pPr>
            <w:r>
              <w:rPr>
                <w:rFonts w:ascii="Arial" w:hAnsi="Arial" w:cs="Arial" w:eastAsia="Arial"/>
                <w:b w:val="0"/>
                <w:i w:val="0"/>
                <w:sz w:val="18"/>
              </w:rPr>
              <w:t>Clicks Send to Insurer and confirms</w:t>
            </w:r>
          </w:p>
        </w:tc>
        <w:tc>
          <w:tcPr>
            <w:tcW w:type="dxa" w:w="2066"/>
          </w:tcPr>
          <w:p>
            <w:pPr>
              <w:spacing w:before="20" w:after="20"/>
            </w:pPr>
            <w:r>
              <w:rPr>
                <w:rFonts w:ascii="Arial" w:hAnsi="Arial" w:cs="Arial" w:eastAsia="Arial"/>
                <w:b w:val="0"/>
                <w:i w:val="0"/>
                <w:sz w:val="18"/>
              </w:rPr>
              <w:t>Message: Batch sent to the insurer; the batch Sent with its reply date</w:t>
            </w:r>
          </w:p>
        </w:tc>
      </w:tr>
      <w:tr>
        <w:trPr>
          <w:cantSplit/>
        </w:trPr>
        <w:tc>
          <w:tcPr>
            <w:tcW w:type="dxa" w:w="657"/>
          </w:tcPr>
          <w:p>
            <w:pPr>
              <w:spacing w:before="20" w:after="20"/>
            </w:pPr>
            <w:r>
              <w:rPr>
                <w:rFonts w:ascii="Arial" w:hAnsi="Arial" w:cs="Arial" w:eastAsia="Arial"/>
                <w:b w:val="0"/>
                <w:i w:val="0"/>
                <w:sz w:val="18"/>
              </w:rPr>
              <w:t>4</w:t>
            </w:r>
          </w:p>
        </w:tc>
        <w:tc>
          <w:tcPr>
            <w:tcW w:type="dxa" w:w="1784"/>
          </w:tcPr>
          <w:p>
            <w:pPr>
              <w:spacing w:before="20" w:after="20"/>
            </w:pPr>
            <w:r>
              <w:rPr>
                <w:rFonts w:ascii="Arial" w:hAnsi="Arial" w:cs="Arial" w:eastAsia="Arial"/>
                <w:b w:val="0"/>
                <w:i w:val="0"/>
                <w:sz w:val="18"/>
              </w:rPr>
              <w:t>Processing Officer</w:t>
            </w:r>
          </w:p>
        </w:tc>
        <w:tc>
          <w:tcPr>
            <w:tcW w:type="dxa" w:w="1690"/>
          </w:tcPr>
          <w:p>
            <w:pPr>
              <w:spacing w:before="20" w:after="20"/>
            </w:pPr>
            <w:r>
              <w:rPr>
                <w:rFonts w:ascii="Arial" w:hAnsi="Arial" w:cs="Arial" w:eastAsia="Arial"/>
                <w:b w:val="0"/>
                <w:i w:val="0"/>
                <w:sz w:val="18"/>
              </w:rPr>
              <w:t>Record Insurer Response</w:t>
            </w:r>
          </w:p>
        </w:tc>
        <w:tc>
          <w:tcPr>
            <w:tcW w:type="dxa" w:w="2441"/>
          </w:tcPr>
          <w:p>
            <w:pPr>
              <w:spacing w:before="20" w:after="20"/>
            </w:pPr>
            <w:r>
              <w:rPr>
                <w:rFonts w:ascii="Arial" w:hAnsi="Arial" w:cs="Arial" w:eastAsia="Arial"/>
                <w:b w:val="0"/>
                <w:i w:val="0"/>
                <w:sz w:val="18"/>
              </w:rPr>
              <w:t>Opens the renewal and clicks Record Insurer Response: Renew as is with the insurer reference, then Record</w:t>
            </w:r>
          </w:p>
        </w:tc>
        <w:tc>
          <w:tcPr>
            <w:tcW w:type="dxa" w:w="2066"/>
          </w:tcPr>
          <w:p>
            <w:pPr>
              <w:spacing w:before="20" w:after="20"/>
            </w:pPr>
            <w:r>
              <w:rPr>
                <w:rFonts w:ascii="Arial" w:hAnsi="Arial" w:cs="Arial" w:eastAsia="Arial"/>
                <w:b w:val="0"/>
                <w:i w:val="0"/>
                <w:sz w:val="18"/>
              </w:rPr>
              <w:t>Message: Saved; the renewal RA Ready</w:t>
            </w:r>
          </w:p>
        </w:tc>
      </w:tr>
      <w:tr>
        <w:trPr>
          <w:cantSplit/>
        </w:trPr>
        <w:tc>
          <w:tcPr>
            <w:tcW w:type="dxa" w:w="657"/>
          </w:tcPr>
          <w:p>
            <w:pPr>
              <w:spacing w:before="20" w:after="20"/>
            </w:pPr>
            <w:r>
              <w:rPr>
                <w:rFonts w:ascii="Arial" w:hAnsi="Arial" w:cs="Arial" w:eastAsia="Arial"/>
                <w:b w:val="0"/>
                <w:i w:val="0"/>
                <w:sz w:val="18"/>
              </w:rPr>
              <w:t>5</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Letters</w:t>
            </w:r>
          </w:p>
        </w:tc>
        <w:tc>
          <w:tcPr>
            <w:tcW w:type="dxa" w:w="2441"/>
          </w:tcPr>
          <w:p>
            <w:pPr>
              <w:spacing w:before="20" w:after="20"/>
            </w:pPr>
            <w:r>
              <w:rPr>
                <w:rFonts w:ascii="Arial" w:hAnsi="Arial" w:cs="Arial" w:eastAsia="Arial"/>
                <w:b w:val="0"/>
                <w:i w:val="0"/>
                <w:sz w:val="18"/>
              </w:rPr>
              <w:t>Opens Letters, tab RA Ready, ticks the renewal, clicks Generate RA: First notice, then Generate</w:t>
            </w:r>
          </w:p>
        </w:tc>
        <w:tc>
          <w:tcPr>
            <w:tcW w:type="dxa" w:w="2066"/>
          </w:tcPr>
          <w:p>
            <w:pPr>
              <w:spacing w:before="20" w:after="20"/>
            </w:pPr>
            <w:r>
              <w:rPr>
                <w:rFonts w:ascii="Arial" w:hAnsi="Arial" w:cs="Arial" w:eastAsia="Arial"/>
                <w:b w:val="0"/>
                <w:i w:val="0"/>
                <w:sz w:val="18"/>
              </w:rPr>
              <w:t>Message: 1 generated; the renewal in RA Generated, locked on the Marketing side</w:t>
            </w:r>
          </w:p>
        </w:tc>
      </w:tr>
      <w:tr>
        <w:trPr>
          <w:cantSplit/>
        </w:trPr>
        <w:tc>
          <w:tcPr>
            <w:tcW w:type="dxa" w:w="657"/>
          </w:tcPr>
          <w:p>
            <w:pPr>
              <w:spacing w:before="20" w:after="20"/>
            </w:pPr>
            <w:r>
              <w:rPr>
                <w:rFonts w:ascii="Arial" w:hAnsi="Arial" w:cs="Arial" w:eastAsia="Arial"/>
                <w:b w:val="0"/>
                <w:i w:val="0"/>
                <w:sz w:val="18"/>
              </w:rPr>
              <w:t>6</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Letters</w:t>
            </w:r>
          </w:p>
        </w:tc>
        <w:tc>
          <w:tcPr>
            <w:tcW w:type="dxa" w:w="2441"/>
          </w:tcPr>
          <w:p>
            <w:pPr>
              <w:spacing w:before="20" w:after="20"/>
            </w:pPr>
            <w:r>
              <w:rPr>
                <w:rFonts w:ascii="Arial" w:hAnsi="Arial" w:cs="Arial" w:eastAsia="Arial"/>
                <w:b w:val="0"/>
                <w:i w:val="0"/>
                <w:sz w:val="18"/>
              </w:rPr>
              <w:t>Opens the tab RA Generated, ticks the renewal, clicks Send and confirms</w:t>
            </w:r>
          </w:p>
        </w:tc>
        <w:tc>
          <w:tcPr>
            <w:tcW w:type="dxa" w:w="2066"/>
          </w:tcPr>
          <w:p>
            <w:pPr>
              <w:spacing w:before="20" w:after="20"/>
            </w:pPr>
            <w:r>
              <w:rPr>
                <w:rFonts w:ascii="Arial" w:hAnsi="Arial" w:cs="Arial" w:eastAsia="Arial"/>
                <w:b w:val="0"/>
                <w:i w:val="0"/>
                <w:sz w:val="18"/>
              </w:rPr>
              <w:t>Message: 1 sent; the Renewal Advice e-mailed protected to the client</w:t>
            </w:r>
          </w:p>
        </w:tc>
      </w:tr>
    </w:tbl>
    <w:p>
      <w:pPr>
        <w:spacing w:after="40"/>
      </w:pPr>
    </w:p>
    <w:p>
      <w:pPr>
        <w:keepNext/>
        <w:pageBreakBefore/>
        <w:jc w:val="center"/>
      </w:pPr>
      <w:r>
        <w:drawing>
          <wp:inline>
            <wp:extent cx="5760000" cy="3600000"/>
            <wp:docPr id="13" name="Picture 13"/>
            <wp:cNvGraphicFramePr>
              <a:graphicFrameLocks noChangeAspect="1"/>
            </wp:cNvGraphicFramePr>
            <a:graphic>
              <a:graphicData uri="http://schemas.openxmlformats.org/drawingml/2006/picture">
                <pic:pic>
                  <pic:nvPicPr>
                    <pic:cNvPr id="0" name="sb2-01.png"/>
                    <pic:cNvPicPr/>
                  </pic:nvPicPr>
                  <pic:blipFill>
                    <a:blip r:embed="rId4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11: SB-02 step 1: Processing Team Lead, Processing Worklist</w:t>
      </w:r>
    </w:p>
    <w:p>
      <w:pPr>
        <w:keepNext/>
        <w:pageBreakBefore/>
        <w:jc w:val="center"/>
      </w:pPr>
      <w:r>
        <w:drawing>
          <wp:inline>
            <wp:extent cx="5760000" cy="3600000"/>
            <wp:docPr id="14" name="Picture 14"/>
            <wp:cNvGraphicFramePr>
              <a:graphicFrameLocks noChangeAspect="1"/>
            </wp:cNvGraphicFramePr>
            <a:graphic>
              <a:graphicData uri="http://schemas.openxmlformats.org/drawingml/2006/picture">
                <pic:pic>
                  <pic:nvPicPr>
                    <pic:cNvPr id="0" name="sb2-02.png"/>
                    <pic:cNvPicPr/>
                  </pic:nvPicPr>
                  <pic:blipFill>
                    <a:blip r:embed="rId4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12: SB-02 step 2: Processing Officer, Insurer Batches</w:t>
      </w: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sb2-03.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SB-02 step 3: Processing Officer, Insurer Batches</w:t>
      </w:r>
    </w:p>
    <w:p>
      <w:pPr>
        <w:keepNext/>
        <w:pageBreakBefore/>
        <w:jc w:val="center"/>
      </w:pPr>
      <w:r>
        <w:drawing>
          <wp:inline>
            <wp:extent cx="5760000" cy="7405333"/>
            <wp:docPr id="16" name="Picture 16"/>
            <wp:cNvGraphicFramePr>
              <a:graphicFrameLocks noChangeAspect="1"/>
            </wp:cNvGraphicFramePr>
            <a:graphic>
              <a:graphicData uri="http://schemas.openxmlformats.org/drawingml/2006/picture">
                <pic:pic>
                  <pic:nvPicPr>
                    <pic:cNvPr id="0" name="sb2-04.png"/>
                    <pic:cNvPicPr/>
                  </pic:nvPicPr>
                  <pic:blipFill>
                    <a:blip r:embed="rId45"/>
                    <a:stretch>
                      <a:fillRect/>
                    </a:stretch>
                  </pic:blipFill>
                  <pic:spPr>
                    <a:xfrm>
                      <a:off x="0" y="0"/>
                      <a:ext cx="5760000" cy="7405333"/>
                    </a:xfrm>
                    <a:prstGeom prst="rect"/>
                  </pic:spPr>
                </pic:pic>
              </a:graphicData>
            </a:graphic>
          </wp:inline>
        </w:drawing>
      </w:r>
    </w:p>
    <w:p>
      <w:pPr>
        <w:keepNext/>
        <w:spacing w:before="120" w:after="60"/>
        <w:ind w:left="363"/>
      </w:pPr>
      <w:r>
        <w:rPr>
          <w:rFonts w:ascii="Arial" w:hAnsi="Arial" w:cs="Arial" w:eastAsia="Arial"/>
          <w:b/>
          <w:i w:val="0"/>
          <w:sz w:val="18"/>
        </w:rPr>
        <w:t>Figure 14: SB-02 step 4: Processing Officer, Record Insurer Response</w:t>
      </w: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sb2-05.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SB-02 step 5: Account Officer, Letters</w:t>
      </w:r>
    </w:p>
    <w:p>
      <w:pPr>
        <w:keepNext/>
        <w:pageBreakBefore/>
        <w:jc w:val="center"/>
      </w:pPr>
      <w:r>
        <w:drawing>
          <wp:inline>
            <wp:extent cx="5760000" cy="3600000"/>
            <wp:docPr id="18" name="Picture 18"/>
            <wp:cNvGraphicFramePr>
              <a:graphicFrameLocks noChangeAspect="1"/>
            </wp:cNvGraphicFramePr>
            <a:graphic>
              <a:graphicData uri="http://schemas.openxmlformats.org/drawingml/2006/picture">
                <pic:pic>
                  <pic:nvPicPr>
                    <pic:cNvPr id="0" name="sb2-06.png"/>
                    <pic:cNvPicPr/>
                  </pic:nvPicPr>
                  <pic:blipFill>
                    <a:blip r:embed="rId4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16: SB-02 step 6: Account Officer, Letters</w:t>
      </w:r>
    </w:p>
    <w:p>
      <w:pPr>
        <w:pStyle w:val="Heading2"/>
      </w:pPr>
      <w:r>
        <w:t>SB-03 The Contact Center follow-up and the client's acceptance</w:t>
      </w:r>
    </w:p>
    <w:p>
      <w:pPr>
        <w:spacing w:after="120"/>
        <w:ind w:left="363"/>
      </w:pPr>
      <w:r>
        <w:rPr>
          <w:rFonts w:ascii="Arial" w:hAnsi="Arial" w:cs="Arial" w:eastAsia="Arial"/>
          <w:b w:val="0"/>
          <w:i w:val="0"/>
          <w:sz w:val="20"/>
        </w:rPr>
        <w:t>The renewal of walkthrough B waits for the client's reply. The Contact Center calls the client and records the follow-up; the client pays the renewal premium, and the Account Officer records the acceptance by payment. The renewal account goes on to placement and booking without re-keying.</w:t>
      </w:r>
    </w:p>
    <w:p>
      <w:pPr>
        <w:spacing w:after="120"/>
        <w:ind w:left="363"/>
      </w:pPr>
      <w:r>
        <w:rPr>
          <w:rFonts w:ascii="Arial" w:hAnsi="Arial" w:cs="Arial" w:eastAsia="Arial"/>
          <w:b w:val="0"/>
          <w:i/>
          <w:sz w:val="20"/>
        </w:rPr>
        <w:t>Test data: Seed data: the renewal sent in walkthrough B; Cecilia Contact Center.</w:t>
      </w:r>
    </w:p>
    <w:p>
      <w:pPr>
        <w:keepNext/>
        <w:spacing w:before="120" w:after="60"/>
        <w:ind w:left="363"/>
      </w:pPr>
      <w:r>
        <w:rPr>
          <w:rFonts w:ascii="Arial" w:hAnsi="Arial" w:cs="Arial" w:eastAsia="Arial"/>
          <w:b/>
          <w:i w:val="0"/>
          <w:sz w:val="18"/>
        </w:rPr>
        <w:t>Table 5: SB-03 steps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57"/>
        <w:gridCol w:w="1784"/>
        <w:gridCol w:w="1690"/>
        <w:gridCol w:w="2441"/>
        <w:gridCol w:w="2066"/>
      </w:tblGrid>
      <w:tr>
        <w:trPr>
          <w:tblHeader/>
          <w:cantSplit/>
        </w:trPr>
        <w:tc>
          <w:tcPr>
            <w:tcW w:type="dxa" w:w="657"/>
            <w:shd w:val="clear" w:color="auto" w:fill="D9E2F3"/>
          </w:tcPr>
          <w:p>
            <w:pPr>
              <w:spacing w:before="20" w:after="20"/>
            </w:pPr>
            <w:r>
              <w:rPr>
                <w:rFonts w:ascii="Arial" w:hAnsi="Arial" w:cs="Arial" w:eastAsia="Arial"/>
                <w:b/>
                <w:i w:val="0"/>
                <w:sz w:val="18"/>
              </w:rPr>
              <w:t>Step</w:t>
            </w:r>
          </w:p>
        </w:tc>
        <w:tc>
          <w:tcPr>
            <w:tcW w:type="dxa" w:w="1784"/>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Screen</w:t>
            </w:r>
          </w:p>
        </w:tc>
        <w:tc>
          <w:tcPr>
            <w:tcW w:type="dxa" w:w="2441"/>
            <w:shd w:val="clear" w:color="auto" w:fill="D9E2F3"/>
          </w:tcPr>
          <w:p>
            <w:pPr>
              <w:spacing w:before="20" w:after="20"/>
            </w:pPr>
            <w:r>
              <w:rPr>
                <w:rFonts w:ascii="Arial" w:hAnsi="Arial" w:cs="Arial" w:eastAsia="Arial"/>
                <w:b/>
                <w:i w:val="0"/>
                <w:sz w:val="18"/>
              </w:rPr>
              <w:t>Does</w:t>
            </w:r>
          </w:p>
        </w:tc>
        <w:tc>
          <w:tcPr>
            <w:tcW w:type="dxa" w:w="2066"/>
            <w:shd w:val="clear" w:color="auto" w:fill="D9E2F3"/>
          </w:tcPr>
          <w:p>
            <w:pPr>
              <w:spacing w:before="20" w:after="20"/>
            </w:pPr>
            <w:r>
              <w:rPr>
                <w:rFonts w:ascii="Arial" w:hAnsi="Arial" w:cs="Arial" w:eastAsia="Arial"/>
                <w:b/>
                <w:i w:val="0"/>
                <w:sz w:val="18"/>
              </w:rPr>
              <w:t>Sees</w:t>
            </w:r>
          </w:p>
        </w:tc>
      </w:tr>
      <w:tr>
        <w:trPr>
          <w:cantSplit/>
        </w:trPr>
        <w:tc>
          <w:tcPr>
            <w:tcW w:type="dxa" w:w="657"/>
          </w:tcPr>
          <w:p>
            <w:pPr>
              <w:spacing w:before="20" w:after="20"/>
            </w:pPr>
            <w:r>
              <w:rPr>
                <w:rFonts w:ascii="Arial" w:hAnsi="Arial" w:cs="Arial" w:eastAsia="Arial"/>
                <w:b w:val="0"/>
                <w:i w:val="0"/>
                <w:sz w:val="18"/>
              </w:rPr>
              <w:t>1</w:t>
            </w:r>
          </w:p>
        </w:tc>
        <w:tc>
          <w:tcPr>
            <w:tcW w:type="dxa" w:w="1784"/>
          </w:tcPr>
          <w:p>
            <w:pPr>
              <w:spacing w:before="20" w:after="20"/>
            </w:pPr>
            <w:r>
              <w:rPr>
                <w:rFonts w:ascii="Arial" w:hAnsi="Arial" w:cs="Arial" w:eastAsia="Arial"/>
                <w:b w:val="0"/>
                <w:i w:val="0"/>
                <w:sz w:val="18"/>
              </w:rPr>
              <w:t>Contact Center</w:t>
            </w:r>
          </w:p>
        </w:tc>
        <w:tc>
          <w:tcPr>
            <w:tcW w:type="dxa" w:w="1690"/>
          </w:tcPr>
          <w:p>
            <w:pPr>
              <w:spacing w:before="20" w:after="20"/>
            </w:pPr>
            <w:r>
              <w:rPr>
                <w:rFonts w:ascii="Arial" w:hAnsi="Arial" w:cs="Arial" w:eastAsia="Arial"/>
                <w:b w:val="0"/>
                <w:i w:val="0"/>
                <w:sz w:val="18"/>
              </w:rPr>
              <w:t>Follow-ups</w:t>
            </w:r>
          </w:p>
        </w:tc>
        <w:tc>
          <w:tcPr>
            <w:tcW w:type="dxa" w:w="2441"/>
          </w:tcPr>
          <w:p>
            <w:pPr>
              <w:spacing w:before="20" w:after="20"/>
            </w:pPr>
            <w:r>
              <w:rPr>
                <w:rFonts w:ascii="Arial" w:hAnsi="Arial" w:cs="Arial" w:eastAsia="Arial"/>
                <w:b w:val="0"/>
                <w:i w:val="0"/>
                <w:sz w:val="18"/>
              </w:rPr>
              <w:t>Opens Follow-ups, tab RA Sent</w:t>
            </w:r>
          </w:p>
        </w:tc>
        <w:tc>
          <w:tcPr>
            <w:tcW w:type="dxa" w:w="2066"/>
          </w:tcPr>
          <w:p>
            <w:pPr>
              <w:spacing w:before="20" w:after="20"/>
            </w:pPr>
            <w:r>
              <w:rPr>
                <w:rFonts w:ascii="Arial" w:hAnsi="Arial" w:cs="Arial" w:eastAsia="Arial"/>
                <w:b w:val="0"/>
                <w:i w:val="0"/>
                <w:sz w:val="18"/>
              </w:rPr>
              <w:t>The renewal waiting for the client's reply</w:t>
            </w:r>
          </w:p>
        </w:tc>
      </w:tr>
      <w:tr>
        <w:trPr>
          <w:cantSplit/>
        </w:trPr>
        <w:tc>
          <w:tcPr>
            <w:tcW w:type="dxa" w:w="657"/>
          </w:tcPr>
          <w:p>
            <w:pPr>
              <w:spacing w:before="20" w:after="20"/>
            </w:pPr>
            <w:r>
              <w:rPr>
                <w:rFonts w:ascii="Arial" w:hAnsi="Arial" w:cs="Arial" w:eastAsia="Arial"/>
                <w:b w:val="0"/>
                <w:i w:val="0"/>
                <w:sz w:val="18"/>
              </w:rPr>
              <w:t>2</w:t>
            </w:r>
          </w:p>
        </w:tc>
        <w:tc>
          <w:tcPr>
            <w:tcW w:type="dxa" w:w="1784"/>
          </w:tcPr>
          <w:p>
            <w:pPr>
              <w:spacing w:before="20" w:after="20"/>
            </w:pPr>
            <w:r>
              <w:rPr>
                <w:rFonts w:ascii="Arial" w:hAnsi="Arial" w:cs="Arial" w:eastAsia="Arial"/>
                <w:b w:val="0"/>
                <w:i w:val="0"/>
                <w:sz w:val="18"/>
              </w:rPr>
              <w:t>Contact Center</w:t>
            </w:r>
          </w:p>
        </w:tc>
        <w:tc>
          <w:tcPr>
            <w:tcW w:type="dxa" w:w="1690"/>
          </w:tcPr>
          <w:p>
            <w:pPr>
              <w:spacing w:before="20" w:after="20"/>
            </w:pPr>
            <w:r>
              <w:rPr>
                <w:rFonts w:ascii="Arial" w:hAnsi="Arial" w:cs="Arial" w:eastAsia="Arial"/>
                <w:b w:val="0"/>
                <w:i w:val="0"/>
                <w:sz w:val="18"/>
              </w:rPr>
              <w:t>Follow-ups</w:t>
            </w:r>
          </w:p>
        </w:tc>
        <w:tc>
          <w:tcPr>
            <w:tcW w:type="dxa" w:w="2441"/>
          </w:tcPr>
          <w:p>
            <w:pPr>
              <w:spacing w:before="20" w:after="20"/>
            </w:pPr>
            <w:r>
              <w:rPr>
                <w:rFonts w:ascii="Arial" w:hAnsi="Arial" w:cs="Arial" w:eastAsia="Arial"/>
                <w:b w:val="0"/>
                <w:i w:val="0"/>
                <w:sz w:val="18"/>
              </w:rPr>
              <w:t>Opens the renewal and clicks Add Follow-up: Call, Client will renew, the next action date and the remarks, then Save</w:t>
            </w:r>
          </w:p>
        </w:tc>
        <w:tc>
          <w:tcPr>
            <w:tcW w:type="dxa" w:w="2066"/>
          </w:tcPr>
          <w:p>
            <w:pPr>
              <w:spacing w:before="20" w:after="20"/>
            </w:pPr>
            <w:r>
              <w:rPr>
                <w:rFonts w:ascii="Arial" w:hAnsi="Arial" w:cs="Arial" w:eastAsia="Arial"/>
                <w:b w:val="0"/>
                <w:i w:val="0"/>
                <w:sz w:val="18"/>
              </w:rPr>
              <w:t>Message: Saved; the follow-up on the Remarks &amp; Follow-ups tab</w:t>
            </w:r>
          </w:p>
        </w:tc>
      </w:tr>
      <w:tr>
        <w:trPr>
          <w:cantSplit/>
        </w:trPr>
        <w:tc>
          <w:tcPr>
            <w:tcW w:type="dxa" w:w="657"/>
          </w:tcPr>
          <w:p>
            <w:pPr>
              <w:spacing w:before="20" w:after="20"/>
            </w:pPr>
            <w:r>
              <w:rPr>
                <w:rFonts w:ascii="Arial" w:hAnsi="Arial" w:cs="Arial" w:eastAsia="Arial"/>
                <w:b w:val="0"/>
                <w:i w:val="0"/>
                <w:sz w:val="18"/>
              </w:rPr>
              <w:t>3</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Record Acceptance</w:t>
            </w:r>
          </w:p>
        </w:tc>
        <w:tc>
          <w:tcPr>
            <w:tcW w:type="dxa" w:w="2441"/>
          </w:tcPr>
          <w:p>
            <w:pPr>
              <w:spacing w:before="20" w:after="20"/>
            </w:pPr>
            <w:r>
              <w:rPr>
                <w:rFonts w:ascii="Arial" w:hAnsi="Arial" w:cs="Arial" w:eastAsia="Arial"/>
                <w:b w:val="0"/>
                <w:i w:val="0"/>
                <w:sz w:val="18"/>
              </w:rPr>
              <w:t>Opens the renewal and clicks Record Acceptance: Payment with the payment reference, then Record</w:t>
            </w:r>
          </w:p>
        </w:tc>
        <w:tc>
          <w:tcPr>
            <w:tcW w:type="dxa" w:w="2066"/>
          </w:tcPr>
          <w:p>
            <w:pPr>
              <w:spacing w:before="20" w:after="20"/>
            </w:pPr>
            <w:r>
              <w:rPr>
                <w:rFonts w:ascii="Arial" w:hAnsi="Arial" w:cs="Arial" w:eastAsia="Arial"/>
                <w:b w:val="0"/>
                <w:i w:val="0"/>
                <w:sz w:val="18"/>
              </w:rPr>
              <w:t>Message: Saved; the renewal For Placement and Booking</w:t>
            </w:r>
          </w:p>
        </w:tc>
      </w:tr>
      <w:tr>
        <w:trPr>
          <w:cantSplit/>
        </w:trPr>
        <w:tc>
          <w:tcPr>
            <w:tcW w:type="dxa" w:w="657"/>
          </w:tcPr>
          <w:p>
            <w:pPr>
              <w:spacing w:before="20" w:after="20"/>
            </w:pPr>
            <w:r>
              <w:rPr>
                <w:rFonts w:ascii="Arial" w:hAnsi="Arial" w:cs="Arial" w:eastAsia="Arial"/>
                <w:b w:val="0"/>
                <w:i w:val="0"/>
                <w:sz w:val="18"/>
              </w:rPr>
              <w:t>4</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Renewal</w:t>
            </w:r>
          </w:p>
        </w:tc>
        <w:tc>
          <w:tcPr>
            <w:tcW w:type="dxa" w:w="2441"/>
          </w:tcPr>
          <w:p>
            <w:pPr>
              <w:spacing w:before="20" w:after="20"/>
            </w:pPr>
            <w:r>
              <w:rPr>
                <w:rFonts w:ascii="Arial" w:hAnsi="Arial" w:cs="Arial" w:eastAsia="Arial"/>
                <w:b w:val="0"/>
                <w:i w:val="0"/>
                <w:sz w:val="18"/>
              </w:rPr>
              <w:t>Opens the tab Letters</w:t>
            </w:r>
          </w:p>
        </w:tc>
        <w:tc>
          <w:tcPr>
            <w:tcW w:type="dxa" w:w="2066"/>
          </w:tcPr>
          <w:p>
            <w:pPr>
              <w:spacing w:before="20" w:after="20"/>
            </w:pPr>
            <w:r>
              <w:rPr>
                <w:rFonts w:ascii="Arial" w:hAnsi="Arial" w:cs="Arial" w:eastAsia="Arial"/>
                <w:b w:val="0"/>
                <w:i w:val="0"/>
                <w:sz w:val="18"/>
              </w:rPr>
              <w:t>The Renewal Advice in the e-mail queue to the client and the acceptance by payment</w:t>
            </w:r>
          </w:p>
        </w:tc>
      </w:tr>
    </w:tbl>
    <w:p>
      <w:pPr>
        <w:spacing w:after="40"/>
      </w:pPr>
    </w:p>
    <w:p>
      <w:pPr>
        <w:keepNext/>
        <w:pageBreakBefore/>
        <w:jc w:val="center"/>
      </w:pPr>
      <w:r>
        <w:drawing>
          <wp:inline>
            <wp:extent cx="5760000" cy="3600000"/>
            <wp:docPr id="19" name="Picture 19"/>
            <wp:cNvGraphicFramePr>
              <a:graphicFrameLocks noChangeAspect="1"/>
            </wp:cNvGraphicFramePr>
            <a:graphic>
              <a:graphicData uri="http://schemas.openxmlformats.org/drawingml/2006/picture">
                <pic:pic>
                  <pic:nvPicPr>
                    <pic:cNvPr id="0" name="ux-15-01-list.png"/>
                    <pic:cNvPicPr/>
                  </pic:nvPicPr>
                  <pic:blipFill>
                    <a:blip r:embed="rId4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17: SB-03 step 1: Contact Center, Follow-ups</w:t>
      </w:r>
    </w:p>
    <w:p>
      <w:pPr>
        <w:keepNext/>
        <w:pageBreakBefore/>
        <w:jc w:val="center"/>
      </w:pPr>
      <w:r>
        <w:drawing>
          <wp:inline>
            <wp:extent cx="5760000" cy="3600000"/>
            <wp:docPr id="20" name="Picture 20"/>
            <wp:cNvGraphicFramePr>
              <a:graphicFrameLocks noChangeAspect="1"/>
            </wp:cNvGraphicFramePr>
            <a:graphic>
              <a:graphicData uri="http://schemas.openxmlformats.org/drawingml/2006/picture">
                <pic:pic>
                  <pic:nvPicPr>
                    <pic:cNvPr id="0" name="sb3-02.png"/>
                    <pic:cNvPicPr/>
                  </pic:nvPicPr>
                  <pic:blipFill>
                    <a:blip r:embed="rId4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18: SB-03 step 2: Contact Center, Follow-ups</w:t>
      </w:r>
    </w:p>
    <w:p>
      <w:pPr>
        <w:keepNext/>
        <w:pageBreakBefore/>
        <w:jc w:val="center"/>
      </w:pPr>
      <w:r>
        <w:drawing>
          <wp:inline>
            <wp:extent cx="5760000" cy="7405333"/>
            <wp:docPr id="21" name="Picture 21"/>
            <wp:cNvGraphicFramePr>
              <a:graphicFrameLocks noChangeAspect="1"/>
            </wp:cNvGraphicFramePr>
            <a:graphic>
              <a:graphicData uri="http://schemas.openxmlformats.org/drawingml/2006/picture">
                <pic:pic>
                  <pic:nvPicPr>
                    <pic:cNvPr id="0" name="sb3-03.png"/>
                    <pic:cNvPicPr/>
                  </pic:nvPicPr>
                  <pic:blipFill>
                    <a:blip r:embed="rId50"/>
                    <a:stretch>
                      <a:fillRect/>
                    </a:stretch>
                  </pic:blipFill>
                  <pic:spPr>
                    <a:xfrm>
                      <a:off x="0" y="0"/>
                      <a:ext cx="5760000" cy="7405333"/>
                    </a:xfrm>
                    <a:prstGeom prst="rect"/>
                  </pic:spPr>
                </pic:pic>
              </a:graphicData>
            </a:graphic>
          </wp:inline>
        </w:drawing>
      </w:r>
    </w:p>
    <w:p>
      <w:pPr>
        <w:keepNext/>
        <w:spacing w:before="120" w:after="60"/>
        <w:ind w:left="363"/>
      </w:pPr>
      <w:r>
        <w:rPr>
          <w:rFonts w:ascii="Arial" w:hAnsi="Arial" w:cs="Arial" w:eastAsia="Arial"/>
          <w:b/>
          <w:i w:val="0"/>
          <w:sz w:val="18"/>
        </w:rPr>
        <w:t>Figure 19: SB-03 step 3: Account Officer, Record Acceptance</w:t>
      </w:r>
    </w:p>
    <w:p>
      <w:pPr>
        <w:keepNext/>
        <w:pageBreakBefore/>
        <w:jc w:val="center"/>
      </w:pPr>
      <w:r>
        <w:drawing>
          <wp:inline>
            <wp:extent cx="5760000" cy="3600000"/>
            <wp:docPr id="22" name="Picture 22"/>
            <wp:cNvGraphicFramePr>
              <a:graphicFrameLocks noChangeAspect="1"/>
            </wp:cNvGraphicFramePr>
            <a:graphic>
              <a:graphicData uri="http://schemas.openxmlformats.org/drawingml/2006/picture">
                <pic:pic>
                  <pic:nvPicPr>
                    <pic:cNvPr id="0" name="sb3-04.png"/>
                    <pic:cNvPicPr/>
                  </pic:nvPicPr>
                  <pic:blipFill>
                    <a:blip r:embed="rId5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20: SB-03 step 4: Account Officer, Renewal</w:t>
      </w:r>
    </w:p>
    <w:p>
      <w:pPr>
        <w:pStyle w:val="Heading2"/>
      </w:pPr>
      <w:r>
        <w:t>SB-04 Not for Renewal and the closing letter</w:t>
      </w:r>
    </w:p>
    <w:p>
      <w:pPr>
        <w:spacing w:after="120"/>
        <w:ind w:left="363"/>
      </w:pPr>
      <w:r>
        <w:rPr>
          <w:rFonts w:ascii="Arial" w:hAnsi="Arial" w:cs="Arial" w:eastAsia="Arial"/>
          <w:b w:val="0"/>
          <w:i w:val="0"/>
          <w:sz w:val="20"/>
        </w:rPr>
        <w:t>Aileen Account Officer learns that the client's loan is fully paid: she gives the disposition Not for Renewal with that reason and pushes it; the Team Leader posts it to the letter step and the Not for Renewal Letter is sent, which closes the renewal.</w:t>
      </w:r>
    </w:p>
    <w:p>
      <w:pPr>
        <w:spacing w:after="120"/>
        <w:ind w:left="363"/>
      </w:pPr>
      <w:r>
        <w:rPr>
          <w:rFonts w:ascii="Arial" w:hAnsi="Arial" w:cs="Arial" w:eastAsia="Arial"/>
          <w:b w:val="0"/>
          <w:i/>
          <w:sz w:val="20"/>
        </w:rPr>
        <w:t>Test data: Seed data: the renewal of the migrated motor policy QPS-FI-0100007 (Jose Miguel Reyes), CBG Metro Team 1, assigned to Aileen Account Officer by the Team Leader.</w:t>
      </w:r>
    </w:p>
    <w:p>
      <w:pPr>
        <w:keepNext/>
        <w:spacing w:before="120" w:after="60"/>
        <w:ind w:left="363"/>
      </w:pPr>
      <w:r>
        <w:rPr>
          <w:rFonts w:ascii="Arial" w:hAnsi="Arial" w:cs="Arial" w:eastAsia="Arial"/>
          <w:b/>
          <w:i w:val="0"/>
          <w:sz w:val="18"/>
        </w:rPr>
        <w:t>Table 6: SB-04 steps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57"/>
        <w:gridCol w:w="1784"/>
        <w:gridCol w:w="1690"/>
        <w:gridCol w:w="2441"/>
        <w:gridCol w:w="2066"/>
      </w:tblGrid>
      <w:tr>
        <w:trPr>
          <w:tblHeader/>
          <w:cantSplit/>
        </w:trPr>
        <w:tc>
          <w:tcPr>
            <w:tcW w:type="dxa" w:w="657"/>
            <w:shd w:val="clear" w:color="auto" w:fill="D9E2F3"/>
          </w:tcPr>
          <w:p>
            <w:pPr>
              <w:spacing w:before="20" w:after="20"/>
            </w:pPr>
            <w:r>
              <w:rPr>
                <w:rFonts w:ascii="Arial" w:hAnsi="Arial" w:cs="Arial" w:eastAsia="Arial"/>
                <w:b/>
                <w:i w:val="0"/>
                <w:sz w:val="18"/>
              </w:rPr>
              <w:t>Step</w:t>
            </w:r>
          </w:p>
        </w:tc>
        <w:tc>
          <w:tcPr>
            <w:tcW w:type="dxa" w:w="1784"/>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Screen</w:t>
            </w:r>
          </w:p>
        </w:tc>
        <w:tc>
          <w:tcPr>
            <w:tcW w:type="dxa" w:w="2441"/>
            <w:shd w:val="clear" w:color="auto" w:fill="D9E2F3"/>
          </w:tcPr>
          <w:p>
            <w:pPr>
              <w:spacing w:before="20" w:after="20"/>
            </w:pPr>
            <w:r>
              <w:rPr>
                <w:rFonts w:ascii="Arial" w:hAnsi="Arial" w:cs="Arial" w:eastAsia="Arial"/>
                <w:b/>
                <w:i w:val="0"/>
                <w:sz w:val="18"/>
              </w:rPr>
              <w:t>Does</w:t>
            </w:r>
          </w:p>
        </w:tc>
        <w:tc>
          <w:tcPr>
            <w:tcW w:type="dxa" w:w="2066"/>
            <w:shd w:val="clear" w:color="auto" w:fill="D9E2F3"/>
          </w:tcPr>
          <w:p>
            <w:pPr>
              <w:spacing w:before="20" w:after="20"/>
            </w:pPr>
            <w:r>
              <w:rPr>
                <w:rFonts w:ascii="Arial" w:hAnsi="Arial" w:cs="Arial" w:eastAsia="Arial"/>
                <w:b/>
                <w:i w:val="0"/>
                <w:sz w:val="18"/>
              </w:rPr>
              <w:t>Sees</w:t>
            </w:r>
          </w:p>
        </w:tc>
      </w:tr>
      <w:tr>
        <w:trPr>
          <w:cantSplit/>
        </w:trPr>
        <w:tc>
          <w:tcPr>
            <w:tcW w:type="dxa" w:w="657"/>
          </w:tcPr>
          <w:p>
            <w:pPr>
              <w:spacing w:before="20" w:after="20"/>
            </w:pPr>
            <w:r>
              <w:rPr>
                <w:rFonts w:ascii="Arial" w:hAnsi="Arial" w:cs="Arial" w:eastAsia="Arial"/>
                <w:b w:val="0"/>
                <w:i w:val="0"/>
                <w:sz w:val="18"/>
              </w:rPr>
              <w:t>1</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Set Disposition, Add Remark and Re-open</w:t>
            </w:r>
          </w:p>
        </w:tc>
        <w:tc>
          <w:tcPr>
            <w:tcW w:type="dxa" w:w="2441"/>
          </w:tcPr>
          <w:p>
            <w:pPr>
              <w:spacing w:before="20" w:after="20"/>
            </w:pPr>
            <w:r>
              <w:rPr>
                <w:rFonts w:ascii="Arial" w:hAnsi="Arial" w:cs="Arial" w:eastAsia="Arial"/>
                <w:b w:val="0"/>
                <w:i w:val="0"/>
                <w:sz w:val="18"/>
              </w:rPr>
              <w:t>Opens the renewal, views its account history, clicks Set Disposition: Not for Renewal, reason Loan fully paid, with remarks, then Save</w:t>
            </w:r>
          </w:p>
        </w:tc>
        <w:tc>
          <w:tcPr>
            <w:tcW w:type="dxa" w:w="2066"/>
          </w:tcPr>
          <w:p>
            <w:pPr>
              <w:spacing w:before="20" w:after="20"/>
            </w:pPr>
            <w:r>
              <w:rPr>
                <w:rFonts w:ascii="Arial" w:hAnsi="Arial" w:cs="Arial" w:eastAsia="Arial"/>
                <w:b w:val="0"/>
                <w:i w:val="0"/>
                <w:sz w:val="18"/>
              </w:rPr>
              <w:t>Message: Saved; the disposition Not for Renewal with its reason</w:t>
            </w:r>
          </w:p>
        </w:tc>
      </w:tr>
      <w:tr>
        <w:trPr>
          <w:cantSplit/>
        </w:trPr>
        <w:tc>
          <w:tcPr>
            <w:tcW w:type="dxa" w:w="657"/>
          </w:tcPr>
          <w:p>
            <w:pPr>
              <w:spacing w:before="20" w:after="20"/>
            </w:pPr>
            <w:r>
              <w:rPr>
                <w:rFonts w:ascii="Arial" w:hAnsi="Arial" w:cs="Arial" w:eastAsia="Arial"/>
                <w:b w:val="0"/>
                <w:i w:val="0"/>
                <w:sz w:val="18"/>
              </w:rPr>
              <w:t>2</w:t>
            </w:r>
          </w:p>
        </w:tc>
        <w:tc>
          <w:tcPr>
            <w:tcW w:type="dxa" w:w="1784"/>
          </w:tcPr>
          <w:p>
            <w:pPr>
              <w:spacing w:before="20" w:after="20"/>
            </w:pPr>
            <w:r>
              <w:rPr>
                <w:rFonts w:ascii="Arial" w:hAnsi="Arial" w:cs="Arial" w:eastAsia="Arial"/>
                <w:b w:val="0"/>
                <w:i w:val="0"/>
                <w:sz w:val="18"/>
              </w:rPr>
              <w:t>Marketing Team Lead</w:t>
            </w:r>
          </w:p>
        </w:tc>
        <w:tc>
          <w:tcPr>
            <w:tcW w:type="dxa" w:w="1690"/>
          </w:tcPr>
          <w:p>
            <w:pPr>
              <w:spacing w:before="20" w:after="20"/>
            </w:pPr>
            <w:r>
              <w:rPr>
                <w:rFonts w:ascii="Arial" w:hAnsi="Arial" w:cs="Arial" w:eastAsia="Arial"/>
                <w:b w:val="0"/>
                <w:i w:val="0"/>
                <w:sz w:val="18"/>
              </w:rPr>
              <w:t>TL Review</w:t>
            </w:r>
          </w:p>
        </w:tc>
        <w:tc>
          <w:tcPr>
            <w:tcW w:type="dxa" w:w="2441"/>
          </w:tcPr>
          <w:p>
            <w:pPr>
              <w:spacing w:before="20" w:after="20"/>
            </w:pPr>
            <w:r>
              <w:rPr>
                <w:rFonts w:ascii="Arial" w:hAnsi="Arial" w:cs="Arial" w:eastAsia="Arial"/>
                <w:b w:val="0"/>
                <w:i w:val="0"/>
                <w:sz w:val="18"/>
              </w:rPr>
              <w:t>After the Account Officer's push, ticks the renewal on TL Review, clicks Post and confirms</w:t>
            </w:r>
          </w:p>
        </w:tc>
        <w:tc>
          <w:tcPr>
            <w:tcW w:type="dxa" w:w="2066"/>
          </w:tcPr>
          <w:p>
            <w:pPr>
              <w:spacing w:before="20" w:after="20"/>
            </w:pPr>
            <w:r>
              <w:rPr>
                <w:rFonts w:ascii="Arial" w:hAnsi="Arial" w:cs="Arial" w:eastAsia="Arial"/>
                <w:b w:val="0"/>
                <w:i w:val="0"/>
                <w:sz w:val="18"/>
              </w:rPr>
              <w:t>Message: 1 posted; the renewal goes to the closing letters</w:t>
            </w:r>
          </w:p>
        </w:tc>
      </w:tr>
      <w:tr>
        <w:trPr>
          <w:cantSplit/>
        </w:trPr>
        <w:tc>
          <w:tcPr>
            <w:tcW w:type="dxa" w:w="657"/>
          </w:tcPr>
          <w:p>
            <w:pPr>
              <w:spacing w:before="20" w:after="20"/>
            </w:pPr>
            <w:r>
              <w:rPr>
                <w:rFonts w:ascii="Arial" w:hAnsi="Arial" w:cs="Arial" w:eastAsia="Arial"/>
                <w:b w:val="0"/>
                <w:i w:val="0"/>
                <w:sz w:val="18"/>
              </w:rPr>
              <w:t>3</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Letters</w:t>
            </w:r>
          </w:p>
        </w:tc>
        <w:tc>
          <w:tcPr>
            <w:tcW w:type="dxa" w:w="2441"/>
          </w:tcPr>
          <w:p>
            <w:pPr>
              <w:spacing w:before="20" w:after="20"/>
            </w:pPr>
            <w:r>
              <w:rPr>
                <w:rFonts w:ascii="Arial" w:hAnsi="Arial" w:cs="Arial" w:eastAsia="Arial"/>
                <w:b w:val="0"/>
                <w:i w:val="0"/>
                <w:sz w:val="18"/>
              </w:rPr>
              <w:t>Opens Letters, tab NAL / NFR, ticks the renewal, clicks Send Letters and confirms</w:t>
            </w:r>
          </w:p>
        </w:tc>
        <w:tc>
          <w:tcPr>
            <w:tcW w:type="dxa" w:w="2066"/>
          </w:tcPr>
          <w:p>
            <w:pPr>
              <w:spacing w:before="20" w:after="20"/>
            </w:pPr>
            <w:r>
              <w:rPr>
                <w:rFonts w:ascii="Arial" w:hAnsi="Arial" w:cs="Arial" w:eastAsia="Arial"/>
                <w:b w:val="0"/>
                <w:i w:val="0"/>
                <w:sz w:val="18"/>
              </w:rPr>
              <w:t>Message: 1 sent; the renewal is closed</w:t>
            </w:r>
          </w:p>
        </w:tc>
      </w:tr>
      <w:tr>
        <w:trPr>
          <w:cantSplit/>
        </w:trPr>
        <w:tc>
          <w:tcPr>
            <w:tcW w:type="dxa" w:w="657"/>
          </w:tcPr>
          <w:p>
            <w:pPr>
              <w:spacing w:before="20" w:after="20"/>
            </w:pPr>
            <w:r>
              <w:rPr>
                <w:rFonts w:ascii="Arial" w:hAnsi="Arial" w:cs="Arial" w:eastAsia="Arial"/>
                <w:b w:val="0"/>
                <w:i w:val="0"/>
                <w:sz w:val="18"/>
              </w:rPr>
              <w:t>4</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Renewal</w:t>
            </w:r>
          </w:p>
        </w:tc>
        <w:tc>
          <w:tcPr>
            <w:tcW w:type="dxa" w:w="2441"/>
          </w:tcPr>
          <w:p>
            <w:pPr>
              <w:spacing w:before="20" w:after="20"/>
            </w:pPr>
            <w:r>
              <w:rPr>
                <w:rFonts w:ascii="Arial" w:hAnsi="Arial" w:cs="Arial" w:eastAsia="Arial"/>
                <w:b w:val="0"/>
                <w:i w:val="0"/>
                <w:sz w:val="18"/>
              </w:rPr>
              <w:t>Opens the renewal, tab Letters</w:t>
            </w:r>
          </w:p>
        </w:tc>
        <w:tc>
          <w:tcPr>
            <w:tcW w:type="dxa" w:w="2066"/>
          </w:tcPr>
          <w:p>
            <w:pPr>
              <w:spacing w:before="20" w:after="20"/>
            </w:pPr>
            <w:r>
              <w:rPr>
                <w:rFonts w:ascii="Arial" w:hAnsi="Arial" w:cs="Arial" w:eastAsia="Arial"/>
                <w:b w:val="0"/>
                <w:i w:val="0"/>
                <w:sz w:val="18"/>
              </w:rPr>
              <w:t>The Not for Renewal Letter in the e-mail queue to the client</w:t>
            </w:r>
          </w:p>
        </w:tc>
      </w:tr>
    </w:tbl>
    <w:p>
      <w:pPr>
        <w:spacing w:after="40"/>
      </w:pPr>
    </w:p>
    <w:p>
      <w:pPr>
        <w:keepNext/>
        <w:pageBreakBefore/>
        <w:jc w:val="center"/>
      </w:pPr>
      <w:r>
        <w:drawing>
          <wp:inline>
            <wp:extent cx="5760000" cy="7717333"/>
            <wp:docPr id="23" name="Picture 23"/>
            <wp:cNvGraphicFramePr>
              <a:graphicFrameLocks noChangeAspect="1"/>
            </wp:cNvGraphicFramePr>
            <a:graphic>
              <a:graphicData uri="http://schemas.openxmlformats.org/drawingml/2006/picture">
                <pic:pic>
                  <pic:nvPicPr>
                    <pic:cNvPr id="0" name="sb4-01.png"/>
                    <pic:cNvPicPr/>
                  </pic:nvPicPr>
                  <pic:blipFill>
                    <a:blip r:embed="rId52"/>
                    <a:stretch>
                      <a:fillRect/>
                    </a:stretch>
                  </pic:blipFill>
                  <pic:spPr>
                    <a:xfrm>
                      <a:off x="0" y="0"/>
                      <a:ext cx="5760000" cy="7717333"/>
                    </a:xfrm>
                    <a:prstGeom prst="rect"/>
                  </pic:spPr>
                </pic:pic>
              </a:graphicData>
            </a:graphic>
          </wp:inline>
        </w:drawing>
      </w:r>
    </w:p>
    <w:p>
      <w:pPr>
        <w:keepNext/>
        <w:spacing w:before="120" w:after="60"/>
        <w:ind w:left="363"/>
      </w:pPr>
      <w:r>
        <w:rPr>
          <w:rFonts w:ascii="Arial" w:hAnsi="Arial" w:cs="Arial" w:eastAsia="Arial"/>
          <w:b/>
          <w:i w:val="0"/>
          <w:sz w:val="18"/>
        </w:rPr>
        <w:t>Figure 21: SB-04 step 1: Account Officer, Set Disposition, Add Remark and Re-open</w:t>
      </w:r>
    </w:p>
    <w:p>
      <w:pPr>
        <w:keepNext/>
        <w:pageBreakBefore/>
        <w:jc w:val="center"/>
      </w:pPr>
      <w:r>
        <w:drawing>
          <wp:inline>
            <wp:extent cx="5760000" cy="3600000"/>
            <wp:docPr id="24" name="Picture 24"/>
            <wp:cNvGraphicFramePr>
              <a:graphicFrameLocks noChangeAspect="1"/>
            </wp:cNvGraphicFramePr>
            <a:graphic>
              <a:graphicData uri="http://schemas.openxmlformats.org/drawingml/2006/picture">
                <pic:pic>
                  <pic:nvPicPr>
                    <pic:cNvPr id="0" name="sb4-02.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22: SB-04 step 2: Marketing Team Lead, TL Review</w:t>
      </w:r>
    </w:p>
    <w:p>
      <w:pPr>
        <w:keepNext/>
        <w:pageBreakBefore/>
        <w:jc w:val="center"/>
      </w:pPr>
      <w:r>
        <w:drawing>
          <wp:inline>
            <wp:extent cx="5760000" cy="3600000"/>
            <wp:docPr id="25" name="Picture 25"/>
            <wp:cNvGraphicFramePr>
              <a:graphicFrameLocks noChangeAspect="1"/>
            </wp:cNvGraphicFramePr>
            <a:graphic>
              <a:graphicData uri="http://schemas.openxmlformats.org/drawingml/2006/picture">
                <pic:pic>
                  <pic:nvPicPr>
                    <pic:cNvPr id="0" name="sb4-03.png"/>
                    <pic:cNvPicPr/>
                  </pic:nvPicPr>
                  <pic:blipFill>
                    <a:blip r:embed="rId5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23: SB-04 step 3: Account Officer, Letters</w:t>
      </w:r>
    </w:p>
    <w:p>
      <w:pPr>
        <w:keepNext/>
        <w:pageBreakBefore/>
        <w:jc w:val="center"/>
      </w:pPr>
      <w:r>
        <w:drawing>
          <wp:inline>
            <wp:extent cx="5760000" cy="3600000"/>
            <wp:docPr id="26" name="Picture 26"/>
            <wp:cNvGraphicFramePr>
              <a:graphicFrameLocks noChangeAspect="1"/>
            </wp:cNvGraphicFramePr>
            <a:graphic>
              <a:graphicData uri="http://schemas.openxmlformats.org/drawingml/2006/picture">
                <pic:pic>
                  <pic:nvPicPr>
                    <pic:cNvPr id="0" name="sb4-04.png"/>
                    <pic:cNvPicPr/>
                  </pic:nvPicPr>
                  <pic:blipFill>
                    <a:blip r:embed="rId5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24: SB-04 step 4: Account Officer, Renewal</w:t>
      </w:r>
    </w:p>
    <w:p>
      <w:pPr>
        <w:pStyle w:val="Heading2"/>
      </w:pPr>
      <w:r>
        <w:t>SB-05 A transfer to another unit, and the controls the user sees</w:t>
      </w:r>
    </w:p>
    <w:p>
      <w:pPr>
        <w:spacing w:after="120"/>
        <w:ind w:left="363"/>
      </w:pPr>
      <w:r>
        <w:rPr>
          <w:rFonts w:ascii="Arial" w:hAnsi="Arial" w:cs="Arial" w:eastAsia="Arial"/>
          <w:b w:val="0"/>
          <w:i w:val="0"/>
          <w:sz w:val="20"/>
        </w:rPr>
        <w:t>CBG Metro Team 1 transferred the renewal of a corporate client to Corporate Marketing Team 1; its Team Leader accepts it. Then two controls of Renewal with the message the user sees: a disposition before the account history, and a transfer to the own unit.</w:t>
      </w:r>
    </w:p>
    <w:p>
      <w:pPr>
        <w:spacing w:after="120"/>
        <w:ind w:left="363"/>
      </w:pPr>
      <w:r>
        <w:rPr>
          <w:rFonts w:ascii="Arial" w:hAnsi="Arial" w:cs="Arial" w:eastAsia="Arial"/>
          <w:b w:val="0"/>
          <w:i/>
          <w:sz w:val="20"/>
        </w:rPr>
        <w:t>Test data: Seed data: the transfer request of the migrated policy EBIX-CG-0100005 (Luzon Agri-Industrial Corp.) to Corporate Marketing Team 1; the renewal of the migrated policy QPS-FI-0100002 (Jose Miguel Reyes) of CBG Metro Team 1.</w:t>
      </w:r>
    </w:p>
    <w:p>
      <w:pPr>
        <w:keepNext/>
        <w:spacing w:before="120" w:after="60"/>
        <w:ind w:left="363"/>
      </w:pPr>
      <w:r>
        <w:rPr>
          <w:rFonts w:ascii="Arial" w:hAnsi="Arial" w:cs="Arial" w:eastAsia="Arial"/>
          <w:b/>
          <w:i w:val="0"/>
          <w:sz w:val="18"/>
        </w:rPr>
        <w:t>Table 7: SB-05 steps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57"/>
        <w:gridCol w:w="1784"/>
        <w:gridCol w:w="1690"/>
        <w:gridCol w:w="2441"/>
        <w:gridCol w:w="2066"/>
      </w:tblGrid>
      <w:tr>
        <w:trPr>
          <w:tblHeader/>
          <w:cantSplit/>
        </w:trPr>
        <w:tc>
          <w:tcPr>
            <w:tcW w:type="dxa" w:w="657"/>
            <w:shd w:val="clear" w:color="auto" w:fill="D9E2F3"/>
          </w:tcPr>
          <w:p>
            <w:pPr>
              <w:spacing w:before="20" w:after="20"/>
            </w:pPr>
            <w:r>
              <w:rPr>
                <w:rFonts w:ascii="Arial" w:hAnsi="Arial" w:cs="Arial" w:eastAsia="Arial"/>
                <w:b/>
                <w:i w:val="0"/>
                <w:sz w:val="18"/>
              </w:rPr>
              <w:t>Step</w:t>
            </w:r>
          </w:p>
        </w:tc>
        <w:tc>
          <w:tcPr>
            <w:tcW w:type="dxa" w:w="1784"/>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Screen</w:t>
            </w:r>
          </w:p>
        </w:tc>
        <w:tc>
          <w:tcPr>
            <w:tcW w:type="dxa" w:w="2441"/>
            <w:shd w:val="clear" w:color="auto" w:fill="D9E2F3"/>
          </w:tcPr>
          <w:p>
            <w:pPr>
              <w:spacing w:before="20" w:after="20"/>
            </w:pPr>
            <w:r>
              <w:rPr>
                <w:rFonts w:ascii="Arial" w:hAnsi="Arial" w:cs="Arial" w:eastAsia="Arial"/>
                <w:b/>
                <w:i w:val="0"/>
                <w:sz w:val="18"/>
              </w:rPr>
              <w:t>Does</w:t>
            </w:r>
          </w:p>
        </w:tc>
        <w:tc>
          <w:tcPr>
            <w:tcW w:type="dxa" w:w="2066"/>
            <w:shd w:val="clear" w:color="auto" w:fill="D9E2F3"/>
          </w:tcPr>
          <w:p>
            <w:pPr>
              <w:spacing w:before="20" w:after="20"/>
            </w:pPr>
            <w:r>
              <w:rPr>
                <w:rFonts w:ascii="Arial" w:hAnsi="Arial" w:cs="Arial" w:eastAsia="Arial"/>
                <w:b/>
                <w:i w:val="0"/>
                <w:sz w:val="18"/>
              </w:rPr>
              <w:t>Sees</w:t>
            </w:r>
          </w:p>
        </w:tc>
      </w:tr>
      <w:tr>
        <w:trPr>
          <w:cantSplit/>
        </w:trPr>
        <w:tc>
          <w:tcPr>
            <w:tcW w:type="dxa" w:w="657"/>
          </w:tcPr>
          <w:p>
            <w:pPr>
              <w:spacing w:before="20" w:after="20"/>
            </w:pPr>
            <w:r>
              <w:rPr>
                <w:rFonts w:ascii="Arial" w:hAnsi="Arial" w:cs="Arial" w:eastAsia="Arial"/>
                <w:b w:val="0"/>
                <w:i w:val="0"/>
                <w:sz w:val="18"/>
              </w:rPr>
              <w:t>1</w:t>
            </w:r>
          </w:p>
        </w:tc>
        <w:tc>
          <w:tcPr>
            <w:tcW w:type="dxa" w:w="1784"/>
          </w:tcPr>
          <w:p>
            <w:pPr>
              <w:spacing w:before="20" w:after="20"/>
            </w:pPr>
            <w:r>
              <w:rPr>
                <w:rFonts w:ascii="Arial" w:hAnsi="Arial" w:cs="Arial" w:eastAsia="Arial"/>
                <w:b w:val="0"/>
                <w:i w:val="0"/>
                <w:sz w:val="18"/>
              </w:rPr>
              <w:t>Marketing Team Lead</w:t>
            </w:r>
          </w:p>
        </w:tc>
        <w:tc>
          <w:tcPr>
            <w:tcW w:type="dxa" w:w="1690"/>
          </w:tcPr>
          <w:p>
            <w:pPr>
              <w:spacing w:before="20" w:after="20"/>
            </w:pPr>
            <w:r>
              <w:rPr>
                <w:rFonts w:ascii="Arial" w:hAnsi="Arial" w:cs="Arial" w:eastAsia="Arial"/>
                <w:b w:val="0"/>
                <w:i w:val="0"/>
                <w:sz w:val="18"/>
              </w:rPr>
              <w:t>Transfers</w:t>
            </w:r>
          </w:p>
        </w:tc>
        <w:tc>
          <w:tcPr>
            <w:tcW w:type="dxa" w:w="2441"/>
          </w:tcPr>
          <w:p>
            <w:pPr>
              <w:spacing w:before="20" w:after="20"/>
            </w:pPr>
            <w:r>
              <w:rPr>
                <w:rFonts w:ascii="Arial" w:hAnsi="Arial" w:cs="Arial" w:eastAsia="Arial"/>
                <w:b w:val="0"/>
                <w:i w:val="0"/>
                <w:sz w:val="18"/>
              </w:rPr>
              <w:t>The Team Leader of Corporate Marketing Team 1 opens Transfers, tab Incoming, chooses Accept in the row action menu and confirms with remarks</w:t>
            </w:r>
          </w:p>
        </w:tc>
        <w:tc>
          <w:tcPr>
            <w:tcW w:type="dxa" w:w="2066"/>
          </w:tcPr>
          <w:p>
            <w:pPr>
              <w:spacing w:before="20" w:after="20"/>
            </w:pPr>
            <w:r>
              <w:rPr>
                <w:rFonts w:ascii="Arial" w:hAnsi="Arial" w:cs="Arial" w:eastAsia="Arial"/>
                <w:b w:val="0"/>
                <w:i w:val="0"/>
                <w:sz w:val="18"/>
              </w:rPr>
              <w:t>Message: Transfer accepted; the renewal joins the Unassigned tab of the unit</w:t>
            </w:r>
          </w:p>
        </w:tc>
      </w:tr>
      <w:tr>
        <w:trPr>
          <w:cantSplit/>
        </w:trPr>
        <w:tc>
          <w:tcPr>
            <w:tcW w:type="dxa" w:w="657"/>
          </w:tcPr>
          <w:p>
            <w:pPr>
              <w:spacing w:before="20" w:after="20"/>
            </w:pPr>
            <w:r>
              <w:rPr>
                <w:rFonts w:ascii="Arial" w:hAnsi="Arial" w:cs="Arial" w:eastAsia="Arial"/>
                <w:b w:val="0"/>
                <w:i w:val="0"/>
                <w:sz w:val="18"/>
              </w:rPr>
              <w:t>2</w:t>
            </w:r>
          </w:p>
        </w:tc>
        <w:tc>
          <w:tcPr>
            <w:tcW w:type="dxa" w:w="1784"/>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Set Disposition, Add Remark and Re-open</w:t>
            </w:r>
          </w:p>
        </w:tc>
        <w:tc>
          <w:tcPr>
            <w:tcW w:type="dxa" w:w="2441"/>
          </w:tcPr>
          <w:p>
            <w:pPr>
              <w:spacing w:before="20" w:after="20"/>
            </w:pPr>
            <w:r>
              <w:rPr>
                <w:rFonts w:ascii="Arial" w:hAnsi="Arial" w:cs="Arial" w:eastAsia="Arial"/>
                <w:b w:val="0"/>
                <w:i w:val="0"/>
                <w:sz w:val="18"/>
              </w:rPr>
              <w:t>Aileen Account Officer gives a disposition on a renewal without opening its account history</w:t>
            </w:r>
          </w:p>
        </w:tc>
        <w:tc>
          <w:tcPr>
            <w:tcW w:type="dxa" w:w="2066"/>
          </w:tcPr>
          <w:p>
            <w:pPr>
              <w:spacing w:before="20" w:after="20"/>
            </w:pPr>
            <w:r>
              <w:rPr>
                <w:rFonts w:ascii="Arial" w:hAnsi="Arial" w:cs="Arial" w:eastAsia="Arial"/>
                <w:b w:val="0"/>
                <w:i w:val="0"/>
                <w:sz w:val="18"/>
              </w:rPr>
              <w:t>Open the Account History before you give the disposition</w:t>
            </w:r>
          </w:p>
        </w:tc>
      </w:tr>
      <w:tr>
        <w:trPr>
          <w:cantSplit/>
        </w:trPr>
        <w:tc>
          <w:tcPr>
            <w:tcW w:type="dxa" w:w="657"/>
          </w:tcPr>
          <w:p>
            <w:pPr>
              <w:spacing w:before="20" w:after="20"/>
            </w:pPr>
            <w:r>
              <w:rPr>
                <w:rFonts w:ascii="Arial" w:hAnsi="Arial" w:cs="Arial" w:eastAsia="Arial"/>
                <w:b w:val="0"/>
                <w:i w:val="0"/>
                <w:sz w:val="18"/>
              </w:rPr>
              <w:t>3</w:t>
            </w:r>
          </w:p>
        </w:tc>
        <w:tc>
          <w:tcPr>
            <w:tcW w:type="dxa" w:w="1784"/>
          </w:tcPr>
          <w:p>
            <w:pPr>
              <w:spacing w:before="20" w:after="20"/>
            </w:pPr>
            <w:r>
              <w:rPr>
                <w:rFonts w:ascii="Arial" w:hAnsi="Arial" w:cs="Arial" w:eastAsia="Arial"/>
                <w:b w:val="0"/>
                <w:i w:val="0"/>
                <w:sz w:val="18"/>
              </w:rPr>
              <w:t>Marketing Team Lead</w:t>
            </w:r>
          </w:p>
        </w:tc>
        <w:tc>
          <w:tcPr>
            <w:tcW w:type="dxa" w:w="1690"/>
          </w:tcPr>
          <w:p>
            <w:pPr>
              <w:spacing w:before="20" w:after="20"/>
            </w:pPr>
            <w:r>
              <w:rPr>
                <w:rFonts w:ascii="Arial" w:hAnsi="Arial" w:cs="Arial" w:eastAsia="Arial"/>
                <w:b w:val="0"/>
                <w:i w:val="0"/>
                <w:sz w:val="18"/>
              </w:rPr>
              <w:t>Expiry List</w:t>
            </w:r>
          </w:p>
        </w:tc>
        <w:tc>
          <w:tcPr>
            <w:tcW w:type="dxa" w:w="2441"/>
          </w:tcPr>
          <w:p>
            <w:pPr>
              <w:spacing w:before="20" w:after="20"/>
            </w:pPr>
            <w:r>
              <w:rPr>
                <w:rFonts w:ascii="Arial" w:hAnsi="Arial" w:cs="Arial" w:eastAsia="Arial"/>
                <w:b w:val="0"/>
                <w:i w:val="0"/>
                <w:sz w:val="18"/>
              </w:rPr>
              <w:t>Marites Marketing Lead transfers a renewal of her unit to CBG Metro Team 1, her own unit</w:t>
            </w:r>
          </w:p>
        </w:tc>
        <w:tc>
          <w:tcPr>
            <w:tcW w:type="dxa" w:w="2066"/>
          </w:tcPr>
          <w:p>
            <w:pPr>
              <w:spacing w:before="20" w:after="20"/>
            </w:pPr>
            <w:r>
              <w:rPr>
                <w:rFonts w:ascii="Arial" w:hAnsi="Arial" w:cs="Arial" w:eastAsia="Arial"/>
                <w:b w:val="0"/>
                <w:i w:val="0"/>
                <w:sz w:val="18"/>
              </w:rPr>
              <w:t>The receiving unit must be another unit</w:t>
            </w:r>
          </w:p>
        </w:tc>
      </w:tr>
    </w:tbl>
    <w:p>
      <w:pPr>
        <w:spacing w:after="40"/>
      </w:pPr>
    </w:p>
    <w:p>
      <w:pPr>
        <w:keepNext/>
        <w:pageBreakBefore/>
        <w:jc w:val="center"/>
      </w:pPr>
      <w:r>
        <w:drawing>
          <wp:inline>
            <wp:extent cx="5760000" cy="3600000"/>
            <wp:docPr id="27" name="Picture 27"/>
            <wp:cNvGraphicFramePr>
              <a:graphicFrameLocks noChangeAspect="1"/>
            </wp:cNvGraphicFramePr>
            <a:graphic>
              <a:graphicData uri="http://schemas.openxmlformats.org/drawingml/2006/picture">
                <pic:pic>
                  <pic:nvPicPr>
                    <pic:cNvPr id="0" name="sb5-01.png"/>
                    <pic:cNvPicPr/>
                  </pic:nvPicPr>
                  <pic:blipFill>
                    <a:blip r:embed="rId5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25: SB-05 step 1: Marketing Team Lead, Transfers</w:t>
      </w:r>
    </w:p>
    <w:p>
      <w:pPr>
        <w:keepNext/>
        <w:pageBreakBefore/>
        <w:jc w:val="center"/>
      </w:pPr>
      <w:r>
        <w:drawing>
          <wp:inline>
            <wp:extent cx="5760000" cy="3600000"/>
            <wp:docPr id="28" name="Picture 28"/>
            <wp:cNvGraphicFramePr>
              <a:graphicFrameLocks noChangeAspect="1"/>
            </wp:cNvGraphicFramePr>
            <a:graphic>
              <a:graphicData uri="http://schemas.openxmlformats.org/drawingml/2006/picture">
                <pic:pic>
                  <pic:nvPicPr>
                    <pic:cNvPr id="0" name="sb5-02.png"/>
                    <pic:cNvPicPr/>
                  </pic:nvPicPr>
                  <pic:blipFill>
                    <a:blip r:embed="rId5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26: SB-05 step 2: Account Officer, Set Disposition, Add Remark and Re-open</w:t>
      </w:r>
    </w:p>
    <w:p>
      <w:pPr>
        <w:keepNext/>
        <w:pageBreakBefore/>
        <w:jc w:val="center"/>
      </w:pPr>
      <w:r>
        <w:drawing>
          <wp:inline>
            <wp:extent cx="5760000" cy="3600000"/>
            <wp:docPr id="29" name="Picture 29"/>
            <wp:cNvGraphicFramePr>
              <a:graphicFrameLocks noChangeAspect="1"/>
            </wp:cNvGraphicFramePr>
            <a:graphic>
              <a:graphicData uri="http://schemas.openxmlformats.org/drawingml/2006/picture">
                <pic:pic>
                  <pic:nvPicPr>
                    <pic:cNvPr id="0" name="sb5-03.png"/>
                    <pic:cNvPicPr/>
                  </pic:nvPicPr>
                  <pic:blipFill>
                    <a:blip r:embed="rId5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27: SB-05 step 3: Marketing Team Lead, Expiry List</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To-Be Process and Storyboards</w:t>
    </w:r>
    <w:r w:rsidR="005C6EAD">
      <w:tab/>
    </w:r>
    <w:r w:rsidR="005C6EAD">
      <w:tab/>
    </w:r>
    <w:r w:rsidRPr="4C1F03F5">
      <w:rPr>
        <w:rFonts w:ascii="Arial" w:hAnsi="Arial" w:eastAsia="Arial" w:cs="Arial"/>
        <w:color w:val="000000" w:themeColor="text1"/>
        <w:sz w:val="19"/>
        <w:szCs w:val="19"/>
      </w:rPr>
      <w:t>BDO Insure Brokering System (BIBS) - Renewal</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