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BRD-04 Collections Sign-off Pack, release set v2.0</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BRD-4 Collections business sign-off pack (replaces the release note of the set)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 Marketing heads (Combank and Corbank, Retail Marketing); Head - Comptrollership</w:t>
            </w:r>
          </w:p>
        </w:tc>
        <w:tc>
          <w:tcPr>
            <w:tcW w:type="dxa" w:w="2266"/>
            <w:tcMar>
              <w:top w:w="50" w:type="dxa"/>
              <w:bottom w:w="50" w:type="dxa"/>
              <w:left w:w="90" w:type="dxa"/>
              <w:right w:w="90" w:type="dxa"/>
            </w:tcMar>
            <w:shd w:val="clear" w:color="auto" w:fill="E5F5FF"/>
          </w:tcPr>
          <w:p>
            <w:pPr>
              <w:pStyle w:val="BDOITable"/>
            </w:pPr>
            <w:r>
              <w:rPr>
                <w:sz w:val="18"/>
              </w:rPr>
              <w:t>Approvers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of the addendum functions and of their units' rows</w:t>
            </w:r>
          </w:p>
        </w:tc>
      </w:tr>
      <w:tr>
        <w:trPr>
          <w:cantSplit w:val="true"/>
        </w:trPr>
        <w:tc>
          <w:tcPr>
            <w:tcW w:type="dxa" w:w="2606"/>
            <w:tcMar>
              <w:top w:w="50" w:type="dxa"/>
              <w:bottom w:w="50" w:type="dxa"/>
              <w:left w:w="90" w:type="dxa"/>
              <w:right w:w="90" w:type="dxa"/>
            </w:tcMar>
          </w:tcPr>
          <w:p>
            <w:pPr>
              <w:pStyle w:val="BDOITable"/>
            </w:pPr>
            <w:r>
              <w:rPr>
                <w:sz w:val="18"/>
              </w:rPr>
              <w:t>John Benedict S. Santos, VP and Head, BDOI Operations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process with Operations and of the exports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 HO Marketing Support BBG and Marketing; Operations FT&amp;P</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screens and rows of their units</w:t>
            </w:r>
          </w:p>
        </w:tc>
      </w:tr>
      <w:tr>
        <w:trPr>
          <w:cantSplit w:val="true"/>
        </w:trPr>
        <w:tc>
          <w:tcPr>
            <w:tcW w:type="dxa" w:w="2606"/>
            <w:tcMar>
              <w:top w:w="50" w:type="dxa"/>
              <w:bottom w:w="50" w:type="dxa"/>
              <w:left w:w="90" w:type="dxa"/>
              <w:right w:w="90" w:type="dxa"/>
            </w:tcMar>
          </w:tcPr>
          <w:p>
            <w:pPr>
              <w:pStyle w:val="BDOITable"/>
            </w:pPr>
            <w:r>
              <w:rPr>
                <w:sz w:val="18"/>
              </w:rPr>
              <w:t>Collection handlers and team leads, Marketing AOs, handlers and team leads, unapplied payment handlers, Cashiering and Commission Receivables</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Scheduled runs, files, access; the Technical Specification</w:t>
            </w:r>
          </w:p>
        </w:tc>
      </w:tr>
      <w:tr>
        <w:trPr>
          <w:cantSplit w:val="true"/>
        </w:trPr>
        <w:tc>
          <w:tcPr>
            <w:tcW w:type="dxa" w:w="2606"/>
            <w:tcMar>
              <w:top w:w="50" w:type="dxa"/>
              <w:bottom w:w="50" w:type="dxa"/>
              <w:left w:w="90" w:type="dxa"/>
              <w:right w:w="90" w:type="dxa"/>
            </w:tcMar>
          </w:tcPr>
          <w:p>
            <w:pPr>
              <w:pStyle w:val="BDOITable"/>
            </w:pPr>
            <w:r>
              <w:rPr>
                <w:sz w:val="18"/>
              </w:rPr>
              <w:t>Dan Ace Cauton and Zean C. Ibay,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6</w:t>
        </w:r>
      </w:hyperlink>
    </w:p>
    <w:p>
      <w:pPr>
        <w:pStyle w:val="toc1"/>
      </w:pPr>
      <w:hyperlink w:anchor="_Toc000106" w:history="1">
        <w:r>
          <w:t xml:space="preserve">6 Change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BRD-4 Collections of BIBS, screen by screen, so that the Collections and Marketing units can confirm what they will get and sign it off: the PR Worklist and the collection account, assignment, collector dispositions and efforts, promises to pay, installment plans and statements of account, escalations, the collector side of the unapplied payments with the requests to Cashiering, the Collections files and the set-up. Signing freezes the content, the screens and the navigation of Collections; a later change goes through the Change Management Register with its mandays. The screenshots use fictitious seed data only.</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BRD-04_Collections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00_BIBS_StartHere_BRD-04_Collections_v2.0.docx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01_BIBS_GuideDeck_BRD-04_Collections_v2.0.pptx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and section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02_BIBS_FRS_BRD-04_Collections_v2.0.docx</w:t>
            </w:r>
          </w:p>
        </w:tc>
        <w:tc>
          <w:tcPr>
            <w:tcW w:type="dxa" w:w="3626"/>
            <w:tcMar>
              <w:top w:w="50" w:type="dxa"/>
              <w:bottom w:w="50" w:type="dxa"/>
              <w:left w:w="90" w:type="dxa"/>
              <w:right w:w="90" w:type="dxa"/>
            </w:tcMar>
          </w:tcPr>
          <w:p>
            <w:pPr>
              <w:pStyle w:val="BDOITable"/>
            </w:pPr>
            <w:r>
              <w:rPr>
                <w:sz w:val="15"/>
              </w:rPr>
              <w:t>Functional Requirements Specification v2.0: requirements, navigation, 19 screen specifications with screenshots, five walkthroughs, messages, notifications, documents, upload template, cross-BRD contract</w:t>
            </w:r>
          </w:p>
        </w:tc>
        <w:tc>
          <w:tcPr>
            <w:tcW w:type="dxa" w:w="1926"/>
            <w:tcMar>
              <w:top w:w="50" w:type="dxa"/>
              <w:bottom w:w="50" w:type="dxa"/>
              <w:left w:w="90" w:type="dxa"/>
              <w:right w:w="90" w:type="dxa"/>
            </w:tcMar>
          </w:tcPr>
          <w:p>
            <w:pPr>
              <w:pStyle w:val="BDOITable"/>
            </w:pPr>
            <w:r>
              <w:rPr>
                <w:sz w:val="15"/>
              </w:rPr>
              <w:t>Collection handlers and team leads, Marketing AOs and unit heads; Cashiering, Commission Receivables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03_BIBS_Signoff_BRD-04_Collections_v2.0.xlsx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04_BIBS_TestPlan_BRD-04_Collections_v2.0.xlsx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05_BIBS_TestPlan_BRD-04_Collections_Summary_v2.0.docx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07_BIBS_UXDeck_BRD-04_Collections_v2.0.pptx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08_BIBS_UXScreens_BRD-04_Collections_v2.0.xlsx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09_BIBS_UXScreens_BRD-04_Collections_v2.0.zip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Owners; Marketing unit and section heads)</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and 21 (proposed rules for confirmation);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Collection Handlers and Collection Team Leads</w:t>
            </w:r>
          </w:p>
        </w:tc>
        <w:tc>
          <w:tcPr>
            <w:tcW w:type="dxa" w:w="7592"/>
            <w:tcMar>
              <w:top w:w="50" w:type="dxa"/>
              <w:bottom w:w="50" w:type="dxa"/>
              <w:left w:w="90" w:type="dxa"/>
              <w:right w:w="90" w:type="dxa"/>
            </w:tcMar>
            <w:shd w:val="clear" w:color="auto" w:fill="E5F5FF"/>
          </w:tcPr>
          <w:p>
            <w:pPr>
              <w:pStyle w:val="BDOITable"/>
            </w:pPr>
            <w:r>
              <w:rPr>
                <w:sz w:val="16"/>
              </w:rPr>
              <w:t>FRS sections 4.2 to 4.7; the screens of chapter 13 (SCR-CL-01 to 13); walkthroughs A, B and D; messages in chapter 15; the statement of account DO-01 in chapter 17</w:t>
            </w:r>
          </w:p>
        </w:tc>
      </w:tr>
      <w:tr>
        <w:tc>
          <w:tcPr>
            <w:tcW w:type="dxa" w:w="2380"/>
            <w:tcMar>
              <w:top w:w="50" w:type="dxa"/>
              <w:bottom w:w="50" w:type="dxa"/>
              <w:left w:w="90" w:type="dxa"/>
              <w:right w:w="90" w:type="dxa"/>
            </w:tcMar>
          </w:tcPr>
          <w:p>
            <w:pPr>
              <w:pStyle w:val="BDOITable"/>
            </w:pPr>
            <w:r>
              <w:rPr>
                <w:b/>
                <w:sz w:val="16"/>
              </w:rPr>
              <w:t>Marketing Account Officers, Handlers and Team Leads</w:t>
            </w:r>
          </w:p>
        </w:tc>
        <w:tc>
          <w:tcPr>
            <w:tcW w:type="dxa" w:w="7592"/>
            <w:tcMar>
              <w:top w:w="50" w:type="dxa"/>
              <w:bottom w:w="50" w:type="dxa"/>
              <w:left w:w="90" w:type="dxa"/>
              <w:right w:w="90" w:type="dxa"/>
            </w:tcMar>
          </w:tcPr>
          <w:p>
            <w:pPr>
              <w:pStyle w:val="BDOITable"/>
            </w:pPr>
            <w:r>
              <w:rPr>
                <w:sz w:val="16"/>
              </w:rPr>
              <w:t>PR Worklist, Collection Account and Client View (SCR-CL-02 to 04); escalations (SCR-CL-11, 12); walkthroughs A, B and E; the Collections Bulk Update template in chapter 18</w:t>
            </w:r>
          </w:p>
        </w:tc>
      </w:tr>
      <w:tr>
        <w:tc>
          <w:tcPr>
            <w:tcW w:type="dxa" w:w="2380"/>
            <w:tcMar>
              <w:top w:w="50" w:type="dxa"/>
              <w:bottom w:w="50" w:type="dxa"/>
              <w:left w:w="90" w:type="dxa"/>
              <w:right w:w="90" w:type="dxa"/>
            </w:tcMar>
            <w:shd w:val="clear" w:color="auto" w:fill="E5F5FF"/>
          </w:tcPr>
          <w:p>
            <w:pPr>
              <w:pStyle w:val="BDOITable"/>
            </w:pPr>
            <w:r>
              <w:rPr>
                <w:b/>
                <w:sz w:val="16"/>
              </w:rPr>
              <w:t>Unapplied Payment Handlers</w:t>
            </w:r>
          </w:p>
        </w:tc>
        <w:tc>
          <w:tcPr>
            <w:tcW w:type="dxa" w:w="7592"/>
            <w:tcMar>
              <w:top w:w="50" w:type="dxa"/>
              <w:bottom w:w="50" w:type="dxa"/>
              <w:left w:w="90" w:type="dxa"/>
              <w:right w:w="90" w:type="dxa"/>
            </w:tcMar>
            <w:shd w:val="clear" w:color="auto" w:fill="E5F5FF"/>
          </w:tcPr>
          <w:p>
            <w:pPr>
              <w:pStyle w:val="BDOITable"/>
            </w:pPr>
            <w:r>
              <w:rPr>
                <w:sz w:val="16"/>
              </w:rPr>
              <w:t>FRS section 4.8; Unapplied Payments, Unapplied Payment and Requests to Cashiering (SCR-CL-14 to 16); walkthrough C; document DO-05</w:t>
            </w:r>
          </w:p>
        </w:tc>
      </w:tr>
      <w:tr>
        <w:tc>
          <w:tcPr>
            <w:tcW w:type="dxa" w:w="2380"/>
            <w:tcMar>
              <w:top w:w="50" w:type="dxa"/>
              <w:bottom w:w="50" w:type="dxa"/>
              <w:left w:w="90" w:type="dxa"/>
              <w:right w:w="90" w:type="dxa"/>
            </w:tcMar>
          </w:tcPr>
          <w:p>
            <w:pPr>
              <w:pStyle w:val="BDOITable"/>
            </w:pPr>
            <w:r>
              <w:rPr>
                <w:b/>
                <w:sz w:val="16"/>
              </w:rPr>
              <w:t>Section Heads and set-up users (Business Administrator)</w:t>
            </w:r>
          </w:p>
        </w:tc>
        <w:tc>
          <w:tcPr>
            <w:tcW w:type="dxa" w:w="7592"/>
            <w:tcMar>
              <w:top w:w="50" w:type="dxa"/>
              <w:bottom w:w="50" w:type="dxa"/>
              <w:left w:w="90" w:type="dxa"/>
              <w:right w:w="90" w:type="dxa"/>
            </w:tcMar>
          </w:tcPr>
          <w:p>
            <w:pPr>
              <w:pStyle w:val="BDOITable"/>
            </w:pPr>
            <w:r>
              <w:rPr>
                <w:sz w:val="16"/>
              </w:rPr>
              <w:t>Assignments, Collections Files and Collections Setup (SCR-CL-17 to 19); Escalation Rules (SCR-CL-13); configuration in chapter 9; the files DO-02 to DO-04</w:t>
            </w:r>
          </w:p>
        </w:tc>
      </w:tr>
      <w:tr>
        <w:tc>
          <w:tcPr>
            <w:tcW w:type="dxa" w:w="2380"/>
            <w:tcMar>
              <w:top w:w="50" w:type="dxa"/>
              <w:bottom w:w="50" w:type="dxa"/>
              <w:left w:w="90" w:type="dxa"/>
              <w:right w:w="90" w:type="dxa"/>
            </w:tcMar>
            <w:shd w:val="clear" w:color="auto" w:fill="E5F5FF"/>
          </w:tcPr>
          <w:p>
            <w:pPr>
              <w:pStyle w:val="BDOITable"/>
            </w:pPr>
            <w:r>
              <w:rPr>
                <w:b/>
                <w:sz w:val="16"/>
              </w:rPr>
              <w:t>Operations: Cashiering and Commission Receivables (BRD-2)</w:t>
            </w:r>
          </w:p>
        </w:tc>
        <w:tc>
          <w:tcPr>
            <w:tcW w:type="dxa" w:w="7592"/>
            <w:tcMar>
              <w:top w:w="50" w:type="dxa"/>
              <w:bottom w:w="50" w:type="dxa"/>
              <w:left w:w="90" w:type="dxa"/>
              <w:right w:w="90" w:type="dxa"/>
            </w:tcMar>
            <w:shd w:val="clear" w:color="auto" w:fill="E5F5FF"/>
          </w:tcPr>
          <w:p>
            <w:pPr>
              <w:pStyle w:val="BDOITable"/>
            </w:pPr>
            <w:r>
              <w:rPr>
                <w:sz w:val="16"/>
              </w:rPr>
              <w:t>The hand-offs and requests (FRS sections 4.4 and 4.8, chapter 19); walkthroughs A (step 6) and C (step 3); the DP PR and PR 2307 for Reversal files; FRS section 4.10 for the commission receivable gate</w:t>
            </w:r>
          </w:p>
        </w:tc>
      </w:tr>
      <w:tr>
        <w:tc>
          <w:tcPr>
            <w:tcW w:type="dxa" w:w="2380"/>
            <w:tcMar>
              <w:top w:w="50" w:type="dxa"/>
              <w:bottom w:w="50" w:type="dxa"/>
              <w:left w:w="90" w:type="dxa"/>
              <w:right w:w="90" w:type="dxa"/>
            </w:tcMar>
          </w:tcPr>
          <w:p>
            <w:pPr>
              <w:pStyle w:val="BDOITable"/>
            </w:pPr>
            <w:r>
              <w:rPr>
                <w:b/>
                <w:sz w:val="16"/>
              </w:rPr>
              <w:t>Comptrollership</w:t>
            </w:r>
          </w:p>
        </w:tc>
        <w:tc>
          <w:tcPr>
            <w:tcW w:type="dxa" w:w="7592"/>
            <w:tcMar>
              <w:top w:w="50" w:type="dxa"/>
              <w:bottom w:w="50" w:type="dxa"/>
              <w:left w:w="90" w:type="dxa"/>
              <w:right w:w="90" w:type="dxa"/>
            </w:tcMar>
          </w:tcPr>
          <w:p>
            <w:pPr>
              <w:pStyle w:val="BDOITable"/>
            </w:pPr>
            <w:r>
              <w:rPr>
                <w:sz w:val="16"/>
              </w:rPr>
              <w:t>FRS section 4.10 (commission receivable and incentives, rows FR-CL-090 to 094) and the proposed rules of chapter 21 on them</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cross-BRD contract (chapter 19);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clxhandler (Collection Handler), clxtl (Collection Team Lead), clxuh (Section Head), ao (Marketing Account Officer), mkttl (Marketing Team Lead), mkthandler (Marketing Handler), upphandler (Unapplied Payment Handler), proc (Processing), cashier (Cashiering), disb (Disbursement), comptrol (Comptrollership), badmin (Business Administrator),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v2.0 in the BRD-04 folder; invitations to the sessions</w:t>
            </w:r>
          </w:p>
        </w:tc>
        <w:tc>
          <w:tcPr>
            <w:tcW w:type="dxa" w:w="1926"/>
            <w:tcMar>
              <w:top w:w="50" w:type="dxa"/>
              <w:bottom w:w="50" w:type="dxa"/>
              <w:left w:w="90" w:type="dxa"/>
              <w:right w:w="90" w:type="dxa"/>
            </w:tcMar>
          </w:tcPr>
          <w:p>
            <w:pPr>
              <w:pStyle w:val="BDOITable"/>
            </w:pPr>
            <w:r>
              <w:rPr>
                <w:sz w:val="15"/>
              </w:rPr>
              <w:t>Day 0 (Thu 1-Oct-2026); sessions scheduled after the BRD-2 Operations walkthroughs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Collections and Marketing Support, Marketing unit heads; I: Operations, BDOI IT</w:t>
            </w:r>
          </w:p>
        </w:tc>
        <w:tc>
          <w:tcPr>
            <w:tcW w:type="dxa" w:w="2946"/>
            <w:tcMar>
              <w:top w:w="50" w:type="dxa"/>
              <w:bottom w:w="50" w:type="dxa"/>
              <w:left w:w="90" w:type="dxa"/>
              <w:right w:w="90" w:type="dxa"/>
            </w:tcMar>
            <w:shd w:val="clear" w:color="auto" w:fill="E5F5FF"/>
          </w:tcPr>
          <w:p>
            <w:pPr>
              <w:pStyle w:val="BDOITable"/>
            </w:pPr>
            <w:r>
              <w:rPr>
                <w:sz w:val="15"/>
              </w:rPr>
              <w:t>Screens shown live (worklist and account, promises and escalations, unapplied payments, plans and billing, set-up);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3 sessions, 23 to 25-Nov-2026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Collection handlers and team leads, Marketing AOs and unit heads; A: Collections and Marketing Support;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Wed 9-Dec-2026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Mon 14-Dec-2026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(v2.1)</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v2.1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v2.1 on Wed 16-Dec-2026; check by the reviewers until Fri 18-Dec-2026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Marketing heads, Operations Head, Comptrollership,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Tue 22-Dec-2026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Wed 23-Dec-2026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unit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unit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Units</w:t>
            </w:r>
          </w:p>
        </w:tc>
      </w:tr>
      <w:tr>
        <w:trPr>
          <w:cantSplit w:val="true"/>
        </w:trPr>
        <w:tc>
          <w:tcPr>
            <w:tcW w:type="dxa" w:w="2040"/>
            <w:tcMar>
              <w:top w:w="50" w:type="dxa"/>
              <w:bottom w:w="50" w:type="dxa"/>
              <w:left w:w="90" w:type="dxa"/>
              <w:right w:w="90" w:type="dxa"/>
            </w:tcMar>
          </w:tcPr>
          <w:p>
            <w:pPr>
              <w:pStyle w:val="BDOITable"/>
            </w:pPr>
            <w:r>
              <w:rPr>
                <w:sz w:val="18"/>
              </w:rPr>
              <w:t>Mon 23-Nov-2026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PR Worklist and the collection account, assignment, efforts and dispositions with the hand-off to Cashiering (walkthrough A, walkthrough E steps 1-2)</w:t>
            </w:r>
          </w:p>
        </w:tc>
        <w:tc>
          <w:tcPr>
            <w:tcW w:type="dxa" w:w="2493"/>
            <w:tcMar>
              <w:top w:w="50" w:type="dxa"/>
              <w:bottom w:w="50" w:type="dxa"/>
              <w:left w:w="90" w:type="dxa"/>
              <w:right w:w="90" w:type="dxa"/>
            </w:tcMar>
          </w:tcPr>
          <w:p>
            <w:pPr>
              <w:pStyle w:val="BDOITable"/>
            </w:pPr>
            <w:r>
              <w:rPr>
                <w:sz w:val="18"/>
              </w:rPr>
              <w:t>Collections and Marketing Support, Marketing, Cashiering</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24-Nov-2026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Promises to pay, escalations and escalation rules; installment plans and statements of account (walkthroughs B and D, walkthrough E step 3)</w:t>
            </w:r>
          </w:p>
        </w:tc>
        <w:tc>
          <w:tcPr>
            <w:tcW w:type="dxa" w:w="2493"/>
            <w:tcMar>
              <w:top w:w="50" w:type="dxa"/>
              <w:bottom w:w="50" w:type="dxa"/>
              <w:left w:w="90" w:type="dxa"/>
              <w:right w:w="90" w:type="dxa"/>
            </w:tcMar>
            <w:shd w:val="clear" w:color="auto" w:fill="E5F5FF"/>
          </w:tcPr>
          <w:p>
            <w:pPr>
              <w:pStyle w:val="BDOITable"/>
            </w:pPr>
            <w:r>
              <w:rPr>
                <w:sz w:val="18"/>
              </w:rPr>
              <w:t>Collections and Marketing Support, Marketing heads</w:t>
            </w:r>
          </w:p>
        </w:tc>
      </w:tr>
      <w:tr>
        <w:trPr>
          <w:cantSplit w:val="true"/>
        </w:trPr>
        <w:tc>
          <w:tcPr>
            <w:tcW w:type="dxa" w:w="2040"/>
            <w:tcMar>
              <w:top w:w="50" w:type="dxa"/>
              <w:bottom w:w="50" w:type="dxa"/>
              <w:left w:w="90" w:type="dxa"/>
              <w:right w:w="90" w:type="dxa"/>
            </w:tcMar>
          </w:tcPr>
          <w:p>
            <w:pPr>
              <w:pStyle w:val="BDOITable"/>
            </w:pPr>
            <w:r>
              <w:rPr>
                <w:sz w:val="18"/>
              </w:rPr>
              <w:t>Wed 25-Nov-2026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Unapplied payments and the requests to Cashiering; Collections files, set-up, the upload template and the commission receivable rows (walkthrough C, walkthrough E step 4)</w:t>
            </w:r>
          </w:p>
        </w:tc>
        <w:tc>
          <w:tcPr>
            <w:tcW w:type="dxa" w:w="2493"/>
            <w:tcMar>
              <w:top w:w="50" w:type="dxa"/>
              <w:bottom w:w="50" w:type="dxa"/>
              <w:left w:w="90" w:type="dxa"/>
              <w:right w:w="90" w:type="dxa"/>
            </w:tcMar>
          </w:tcPr>
          <w:p>
            <w:pPr>
              <w:pStyle w:val="BDOITable"/>
            </w:pPr>
            <w:r>
              <w:rPr>
                <w:sz w:val="18"/>
              </w:rPr>
              <w:t>Unapplied payment handlers, Cashiering, Commission Receivables, Comptrollership,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files and the template that the user sees or fills in, the validations, business rules, messages, notifications, documents, walkthroughs and files. The business users sign that content. Technical content (the interfaces between systems, data storage, security set-up) is not part of the set: it is in the Technical Specification, a separate document reviewed by BDOI IT. The roles are those of the approval sheets of the Collections BRD: iorta TechNXT and the Business Analyst of Business Project Services prepare the set, Collections and Marketing Support with Marketing and Operations: Financial Transactions and Processing provide the input, the Operations Head and BDOI IT review it, and the Program Manager of Business Project Services, the Product Owners, the Marketing heads and the Head of Comptrollership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 FT&amp;P input</w:t>
            </w:r>
          </w:p>
        </w:tc>
        <w:tc>
          <w:tcPr>
            <w:tcW w:type="dxa" w:w="1700"/>
            <w:tcMar>
              <w:top w:w="50" w:type="dxa"/>
              <w:bottom w:w="50" w:type="dxa"/>
              <w:left w:w="90" w:type="dxa"/>
              <w:right w:w="90" w:type="dxa"/>
            </w:tcMar>
          </w:tcPr>
          <w:p>
            <w:pPr>
              <w:pStyle w:val="BDOITable"/>
            </w:pPr>
            <w:r>
              <w:rPr>
                <w:sz w:val="15"/>
              </w:rPr>
              <w:t>Program Manager (BPS), Operations Head</w:t>
            </w:r>
          </w:p>
        </w:tc>
        <w:tc>
          <w:tcPr>
            <w:tcW w:type="dxa" w:w="2153"/>
            <w:tcMar>
              <w:top w:w="50" w:type="dxa"/>
              <w:bottom w:w="50" w:type="dxa"/>
              <w:left w:w="90" w:type="dxa"/>
              <w:right w:w="90" w:type="dxa"/>
            </w:tcMar>
          </w:tcPr>
          <w:p>
            <w:pPr>
              <w:pStyle w:val="BDOITable"/>
            </w:pPr>
            <w:r>
              <w:rPr>
                <w:sz w:val="15"/>
              </w:rPr>
              <w:t>Product Owner, Product Owner (Operations), Marketing heads</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 BA (BPS)</w:t>
            </w:r>
          </w:p>
        </w:tc>
        <w:tc>
          <w:tcPr>
            <w:tcW w:type="dxa" w:w="1700"/>
            <w:tcMar>
              <w:top w:w="50" w:type="dxa"/>
              <w:bottom w:w="50" w:type="dxa"/>
              <w:left w:w="90" w:type="dxa"/>
              <w:right w:w="90" w:type="dxa"/>
            </w:tcMar>
            <w:shd w:val="clear" w:color="auto" w:fill="E5F5FF"/>
          </w:tcPr>
          <w:p>
            <w:pPr>
              <w:pStyle w:val="BDOITable"/>
            </w:pPr>
            <w:r>
              <w:rPr>
                <w:sz w:val="15"/>
              </w:rPr>
              <w:t>Program Manager (BPS), Operations Head</w:t>
            </w:r>
          </w:p>
        </w:tc>
        <w:tc>
          <w:tcPr>
            <w:tcW w:type="dxa" w:w="2153"/>
            <w:tcMar>
              <w:top w:w="50" w:type="dxa"/>
              <w:bottom w:w="50" w:type="dxa"/>
              <w:left w:w="90" w:type="dxa"/>
              <w:right w:w="90" w:type="dxa"/>
            </w:tcMar>
            <w:shd w:val="clear" w:color="auto" w:fill="E5F5FF"/>
          </w:tcPr>
          <w:p>
            <w:pPr>
              <w:pStyle w:val="BDOITable"/>
            </w:pPr>
            <w:r>
              <w:rPr>
                <w:sz w:val="15"/>
              </w:rPr>
              <w:t>Product Owner, Product Owner (Operations), Marketing heads</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Marketing heads</w:t>
            </w:r>
          </w:p>
        </w:tc>
      </w:tr>
      <w:tr>
        <w:tc>
          <w:tcPr>
            <w:tcW w:type="dxa" w:w="2946"/>
            <w:tcMar>
              <w:top w:w="50" w:type="dxa"/>
              <w:bottom w:w="50" w:type="dxa"/>
              <w:left w:w="90" w:type="dxa"/>
              <w:right w:w="90" w:type="dxa"/>
            </w:tcMar>
            <w:shd w:val="clear" w:color="auto" w:fill="E5F5FF"/>
          </w:tcPr>
          <w:p>
            <w:pPr>
              <w:pStyle w:val="BDOITable"/>
            </w:pPr>
            <w:r>
              <w:rPr>
                <w:b/>
                <w:sz w:val="15"/>
              </w:rPr>
              <w:t>Documents, files and reports (statement of account, worklist and reversal files, application file,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 FT&amp;P input</w:t>
            </w:r>
          </w:p>
        </w:tc>
        <w:tc>
          <w:tcPr>
            <w:tcW w:type="dxa" w:w="1700"/>
            <w:tcMar>
              <w:top w:w="50" w:type="dxa"/>
              <w:bottom w:w="50" w:type="dxa"/>
              <w:left w:w="90" w:type="dxa"/>
              <w:right w:w="90" w:type="dxa"/>
            </w:tcMar>
            <w:shd w:val="clear" w:color="auto" w:fill="E5F5FF"/>
          </w:tcPr>
          <w:p>
            <w:pPr>
              <w:pStyle w:val="BDOITable"/>
            </w:pPr>
            <w:r>
              <w:rPr>
                <w:sz w:val="15"/>
              </w:rPr>
              <w:t>Program Manager (BPS), Operations Head</w:t>
            </w:r>
          </w:p>
        </w:tc>
        <w:tc>
          <w:tcPr>
            <w:tcW w:type="dxa" w:w="2153"/>
            <w:tcMar>
              <w:top w:w="50" w:type="dxa"/>
              <w:bottom w:w="50" w:type="dxa"/>
              <w:left w:w="90" w:type="dxa"/>
              <w:right w:w="90" w:type="dxa"/>
            </w:tcMar>
            <w:shd w:val="clear" w:color="auto" w:fill="E5F5FF"/>
          </w:tcPr>
          <w:p>
            <w:pPr>
              <w:pStyle w:val="BDOITable"/>
            </w:pPr>
            <w:r>
              <w:rPr>
                <w:sz w:val="15"/>
              </w:rPr>
              <w:t>Product Owner, Marketing heads</w:t>
            </w:r>
          </w:p>
        </w:tc>
      </w:tr>
      <w:tr>
        <w:tc>
          <w:tcPr>
            <w:tcW w:type="dxa" w:w="2946"/>
            <w:tcMar>
              <w:top w:w="50" w:type="dxa"/>
              <w:bottom w:w="50" w:type="dxa"/>
              <w:left w:w="90" w:type="dxa"/>
              <w:right w:w="90" w:type="dxa"/>
            </w:tcMar>
          </w:tcPr>
          <w:p>
            <w:pPr>
              <w:pStyle w:val="BDOITable"/>
            </w:pPr>
            <w:r>
              <w:rPr>
                <w:b/>
                <w:sz w:val="15"/>
              </w:rPr>
              <w:t>Commission receivable gate and the draft rows on incentives (FR-CL-090 to 094)</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BA (BPS), 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Product Owner (Operations), Comptrollership</w:t>
            </w:r>
          </w:p>
        </w:tc>
      </w:tr>
      <w:tr>
        <w:tc>
          <w:tcPr>
            <w:tcW w:type="dxa" w:w="2946"/>
            <w:tcMar>
              <w:top w:w="50" w:type="dxa"/>
              <w:bottom w:w="50" w:type="dxa"/>
              <w:left w:w="90" w:type="dxa"/>
              <w:right w:w="90" w:type="dxa"/>
            </w:tcMar>
            <w:shd w:val="clear" w:color="auto" w:fill="E5F5FF"/>
          </w:tcPr>
          <w:p>
            <w:pPr>
              <w:pStyle w:val="BDOITable"/>
            </w:pPr>
            <w:r>
              <w:rPr>
                <w:b/>
                <w:sz w:val="15"/>
              </w:rPr>
              <w:t>Walkthroughs (end-to-end, screen by screen)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Proposed business rules and clarifications for confirmation</w:t>
            </w:r>
          </w:p>
        </w:tc>
        <w:tc>
          <w:tcPr>
            <w:tcW w:type="dxa" w:w="1360"/>
            <w:tcMar>
              <w:top w:w="50" w:type="dxa"/>
              <w:bottom w:w="50" w:type="dxa"/>
              <w:left w:w="90" w:type="dxa"/>
              <w:right w:w="90" w:type="dxa"/>
            </w:tcMar>
          </w:tcPr>
          <w:p>
            <w:pPr>
              <w:pStyle w:val="BDOITable"/>
            </w:pPr>
            <w:r>
              <w:rPr>
                <w:sz w:val="15"/>
              </w:rPr>
              <w:t>iorta TechNXT, BA (BPS)</w:t>
            </w:r>
          </w:p>
        </w:tc>
        <w:tc>
          <w:tcPr>
            <w:tcW w:type="dxa" w:w="1813"/>
            <w:tcMar>
              <w:top w:w="50" w:type="dxa"/>
              <w:bottom w:w="50" w:type="dxa"/>
              <w:left w:w="90" w:type="dxa"/>
              <w:right w:w="90" w:type="dxa"/>
            </w:tcMar>
          </w:tcPr>
          <w:p>
            <w:pPr>
              <w:pStyle w:val="BDOITable"/>
            </w:pPr>
            <w:r>
              <w:rPr>
                <w:sz w:val="15"/>
              </w:rPr>
              <w:t>Collections &amp; Marketing input, FT&amp;P input</w:t>
            </w:r>
          </w:p>
        </w:tc>
        <w:tc>
          <w:tcPr>
            <w:tcW w:type="dxa" w:w="1700"/>
            <w:tcMar>
              <w:top w:w="50" w:type="dxa"/>
              <w:bottom w:w="50" w:type="dxa"/>
              <w:left w:w="90" w:type="dxa"/>
              <w:right w:w="90" w:type="dxa"/>
            </w:tcMar>
          </w:tcPr>
          <w:p>
            <w:pPr>
              <w:pStyle w:val="BDOITable"/>
            </w:pPr>
            <w:r>
              <w:rPr>
                <w:sz w:val="15"/>
              </w:rPr>
              <w:t>Program Manager (BPS), Operations Head</w:t>
            </w:r>
          </w:p>
        </w:tc>
        <w:tc>
          <w:tcPr>
            <w:tcW w:type="dxa" w:w="2153"/>
            <w:tcMar>
              <w:top w:w="50" w:type="dxa"/>
              <w:bottom w:w="50" w:type="dxa"/>
              <w:left w:w="90" w:type="dxa"/>
              <w:right w:w="90" w:type="dxa"/>
            </w:tcMar>
          </w:tcPr>
          <w:p>
            <w:pPr>
              <w:pStyle w:val="BDOITable"/>
            </w:pPr>
            <w:r>
              <w:rPr>
                <w:sz w:val="15"/>
              </w:rPr>
              <w:t>Product Owner, Product Owner (Operations), Marketing heads</w:t>
            </w:r>
          </w:p>
        </w:tc>
      </w:tr>
      <w:tr>
        <w:tc>
          <w:tcPr>
            <w:tcW w:type="dxa" w:w="2946"/>
            <w:tcMar>
              <w:top w:w="50" w:type="dxa"/>
              <w:bottom w:w="50" w:type="dxa"/>
              <w:left w:w="90" w:type="dxa"/>
              <w:right w:w="90" w:type="dxa"/>
            </w:tcMar>
            <w:shd w:val="clear" w:color="auto" w:fill="E5F5FF"/>
          </w:tcPr>
          <w:p>
            <w:pPr>
              <w:pStyle w:val="BDOITable"/>
            </w:pPr>
            <w:r>
              <w:rPr>
                <w:b/>
                <w:sz w:val="15"/>
              </w:rPr>
              <w:t>Scheduled runs and files, hand-offs inside BIBS, user access and menus by persona</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BDOI IT, Operations Head</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Test plan (04 workbook, 05 summary)</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Collections &amp; Marketing input</w:t>
            </w:r>
          </w:p>
        </w:tc>
        <w:tc>
          <w:tcPr>
            <w:tcW w:type="dxa" w:w="1700"/>
            <w:tcMar>
              <w:top w:w="50" w:type="dxa"/>
              <w:bottom w:w="50" w:type="dxa"/>
              <w:left w:w="90" w:type="dxa"/>
              <w:right w:w="90" w:type="dxa"/>
            </w:tcMar>
          </w:tcPr>
          <w:p>
            <w:pPr>
              <w:pStyle w:val="BDOITable"/>
            </w:pPr>
            <w:r>
              <w:rPr>
                <w:sz w:val="15"/>
              </w:rPr>
              <w:t>Program Manager (BPS), 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Collections &amp; Marketing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BDOI IT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(Collections BRD approval sheets: CMS BRD p.93-94 (Prepared, Reviewed, Validated, Approved by), renumbering addendum p.34 and Collections Addendum p.22)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(Zean C. Ibay)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(p.93 and p.34)</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Collections and Marketing Support, HO Marketing Support BBG, Operations, Marketing and Business Services, Marketing - Head Office, Marketing Business Services and System Support (Pia Grace M. Pinili, Maria Victoria Evangelista, Grace Tordesillas, Ma. Fides E. Rivera, Arra R. Rivera, Rhommel Mark Galler) (BDOI)</w:t>
            </w:r>
          </w:p>
        </w:tc>
        <w:tc>
          <w:tcPr>
            <w:tcW w:type="dxa" w:w="3853"/>
            <w:tcMar>
              <w:top w:w="50" w:type="dxa"/>
              <w:bottom w:w="50" w:type="dxa"/>
              <w:left w:w="90" w:type="dxa"/>
              <w:right w:w="90" w:type="dxa"/>
            </w:tcMar>
          </w:tcPr>
          <w:p>
            <w:pPr>
              <w:pStyle w:val="BDOITable"/>
            </w:pPr>
            <w:r>
              <w:rPr>
                <w:sz w:val="15"/>
              </w:rPr>
              <w:t>The worklist, collection account, disposition, promise, installment, escalation, billing statement and unapplied payment screens, fields, rules and messages match the business input</w:t>
            </w:r>
          </w:p>
        </w:tc>
        <w:tc>
          <w:tcPr>
            <w:tcW w:type="dxa" w:w="2040"/>
            <w:tcMar>
              <w:top w:w="50" w:type="dxa"/>
              <w:bottom w:w="50" w:type="dxa"/>
              <w:left w:w="90" w:type="dxa"/>
              <w:right w:w="90" w:type="dxa"/>
            </w:tcMar>
          </w:tcPr>
          <w:p>
            <w:pPr>
              <w:pStyle w:val="BDOITable"/>
            </w:pPr>
            <w:r>
              <w:rPr>
                <w:sz w:val="15"/>
              </w:rPr>
              <w:t>Reviewed by (p.93, p.34, p.22); Input Provider in the intended audience (p.37)</w:t>
            </w:r>
          </w:p>
        </w:tc>
      </w:tr>
      <w:tr>
        <w:tc>
          <w:tcPr>
            <w:tcW w:type="dxa" w:w="1246"/>
            <w:tcMar>
              <w:top w:w="50" w:type="dxa"/>
              <w:bottom w:w="50" w:type="dxa"/>
              <w:left w:w="90" w:type="dxa"/>
              <w:right w:w="90" w:type="dxa"/>
            </w:tcMar>
            <w:shd w:val="clear" w:color="auto" w:fill="E5F5FF"/>
          </w:tcPr>
          <w:p>
            <w:pPr>
              <w:pStyle w:val="BDOITable"/>
            </w:pPr>
            <w:r>
              <w:rPr>
                <w:sz w:val="15"/>
              </w:rPr>
              <w:t>Input provided by</w:t>
            </w:r>
          </w:p>
        </w:tc>
        <w:tc>
          <w:tcPr>
            <w:tcW w:type="dxa" w:w="2833"/>
            <w:tcMar>
              <w:top w:w="50" w:type="dxa"/>
              <w:bottom w:w="50" w:type="dxa"/>
              <w:left w:w="90" w:type="dxa"/>
              <w:right w:w="90" w:type="dxa"/>
            </w:tcMar>
            <w:shd w:val="clear" w:color="auto" w:fill="E5F5FF"/>
          </w:tcPr>
          <w:p>
            <w:pPr>
              <w:pStyle w:val="BDOITable"/>
            </w:pPr>
            <w:r>
              <w:rPr>
                <w:sz w:val="15"/>
              </w:rPr>
              <w:t>Operations: Financial Transactions and Processing (Perjelyn Joy Gutierrez) (BDOI)</w:t>
            </w:r>
          </w:p>
        </w:tc>
        <w:tc>
          <w:tcPr>
            <w:tcW w:type="dxa" w:w="3853"/>
            <w:tcMar>
              <w:top w:w="50" w:type="dxa"/>
              <w:bottom w:w="50" w:type="dxa"/>
              <w:left w:w="90" w:type="dxa"/>
              <w:right w:w="90" w:type="dxa"/>
            </w:tcMar>
            <w:shd w:val="clear" w:color="auto" w:fill="E5F5FF"/>
          </w:tcPr>
          <w:p>
            <w:pPr>
              <w:pStyle w:val="BDOITable"/>
            </w:pPr>
            <w:r>
              <w:rPr>
                <w:sz w:val="15"/>
              </w:rPr>
              <w:t>The hand-offs to Cashiering and Commission Receivables, the requests on unapplied payments and the reversal files match what Operations carries out</w:t>
            </w:r>
          </w:p>
        </w:tc>
        <w:tc>
          <w:tcPr>
            <w:tcW w:type="dxa" w:w="2040"/>
            <w:tcMar>
              <w:top w:w="50" w:type="dxa"/>
              <w:bottom w:w="50" w:type="dxa"/>
              <w:left w:w="90" w:type="dxa"/>
              <w:right w:w="90" w:type="dxa"/>
            </w:tcMar>
            <w:shd w:val="clear" w:color="auto" w:fill="E5F5FF"/>
          </w:tcPr>
          <w:p>
            <w:pPr>
              <w:pStyle w:val="BDOITable"/>
            </w:pPr>
            <w:r>
              <w:rPr>
                <w:sz w:val="15"/>
              </w:rPr>
              <w:t>Reviewed by (p.93); Input Provider (p.37)</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VP and Head, BDOI Operations (John Benedict S. Santos) (BDOI)</w:t>
            </w:r>
          </w:p>
        </w:tc>
        <w:tc>
          <w:tcPr>
            <w:tcW w:type="dxa" w:w="3853"/>
            <w:tcMar>
              <w:top w:w="50" w:type="dxa"/>
              <w:bottom w:w="50" w:type="dxa"/>
              <w:left w:w="90" w:type="dxa"/>
              <w:right w:w="90" w:type="dxa"/>
            </w:tcMar>
          </w:tcPr>
          <w:p>
            <w:pPr>
              <w:pStyle w:val="BDOITable"/>
            </w:pPr>
            <w:r>
              <w:rPr>
                <w:sz w:val="15"/>
              </w:rPr>
              <w:t>The Collections process with Operations and the caveat of p.93: exports and downloads run in the background and do not slow the system</w:t>
            </w:r>
          </w:p>
        </w:tc>
        <w:tc>
          <w:tcPr>
            <w:tcW w:type="dxa" w:w="2040"/>
            <w:tcMar>
              <w:top w:w="50" w:type="dxa"/>
              <w:bottom w:w="50" w:type="dxa"/>
              <w:left w:w="90" w:type="dxa"/>
              <w:right w:w="90" w:type="dxa"/>
            </w:tcMar>
          </w:tcPr>
          <w:p>
            <w:pPr>
              <w:pStyle w:val="BDOITable"/>
            </w:pPr>
            <w:r>
              <w:rPr>
                <w:sz w:val="15"/>
              </w:rPr>
              <w:t>Reviewed by, with the caveat on exports (p.93)</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IT Core Business Delivery (Reynaldo Valera Jr.) and IT AIO Core Business Delivery - Insurance (Wynonah Allyssa D. Agojo) (BDOI)</w:t>
            </w:r>
          </w:p>
        </w:tc>
        <w:tc>
          <w:tcPr>
            <w:tcW w:type="dxa" w:w="3853"/>
            <w:tcMar>
              <w:top w:w="50" w:type="dxa"/>
              <w:bottom w:w="50" w:type="dxa"/>
              <w:left w:w="90" w:type="dxa"/>
              <w:right w:w="90" w:type="dxa"/>
            </w:tcMar>
            <w:shd w:val="clear" w:color="auto" w:fill="E5F5FF"/>
          </w:tcPr>
          <w:p>
            <w:pPr>
              <w:pStyle w:val="BDOITable"/>
            </w:pPr>
            <w:r>
              <w:rPr>
                <w:sz w:val="15"/>
              </w:rPr>
              <w:t>Scheduled runs and files, user access and menus, the hand-offs inside BIBS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Validated by and Prepared by (p.93-94); Reviewed by (p.34)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Program Manager, Enterprise Services Group - Business Project Services (BPS) (Dan Ace Cauton) (BDO Unibank ESG)</w:t>
            </w:r>
          </w:p>
        </w:tc>
        <w:tc>
          <w:tcPr>
            <w:tcW w:type="dxa" w:w="3853"/>
            <w:tcMar>
              <w:top w:w="50" w:type="dxa"/>
              <w:bottom w:w="50" w:type="dxa"/>
              <w:left w:w="90" w:type="dxa"/>
              <w:right w:w="90" w:type="dxa"/>
            </w:tcMar>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tcPr>
          <w:p>
            <w:pPr>
              <w:pStyle w:val="BDOITable"/>
            </w:pPr>
            <w:r>
              <w:rPr>
                <w:sz w:val="15"/>
              </w:rPr>
              <w:t>Validated by (p.94); Approved by (p.34); Reviewed by (p.22)</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AVP (Shellah Marie C. Miranda)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(p.94, p.34, p.22)</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Product Owner, AVP (Jose Melvin Jarin) (BDOI)</w:t>
            </w:r>
          </w:p>
        </w:tc>
        <w:tc>
          <w:tcPr>
            <w:tcW w:type="dxa" w:w="3853"/>
            <w:tcMar>
              <w:top w:w="50" w:type="dxa"/>
              <w:bottom w:w="50" w:type="dxa"/>
              <w:left w:w="90" w:type="dxa"/>
              <w:right w:w="90" w:type="dxa"/>
            </w:tcMar>
          </w:tcPr>
          <w:p>
            <w:pPr>
              <w:pStyle w:val="BDOITable"/>
            </w:pPr>
            <w:r>
              <w:rPr>
                <w:sz w:val="15"/>
              </w:rPr>
              <w:t>The addendum functions: escalation, bulk update, reassignment, installments, promises, billing statements</w:t>
            </w:r>
          </w:p>
        </w:tc>
        <w:tc>
          <w:tcPr>
            <w:tcW w:type="dxa" w:w="2040"/>
            <w:tcMar>
              <w:top w:w="50" w:type="dxa"/>
              <w:bottom w:w="50" w:type="dxa"/>
              <w:left w:w="90" w:type="dxa"/>
              <w:right w:w="90" w:type="dxa"/>
            </w:tcMar>
          </w:tcPr>
          <w:p>
            <w:pPr>
              <w:pStyle w:val="BDOITable"/>
            </w:pPr>
            <w:r>
              <w:rPr>
                <w:sz w:val="15"/>
              </w:rPr>
              <w:t>Approved by (p.22)</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Unit Head - Combank and Corbank (Mark Joseph C. Makalintal) and Heads of Retail Marketing (Edmundante F. Ramirez, Roderick Lim) (BDOI)</w:t>
            </w:r>
          </w:p>
        </w:tc>
        <w:tc>
          <w:tcPr>
            <w:tcW w:type="dxa" w:w="3853"/>
            <w:tcMar>
              <w:top w:w="50" w:type="dxa"/>
              <w:bottom w:w="50" w:type="dxa"/>
              <w:left w:w="90" w:type="dxa"/>
              <w:right w:w="90" w:type="dxa"/>
            </w:tcMar>
            <w:shd w:val="clear" w:color="auto" w:fill="E5F5FF"/>
          </w:tcPr>
          <w:p>
            <w:pPr>
              <w:pStyle w:val="BDOITable"/>
            </w:pPr>
            <w:r>
              <w:rPr>
                <w:sz w:val="15"/>
              </w:rPr>
              <w:t>The collector screens, rules and messages for the Corporate, Commercial and Retail Marketing units</w:t>
            </w:r>
          </w:p>
        </w:tc>
        <w:tc>
          <w:tcPr>
            <w:tcW w:type="dxa" w:w="2040"/>
            <w:tcMar>
              <w:top w:w="50" w:type="dxa"/>
              <w:bottom w:w="50" w:type="dxa"/>
              <w:left w:w="90" w:type="dxa"/>
              <w:right w:w="90" w:type="dxa"/>
            </w:tcMar>
            <w:shd w:val="clear" w:color="auto" w:fill="E5F5FF"/>
          </w:tcPr>
          <w:p>
            <w:pPr>
              <w:pStyle w:val="BDOITable"/>
            </w:pPr>
            <w:r>
              <w:rPr>
                <w:sz w:val="15"/>
              </w:rPr>
              <w:t>Approved by (p.22)</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Head - Comptrollership, VP (Ronald Allan E. De Leon) (BDOI)</w:t>
            </w:r>
          </w:p>
        </w:tc>
        <w:tc>
          <w:tcPr>
            <w:tcW w:type="dxa" w:w="3853"/>
            <w:tcMar>
              <w:top w:w="50" w:type="dxa"/>
              <w:bottom w:w="50" w:type="dxa"/>
              <w:left w:w="90" w:type="dxa"/>
              <w:right w:w="90" w:type="dxa"/>
            </w:tcMar>
          </w:tcPr>
          <w:p>
            <w:pPr>
              <w:pStyle w:val="BDOITable"/>
            </w:pPr>
            <w:r>
              <w:rPr>
                <w:sz w:val="15"/>
              </w:rPr>
              <w:t>The commission receivable gate and the draft rows on incentives, commission refunds and mixed payments</w:t>
            </w:r>
          </w:p>
        </w:tc>
        <w:tc>
          <w:tcPr>
            <w:tcW w:type="dxa" w:w="2040"/>
            <w:tcMar>
              <w:top w:w="50" w:type="dxa"/>
              <w:bottom w:w="50" w:type="dxa"/>
              <w:left w:w="90" w:type="dxa"/>
              <w:right w:w="90" w:type="dxa"/>
            </w:tcMar>
          </w:tcPr>
          <w:p>
            <w:pPr>
              <w:pStyle w:val="BDOITable"/>
            </w:pPr>
            <w:r>
              <w:rPr>
                <w:sz w:val="15"/>
              </w:rPr>
              <w:t>Approved by (p.22)</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Collections screens, fields, navigation, actions, business rules, messages, notifications, documents and files, the upload template and the cross-BRD contract as specified. Configuration values marked "default" (threshold, aging, edit-lock time, export cap, list entries, disposition attributes, escalation and assignment rules, the statement template) are not frozen. A change to anything frozen is raised in the Change Management Register with the screen, field, rule or message concerned, assessed with its mandays and its effect on the other BRDs (Collections reads the Operations ledger and hands work to Cashiering, Commission Receivables and Adjustment),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BRD-4 Collections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BRD-04,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