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Customer Servicing Facility Test Plan</w:t>
      </w:r>
    </w:p>
    <w:p>
      <w:pPr>
        <w:spacing w:after="40"/>
      </w:pPr>
      <w:r>
        <w:rPr>
          <w:color w:val="2E2E2E"/>
          <w:sz w:val="28"/>
        </w:rPr>
        <w:t>BRD-9 Customer Servicing Facility (CSF)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BRD-9 v1.0 and the Customer Servicing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Search, servicing view, contact changes, resends,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Status mapping and contact rules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 referenced</w:t>
        </w:r>
        <w:r>
          <w:t xml:space="preserve">	</w:t>
        </w:r>
        <w:r>
          <w:t xml:space="preserve">13</w:t>
        </w:r>
      </w:hyperlink>
    </w:p>
    <w:p>
      <w:pPr>
        <w:pStyle w:val="toc1"/>
      </w:pPr>
      <w:hyperlink w:anchor="_Toc000127" w:history="1">
        <w:r>
          <w:t xml:space="preserve">8 Risks</w:t>
        </w:r>
        <w:r>
          <w:t xml:space="preserve">	</w:t>
        </w:r>
        <w:r>
          <w:t xml:space="preserve">13</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BRD-9 Customer Servicing Facility (CSF) in BIBS (BDOI Broker System, on iNXT BrokerVerse). It tells the BDO Insure Contact Center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BIBS_TestPlan_BRD-09_Customer_Servicing_Facility_v1.0.xlsx</w:t>
      </w:r>
      <w:r>
        <w:rPr/>
        <w:t>, which the testers use during execution.</w:t>
      </w:r>
    </w:p>
    <w:p>
      <w:r>
        <w:rPr/>
        <w:t>Every case traces to a functional requirement (FR) of FRS BRD-9 v1.0 and to the BRD requirement IDs (BRCSF-nnn, the process steps nnn.nnn, and the e-mail items CSF-EM07 and CSF-EM09) that the FR meets.</w:t>
      </w:r>
    </w:p>
    <w:p>
      <w:r>
        <w:rPr/>
        <w:t>The CSF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17 FRs of FRS BRD-9 v1.0 and the BRD IDs they trace to:</w:t>
      </w:r>
    </w:p>
    <w:p>
      <w:pPr>
        <w:tabs>
          <w:tab w:pos="312" w:val="left"/>
        </w:tabs>
        <w:spacing w:after="40"/>
        <w:ind w:left="312" w:hanging="283"/>
      </w:pPr>
      <w:r>
        <w:rPr>
          <w:color w:val="004EA8"/>
        </w:rPr>
        <w:t>•</w:t>
        <w:tab/>
      </w:r>
      <w:r>
        <w:rPr/>
        <w:t>log-in and role-based access for agents, supervisors and management (FR-CSF-001, 002);</w:t>
      </w:r>
    </w:p>
    <w:p>
      <w:pPr>
        <w:tabs>
          <w:tab w:pos="312" w:val="left"/>
        </w:tabs>
        <w:spacing w:after="40"/>
        <w:ind w:left="312" w:hanging="283"/>
      </w:pPr>
      <w:r>
        <w:rPr>
          <w:color w:val="004EA8"/>
        </w:rPr>
        <w:t>•</w:t>
        <w:tab/>
      </w:r>
      <w:r>
        <w:rPr/>
        <w:t>the Customer Search by name, client ID, account number, PN number and application number (FR-CSF-010);</w:t>
      </w:r>
    </w:p>
    <w:p>
      <w:pPr>
        <w:tabs>
          <w:tab w:pos="312" w:val="left"/>
        </w:tabs>
        <w:spacing w:after="40"/>
        <w:ind w:left="312" w:hanging="283"/>
      </w:pPr>
      <w:r>
        <w:rPr>
          <w:color w:val="004EA8"/>
        </w:rPr>
        <w:t>•</w:t>
        <w:tab/>
      </w:r>
      <w:r>
        <w:rPr/>
        <w:t>the Servicing View with client information, accounts, CSF status and payment history (FR-CSF-011 to 013);</w:t>
      </w:r>
    </w:p>
    <w:p>
      <w:pPr>
        <w:tabs>
          <w:tab w:pos="312" w:val="left"/>
        </w:tabs>
        <w:spacing w:after="40"/>
        <w:ind w:left="312" w:hanging="283"/>
      </w:pPr>
      <w:r>
        <w:rPr>
          <w:color w:val="004EA8"/>
        </w:rPr>
        <w:t>•</w:t>
        <w:tab/>
      </w:r>
      <w:r>
        <w:rPr/>
        <w:t>verification of the caller, contact-only update and the legacy sync outbox for QPS and EBIX (FR-CSF-020 to 022);</w:t>
      </w:r>
    </w:p>
    <w:p>
      <w:pPr>
        <w:tabs>
          <w:tab w:pos="312" w:val="left"/>
        </w:tabs>
        <w:spacing w:after="40"/>
        <w:ind w:left="312" w:hanging="283"/>
      </w:pPr>
      <w:r>
        <w:rPr>
          <w:color w:val="004EA8"/>
        </w:rPr>
        <w:t>•</w:t>
        <w:tab/>
      </w:r>
      <w:r>
        <w:rPr/>
        <w:t>renewal advice and e-policy resend, document upload and retrieval (FR-CSF-030 to 033);</w:t>
      </w:r>
    </w:p>
    <w:p>
      <w:pPr>
        <w:tabs>
          <w:tab w:pos="312" w:val="left"/>
        </w:tabs>
        <w:spacing w:after="120"/>
        <w:ind w:left="312" w:hanging="283"/>
      </w:pPr>
      <w:r>
        <w:rPr>
          <w:color w:val="004EA8"/>
        </w:rPr>
        <w:t>•</w:t>
        <w:tab/>
      </w:r>
      <w:r>
        <w:rPr/>
        <w:t>the audit trail, the CSF reports, the agent activity log and the 15-minute backup (FR-CSF-040 to 043).</w:t>
      </w:r>
    </w:p>
    <w:p>
      <w:r>
        <w:rPr/>
        <w:t>The roles-and-access sheet checks each CSF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Case management and inquiry logging, deferred by the e-mail of 13-Feb-2026 (CSF-EM10).</w:t>
      </w:r>
    </w:p>
    <w:p>
      <w:pPr>
        <w:tabs>
          <w:tab w:pos="312" w:val="left"/>
        </w:tabs>
        <w:spacing w:after="40"/>
        <w:ind w:left="312" w:hanging="283"/>
      </w:pPr>
      <w:r>
        <w:rPr>
          <w:color w:val="004EA8"/>
        </w:rPr>
        <w:t>•</w:t>
        <w:tab/>
      </w:r>
      <w:r>
        <w:rPr/>
        <w:t>Changes other than contact details (name, civil status, ID); the cases check only that BIBS refuses them and names the fulfilment unit.</w:t>
      </w:r>
    </w:p>
    <w:p>
      <w:pPr>
        <w:tabs>
          <w:tab w:pos="312" w:val="left"/>
        </w:tabs>
        <w:spacing w:after="40"/>
        <w:ind w:left="312" w:hanging="283"/>
      </w:pPr>
      <w:r>
        <w:rPr>
          <w:color w:val="004EA8"/>
        </w:rPr>
        <w:t>•</w:t>
        <w:tab/>
      </w:r>
      <w:r>
        <w:rPr/>
        <w:t>The transport of contact changes to QPS and EBIX and the lookup of accounts that exist only there (CSQ01, CSQ02). The cases check the outbox with sync disabled; the sending cases run only when a test interface exists.</w:t>
      </w:r>
    </w:p>
    <w:p>
      <w:pPr>
        <w:tabs>
          <w:tab w:pos="312" w:val="left"/>
        </w:tabs>
        <w:spacing w:after="40"/>
        <w:ind w:left="312" w:hanging="283"/>
      </w:pPr>
      <w:r>
        <w:rPr>
          <w:color w:val="004EA8"/>
        </w:rPr>
        <w:t>•</w:t>
        <w:tab/>
      </w:r>
      <w:r>
        <w:rPr/>
        <w:t>The production of renewal advices, e-policies and claims reports; they belong to BRD-6, BRD-8, BRD-1 and BRD-7. The CSF cases read and resend them.</w:t>
      </w:r>
    </w:p>
    <w:p>
      <w:pPr>
        <w:tabs>
          <w:tab w:pos="312" w:val="left"/>
        </w:tabs>
        <w:spacing w:after="120"/>
        <w:ind w:left="312" w:hanging="283"/>
      </w:pPr>
      <w:r>
        <w:rPr>
          <w:color w:val="004EA8"/>
        </w:rPr>
        <w:t>•</w:t>
        <w:tab/>
      </w:r>
      <w:r>
        <w:rPr/>
        <w:t>Performance and volume testing beyond the response times named in the FRs.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BRD-9 Customer Servicing Facility (</w:t>
            </w:r>
            <w:r>
              <w:rPr>
                <w:rFonts w:ascii="Courier New" w:hAnsi="Courier New" w:cs="Courier New" w:eastAsia="Courier New"/>
                <w:color w:val="2E2E2E"/>
                <w:sz w:val="16"/>
              </w:rPr>
              <w:t>BIBS_FRS_BRD-09_Customer_Servicing_Facility_v1.0.docx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Customer Servicing Facility BRD and e-mail thread (</w:t>
            </w:r>
            <w:r>
              <w:rPr>
                <w:rFonts w:ascii="Courier New" w:hAnsi="Courier New" w:cs="Courier New" w:eastAsia="Courier New"/>
                <w:color w:val="2E2E2E"/>
                <w:sz w:val="16"/>
              </w:rPr>
              <w:t>docs/source-documents/Customer Servicing Facility.PDF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09-Jun-2025; e-mail 13-Feb-2026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BRD-9 (</w:t>
            </w:r>
            <w:r>
              <w:rPr>
                <w:rFonts w:ascii="Courier New" w:hAnsi="Courier New" w:cs="Courier New" w:eastAsia="Courier New"/>
                <w:color w:val="2E2E2E"/>
                <w:sz w:val="16"/>
              </w:rPr>
              <w:t>BIBS_TestPlan_BRD-09_Customer_Servicing_Facility_v1.0.xlsx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Customer Servicing Facility build design (</w:t>
            </w:r>
            <w:r>
              <w:rPr>
                <w:rFonts w:ascii="Courier New" w:hAnsi="Courier New" w:cs="Courier New" w:eastAsia="Courier New"/>
                <w:color w:val="2E2E2E"/>
                <w:sz w:val="16"/>
              </w:rPr>
              <w:t>docs/architecture/CUSTOMER_SERVICING_DESIGN.md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Search keys, status mapping, verification rules, contact-only update, outbox, resend and upload checks, permissions,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during the build;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the CSF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from start to finish by the persona that owns each step, with e-mails checked in the test mailboxes</w:t>
            </w:r>
          </w:p>
        </w:tc>
        <w:tc>
          <w:tcPr>
            <w:tcW w:type="dxa" w:w="2163"/>
            <w:tcMar>
              <w:top w:w="50" w:type="dxa"/>
              <w:bottom w:w="50" w:type="dxa"/>
              <w:left w:w="90" w:type="dxa"/>
              <w:right w:w="90" w:type="dxa"/>
            </w:tcMar>
          </w:tcPr>
          <w:p>
            <w:pPr>
              <w:pStyle w:val="BDOITable"/>
            </w:pPr>
            <w:r>
              <w:rPr>
                <w:sz w:val="18"/>
              </w:rPr>
              <w:t>iorta TechNXT QA with the Contact Center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Contact Center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 Insure Contact Center agents, supervisors and management</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e-mails and reports are what the agent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"A verification with at least 2 of the 4 checks matched passes".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search characters, 1 and 2 verification matches, 29 and 31 minutes after a verification, 12 months and 1 day of payment history, 2 and 3 failed log-ins.</w:t>
      </w:r>
    </w:p>
    <w:p>
      <w:pPr>
        <w:tabs>
          <w:tab w:pos="312" w:val="left"/>
        </w:tabs>
        <w:spacing w:after="40"/>
        <w:ind w:left="312" w:hanging="283"/>
      </w:pPr>
      <w:r>
        <w:rPr>
          <w:color w:val="004EA8"/>
        </w:rPr>
        <w:t>•</w:t>
        <w:tab/>
      </w:r>
      <w:r>
        <w:rPr>
          <w:b/>
        </w:rPr>
        <w:t>Scenarios</w:t>
      </w:r>
      <w:r>
        <w:rPr/>
        <w:t xml:space="preserve"> (sheet Scenarios) group the cases into the threads of a servicing contact, so a tester can follow a call from the search to the resend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contact change, a resend or an unlock that moves a record to its next state</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the client or an account and files downloaded or previewed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TC-CSF-020.2-01 is the first case of condition 2 of FR-CSF-020.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CSF is built and deployed on SIT with its roles, parameters and lists; CI is green on the deployed commit; the automated tests of the CSF exist and pass; screen labels and messages have been compared with this plan and differences recorded; the data sets of section 4.2 are loaded;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renewal advices of at least one source module (or loaded RENEWAL_ADVICE documents) are available.</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BRD-9 v1.0 is signed off or its open comments are agreed; the answers to CSQ03, CSQ04 and CSQ10 are applied as configuration; the system test exit criteria are met; the UAT environment holds masked data (section 4.1); Contact Center testers have user IDs with the roles of section 5 and attended the walkthrough of the CSF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legacy sync cases may be Blocked until CSQ01 is answered);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e-mails and activity 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the planned CSF demo seed V1940, and the data sets of section 4.2;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Contact Center testers</w:t>
            </w:r>
          </w:p>
        </w:tc>
        <w:tc>
          <w:tcPr>
            <w:tcW w:type="dxa" w:w="3739"/>
            <w:tcMar>
              <w:top w:w="50" w:type="dxa"/>
              <w:bottom w:w="50" w:type="dxa"/>
              <w:left w:w="90" w:type="dxa"/>
              <w:right w:w="90" w:type="dxa"/>
            </w:tcMar>
          </w:tcPr>
          <w:p>
            <w:pPr>
              <w:pStyle w:val="BDOITable"/>
            </w:pPr>
            <w:r>
              <w:rPr>
                <w:sz w:val="18"/>
              </w:rPr>
              <w:t>Masked copy of production-like data plus the test clients; no real client names, TINs, addresses, e-mail addresses or phone numbers</w:t>
            </w:r>
          </w:p>
        </w:tc>
      </w:tr>
    </w:tbl>
    <w:p>
      <w:pPr>
        <w:pStyle w:val="BDOISpacer"/>
      </w:pPr>
    </w:p>
    <w:p>
      <w:r>
        <w:rPr/>
        <w:t>Non-production data is always masked. Client names, government IDs, addresses, e-mail addresses and phone numbers are replaced before data is loaded into SIT or UAT. The registered e-mail of every test client points to a test mailbox, so no renewal advice or e-policy resent during testing can reach a real client.</w:t>
      </w:r>
    </w:p>
    <w:p>
      <w:pPr>
        <w:pStyle w:val="Heading2"/>
      </w:pPr>
      <w:bookmarkStart w:id="115" w:name="_Toc000115"/>
      <w:r>
        <w:rPr/>
        <w:t>4.2 Named data sets</w:t>
      </w:r>
      <w:bookmarkEnd w:id="115"/>
    </w:p>
    <w:p>
      <w:r>
        <w:rPr/>
        <w:t>The cases refer to named data sets. The CSF has no demo seed yet; the build design plans V1940 with the demo users and a status map. Until then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TD-CSF-01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Created by the test lead through User Access requests on SIT; planned demo seed V1940 of the build design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TD-CSF-02</w:t>
            </w:r>
          </w:p>
        </w:tc>
        <w:tc>
          <w:tcPr>
            <w:tcW w:type="dxa" w:w="3520"/>
            <w:tcMar>
              <w:top w:w="50" w:type="dxa"/>
              <w:bottom w:w="50" w:type="dxa"/>
              <w:left w:w="90" w:type="dxa"/>
              <w:right w:w="90" w:type="dxa"/>
            </w:tcMar>
            <w:shd w:val="clear" w:color="auto" w:fill="E5F5FF"/>
          </w:tcPr>
          <w:p>
            <w:pPr>
              <w:pStyle w:val="BDOITable"/>
            </w:pPr>
            <w:r>
              <w:rPr>
                <w:sz w:val="17"/>
              </w:rPr>
              <w:t>Client with CBG and non-CBG accounts</w:t>
            </w:r>
          </w:p>
        </w:tc>
        <w:tc>
          <w:tcPr>
            <w:tcW w:type="dxa" w:w="5279"/>
            <w:tcMar>
              <w:top w:w="50" w:type="dxa"/>
              <w:bottom w:w="50" w:type="dxa"/>
              <w:left w:w="90" w:type="dxa"/>
              <w:right w:w="90" w:type="dxa"/>
            </w:tcMar>
            <w:shd w:val="clear" w:color="auto" w:fill="E5F5FF"/>
          </w:tcPr>
          <w:p>
            <w:pPr>
              <w:pStyle w:val="BDOITable"/>
            </w:pPr>
            <w:r>
              <w:rPr>
                <w:sz w:val="17"/>
              </w:rPr>
              <w:t>Prepared by the test lead on SIT from masked demo clients (V981) and accounts keyed in the BRD-1 screens</w:t>
            </w:r>
          </w:p>
        </w:tc>
      </w:tr>
      <w:tr>
        <w:trPr>
          <w:cantSplit w:val="true"/>
        </w:trPr>
        <w:tc>
          <w:tcPr>
            <w:tcW w:type="dxa" w:w="1173"/>
            <w:tcMar>
              <w:top w:w="50" w:type="dxa"/>
              <w:bottom w:w="50" w:type="dxa"/>
              <w:left w:w="90" w:type="dxa"/>
              <w:right w:w="90" w:type="dxa"/>
            </w:tcMar>
          </w:tcPr>
          <w:p>
            <w:pPr>
              <w:pStyle w:val="BDOITable"/>
            </w:pPr>
            <w:r>
              <w:rPr>
                <w:sz w:val="17"/>
              </w:rPr>
              <w:t>TD-CSF-03</w:t>
            </w:r>
          </w:p>
        </w:tc>
        <w:tc>
          <w:tcPr>
            <w:tcW w:type="dxa" w:w="3520"/>
            <w:tcMar>
              <w:top w:w="50" w:type="dxa"/>
              <w:bottom w:w="50" w:type="dxa"/>
              <w:left w:w="90" w:type="dxa"/>
              <w:right w:w="90" w:type="dxa"/>
            </w:tcMar>
          </w:tcPr>
          <w:p>
            <w:pPr>
              <w:pStyle w:val="BDOITable"/>
            </w:pPr>
            <w:r>
              <w:rPr>
                <w:sz w:val="17"/>
              </w:rPr>
              <w:t>Accounts in each CSF status</w:t>
            </w:r>
          </w:p>
        </w:tc>
        <w:tc>
          <w:tcPr>
            <w:tcW w:type="dxa" w:w="5279"/>
            <w:tcMar>
              <w:top w:w="50" w:type="dxa"/>
              <w:bottom w:w="50" w:type="dxa"/>
              <w:left w:w="90" w:type="dxa"/>
              <w:right w:w="90" w:type="dxa"/>
            </w:tcMar>
          </w:tcPr>
          <w:p>
            <w:pPr>
              <w:pStyle w:val="BDOITable"/>
            </w:pPr>
            <w:r>
              <w:rPr>
                <w:sz w:val="17"/>
              </w:rPr>
              <w:t>Prepared by the test lead on SIT through the BRD-1 and BRD-2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TD-CSF-04</w:t>
            </w:r>
          </w:p>
        </w:tc>
        <w:tc>
          <w:tcPr>
            <w:tcW w:type="dxa" w:w="3520"/>
            <w:tcMar>
              <w:top w:w="50" w:type="dxa"/>
              <w:bottom w:w="50" w:type="dxa"/>
              <w:left w:w="90" w:type="dxa"/>
              <w:right w:w="90" w:type="dxa"/>
            </w:tcMar>
            <w:shd w:val="clear" w:color="auto" w:fill="E5F5FF"/>
          </w:tcPr>
          <w:p>
            <w:pPr>
              <w:pStyle w:val="BDOITable"/>
            </w:pPr>
            <w:r>
              <w:rPr>
                <w:sz w:val="17"/>
              </w:rPr>
              <w:t>Search keys</w:t>
            </w:r>
          </w:p>
        </w:tc>
        <w:tc>
          <w:tcPr>
            <w:tcW w:type="dxa" w:w="5279"/>
            <w:tcMar>
              <w:top w:w="50" w:type="dxa"/>
              <w:bottom w:w="50" w:type="dxa"/>
              <w:left w:w="90" w:type="dxa"/>
              <w:right w:w="90" w:type="dxa"/>
            </w:tcMar>
            <w:shd w:val="clear" w:color="auto" w:fill="E5F5FF"/>
          </w:tcPr>
          <w:p>
            <w:pPr>
              <w:pStyle w:val="BDOITable"/>
            </w:pPr>
            <w:r>
              <w:rPr>
                <w:sz w:val="17"/>
              </w:rPr>
              <w:t>Prepared by the test lead; the 50-client surname is loaded with the client bulk upload</w:t>
            </w:r>
          </w:p>
        </w:tc>
      </w:tr>
      <w:tr>
        <w:trPr>
          <w:cantSplit w:val="true"/>
        </w:trPr>
        <w:tc>
          <w:tcPr>
            <w:tcW w:type="dxa" w:w="1173"/>
            <w:tcMar>
              <w:top w:w="50" w:type="dxa"/>
              <w:bottom w:w="50" w:type="dxa"/>
              <w:left w:w="90" w:type="dxa"/>
              <w:right w:w="90" w:type="dxa"/>
            </w:tcMar>
          </w:tcPr>
          <w:p>
            <w:pPr>
              <w:pStyle w:val="BDOITable"/>
            </w:pPr>
            <w:r>
              <w:rPr>
                <w:sz w:val="17"/>
              </w:rPr>
              <w:t>TD-CSF-05</w:t>
            </w:r>
          </w:p>
        </w:tc>
        <w:tc>
          <w:tcPr>
            <w:tcW w:type="dxa" w:w="3520"/>
            <w:tcMar>
              <w:top w:w="50" w:type="dxa"/>
              <w:bottom w:w="50" w:type="dxa"/>
              <w:left w:w="90" w:type="dxa"/>
              <w:right w:w="90" w:type="dxa"/>
            </w:tcMar>
          </w:tcPr>
          <w:p>
            <w:pPr>
              <w:pStyle w:val="BDOITable"/>
            </w:pPr>
            <w:r>
              <w:rPr>
                <w:sz w:val="17"/>
              </w:rPr>
              <w:t>Payment history over 14 months</w:t>
            </w:r>
          </w:p>
        </w:tc>
        <w:tc>
          <w:tcPr>
            <w:tcW w:type="dxa" w:w="5279"/>
            <w:tcMar>
              <w:top w:w="50" w:type="dxa"/>
              <w:bottom w:w="50" w:type="dxa"/>
              <w:left w:w="90" w:type="dxa"/>
              <w:right w:w="90" w:type="dxa"/>
            </w:tcMar>
          </w:tcPr>
          <w:p>
            <w:pPr>
              <w:pStyle w:val="BDOITable"/>
            </w:pPr>
            <w:r>
              <w:rPr>
                <w:sz w:val="17"/>
              </w:rPr>
              <w:t>Keyed in Cashiering (BRD-2) on SIT by the test lead; receipt dates set in the test database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TD-CSF-06</w:t>
            </w:r>
          </w:p>
        </w:tc>
        <w:tc>
          <w:tcPr>
            <w:tcW w:type="dxa" w:w="3520"/>
            <w:tcMar>
              <w:top w:w="50" w:type="dxa"/>
              <w:bottom w:w="50" w:type="dxa"/>
              <w:left w:w="90" w:type="dxa"/>
              <w:right w:w="90" w:type="dxa"/>
            </w:tcMar>
            <w:shd w:val="clear" w:color="auto" w:fill="E5F5FF"/>
          </w:tcPr>
          <w:p>
            <w:pPr>
              <w:pStyle w:val="BDOITable"/>
            </w:pPr>
            <w:r>
              <w:rPr>
                <w:sz w:val="17"/>
              </w:rPr>
              <w:t>Renewal advices and e-policies</w:t>
            </w:r>
          </w:p>
        </w:tc>
        <w:tc>
          <w:tcPr>
            <w:tcW w:type="dxa" w:w="5279"/>
            <w:tcMar>
              <w:top w:w="50" w:type="dxa"/>
              <w:bottom w:w="50" w:type="dxa"/>
              <w:left w:w="90" w:type="dxa"/>
              <w:right w:w="90" w:type="dxa"/>
            </w:tcMar>
            <w:shd w:val="clear" w:color="auto" w:fill="E5F5FF"/>
          </w:tcPr>
          <w:p>
            <w:pPr>
              <w:pStyle w:val="BDOITable"/>
            </w:pPr>
            <w:r>
              <w:rPr>
                <w:sz w:val="17"/>
              </w:rPr>
              <w:t>RAs loaded as RENEWAL_ADVICE attachments by the test lead until the Renewal and EB modules produce them (dependency D-CSF-01); e-policy from Issuance (BRD-1)</w:t>
            </w:r>
          </w:p>
        </w:tc>
      </w:tr>
      <w:tr>
        <w:trPr>
          <w:cantSplit w:val="true"/>
        </w:trPr>
        <w:tc>
          <w:tcPr>
            <w:tcW w:type="dxa" w:w="1173"/>
            <w:tcMar>
              <w:top w:w="50" w:type="dxa"/>
              <w:bottom w:w="50" w:type="dxa"/>
              <w:left w:w="90" w:type="dxa"/>
              <w:right w:w="90" w:type="dxa"/>
            </w:tcMar>
          </w:tcPr>
          <w:p>
            <w:pPr>
              <w:pStyle w:val="BDOITable"/>
            </w:pPr>
            <w:r>
              <w:rPr>
                <w:sz w:val="17"/>
              </w:rPr>
              <w:t>TD-CSF-07</w:t>
            </w:r>
          </w:p>
        </w:tc>
        <w:tc>
          <w:tcPr>
            <w:tcW w:type="dxa" w:w="3520"/>
            <w:tcMar>
              <w:top w:w="50" w:type="dxa"/>
              <w:bottom w:w="50" w:type="dxa"/>
              <w:left w:w="90" w:type="dxa"/>
              <w:right w:w="90" w:type="dxa"/>
            </w:tcMar>
          </w:tcPr>
          <w:p>
            <w:pPr>
              <w:pStyle w:val="BDOITable"/>
            </w:pPr>
            <w:r>
              <w:rPr>
                <w:sz w:val="17"/>
              </w:rPr>
              <w:t>Files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TD-CSF-08</w:t>
            </w:r>
          </w:p>
        </w:tc>
        <w:tc>
          <w:tcPr>
            <w:tcW w:type="dxa" w:w="3520"/>
            <w:tcMar>
              <w:top w:w="50" w:type="dxa"/>
              <w:bottom w:w="50" w:type="dxa"/>
              <w:left w:w="90" w:type="dxa"/>
              <w:right w:w="90" w:type="dxa"/>
            </w:tcMar>
            <w:shd w:val="clear" w:color="auto" w:fill="E5F5FF"/>
          </w:tcPr>
          <w:p>
            <w:pPr>
              <w:pStyle w:val="BDOITable"/>
            </w:pPr>
            <w:r>
              <w:rPr>
                <w:sz w:val="17"/>
              </w:rPr>
              <w:t>Documents of the client</w:t>
            </w:r>
          </w:p>
        </w:tc>
        <w:tc>
          <w:tcPr>
            <w:tcW w:type="dxa" w:w="5279"/>
            <w:tcMar>
              <w:top w:w="50" w:type="dxa"/>
              <w:bottom w:w="50" w:type="dxa"/>
              <w:left w:w="90" w:type="dxa"/>
              <w:right w:w="90" w:type="dxa"/>
            </w:tcMar>
            <w:shd w:val="clear" w:color="auto" w:fill="E5F5FF"/>
          </w:tcPr>
          <w:p>
            <w:pPr>
              <w:pStyle w:val="BDOITable"/>
            </w:pPr>
            <w:r>
              <w:rPr>
                <w:sz w:val="17"/>
              </w:rPr>
              <w:t>Attached on SIT by the test lead through the owning modules</w:t>
            </w:r>
          </w:p>
        </w:tc>
      </w:tr>
      <w:tr>
        <w:trPr>
          <w:cantSplit w:val="true"/>
        </w:trPr>
        <w:tc>
          <w:tcPr>
            <w:tcW w:type="dxa" w:w="1173"/>
            <w:tcMar>
              <w:top w:w="50" w:type="dxa"/>
              <w:bottom w:w="50" w:type="dxa"/>
              <w:left w:w="90" w:type="dxa"/>
              <w:right w:w="90" w:type="dxa"/>
            </w:tcMar>
          </w:tcPr>
          <w:p>
            <w:pPr>
              <w:pStyle w:val="BDOITable"/>
            </w:pPr>
            <w:r>
              <w:rPr>
                <w:sz w:val="17"/>
              </w:rPr>
              <w:t>TD-CSF-09</w:t>
            </w:r>
          </w:p>
        </w:tc>
        <w:tc>
          <w:tcPr>
            <w:tcW w:type="dxa" w:w="3520"/>
            <w:tcMar>
              <w:top w:w="50" w:type="dxa"/>
              <w:bottom w:w="50" w:type="dxa"/>
              <w:left w:w="90" w:type="dxa"/>
              <w:right w:w="90" w:type="dxa"/>
            </w:tcMar>
          </w:tcPr>
          <w:p>
            <w:pPr>
              <w:pStyle w:val="BDOITable"/>
            </w:pPr>
            <w:r>
              <w:rPr>
                <w:sz w:val="17"/>
              </w:rPr>
              <w:t>Parameters as delivered</w:t>
            </w:r>
          </w:p>
        </w:tc>
        <w:tc>
          <w:tcPr>
            <w:tcW w:type="dxa" w:w="5279"/>
            <w:tcMar>
              <w:top w:w="50" w:type="dxa"/>
              <w:bottom w:w="50" w:type="dxa"/>
              <w:left w:w="90" w:type="dxa"/>
              <w:right w:w="90" w:type="dxa"/>
            </w:tcMar>
          </w:tcPr>
          <w:p>
            <w:pPr>
              <w:pStyle w:val="BDOITable"/>
            </w:pPr>
            <w:r>
              <w:rPr>
                <w:sz w:val="17"/>
              </w:rPr>
              <w:t>Configuration delivered with the build (FRS section 9.1)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TD-CSF-10</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Some cases change the state of a test client (for example the contact changes on UAT CSF Client One). The test lead restores the client's contact details between cycles, or testers run those cases on a second masked client.</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team</w:t>
            </w:r>
          </w:p>
        </w:tc>
        <w:tc>
          <w:tcPr>
            <w:tcW w:type="dxa" w:w="3739"/>
            <w:tcMar>
              <w:top w:w="50" w:type="dxa"/>
              <w:bottom w:w="50" w:type="dxa"/>
              <w:left w:w="90" w:type="dxa"/>
              <w:right w:w="90" w:type="dxa"/>
            </w:tcMar>
            <w:shd w:val="clear" w:color="auto" w:fill="E5F5FF"/>
          </w:tcPr>
          <w:p>
            <w:pPr>
              <w:pStyle w:val="BDOITable"/>
            </w:pPr>
            <w:r>
              <w:rPr>
                <w:sz w:val="18"/>
              </w:rPr>
              <w:t>BDO Unibank ITIO with iorta TechNXT</w:t>
            </w:r>
          </w:p>
        </w:tc>
        <w:tc>
          <w:tcPr>
            <w:tcW w:type="dxa" w:w="3462"/>
            <w:tcMar>
              <w:top w:w="50" w:type="dxa"/>
              <w:bottom w:w="50" w:type="dxa"/>
              <w:left w:w="90" w:type="dxa"/>
              <w:right w:w="90" w:type="dxa"/>
            </w:tcMar>
            <w:shd w:val="clear" w:color="auto" w:fill="E5F5FF"/>
          </w:tcPr>
          <w:p>
            <w:pPr>
              <w:pStyle w:val="BDOITable"/>
            </w:pPr>
            <w:r>
              <w:rPr>
                <w:sz w:val="18"/>
              </w:rPr>
              <w:t>Run the backup and restore cases of FR-CSF-043 and provide the restore log</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BDO Insure Contact Center (agents, supervisors, management)</w:t>
            </w:r>
          </w:p>
        </w:tc>
        <w:tc>
          <w:tcPr>
            <w:tcW w:type="dxa" w:w="3462"/>
            <w:tcMar>
              <w:top w:w="50" w:type="dxa"/>
              <w:bottom w:w="50" w:type="dxa"/>
              <w:left w:w="90" w:type="dxa"/>
              <w:right w:w="90" w:type="dxa"/>
            </w:tcMar>
          </w:tcPr>
          <w:p>
            <w:pPr>
              <w:pStyle w:val="BDOITable"/>
            </w:pPr>
            <w:r>
              <w:rPr>
                <w:sz w:val="18"/>
              </w:rPr>
              <w:t>Run the UAT scenarios; confirm the expected results match the way they serve clients; raise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Product Owner, Customer Servicing Facility</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Agents run the search, servicing, verification, resend and upload scenarios (SC-CSF-02 to 06); supervisors run the resends to another address and the activity report; management runs the audit and report scenario (SC-CSF-07).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CSF_AGENT</w:t>
            </w:r>
          </w:p>
        </w:tc>
        <w:tc>
          <w:tcPr>
            <w:tcW w:type="dxa" w:w="6648"/>
            <w:tcMar>
              <w:top w:w="50" w:type="dxa"/>
              <w:bottom w:w="50" w:type="dxa"/>
              <w:left w:w="90" w:type="dxa"/>
              <w:right w:w="90" w:type="dxa"/>
            </w:tcMar>
          </w:tcPr>
          <w:p>
            <w:pPr>
              <w:pStyle w:val="BDOITable"/>
            </w:pPr>
            <w:r>
              <w:rPr>
                <w:sz w:val="17"/>
              </w:rPr>
              <w:t>BDO Insure Contact Center Agent</w:t>
            </w:r>
          </w:p>
        </w:tc>
        <w:tc>
          <w:tcPr>
            <w:tcW w:type="dxa" w:w="1023"/>
            <w:tcMar>
              <w:top w:w="50" w:type="dxa"/>
              <w:bottom w:w="50" w:type="dxa"/>
              <w:left w:w="90" w:type="dxa"/>
              <w:right w:w="90" w:type="dxa"/>
            </w:tcMar>
          </w:tcPr>
          <w:p>
            <w:pPr>
              <w:pStyle w:val="BDOITable"/>
            </w:pPr>
            <w:r>
              <w:rPr>
                <w:sz w:val="17"/>
              </w:rPr>
              <w:t>76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CSF_SUPERVISOR</w:t>
            </w:r>
          </w:p>
        </w:tc>
        <w:tc>
          <w:tcPr>
            <w:tcW w:type="dxa" w:w="6648"/>
            <w:tcMar>
              <w:top w:w="50" w:type="dxa"/>
              <w:bottom w:w="50" w:type="dxa"/>
              <w:left w:w="90" w:type="dxa"/>
              <w:right w:w="90" w:type="dxa"/>
            </w:tcMar>
            <w:shd w:val="clear" w:color="auto" w:fill="E5F5FF"/>
          </w:tcPr>
          <w:p>
            <w:pPr>
              <w:pStyle w:val="BDOITable"/>
            </w:pPr>
            <w:r>
              <w:rPr>
                <w:sz w:val="17"/>
              </w:rPr>
              <w:t>Contact Center Supervisor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CSF_MANAGEMENT</w:t>
            </w:r>
          </w:p>
        </w:tc>
        <w:tc>
          <w:tcPr>
            <w:tcW w:type="dxa" w:w="6648"/>
            <w:tcMar>
              <w:top w:w="50" w:type="dxa"/>
              <w:bottom w:w="50" w:type="dxa"/>
              <w:left w:w="90" w:type="dxa"/>
              <w:right w:w="90" w:type="dxa"/>
            </w:tcMar>
          </w:tcPr>
          <w:p>
            <w:pPr>
              <w:pStyle w:val="BDOITable"/>
            </w:pPr>
            <w:r>
              <w:rPr>
                <w:sz w:val="17"/>
              </w:rPr>
              <w:t>Contact Center Management (Leads / Heads)</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SYSADMIN</w:t>
            </w:r>
          </w:p>
        </w:tc>
        <w:tc>
          <w:tcPr>
            <w:tcW w:type="dxa" w:w="6648"/>
            <w:tcMar>
              <w:top w:w="50" w:type="dxa"/>
              <w:bottom w:w="50" w:type="dxa"/>
              <w:left w:w="90" w:type="dxa"/>
              <w:right w:w="90" w:type="dxa"/>
            </w:tcMar>
            <w:shd w:val="clear" w:color="auto" w:fill="E5F5FF"/>
          </w:tcPr>
          <w:p>
            <w:pPr>
              <w:pStyle w:val="BDOITable"/>
            </w:pPr>
            <w:r>
              <w:rPr>
                <w:sz w:val="17"/>
              </w:rPr>
              <w:t>System Administrator</w:t>
            </w:r>
          </w:p>
        </w:tc>
        <w:tc>
          <w:tcPr>
            <w:tcW w:type="dxa" w:w="1023"/>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without a CSF role</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INFRA</w:t>
            </w:r>
          </w:p>
        </w:tc>
        <w:tc>
          <w:tcPr>
            <w:tcW w:type="dxa" w:w="6648"/>
            <w:tcMar>
              <w:top w:w="50" w:type="dxa"/>
              <w:bottom w:w="50" w:type="dxa"/>
              <w:left w:w="90" w:type="dxa"/>
              <w:right w:w="90" w:type="dxa"/>
            </w:tcMar>
            <w:shd w:val="clear" w:color="auto" w:fill="E5F5FF"/>
          </w:tcPr>
          <w:p>
            <w:pPr>
              <w:pStyle w:val="BDOITable"/>
            </w:pPr>
            <w:r>
              <w:rPr>
                <w:sz w:val="17"/>
              </w:rPr>
              <w:t>Infrastructure team (database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the CSF</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 security rule is broken</w:t>
            </w:r>
          </w:p>
        </w:tc>
        <w:tc>
          <w:tcPr>
            <w:tcW w:type="dxa" w:w="3196"/>
            <w:tcMar>
              <w:top w:w="50" w:type="dxa"/>
              <w:bottom w:w="50" w:type="dxa"/>
              <w:left w:w="90" w:type="dxa"/>
              <w:right w:w="90" w:type="dxa"/>
            </w:tcMar>
          </w:tcPr>
          <w:p>
            <w:pPr>
              <w:pStyle w:val="BDOITable"/>
            </w:pPr>
            <w:r>
              <w:rPr>
                <w:sz w:val="18"/>
              </w:rPr>
              <w:t>A contact change is saved without a passed verification; an RA is sent unprotected or to the wrong address; an agent sees an action of another role</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PN search finds nothing for an account in BIBS; the payment history misses applied invoices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no-result message omits the criteria;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client code or change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17 of 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 of 29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82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63 / 53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34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4</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33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FR-CSF-001</w:t>
            </w:r>
          </w:p>
        </w:tc>
        <w:tc>
          <w:tcPr>
            <w:tcW w:type="dxa" w:w="3307"/>
            <w:tcMar>
              <w:top w:w="50" w:type="dxa"/>
              <w:bottom w:w="50" w:type="dxa"/>
              <w:left w:w="90" w:type="dxa"/>
              <w:right w:w="90" w:type="dxa"/>
            </w:tcMar>
          </w:tcPr>
          <w:p>
            <w:pPr>
              <w:pStyle w:val="BDOITable"/>
            </w:pPr>
            <w:r>
              <w:rPr>
                <w:sz w:val="16"/>
              </w:rPr>
              <w:t>Log in with user ID and password</w:t>
            </w:r>
          </w:p>
        </w:tc>
        <w:tc>
          <w:tcPr>
            <w:tcW w:type="dxa" w:w="1653"/>
            <w:tcMar>
              <w:top w:w="50" w:type="dxa"/>
              <w:bottom w:w="50" w:type="dxa"/>
              <w:left w:w="90" w:type="dxa"/>
              <w:right w:w="90" w:type="dxa"/>
            </w:tcMar>
          </w:tcPr>
          <w:p>
            <w:pPr>
              <w:pStyle w:val="BDOITable"/>
            </w:pPr>
            <w:r>
              <w:rPr>
                <w:sz w:val="16"/>
              </w:rPr>
              <w:t>BRCSF-001, BRCSF-001 / 1.001, BRCSF-001 / 1.002</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8</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FR-CSF-002</w:t>
            </w:r>
          </w:p>
        </w:tc>
        <w:tc>
          <w:tcPr>
            <w:tcW w:type="dxa" w:w="3307"/>
            <w:tcMar>
              <w:top w:w="50" w:type="dxa"/>
              <w:bottom w:w="50" w:type="dxa"/>
              <w:left w:w="90" w:type="dxa"/>
              <w:right w:w="90" w:type="dxa"/>
            </w:tcMar>
            <w:shd w:val="clear" w:color="auto" w:fill="E5F5FF"/>
          </w:tcPr>
          <w:p>
            <w:pPr>
              <w:pStyle w:val="BDOITable"/>
            </w:pPr>
            <w:r>
              <w:rPr>
                <w:sz w:val="16"/>
              </w:rPr>
              <w:t>Restrict CSF actions to authorised roles</w:t>
            </w:r>
          </w:p>
        </w:tc>
        <w:tc>
          <w:tcPr>
            <w:tcW w:type="dxa" w:w="1653"/>
            <w:tcMar>
              <w:top w:w="50" w:type="dxa"/>
              <w:bottom w:w="50" w:type="dxa"/>
              <w:left w:w="90" w:type="dxa"/>
              <w:right w:w="90" w:type="dxa"/>
            </w:tcMar>
            <w:shd w:val="clear" w:color="auto" w:fill="E5F5FF"/>
          </w:tcPr>
          <w:p>
            <w:pPr>
              <w:pStyle w:val="BDOITable"/>
            </w:pPr>
            <w:r>
              <w:rPr>
                <w:sz w:val="16"/>
              </w:rPr>
              <w:t>BRCSF-001, Current process limitations</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FR-CSF-010</w:t>
            </w:r>
          </w:p>
        </w:tc>
        <w:tc>
          <w:tcPr>
            <w:tcW w:type="dxa" w:w="3307"/>
            <w:tcMar>
              <w:top w:w="50" w:type="dxa"/>
              <w:bottom w:w="50" w:type="dxa"/>
              <w:left w:w="90" w:type="dxa"/>
              <w:right w:w="90" w:type="dxa"/>
            </w:tcMar>
          </w:tcPr>
          <w:p>
            <w:pPr>
              <w:pStyle w:val="BDOITable"/>
            </w:pPr>
            <w:r>
              <w:rPr>
                <w:sz w:val="16"/>
              </w:rPr>
              <w:t>Search a client by name, client ID, account, PN or application number</w:t>
            </w:r>
          </w:p>
        </w:tc>
        <w:tc>
          <w:tcPr>
            <w:tcW w:type="dxa" w:w="1653"/>
            <w:tcMar>
              <w:top w:w="50" w:type="dxa"/>
              <w:bottom w:w="50" w:type="dxa"/>
              <w:left w:w="90" w:type="dxa"/>
              <w:right w:w="90" w:type="dxa"/>
            </w:tcMar>
          </w:tcPr>
          <w:p>
            <w:pPr>
              <w:pStyle w:val="BDOITable"/>
            </w:pPr>
            <w:r>
              <w:rPr>
                <w:sz w:val="16"/>
              </w:rPr>
              <w:t>BRCSF-003, BRCSF-003 / 3.001, E-mail topic 4</w:t>
            </w:r>
          </w:p>
        </w:tc>
        <w:tc>
          <w:tcPr>
            <w:tcW w:type="dxa" w:w="775"/>
            <w:tcMar>
              <w:top w:w="50" w:type="dxa"/>
              <w:bottom w:w="50" w:type="dxa"/>
              <w:left w:w="90" w:type="dxa"/>
              <w:right w:w="90" w:type="dxa"/>
            </w:tcMar>
          </w:tcPr>
          <w:p>
            <w:pPr>
              <w:pStyle w:val="BDOITable"/>
            </w:pPr>
            <w:r>
              <w:rPr>
                <w:sz w:val="16"/>
              </w:rPr>
              <w:t>8</w:t>
            </w:r>
          </w:p>
        </w:tc>
        <w:tc>
          <w:tcPr>
            <w:tcW w:type="dxa" w:w="775"/>
            <w:tcMar>
              <w:top w:w="50" w:type="dxa"/>
              <w:bottom w:w="50" w:type="dxa"/>
              <w:left w:w="90" w:type="dxa"/>
              <w:right w:w="90" w:type="dxa"/>
            </w:tcMar>
          </w:tcPr>
          <w:p>
            <w:pPr>
              <w:pStyle w:val="BDOITable"/>
            </w:pPr>
            <w:r>
              <w:rPr>
                <w:sz w:val="16"/>
              </w:rPr>
              <w:t>8</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13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FR-CSF-011</w:t>
            </w:r>
          </w:p>
        </w:tc>
        <w:tc>
          <w:tcPr>
            <w:tcW w:type="dxa" w:w="3307"/>
            <w:tcMar>
              <w:top w:w="50" w:type="dxa"/>
              <w:bottom w:w="50" w:type="dxa"/>
              <w:left w:w="90" w:type="dxa"/>
              <w:right w:w="90" w:type="dxa"/>
            </w:tcMar>
            <w:shd w:val="clear" w:color="auto" w:fill="E5F5FF"/>
          </w:tcPr>
          <w:p>
            <w:pPr>
              <w:pStyle w:val="BDOITable"/>
            </w:pPr>
            <w:r>
              <w:rPr>
                <w:sz w:val="16"/>
              </w:rPr>
              <w:t>View current client information and accounts</w:t>
            </w:r>
          </w:p>
        </w:tc>
        <w:tc>
          <w:tcPr>
            <w:tcW w:type="dxa" w:w="1653"/>
            <w:tcMar>
              <w:top w:w="50" w:type="dxa"/>
              <w:bottom w:w="50" w:type="dxa"/>
              <w:left w:w="90" w:type="dxa"/>
              <w:right w:w="90" w:type="dxa"/>
            </w:tcMar>
            <w:shd w:val="clear" w:color="auto" w:fill="E5F5FF"/>
          </w:tcPr>
          <w:p>
            <w:pPr>
              <w:pStyle w:val="BDOITable"/>
            </w:pPr>
            <w:r>
              <w:rPr>
                <w:sz w:val="16"/>
              </w:rPr>
              <w:t>BRCSF-002, BRCSF-008</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FR-CSF-012</w:t>
            </w:r>
          </w:p>
        </w:tc>
        <w:tc>
          <w:tcPr>
            <w:tcW w:type="dxa" w:w="3307"/>
            <w:tcMar>
              <w:top w:w="50" w:type="dxa"/>
              <w:bottom w:w="50" w:type="dxa"/>
              <w:left w:w="90" w:type="dxa"/>
              <w:right w:w="90" w:type="dxa"/>
            </w:tcMar>
          </w:tcPr>
          <w:p>
            <w:pPr>
              <w:pStyle w:val="BDOITable"/>
            </w:pPr>
            <w:r>
              <w:rPr>
                <w:sz w:val="16"/>
              </w:rPr>
              <w:t>Show the status of each account</w:t>
            </w:r>
          </w:p>
        </w:tc>
        <w:tc>
          <w:tcPr>
            <w:tcW w:type="dxa" w:w="1653"/>
            <w:tcMar>
              <w:top w:w="50" w:type="dxa"/>
              <w:bottom w:w="50" w:type="dxa"/>
              <w:left w:w="90" w:type="dxa"/>
              <w:right w:w="90" w:type="dxa"/>
            </w:tcMar>
          </w:tcPr>
          <w:p>
            <w:pPr>
              <w:pStyle w:val="BDOITable"/>
            </w:pPr>
            <w:r>
              <w:rPr>
                <w:sz w:val="16"/>
              </w:rPr>
              <w:t>BRCSF-005 / 5.001, CSF-EM07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FR-CSF-013</w:t>
            </w:r>
          </w:p>
        </w:tc>
        <w:tc>
          <w:tcPr>
            <w:tcW w:type="dxa" w:w="3307"/>
            <w:tcMar>
              <w:top w:w="50" w:type="dxa"/>
              <w:bottom w:w="50" w:type="dxa"/>
              <w:left w:w="90" w:type="dxa"/>
              <w:right w:w="90" w:type="dxa"/>
            </w:tcMar>
            <w:shd w:val="clear" w:color="auto" w:fill="E5F5FF"/>
          </w:tcPr>
          <w:p>
            <w:pPr>
              <w:pStyle w:val="BDOITable"/>
            </w:pPr>
            <w:r>
              <w:rPr>
                <w:sz w:val="16"/>
              </w:rPr>
              <w:t>View the payment history</w:t>
            </w:r>
          </w:p>
        </w:tc>
        <w:tc>
          <w:tcPr>
            <w:tcW w:type="dxa" w:w="1653"/>
            <w:tcMar>
              <w:top w:w="50" w:type="dxa"/>
              <w:bottom w:w="50" w:type="dxa"/>
              <w:left w:w="90" w:type="dxa"/>
              <w:right w:w="90" w:type="dxa"/>
            </w:tcMar>
            <w:shd w:val="clear" w:color="auto" w:fill="E5F5FF"/>
          </w:tcPr>
          <w:p>
            <w:pPr>
              <w:pStyle w:val="BDOITable"/>
            </w:pPr>
            <w:r>
              <w:rPr>
                <w:sz w:val="16"/>
              </w:rPr>
              <w:t>BRCSF-005, E-mail topic 6</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FR-CSF-020</w:t>
            </w:r>
          </w:p>
        </w:tc>
        <w:tc>
          <w:tcPr>
            <w:tcW w:type="dxa" w:w="3307"/>
            <w:tcMar>
              <w:top w:w="50" w:type="dxa"/>
              <w:bottom w:w="50" w:type="dxa"/>
              <w:left w:w="90" w:type="dxa"/>
              <w:right w:w="90" w:type="dxa"/>
            </w:tcMar>
          </w:tcPr>
          <w:p>
            <w:pPr>
              <w:pStyle w:val="BDOITable"/>
            </w:pPr>
            <w:r>
              <w:rPr>
                <w:sz w:val="16"/>
              </w:rPr>
              <w:t>Verify the caller before a change</w:t>
            </w:r>
          </w:p>
        </w:tc>
        <w:tc>
          <w:tcPr>
            <w:tcW w:type="dxa" w:w="1653"/>
            <w:tcMar>
              <w:top w:w="50" w:type="dxa"/>
              <w:bottom w:w="50" w:type="dxa"/>
              <w:left w:w="90" w:type="dxa"/>
              <w:right w:w="90" w:type="dxa"/>
            </w:tcMar>
          </w:tcPr>
          <w:p>
            <w:pPr>
              <w:pStyle w:val="BDOITable"/>
            </w:pPr>
            <w:r>
              <w:rPr>
                <w:sz w:val="16"/>
              </w:rPr>
              <w:t>BRCSF-004, E-mail topic 5</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9</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FR-CSF-021</w:t>
            </w:r>
          </w:p>
        </w:tc>
        <w:tc>
          <w:tcPr>
            <w:tcW w:type="dxa" w:w="3307"/>
            <w:tcMar>
              <w:top w:w="50" w:type="dxa"/>
              <w:bottom w:w="50" w:type="dxa"/>
              <w:left w:w="90" w:type="dxa"/>
              <w:right w:w="90" w:type="dxa"/>
            </w:tcMar>
            <w:shd w:val="clear" w:color="auto" w:fill="E5F5FF"/>
          </w:tcPr>
          <w:p>
            <w:pPr>
              <w:pStyle w:val="BDOITable"/>
            </w:pPr>
            <w:r>
              <w:rPr>
                <w:sz w:val="16"/>
              </w:rPr>
              <w:t>View, add or update client contact details</w:t>
            </w:r>
          </w:p>
        </w:tc>
        <w:tc>
          <w:tcPr>
            <w:tcW w:type="dxa" w:w="1653"/>
            <w:tcMar>
              <w:top w:w="50" w:type="dxa"/>
              <w:bottom w:w="50" w:type="dxa"/>
              <w:left w:w="90" w:type="dxa"/>
              <w:right w:w="90" w:type="dxa"/>
            </w:tcMar>
            <w:shd w:val="clear" w:color="auto" w:fill="E5F5FF"/>
          </w:tcPr>
          <w:p>
            <w:pPr>
              <w:pStyle w:val="BDOITable"/>
            </w:pPr>
            <w:r>
              <w:rPr>
                <w:sz w:val="16"/>
              </w:rPr>
              <w:t>BRCSF-004, BRCSF-002, BRCSF-010</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7</w:t>
            </w:r>
          </w:p>
        </w:tc>
        <w:tc>
          <w:tcPr>
            <w:tcW w:type="dxa" w:w="672"/>
            <w:tcMar>
              <w:top w:w="50" w:type="dxa"/>
              <w:bottom w:w="50" w:type="dxa"/>
              <w:left w:w="90" w:type="dxa"/>
              <w:right w:w="90" w:type="dxa"/>
            </w:tcMar>
            <w:shd w:val="clear" w:color="auto" w:fill="E5F5FF"/>
          </w:tcPr>
          <w:p>
            <w:pPr>
              <w:pStyle w:val="BDOITable"/>
            </w:pPr>
            <w:r>
              <w:rPr>
                <w:sz w:val="16"/>
              </w:rPr>
              <w:t>10</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FR-CSF-022</w:t>
            </w:r>
          </w:p>
        </w:tc>
        <w:tc>
          <w:tcPr>
            <w:tcW w:type="dxa" w:w="3307"/>
            <w:tcMar>
              <w:top w:w="50" w:type="dxa"/>
              <w:bottom w:w="50" w:type="dxa"/>
              <w:left w:w="90" w:type="dxa"/>
              <w:right w:w="90" w:type="dxa"/>
            </w:tcMar>
          </w:tcPr>
          <w:p>
            <w:pPr>
              <w:pStyle w:val="BDOITable"/>
            </w:pPr>
            <w:r>
              <w:rPr>
                <w:sz w:val="16"/>
              </w:rPr>
              <w:t>Queue contact changes for QPS and EBIX while they coexist</w:t>
            </w:r>
          </w:p>
        </w:tc>
        <w:tc>
          <w:tcPr>
            <w:tcW w:type="dxa" w:w="1653"/>
            <w:tcMar>
              <w:top w:w="50" w:type="dxa"/>
              <w:bottom w:w="50" w:type="dxa"/>
              <w:left w:w="90" w:type="dxa"/>
              <w:right w:w="90" w:type="dxa"/>
            </w:tcMar>
          </w:tcPr>
          <w:p>
            <w:pPr>
              <w:pStyle w:val="BDOITable"/>
            </w:pPr>
            <w:r>
              <w:rPr>
                <w:sz w:val="16"/>
              </w:rPr>
              <w:t>BRCSF-002, Executive summary and envisioned process</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FR-CSF-030</w:t>
            </w:r>
          </w:p>
        </w:tc>
        <w:tc>
          <w:tcPr>
            <w:tcW w:type="dxa" w:w="3307"/>
            <w:tcMar>
              <w:top w:w="50" w:type="dxa"/>
              <w:bottom w:w="50" w:type="dxa"/>
              <w:left w:w="90" w:type="dxa"/>
              <w:right w:w="90" w:type="dxa"/>
            </w:tcMar>
            <w:shd w:val="clear" w:color="auto" w:fill="E5F5FF"/>
          </w:tcPr>
          <w:p>
            <w:pPr>
              <w:pStyle w:val="BDOITable"/>
            </w:pPr>
            <w:r>
              <w:rPr>
                <w:sz w:val="16"/>
              </w:rPr>
              <w:t>View, download and resend the renewal advice</w:t>
            </w:r>
          </w:p>
        </w:tc>
        <w:tc>
          <w:tcPr>
            <w:tcW w:type="dxa" w:w="1653"/>
            <w:tcMar>
              <w:top w:w="50" w:type="dxa"/>
              <w:bottom w:w="50" w:type="dxa"/>
              <w:left w:w="90" w:type="dxa"/>
              <w:right w:w="90" w:type="dxa"/>
            </w:tcMar>
            <w:shd w:val="clear" w:color="auto" w:fill="E5F5FF"/>
          </w:tcPr>
          <w:p>
            <w:pPr>
              <w:pStyle w:val="BDOITable"/>
            </w:pPr>
            <w:r>
              <w:rPr>
                <w:sz w:val="16"/>
              </w:rPr>
              <w:t>BRCSF-006, BRCSF-006 / 6.001, E-mail topic 8</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FR-CSF-031</w:t>
            </w:r>
          </w:p>
        </w:tc>
        <w:tc>
          <w:tcPr>
            <w:tcW w:type="dxa" w:w="3307"/>
            <w:tcMar>
              <w:top w:w="50" w:type="dxa"/>
              <w:bottom w:w="50" w:type="dxa"/>
              <w:left w:w="90" w:type="dxa"/>
              <w:right w:w="90" w:type="dxa"/>
            </w:tcMar>
          </w:tcPr>
          <w:p>
            <w:pPr>
              <w:pStyle w:val="BDOITable"/>
            </w:pPr>
            <w:r>
              <w:rPr>
                <w:sz w:val="16"/>
              </w:rPr>
              <w:t>Resend the e-policy</w:t>
            </w:r>
          </w:p>
        </w:tc>
        <w:tc>
          <w:tcPr>
            <w:tcW w:type="dxa" w:w="1653"/>
            <w:tcMar>
              <w:top w:w="50" w:type="dxa"/>
              <w:bottom w:w="50" w:type="dxa"/>
              <w:left w:w="90" w:type="dxa"/>
              <w:right w:w="90" w:type="dxa"/>
            </w:tcMar>
          </w:tcPr>
          <w:p>
            <w:pPr>
              <w:pStyle w:val="BDOITable"/>
            </w:pPr>
            <w:r>
              <w:rPr>
                <w:sz w:val="16"/>
              </w:rPr>
              <w:t>CSF-EM09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FR-CSF-032</w:t>
            </w:r>
          </w:p>
        </w:tc>
        <w:tc>
          <w:tcPr>
            <w:tcW w:type="dxa" w:w="3307"/>
            <w:tcMar>
              <w:top w:w="50" w:type="dxa"/>
              <w:bottom w:w="50" w:type="dxa"/>
              <w:left w:w="90" w:type="dxa"/>
              <w:right w:w="90" w:type="dxa"/>
            </w:tcMar>
            <w:shd w:val="clear" w:color="auto" w:fill="E5F5FF"/>
          </w:tcPr>
          <w:p>
            <w:pPr>
              <w:pStyle w:val="BDOITable"/>
            </w:pPr>
            <w:r>
              <w:rPr>
                <w:sz w:val="16"/>
              </w:rPr>
              <w:t>Attach or upload documents</w:t>
            </w:r>
          </w:p>
        </w:tc>
        <w:tc>
          <w:tcPr>
            <w:tcW w:type="dxa" w:w="1653"/>
            <w:tcMar>
              <w:top w:w="50" w:type="dxa"/>
              <w:bottom w:w="50" w:type="dxa"/>
              <w:left w:w="90" w:type="dxa"/>
              <w:right w:w="90" w:type="dxa"/>
            </w:tcMar>
            <w:shd w:val="clear" w:color="auto" w:fill="E5F5FF"/>
          </w:tcPr>
          <w:p>
            <w:pPr>
              <w:pStyle w:val="BDOITable"/>
            </w:pPr>
            <w:r>
              <w:rPr>
                <w:sz w:val="16"/>
              </w:rPr>
              <w:t>BRCSF-007, BRCSF-007 / 7.001</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11</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FR-CSF-033</w:t>
            </w:r>
          </w:p>
        </w:tc>
        <w:tc>
          <w:tcPr>
            <w:tcW w:type="dxa" w:w="3307"/>
            <w:tcMar>
              <w:top w:w="50" w:type="dxa"/>
              <w:bottom w:w="50" w:type="dxa"/>
              <w:left w:w="90" w:type="dxa"/>
              <w:right w:w="90" w:type="dxa"/>
            </w:tcMar>
          </w:tcPr>
          <w:p>
            <w:pPr>
              <w:pStyle w:val="BDOITable"/>
            </w:pPr>
            <w:r>
              <w:rPr>
                <w:sz w:val="16"/>
              </w:rPr>
              <w:t>View, retrieve or download policy-related documents</w:t>
            </w:r>
          </w:p>
        </w:tc>
        <w:tc>
          <w:tcPr>
            <w:tcW w:type="dxa" w:w="1653"/>
            <w:tcMar>
              <w:top w:w="50" w:type="dxa"/>
              <w:bottom w:w="50" w:type="dxa"/>
              <w:left w:w="90" w:type="dxa"/>
              <w:right w:w="90" w:type="dxa"/>
            </w:tcMar>
          </w:tcPr>
          <w:p>
            <w:pPr>
              <w:pStyle w:val="BDOITable"/>
            </w:pPr>
            <w:r>
              <w:rPr>
                <w:sz w:val="16"/>
              </w:rPr>
              <w:t>BRCSF-009, BRCSF-009 / 9.001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FR-CSF-040</w:t>
            </w:r>
          </w:p>
        </w:tc>
        <w:tc>
          <w:tcPr>
            <w:tcW w:type="dxa" w:w="3307"/>
            <w:tcMar>
              <w:top w:w="50" w:type="dxa"/>
              <w:bottom w:w="50" w:type="dxa"/>
              <w:left w:w="90" w:type="dxa"/>
              <w:right w:w="90" w:type="dxa"/>
            </w:tcMar>
            <w:shd w:val="clear" w:color="auto" w:fill="E5F5FF"/>
          </w:tcPr>
          <w:p>
            <w:pPr>
              <w:pStyle w:val="BDOITable"/>
            </w:pPr>
            <w:r>
              <w:rPr>
                <w:sz w:val="16"/>
              </w:rPr>
              <w:t>Record changes to client information as an audit trail</w:t>
            </w:r>
          </w:p>
        </w:tc>
        <w:tc>
          <w:tcPr>
            <w:tcW w:type="dxa" w:w="1653"/>
            <w:tcMar>
              <w:top w:w="50" w:type="dxa"/>
              <w:bottom w:w="50" w:type="dxa"/>
              <w:left w:w="90" w:type="dxa"/>
              <w:right w:w="90" w:type="dxa"/>
            </w:tcMar>
            <w:shd w:val="clear" w:color="auto" w:fill="E5F5FF"/>
          </w:tcPr>
          <w:p>
            <w:pPr>
              <w:pStyle w:val="BDOITable"/>
            </w:pPr>
            <w:r>
              <w:rPr>
                <w:sz w:val="16"/>
              </w:rPr>
              <w:t>BRCSF-010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FR-CSF-041</w:t>
            </w:r>
          </w:p>
        </w:tc>
        <w:tc>
          <w:tcPr>
            <w:tcW w:type="dxa" w:w="3307"/>
            <w:tcMar>
              <w:top w:w="50" w:type="dxa"/>
              <w:bottom w:w="50" w:type="dxa"/>
              <w:left w:w="90" w:type="dxa"/>
              <w:right w:w="90" w:type="dxa"/>
            </w:tcMar>
          </w:tcPr>
          <w:p>
            <w:pPr>
              <w:pStyle w:val="BDOITable"/>
            </w:pPr>
            <w:r>
              <w:rPr>
                <w:sz w:val="16"/>
              </w:rPr>
              <w:t>Print or save the audit trail and the CSF reports</w:t>
            </w:r>
          </w:p>
        </w:tc>
        <w:tc>
          <w:tcPr>
            <w:tcW w:type="dxa" w:w="1653"/>
            <w:tcMar>
              <w:top w:w="50" w:type="dxa"/>
              <w:bottom w:w="50" w:type="dxa"/>
              <w:left w:w="90" w:type="dxa"/>
              <w:right w:w="90" w:type="dxa"/>
            </w:tcMar>
          </w:tcPr>
          <w:p>
            <w:pPr>
              <w:pStyle w:val="BDOITable"/>
            </w:pPr>
            <w:r>
              <w:rPr>
                <w:sz w:val="16"/>
              </w:rPr>
              <w:t>BRCSF-011, BRCSF-011 / 11.002</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FR-CSF-042</w:t>
            </w:r>
          </w:p>
        </w:tc>
        <w:tc>
          <w:tcPr>
            <w:tcW w:type="dxa" w:w="3307"/>
            <w:tcMar>
              <w:top w:w="50" w:type="dxa"/>
              <w:bottom w:w="50" w:type="dxa"/>
              <w:left w:w="90" w:type="dxa"/>
              <w:right w:w="90" w:type="dxa"/>
            </w:tcMar>
            <w:shd w:val="clear" w:color="auto" w:fill="E5F5FF"/>
          </w:tcPr>
          <w:p>
            <w:pPr>
              <w:pStyle w:val="BDOITable"/>
            </w:pPr>
            <w:r>
              <w:rPr>
                <w:sz w:val="16"/>
              </w:rPr>
              <w:t>Log agent activity for leads and heads</w:t>
            </w:r>
          </w:p>
        </w:tc>
        <w:tc>
          <w:tcPr>
            <w:tcW w:type="dxa" w:w="1653"/>
            <w:tcMar>
              <w:top w:w="50" w:type="dxa"/>
              <w:bottom w:w="50" w:type="dxa"/>
              <w:left w:w="90" w:type="dxa"/>
              <w:right w:w="90" w:type="dxa"/>
            </w:tcMar>
            <w:shd w:val="clear" w:color="auto" w:fill="E5F5FF"/>
          </w:tcPr>
          <w:p>
            <w:pPr>
              <w:pStyle w:val="BDOITable"/>
            </w:pPr>
            <w:r>
              <w:rPr>
                <w:sz w:val="16"/>
              </w:rPr>
              <w:t>Usage requirements - report generation by Leads / Heads, BRCSF-010</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FR-CSF-043</w:t>
            </w:r>
          </w:p>
        </w:tc>
        <w:tc>
          <w:tcPr>
            <w:tcW w:type="dxa" w:w="3307"/>
            <w:tcMar>
              <w:top w:w="50" w:type="dxa"/>
              <w:bottom w:w="50" w:type="dxa"/>
              <w:left w:w="90" w:type="dxa"/>
              <w:right w:w="90" w:type="dxa"/>
            </w:tcMar>
          </w:tcPr>
          <w:p>
            <w:pPr>
              <w:pStyle w:val="BDOITable"/>
            </w:pPr>
            <w:r>
              <w:rPr>
                <w:sz w:val="16"/>
              </w:rPr>
              <w:t>Back up the data every 15 minutes</w:t>
            </w:r>
          </w:p>
        </w:tc>
        <w:tc>
          <w:tcPr>
            <w:tcW w:type="dxa" w:w="1653"/>
            <w:tcMar>
              <w:top w:w="50" w:type="dxa"/>
              <w:bottom w:w="50" w:type="dxa"/>
              <w:left w:w="90" w:type="dxa"/>
              <w:right w:w="90" w:type="dxa"/>
            </w:tcMar>
          </w:tcPr>
          <w:p>
            <w:pPr>
              <w:pStyle w:val="BDOITable"/>
            </w:pPr>
            <w:r>
              <w:rPr>
                <w:sz w:val="16"/>
              </w:rPr>
              <w:t>BRCSF-011 / 11.001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BRCSF-001</w:t>
            </w:r>
          </w:p>
        </w:tc>
        <w:tc>
          <w:tcPr>
            <w:tcW w:type="dxa" w:w="4638"/>
            <w:tcMar>
              <w:top w:w="50" w:type="dxa"/>
              <w:bottom w:w="50" w:type="dxa"/>
              <w:left w:w="90" w:type="dxa"/>
              <w:right w:w="90" w:type="dxa"/>
            </w:tcMar>
          </w:tcPr>
          <w:p>
            <w:pPr>
              <w:pStyle w:val="BDOITable"/>
            </w:pPr>
            <w:r>
              <w:rPr>
                <w:sz w:val="16"/>
              </w:rPr>
              <w:t>FR-CSF-001, FR-CSF-002</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BRCSF-002</w:t>
            </w:r>
          </w:p>
        </w:tc>
        <w:tc>
          <w:tcPr>
            <w:tcW w:type="dxa" w:w="4638"/>
            <w:tcMar>
              <w:top w:w="50" w:type="dxa"/>
              <w:bottom w:w="50" w:type="dxa"/>
              <w:left w:w="90" w:type="dxa"/>
              <w:right w:w="90" w:type="dxa"/>
            </w:tcMar>
            <w:shd w:val="clear" w:color="auto" w:fill="E5F5FF"/>
          </w:tcPr>
          <w:p>
            <w:pPr>
              <w:pStyle w:val="BDOITable"/>
            </w:pPr>
            <w:r>
              <w:rPr>
                <w:sz w:val="16"/>
              </w:rPr>
              <w:t>FR-CSF-011, FR-CSF-021, FR-CSF-022</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22</w:t>
            </w:r>
          </w:p>
        </w:tc>
      </w:tr>
      <w:tr>
        <w:trPr>
          <w:cantSplit w:val="true"/>
        </w:trPr>
        <w:tc>
          <w:tcPr>
            <w:tcW w:type="dxa" w:w="1507"/>
            <w:tcMar>
              <w:top w:w="50" w:type="dxa"/>
              <w:bottom w:w="50" w:type="dxa"/>
              <w:left w:w="90" w:type="dxa"/>
              <w:right w:w="90" w:type="dxa"/>
            </w:tcMar>
          </w:tcPr>
          <w:p>
            <w:pPr>
              <w:pStyle w:val="BDOITable"/>
            </w:pPr>
            <w:r>
              <w:rPr>
                <w:sz w:val="16"/>
              </w:rPr>
              <w:t>BRCSF-003</w:t>
            </w:r>
          </w:p>
        </w:tc>
        <w:tc>
          <w:tcPr>
            <w:tcW w:type="dxa" w:w="4638"/>
            <w:tcMar>
              <w:top w:w="50" w:type="dxa"/>
              <w:bottom w:w="50" w:type="dxa"/>
              <w:left w:w="90" w:type="dxa"/>
              <w:right w:w="90" w:type="dxa"/>
            </w:tcMar>
          </w:tcPr>
          <w:p>
            <w:pPr>
              <w:pStyle w:val="BDOITable"/>
            </w:pPr>
            <w:r>
              <w:rPr>
                <w:sz w:val="16"/>
              </w:rPr>
              <w:t>FR-CSF-010</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BRCSF-004</w:t>
            </w:r>
          </w:p>
        </w:tc>
        <w:tc>
          <w:tcPr>
            <w:tcW w:type="dxa" w:w="4638"/>
            <w:tcMar>
              <w:top w:w="50" w:type="dxa"/>
              <w:bottom w:w="50" w:type="dxa"/>
              <w:left w:w="90" w:type="dxa"/>
              <w:right w:w="90" w:type="dxa"/>
            </w:tcMar>
            <w:shd w:val="clear" w:color="auto" w:fill="E5F5FF"/>
          </w:tcPr>
          <w:p>
            <w:pPr>
              <w:pStyle w:val="BDOITable"/>
            </w:pPr>
            <w:r>
              <w:rPr>
                <w:sz w:val="16"/>
              </w:rPr>
              <w:t>FR-CSF-020, FR-CSF-021</w:t>
            </w:r>
          </w:p>
        </w:tc>
        <w:tc>
          <w:tcPr>
            <w:tcW w:type="dxa" w:w="1044"/>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19</w:t>
            </w:r>
          </w:p>
        </w:tc>
      </w:tr>
      <w:tr>
        <w:trPr>
          <w:cantSplit w:val="true"/>
        </w:trPr>
        <w:tc>
          <w:tcPr>
            <w:tcW w:type="dxa" w:w="1507"/>
            <w:tcMar>
              <w:top w:w="50" w:type="dxa"/>
              <w:bottom w:w="50" w:type="dxa"/>
              <w:left w:w="90" w:type="dxa"/>
              <w:right w:w="90" w:type="dxa"/>
            </w:tcMar>
          </w:tcPr>
          <w:p>
            <w:pPr>
              <w:pStyle w:val="BDOITable"/>
            </w:pPr>
            <w:r>
              <w:rPr>
                <w:sz w:val="16"/>
              </w:rPr>
              <w:t>BRCSF-005</w:t>
            </w:r>
          </w:p>
        </w:tc>
        <w:tc>
          <w:tcPr>
            <w:tcW w:type="dxa" w:w="4638"/>
            <w:tcMar>
              <w:top w:w="50" w:type="dxa"/>
              <w:bottom w:w="50" w:type="dxa"/>
              <w:left w:w="90" w:type="dxa"/>
              <w:right w:w="90" w:type="dxa"/>
            </w:tcMar>
          </w:tcPr>
          <w:p>
            <w:pPr>
              <w:pStyle w:val="BDOITable"/>
            </w:pPr>
            <w:r>
              <w:rPr>
                <w:sz w:val="16"/>
              </w:rPr>
              <w:t>FR-CSF-013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BRCSF-006</w:t>
            </w:r>
          </w:p>
        </w:tc>
        <w:tc>
          <w:tcPr>
            <w:tcW w:type="dxa" w:w="4638"/>
            <w:tcMar>
              <w:top w:w="50" w:type="dxa"/>
              <w:bottom w:w="50" w:type="dxa"/>
              <w:left w:w="90" w:type="dxa"/>
              <w:right w:w="90" w:type="dxa"/>
            </w:tcMar>
            <w:shd w:val="clear" w:color="auto" w:fill="E5F5FF"/>
          </w:tcPr>
          <w:p>
            <w:pPr>
              <w:pStyle w:val="BDOITable"/>
            </w:pPr>
            <w:r>
              <w:rPr>
                <w:sz w:val="16"/>
              </w:rPr>
              <w:t>FR-CSF-030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BRCSF-007</w:t>
            </w:r>
          </w:p>
        </w:tc>
        <w:tc>
          <w:tcPr>
            <w:tcW w:type="dxa" w:w="4638"/>
            <w:tcMar>
              <w:top w:w="50" w:type="dxa"/>
              <w:bottom w:w="50" w:type="dxa"/>
              <w:left w:w="90" w:type="dxa"/>
              <w:right w:w="90" w:type="dxa"/>
            </w:tcMar>
          </w:tcPr>
          <w:p>
            <w:pPr>
              <w:pStyle w:val="BDOITable"/>
            </w:pPr>
            <w:r>
              <w:rPr>
                <w:sz w:val="16"/>
              </w:rPr>
              <w:t>FR-CSF-032</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BRCSF-008</w:t>
            </w:r>
          </w:p>
        </w:tc>
        <w:tc>
          <w:tcPr>
            <w:tcW w:type="dxa" w:w="4638"/>
            <w:tcMar>
              <w:top w:w="50" w:type="dxa"/>
              <w:bottom w:w="50" w:type="dxa"/>
              <w:left w:w="90" w:type="dxa"/>
              <w:right w:w="90" w:type="dxa"/>
            </w:tcMar>
            <w:shd w:val="clear" w:color="auto" w:fill="E5F5FF"/>
          </w:tcPr>
          <w:p>
            <w:pPr>
              <w:pStyle w:val="BDOITable"/>
            </w:pPr>
            <w:r>
              <w:rPr>
                <w:sz w:val="16"/>
              </w:rPr>
              <w:t>FR-CSF-011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BRCSF-009</w:t>
            </w:r>
          </w:p>
        </w:tc>
        <w:tc>
          <w:tcPr>
            <w:tcW w:type="dxa" w:w="4638"/>
            <w:tcMar>
              <w:top w:w="50" w:type="dxa"/>
              <w:bottom w:w="50" w:type="dxa"/>
              <w:left w:w="90" w:type="dxa"/>
              <w:right w:w="90" w:type="dxa"/>
            </w:tcMar>
          </w:tcPr>
          <w:p>
            <w:pPr>
              <w:pStyle w:val="BDOITable"/>
            </w:pPr>
            <w:r>
              <w:rPr>
                <w:sz w:val="16"/>
              </w:rPr>
              <w:t>FR-CSF-033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BRCSF-010</w:t>
            </w:r>
          </w:p>
        </w:tc>
        <w:tc>
          <w:tcPr>
            <w:tcW w:type="dxa" w:w="4638"/>
            <w:tcMar>
              <w:top w:w="50" w:type="dxa"/>
              <w:bottom w:w="50" w:type="dxa"/>
              <w:left w:w="90" w:type="dxa"/>
              <w:right w:w="90" w:type="dxa"/>
            </w:tcMar>
            <w:shd w:val="clear" w:color="auto" w:fill="E5F5FF"/>
          </w:tcPr>
          <w:p>
            <w:pPr>
              <w:pStyle w:val="BDOITable"/>
            </w:pPr>
            <w:r>
              <w:rPr>
                <w:sz w:val="16"/>
              </w:rPr>
              <w:t>FR-CSF-021, FR-CSF-040, FR-CSF-042</w:t>
            </w:r>
          </w:p>
        </w:tc>
        <w:tc>
          <w:tcPr>
            <w:tcW w:type="dxa" w:w="1044"/>
            <w:tcMar>
              <w:top w:w="50" w:type="dxa"/>
              <w:bottom w:w="50" w:type="dxa"/>
              <w:left w:w="90" w:type="dxa"/>
              <w:right w:w="90" w:type="dxa"/>
            </w:tcMar>
            <w:shd w:val="clear" w:color="auto" w:fill="E5F5FF"/>
          </w:tcPr>
          <w:p>
            <w:pPr>
              <w:pStyle w:val="BDOITable"/>
            </w:pPr>
            <w:r>
              <w:rPr>
                <w:sz w:val="16"/>
              </w:rPr>
              <w:t>14</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18</w:t>
            </w:r>
          </w:p>
        </w:tc>
      </w:tr>
      <w:tr>
        <w:trPr>
          <w:cantSplit w:val="true"/>
        </w:trPr>
        <w:tc>
          <w:tcPr>
            <w:tcW w:type="dxa" w:w="1507"/>
            <w:tcMar>
              <w:top w:w="50" w:type="dxa"/>
              <w:bottom w:w="50" w:type="dxa"/>
              <w:left w:w="90" w:type="dxa"/>
              <w:right w:w="90" w:type="dxa"/>
            </w:tcMar>
          </w:tcPr>
          <w:p>
            <w:pPr>
              <w:pStyle w:val="BDOITable"/>
            </w:pPr>
            <w:r>
              <w:rPr>
                <w:sz w:val="16"/>
              </w:rPr>
              <w:t>BRCSF-011</w:t>
            </w:r>
          </w:p>
        </w:tc>
        <w:tc>
          <w:tcPr>
            <w:tcW w:type="dxa" w:w="4638"/>
            <w:tcMar>
              <w:top w:w="50" w:type="dxa"/>
              <w:bottom w:w="50" w:type="dxa"/>
              <w:left w:w="90" w:type="dxa"/>
              <w:right w:w="90" w:type="dxa"/>
            </w:tcMar>
          </w:tcPr>
          <w:p>
            <w:pPr>
              <w:pStyle w:val="BDOITable"/>
            </w:pPr>
            <w:r>
              <w:rPr>
                <w:sz w:val="16"/>
              </w:rPr>
              <w:t>FR-CSF-041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BRCSF-001 / 1.001</w:t>
            </w:r>
          </w:p>
        </w:tc>
        <w:tc>
          <w:tcPr>
            <w:tcW w:type="dxa" w:w="4638"/>
            <w:tcMar>
              <w:top w:w="50" w:type="dxa"/>
              <w:bottom w:w="50" w:type="dxa"/>
              <w:left w:w="90" w:type="dxa"/>
              <w:right w:w="90" w:type="dxa"/>
            </w:tcMar>
            <w:shd w:val="clear" w:color="auto" w:fill="E5F5FF"/>
          </w:tcPr>
          <w:p>
            <w:pPr>
              <w:pStyle w:val="BDOITable"/>
            </w:pPr>
            <w:r>
              <w:rPr>
                <w:sz w:val="16"/>
              </w:rPr>
              <w:t>FR-CSF-001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BRCSF-001 / 1.002</w:t>
            </w:r>
          </w:p>
        </w:tc>
        <w:tc>
          <w:tcPr>
            <w:tcW w:type="dxa" w:w="4638"/>
            <w:tcMar>
              <w:top w:w="50" w:type="dxa"/>
              <w:bottom w:w="50" w:type="dxa"/>
              <w:left w:w="90" w:type="dxa"/>
              <w:right w:w="90" w:type="dxa"/>
            </w:tcMar>
          </w:tcPr>
          <w:p>
            <w:pPr>
              <w:pStyle w:val="BDOITable"/>
            </w:pPr>
            <w:r>
              <w:rPr>
                <w:sz w:val="16"/>
              </w:rPr>
              <w:t>FR-CSF-001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BRCSF-003 / 3.001</w:t>
            </w:r>
          </w:p>
        </w:tc>
        <w:tc>
          <w:tcPr>
            <w:tcW w:type="dxa" w:w="4638"/>
            <w:tcMar>
              <w:top w:w="50" w:type="dxa"/>
              <w:bottom w:w="50" w:type="dxa"/>
              <w:left w:w="90" w:type="dxa"/>
              <w:right w:w="90" w:type="dxa"/>
            </w:tcMar>
            <w:shd w:val="clear" w:color="auto" w:fill="E5F5FF"/>
          </w:tcPr>
          <w:p>
            <w:pPr>
              <w:pStyle w:val="BDOITable"/>
            </w:pPr>
            <w:r>
              <w:rPr>
                <w:sz w:val="16"/>
              </w:rPr>
              <w:t>FR-CSF-010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BRCSF-005 / 5.001</w:t>
            </w:r>
          </w:p>
        </w:tc>
        <w:tc>
          <w:tcPr>
            <w:tcW w:type="dxa" w:w="4638"/>
            <w:tcMar>
              <w:top w:w="50" w:type="dxa"/>
              <w:bottom w:w="50" w:type="dxa"/>
              <w:left w:w="90" w:type="dxa"/>
              <w:right w:w="90" w:type="dxa"/>
            </w:tcMar>
          </w:tcPr>
          <w:p>
            <w:pPr>
              <w:pStyle w:val="BDOITable"/>
            </w:pPr>
            <w:r>
              <w:rPr>
                <w:sz w:val="16"/>
              </w:rPr>
              <w:t>FR-CSF-012</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BRCSF-006 / 6.001</w:t>
            </w:r>
          </w:p>
        </w:tc>
        <w:tc>
          <w:tcPr>
            <w:tcW w:type="dxa" w:w="4638"/>
            <w:tcMar>
              <w:top w:w="50" w:type="dxa"/>
              <w:bottom w:w="50" w:type="dxa"/>
              <w:left w:w="90" w:type="dxa"/>
              <w:right w:w="90" w:type="dxa"/>
            </w:tcMar>
            <w:shd w:val="clear" w:color="auto" w:fill="E5F5FF"/>
          </w:tcPr>
          <w:p>
            <w:pPr>
              <w:pStyle w:val="BDOITable"/>
            </w:pPr>
            <w:r>
              <w:rPr>
                <w:sz w:val="16"/>
              </w:rPr>
              <w:t>FR-CSF-030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BRCSF-007 / 7.001</w:t>
            </w:r>
          </w:p>
        </w:tc>
        <w:tc>
          <w:tcPr>
            <w:tcW w:type="dxa" w:w="4638"/>
            <w:tcMar>
              <w:top w:w="50" w:type="dxa"/>
              <w:bottom w:w="50" w:type="dxa"/>
              <w:left w:w="90" w:type="dxa"/>
              <w:right w:w="90" w:type="dxa"/>
            </w:tcMar>
          </w:tcPr>
          <w:p>
            <w:pPr>
              <w:pStyle w:val="BDOITable"/>
            </w:pPr>
            <w:r>
              <w:rPr>
                <w:sz w:val="16"/>
              </w:rPr>
              <w:t>FR-CSF-032</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BRCSF-009 / 9.001</w:t>
            </w:r>
          </w:p>
        </w:tc>
        <w:tc>
          <w:tcPr>
            <w:tcW w:type="dxa" w:w="4638"/>
            <w:tcMar>
              <w:top w:w="50" w:type="dxa"/>
              <w:bottom w:w="50" w:type="dxa"/>
              <w:left w:w="90" w:type="dxa"/>
              <w:right w:w="90" w:type="dxa"/>
            </w:tcMar>
            <w:shd w:val="clear" w:color="auto" w:fill="E5F5FF"/>
          </w:tcPr>
          <w:p>
            <w:pPr>
              <w:pStyle w:val="BDOITable"/>
            </w:pPr>
            <w:r>
              <w:rPr>
                <w:sz w:val="16"/>
              </w:rPr>
              <w:t>FR-CSF-033</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BRCSF-011 / 11.001</w:t>
            </w:r>
          </w:p>
        </w:tc>
        <w:tc>
          <w:tcPr>
            <w:tcW w:type="dxa" w:w="4638"/>
            <w:tcMar>
              <w:top w:w="50" w:type="dxa"/>
              <w:bottom w:w="50" w:type="dxa"/>
              <w:left w:w="90" w:type="dxa"/>
              <w:right w:w="90" w:type="dxa"/>
            </w:tcMar>
          </w:tcPr>
          <w:p>
            <w:pPr>
              <w:pStyle w:val="BDOITable"/>
            </w:pPr>
            <w:r>
              <w:rPr>
                <w:sz w:val="16"/>
              </w:rPr>
              <w:t>FR-CSF-043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BRCSF-011 / 11.002</w:t>
            </w:r>
          </w:p>
        </w:tc>
        <w:tc>
          <w:tcPr>
            <w:tcW w:type="dxa" w:w="4638"/>
            <w:tcMar>
              <w:top w:w="50" w:type="dxa"/>
              <w:bottom w:w="50" w:type="dxa"/>
              <w:left w:w="90" w:type="dxa"/>
              <w:right w:w="90" w:type="dxa"/>
            </w:tcMar>
            <w:shd w:val="clear" w:color="auto" w:fill="E5F5FF"/>
          </w:tcPr>
          <w:p>
            <w:pPr>
              <w:pStyle w:val="BDOITable"/>
            </w:pPr>
            <w:r>
              <w:rPr>
                <w:sz w:val="16"/>
              </w:rPr>
              <w:t>FR-CSF-041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CSF-EM07</w:t>
            </w:r>
          </w:p>
        </w:tc>
        <w:tc>
          <w:tcPr>
            <w:tcW w:type="dxa" w:w="4638"/>
            <w:tcMar>
              <w:top w:w="50" w:type="dxa"/>
              <w:bottom w:w="50" w:type="dxa"/>
              <w:left w:w="90" w:type="dxa"/>
              <w:right w:w="90" w:type="dxa"/>
            </w:tcMar>
          </w:tcPr>
          <w:p>
            <w:pPr>
              <w:pStyle w:val="BDOITable"/>
            </w:pPr>
            <w:r>
              <w:rPr>
                <w:sz w:val="16"/>
              </w:rPr>
              <w:t>FR-CSF-012</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CSF-EM09</w:t>
            </w:r>
          </w:p>
        </w:tc>
        <w:tc>
          <w:tcPr>
            <w:tcW w:type="dxa" w:w="4638"/>
            <w:tcMar>
              <w:top w:w="50" w:type="dxa"/>
              <w:bottom w:w="50" w:type="dxa"/>
              <w:left w:w="90" w:type="dxa"/>
              <w:right w:w="90" w:type="dxa"/>
            </w:tcMar>
            <w:shd w:val="clear" w:color="auto" w:fill="E5F5FF"/>
          </w:tcPr>
          <w:p>
            <w:pPr>
              <w:pStyle w:val="BDOITable"/>
            </w:pPr>
            <w:r>
              <w:rPr>
                <w:sz w:val="16"/>
              </w:rPr>
              <w:t>FR-CSF-031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Current process limitations</w:t>
            </w:r>
          </w:p>
        </w:tc>
        <w:tc>
          <w:tcPr>
            <w:tcW w:type="dxa" w:w="4638"/>
            <w:tcMar>
              <w:top w:w="50" w:type="dxa"/>
              <w:bottom w:w="50" w:type="dxa"/>
              <w:left w:w="90" w:type="dxa"/>
              <w:right w:w="90" w:type="dxa"/>
            </w:tcMar>
          </w:tcPr>
          <w:p>
            <w:pPr>
              <w:pStyle w:val="BDOITable"/>
            </w:pPr>
            <w:r>
              <w:rPr>
                <w:sz w:val="16"/>
              </w:rPr>
              <w:t>FR-CSF-002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E-mail topic 4</w:t>
            </w:r>
          </w:p>
        </w:tc>
        <w:tc>
          <w:tcPr>
            <w:tcW w:type="dxa" w:w="4638"/>
            <w:tcMar>
              <w:top w:w="50" w:type="dxa"/>
              <w:bottom w:w="50" w:type="dxa"/>
              <w:left w:w="90" w:type="dxa"/>
              <w:right w:w="90" w:type="dxa"/>
            </w:tcMar>
            <w:shd w:val="clear" w:color="auto" w:fill="E5F5FF"/>
          </w:tcPr>
          <w:p>
            <w:pPr>
              <w:pStyle w:val="BDOITable"/>
            </w:pPr>
            <w:r>
              <w:rPr>
                <w:sz w:val="16"/>
              </w:rPr>
              <w:t>FR-CSF-010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E-mail topic 5</w:t>
            </w:r>
          </w:p>
        </w:tc>
        <w:tc>
          <w:tcPr>
            <w:tcW w:type="dxa" w:w="4638"/>
            <w:tcMar>
              <w:top w:w="50" w:type="dxa"/>
              <w:bottom w:w="50" w:type="dxa"/>
              <w:left w:w="90" w:type="dxa"/>
              <w:right w:w="90" w:type="dxa"/>
            </w:tcMar>
          </w:tcPr>
          <w:p>
            <w:pPr>
              <w:pStyle w:val="BDOITable"/>
            </w:pPr>
            <w:r>
              <w:rPr>
                <w:sz w:val="16"/>
              </w:rPr>
              <w:t>FR-CSF-020</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E-mail topic 6</w:t>
            </w:r>
          </w:p>
        </w:tc>
        <w:tc>
          <w:tcPr>
            <w:tcW w:type="dxa" w:w="4638"/>
            <w:tcMar>
              <w:top w:w="50" w:type="dxa"/>
              <w:bottom w:w="50" w:type="dxa"/>
              <w:left w:w="90" w:type="dxa"/>
              <w:right w:w="90" w:type="dxa"/>
            </w:tcMar>
            <w:shd w:val="clear" w:color="auto" w:fill="E5F5FF"/>
          </w:tcPr>
          <w:p>
            <w:pPr>
              <w:pStyle w:val="BDOITable"/>
            </w:pPr>
            <w:r>
              <w:rPr>
                <w:sz w:val="16"/>
              </w:rPr>
              <w:t>FR-CSF-013</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E-mail topic 8</w:t>
            </w:r>
          </w:p>
        </w:tc>
        <w:tc>
          <w:tcPr>
            <w:tcW w:type="dxa" w:w="4638"/>
            <w:tcMar>
              <w:top w:w="50" w:type="dxa"/>
              <w:bottom w:w="50" w:type="dxa"/>
              <w:left w:w="90" w:type="dxa"/>
              <w:right w:w="90" w:type="dxa"/>
            </w:tcMar>
          </w:tcPr>
          <w:p>
            <w:pPr>
              <w:pStyle w:val="BDOITable"/>
            </w:pPr>
            <w:r>
              <w:rPr>
                <w:sz w:val="16"/>
              </w:rPr>
              <w:t>FR-CSF-030</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Executive summary and envisioned process</w:t>
            </w:r>
          </w:p>
        </w:tc>
        <w:tc>
          <w:tcPr>
            <w:tcW w:type="dxa" w:w="4638"/>
            <w:tcMar>
              <w:top w:w="50" w:type="dxa"/>
              <w:bottom w:w="50" w:type="dxa"/>
              <w:left w:w="90" w:type="dxa"/>
              <w:right w:w="90" w:type="dxa"/>
            </w:tcMar>
            <w:shd w:val="clear" w:color="auto" w:fill="E5F5FF"/>
          </w:tcPr>
          <w:p>
            <w:pPr>
              <w:pStyle w:val="BDOITable"/>
            </w:pPr>
            <w:r>
              <w:rPr>
                <w:sz w:val="16"/>
              </w:rPr>
              <w:t>FR-CSF-022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Usage requirements - report generation by Leads / Heads</w:t>
            </w:r>
          </w:p>
        </w:tc>
        <w:tc>
          <w:tcPr>
            <w:tcW w:type="dxa" w:w="4638"/>
            <w:tcMar>
              <w:top w:w="50" w:type="dxa"/>
              <w:bottom w:w="50" w:type="dxa"/>
              <w:left w:w="90" w:type="dxa"/>
              <w:right w:w="90" w:type="dxa"/>
            </w:tcMar>
          </w:tcPr>
          <w:p>
            <w:pPr>
              <w:pStyle w:val="BDOITable"/>
            </w:pPr>
            <w:r>
              <w:rPr>
                <w:sz w:val="16"/>
              </w:rPr>
              <w:t>FR-CSF-042</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SC-CSF-01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roles. Agents, supervisors and management log in, land on the Customer Search and see only the CSF actions of their role; role grants go through User Access requests.</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SC-CSF-02</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Find the caller. The agent searches by name, client ID, account number, PN number and application number and opens the client.</w:t>
            </w:r>
          </w:p>
        </w:tc>
        <w:tc>
          <w:tcPr>
            <w:tcW w:type="dxa" w:w="821"/>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1056"/>
            <w:tcMar>
              <w:top w:w="50" w:type="dxa"/>
              <w:bottom w:w="50" w:type="dxa"/>
              <w:left w:w="90" w:type="dxa"/>
              <w:right w:w="90" w:type="dxa"/>
            </w:tcMar>
          </w:tcPr>
          <w:p>
            <w:pPr>
              <w:pStyle w:val="BDOITable"/>
            </w:pPr>
            <w:r>
              <w:rPr>
                <w:sz w:val="17"/>
              </w:rPr>
              <w:t>SC-CSF-03</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Servicing view. The agent reads the client information, every account with its CSF status and the payment history.</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SC-CSF-04</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Verify and update the contact. The agent verifies the caller, changes the mobile or e-mail with a reason, and the change is queued for QPS and EBIX while they coexist.</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SC-CSF-05</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Resend documents. The agent resends a renewal advice and an e-policy to the registered e-mail; the supervisor sends to another address with a reason.</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SC-CSF-06</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Documents. The agent uploads documents to the client or an account and retrieves quotations, renewal advices and claims reports.</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SC-CSF-07</w:t>
            </w:r>
          </w:p>
        </w:tc>
        <w:tc>
          <w:tcPr>
            <w:tcW w:type="dxa" w:w="2464"/>
            <w:tcMar>
              <w:top w:w="50" w:type="dxa"/>
              <w:bottom w:w="50" w:type="dxa"/>
              <w:left w:w="90" w:type="dxa"/>
              <w:right w:w="90" w:type="dxa"/>
            </w:tcMar>
          </w:tcPr>
          <w:p>
            <w:pPr>
              <w:pStyle w:val="BDOITable"/>
            </w:pPr>
            <w:r>
              <w:rPr>
                <w:sz w:val="17"/>
              </w:rPr>
              <w:t>CSF_MANAGEMENT – Contact Center Management</w:t>
            </w:r>
          </w:p>
        </w:tc>
        <w:tc>
          <w:tcPr>
            <w:tcW w:type="dxa" w:w="5631"/>
            <w:tcMar>
              <w:top w:w="50" w:type="dxa"/>
              <w:bottom w:w="50" w:type="dxa"/>
              <w:left w:w="90" w:type="dxa"/>
              <w:right w:w="90" w:type="dxa"/>
            </w:tcMar>
          </w:tcPr>
          <w:p>
            <w:pPr>
              <w:pStyle w:val="BDOITable"/>
            </w:pPr>
            <w:r>
              <w:rPr>
                <w:sz w:val="17"/>
              </w:rPr>
              <w:t>Audit and reports. Management prints or saves the audit trail, the Contact Changes report and the Agent Activity report.</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SC-CSF-08</w:t>
            </w:r>
          </w:p>
        </w:tc>
        <w:tc>
          <w:tcPr>
            <w:tcW w:type="dxa" w:w="2464"/>
            <w:tcMar>
              <w:top w:w="50" w:type="dxa"/>
              <w:bottom w:w="50" w:type="dxa"/>
              <w:left w:w="90" w:type="dxa"/>
              <w:right w:w="90" w:type="dxa"/>
            </w:tcMar>
            <w:shd w:val="clear" w:color="auto" w:fill="E5F5FF"/>
          </w:tcPr>
          <w:p>
            <w:pPr>
              <w:pStyle w:val="BDOITable"/>
            </w:pPr>
            <w:r>
              <w:rPr>
                <w:sz w:val="17"/>
              </w:rPr>
              <w:t>INFRA – Infrastructure team</w:t>
            </w:r>
          </w:p>
        </w:tc>
        <w:tc>
          <w:tcPr>
            <w:tcW w:type="dxa" w:w="5631"/>
            <w:tcMar>
              <w:top w:w="50" w:type="dxa"/>
              <w:bottom w:w="50" w:type="dxa"/>
              <w:left w:w="90" w:type="dxa"/>
              <w:right w:w="90" w:type="dxa"/>
            </w:tcMar>
            <w:shd w:val="clear" w:color="auto" w:fill="E5F5FF"/>
          </w:tcPr>
          <w:p>
            <w:pPr>
              <w:pStyle w:val="BDOITable"/>
            </w:pPr>
            <w:r>
              <w:rPr>
                <w:sz w:val="17"/>
              </w:rPr>
              <w:t>Backup and restore. The infrastructure team proves the 15-minute log archiving and a restore.</w:t>
            </w:r>
          </w:p>
        </w:tc>
        <w:tc>
          <w:tcPr>
            <w:tcW w:type="dxa" w:w="821"/>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66"/>
        <w:gridCol w:w="1241"/>
        <w:gridCol w:w="1241"/>
        <w:gridCol w:w="1241"/>
        <w:gridCol w:w="1241"/>
        <w:gridCol w:w="1241"/>
      </w:tblGrid>
      <w:tr>
        <w:trPr>
          <w:tblHeader w:val="true"/>
          <w:cantSplit w:val="true"/>
        </w:trPr>
        <w:tc>
          <w:tcPr>
            <w:tcW w:type="dxa" w:w="376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Agent</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Supervisor</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Mgmt</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3766"/>
            <w:tcMar>
              <w:top w:w="50" w:type="dxa"/>
              <w:bottom w:w="50" w:type="dxa"/>
              <w:left w:w="90" w:type="dxa"/>
              <w:right w:w="90" w:type="dxa"/>
            </w:tcMar>
          </w:tcPr>
          <w:p>
            <w:pPr>
              <w:pStyle w:val="BDOITable"/>
            </w:pPr>
            <w:r>
              <w:rPr>
                <w:sz w:val="15"/>
              </w:rPr>
              <w:t>Open the Customer Search and the Servicing View</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Verify the caller and change contact details</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Resend the RA or e-policy to the registered e-mail</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Resend to another address with a reason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Upload documents from the Servicing View</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Open and download documents</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Run the Contact Changes and Agent Activity reports</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Run the Audit Trail report (CTL-AUDIT)</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Maintain users and roles</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CSF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(CSQ03 verification checks, CSQ04 status definitions, CSQ10 role matrix, CSQ14 and CSQ15 contacts)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No renewal advices exist until the Renewal and EB modules store them (D-CSF-01)</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loads RENEWAL_ADVICE documents on the test clients; the cases are re-run when the modules produce RAs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QPS / EBIX interface is not specified (CSQ01)</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sync-enabled cases stay Blocked; the disabled sync and the outbox are tested now</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resend cases read the outbox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(verification validity, payment window, failed verifications per day)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verification and receipt times in the test database, as the preconditions describe</w:t>
            </w:r>
          </w:p>
        </w:tc>
      </w:tr>
      <w:tr>
        <w:trPr>
          <w:cantSplit w:val="true"/>
        </w:trPr>
        <w:tc>
          <w:tcPr>
            <w:tcW w:type="dxa" w:w="3688"/>
            <w:tcMar>
              <w:top w:w="50" w:type="dxa"/>
              <w:bottom w:w="50" w:type="dxa"/>
              <w:left w:w="90" w:type="dxa"/>
              <w:right w:w="90" w:type="dxa"/>
            </w:tcMar>
          </w:tcPr>
          <w:p>
            <w:pPr>
              <w:pStyle w:val="BDOITable"/>
            </w:pPr>
            <w:r>
              <w:rPr>
                <w:sz w:val="18"/>
              </w:rPr>
              <w:t>The restore test needs an infrastructure environment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infrastructure team runs FR-CSF-043 on its restore environment and hands the log to QA</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Contact Center testers are not available in the UAT window (24 agents share the hotline)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and dates outside the peak hours 10:00-12:00 and 14:00-16:00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TF-CSF-01</w:t>
            </w:r>
          </w:p>
        </w:tc>
        <w:tc>
          <w:tcPr>
            <w:tcW w:type="dxa" w:w="1290"/>
            <w:tcMar>
              <w:top w:w="50" w:type="dxa"/>
              <w:bottom w:w="50" w:type="dxa"/>
              <w:left w:w="90" w:type="dxa"/>
              <w:right w:w="90" w:type="dxa"/>
            </w:tcMar>
          </w:tcPr>
          <w:p>
            <w:pPr>
              <w:pStyle w:val="BDOITable"/>
            </w:pPr>
            <w:r>
              <w:rPr>
                <w:sz w:val="17"/>
              </w:rPr>
              <w:t>FR-CSF-001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differ from the platform log-in that BRD-9 reuses (fit FIT), which shows "Invalid user name or password" and "Account is locked. Contact your administrator." Acceptance criterion 3 repeats FR-CSF-002.</w:t>
            </w:r>
          </w:p>
        </w:tc>
        <w:tc>
          <w:tcPr>
            <w:tcW w:type="dxa" w:w="3402"/>
            <w:tcMar>
              <w:top w:w="50" w:type="dxa"/>
              <w:bottom w:w="50" w:type="dxa"/>
              <w:left w:w="90" w:type="dxa"/>
              <w:right w:w="90" w:type="dxa"/>
            </w:tcMar>
          </w:tcPr>
          <w:p>
            <w:pPr>
              <w:pStyle w:val="BDOITable"/>
            </w:pPr>
            <w:r>
              <w:rPr>
                <w:sz w:val="17"/>
              </w:rPr>
              <w:t>Quote the platform texts in FRS v1.1, as FRS BRD-11 FR-UA-001 does; the cases use the platform texts. Keep criterion 3 in FR-CSF-002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TF-CSF-02</w:t>
            </w:r>
          </w:p>
        </w:tc>
        <w:tc>
          <w:tcPr>
            <w:tcW w:type="dxa" w:w="1290"/>
            <w:tcMar>
              <w:top w:w="50" w:type="dxa"/>
              <w:bottom w:w="50" w:type="dxa"/>
              <w:left w:w="90" w:type="dxa"/>
              <w:right w:w="90" w:type="dxa"/>
            </w:tcMar>
            <w:shd w:val="clear" w:color="auto" w:fill="E5F5FF"/>
          </w:tcPr>
          <w:p>
            <w:pPr>
              <w:pStyle w:val="BDOITable"/>
            </w:pPr>
            <w:r>
              <w:rPr>
                <w:sz w:val="17"/>
              </w:rPr>
              <w:t>FR-CSF-010</w:t>
            </w:r>
          </w:p>
        </w:tc>
        <w:tc>
          <w:tcPr>
            <w:tcW w:type="dxa" w:w="4223"/>
            <w:tcMar>
              <w:top w:w="50" w:type="dxa"/>
              <w:bottom w:w="50" w:type="dxa"/>
              <w:left w:w="90" w:type="dxa"/>
              <w:right w:w="90" w:type="dxa"/>
            </w:tcMar>
            <w:shd w:val="clear" w:color="auto" w:fill="E5F5FF"/>
          </w:tcPr>
          <w:p>
            <w:pPr>
              <w:pStyle w:val="BDOITable"/>
            </w:pPr>
            <w:r>
              <w:rPr>
                <w:sz w:val="17"/>
              </w:rPr>
              <w:t>The response target "within 3 seconds (p.13)" gives no load: number of clients and accounts, concurrent agents. The FRS does not say whether a name search matches the start of the name, any word, or ignores accents and case.</w:t>
            </w:r>
          </w:p>
        </w:tc>
        <w:tc>
          <w:tcPr>
            <w:tcW w:type="dxa" w:w="3402"/>
            <w:tcMar>
              <w:top w:w="50" w:type="dxa"/>
              <w:bottom w:w="50" w:type="dxa"/>
              <w:left w:w="90" w:type="dxa"/>
              <w:right w:w="90" w:type="dxa"/>
            </w:tcMar>
            <w:shd w:val="clear" w:color="auto" w:fill="E5F5FF"/>
          </w:tcPr>
          <w:p>
            <w:pPr>
              <w:pStyle w:val="BDOITable"/>
            </w:pPr>
            <w:r>
              <w:rPr>
                <w:sz w:val="17"/>
              </w:rPr>
              <w:t>State the measurement load (24 concurrent users, the year-5 volume of section 8) and the name-matching rule; the cases time searches in the peak window on SIT data.</w:t>
            </w:r>
          </w:p>
        </w:tc>
      </w:tr>
      <w:tr>
        <w:trPr>
          <w:cantSplit w:val="true"/>
        </w:trPr>
        <w:tc>
          <w:tcPr>
            <w:tcW w:type="dxa" w:w="1056"/>
            <w:tcMar>
              <w:top w:w="50" w:type="dxa"/>
              <w:bottom w:w="50" w:type="dxa"/>
              <w:left w:w="90" w:type="dxa"/>
              <w:right w:w="90" w:type="dxa"/>
            </w:tcMar>
          </w:tcPr>
          <w:p>
            <w:pPr>
              <w:pStyle w:val="BDOITable"/>
            </w:pPr>
            <w:r>
              <w:rPr>
                <w:sz w:val="17"/>
              </w:rPr>
              <w:t>TF-CSF-03</w:t>
            </w:r>
          </w:p>
        </w:tc>
        <w:tc>
          <w:tcPr>
            <w:tcW w:type="dxa" w:w="1290"/>
            <w:tcMar>
              <w:top w:w="50" w:type="dxa"/>
              <w:bottom w:w="50" w:type="dxa"/>
              <w:left w:w="90" w:type="dxa"/>
              <w:right w:w="90" w:type="dxa"/>
            </w:tcMar>
          </w:tcPr>
          <w:p>
            <w:pPr>
              <w:pStyle w:val="BDOITable"/>
            </w:pPr>
            <w:r>
              <w:rPr>
                <w:sz w:val="17"/>
              </w:rPr>
              <w:t>FR-CSF-012</w:t>
            </w:r>
          </w:p>
        </w:tc>
        <w:tc>
          <w:tcPr>
            <w:tcW w:type="dxa" w:w="4223"/>
            <w:tcMar>
              <w:top w:w="50" w:type="dxa"/>
              <w:bottom w:w="50" w:type="dxa"/>
              <w:left w:w="90" w:type="dxa"/>
              <w:right w:w="90" w:type="dxa"/>
            </w:tcMar>
          </w:tcPr>
          <w:p>
            <w:pPr>
              <w:pStyle w:val="BDOITable"/>
            </w:pPr>
            <w:r>
              <w:rPr>
                <w:sz w:val="17"/>
              </w:rPr>
              <w:t>The mapping list CSF_STATUS_MAP has no rule for an account stage that no row matches, or for two rows that match the same account. A cancelled account with premium outstanding could match Booked and Closed.</w:t>
            </w:r>
          </w:p>
        </w:tc>
        <w:tc>
          <w:tcPr>
            <w:tcW w:type="dxa" w:w="3402"/>
            <w:tcMar>
              <w:top w:w="50" w:type="dxa"/>
              <w:bottom w:w="50" w:type="dxa"/>
              <w:left w:w="90" w:type="dxa"/>
              <w:right w:w="90" w:type="dxa"/>
            </w:tcMar>
          </w:tcPr>
          <w:p>
            <w:pPr>
              <w:pStyle w:val="BDOITable"/>
            </w:pPr>
            <w:r>
              <w:rPr>
                <w:sz w:val="17"/>
              </w:rPr>
              <w:t>State that the first row by order wins and that an unmatched stage shows a fixed value (for example "Other") with an alert to the list owner.</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TF-CSF-04</w:t>
            </w:r>
          </w:p>
        </w:tc>
        <w:tc>
          <w:tcPr>
            <w:tcW w:type="dxa" w:w="1290"/>
            <w:tcMar>
              <w:top w:w="50" w:type="dxa"/>
              <w:bottom w:w="50" w:type="dxa"/>
              <w:left w:w="90" w:type="dxa"/>
              <w:right w:w="90" w:type="dxa"/>
            </w:tcMar>
            <w:shd w:val="clear" w:color="auto" w:fill="E5F5FF"/>
          </w:tcPr>
          <w:p>
            <w:pPr>
              <w:pStyle w:val="BDOITable"/>
            </w:pPr>
            <w:r>
              <w:rPr>
                <w:sz w:val="17"/>
              </w:rPr>
              <w:t>FR-CSF-020</w:t>
            </w:r>
          </w:p>
        </w:tc>
        <w:tc>
          <w:tcPr>
            <w:tcW w:type="dxa" w:w="4223"/>
            <w:tcMar>
              <w:top w:w="50" w:type="dxa"/>
              <w:bottom w:w="50" w:type="dxa"/>
              <w:left w:w="90" w:type="dxa"/>
              <w:right w:w="90" w:type="dxa"/>
            </w:tcMar>
            <w:shd w:val="clear" w:color="auto" w:fill="E5F5FF"/>
          </w:tcPr>
          <w:p>
            <w:pPr>
              <w:pStyle w:val="BDOITable"/>
            </w:pPr>
            <w:r>
              <w:rPr>
                <w:sz w:val="17"/>
              </w:rPr>
              <w:t>The checks are Yes / No, so a check the agent did not ask cannot be recorded; "Record the result of the verification checks" does not say whether all four or only one must be answered. Whether a verification is also needed before a resend is open (CSQ03), and it is not stated whether a PASSED verification belongs to the agent or to any agent of the client.</w:t>
            </w:r>
          </w:p>
        </w:tc>
        <w:tc>
          <w:tcPr>
            <w:tcW w:type="dxa" w:w="3402"/>
            <w:tcMar>
              <w:top w:w="50" w:type="dxa"/>
              <w:bottom w:w="50" w:type="dxa"/>
              <w:left w:w="90" w:type="dxa"/>
              <w:right w:w="90" w:type="dxa"/>
            </w:tcMar>
            <w:shd w:val="clear" w:color="auto" w:fill="E5F5FF"/>
          </w:tcPr>
          <w:p>
            <w:pPr>
              <w:pStyle w:val="BDOITable"/>
            </w:pPr>
            <w:r>
              <w:rPr>
                <w:sz w:val="17"/>
              </w:rPr>
              <w:t>Add a value "Not asked", state how many checks must be answered, and tie the verification to the agent and client. The cases assume all four are answered and the verification is per agent.</w:t>
            </w:r>
          </w:p>
        </w:tc>
      </w:tr>
      <w:tr>
        <w:trPr>
          <w:cantSplit w:val="true"/>
        </w:trPr>
        <w:tc>
          <w:tcPr>
            <w:tcW w:type="dxa" w:w="1056"/>
            <w:tcMar>
              <w:top w:w="50" w:type="dxa"/>
              <w:bottom w:w="50" w:type="dxa"/>
              <w:left w:w="90" w:type="dxa"/>
              <w:right w:w="90" w:type="dxa"/>
            </w:tcMar>
          </w:tcPr>
          <w:p>
            <w:pPr>
              <w:pStyle w:val="BDOITable"/>
            </w:pPr>
            <w:r>
              <w:rPr>
                <w:sz w:val="17"/>
              </w:rPr>
              <w:t>TF-CSF-05</w:t>
            </w:r>
          </w:p>
        </w:tc>
        <w:tc>
          <w:tcPr>
            <w:tcW w:type="dxa" w:w="1290"/>
            <w:tcMar>
              <w:top w:w="50" w:type="dxa"/>
              <w:bottom w:w="50" w:type="dxa"/>
              <w:left w:w="90" w:type="dxa"/>
              <w:right w:w="90" w:type="dxa"/>
            </w:tcMar>
          </w:tcPr>
          <w:p>
            <w:pPr>
              <w:pStyle w:val="BDOITable"/>
            </w:pPr>
            <w:r>
              <w:rPr>
                <w:sz w:val="17"/>
              </w:rPr>
              <w:t>FR-CSF-021</w:t>
            </w:r>
          </w:p>
        </w:tc>
        <w:tc>
          <w:tcPr>
            <w:tcW w:type="dxa" w:w="4223"/>
            <w:tcMar>
              <w:top w:w="50" w:type="dxa"/>
              <w:bottom w:w="50" w:type="dxa"/>
              <w:left w:w="90" w:type="dxa"/>
              <w:right w:w="90" w:type="dxa"/>
            </w:tcMar>
          </w:tcPr>
          <w:p>
            <w:pPr>
              <w:pStyle w:val="BDOITable"/>
            </w:pPr>
            <w:r>
              <w:rPr>
                <w:sz w:val="17"/>
              </w:rPr>
              <w:t>"Add" contact details depends on CSQ15 and cannot be tested; "Philippine mobile format" is not defined (09xxxxxxxxx, +639xxxxxxxxx or both); the phone rule "digits and separators" has no length.</w:t>
            </w:r>
          </w:p>
        </w:tc>
        <w:tc>
          <w:tcPr>
            <w:tcW w:type="dxa" w:w="3402"/>
            <w:tcMar>
              <w:top w:w="50" w:type="dxa"/>
              <w:bottom w:w="50" w:type="dxa"/>
              <w:left w:w="90" w:type="dxa"/>
              <w:right w:w="90" w:type="dxa"/>
            </w:tcMar>
          </w:tcPr>
          <w:p>
            <w:pPr>
              <w:pStyle w:val="BDOITable"/>
            </w:pPr>
            <w:r>
              <w:rPr>
                <w:sz w:val="17"/>
              </w:rPr>
              <w:t>Define the accepted mobile and phone formats with examples and remove "add" until CSQ15 is answered; the cases use 12345 as an invalid mobile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TF-CSF-06</w:t>
            </w:r>
          </w:p>
        </w:tc>
        <w:tc>
          <w:tcPr>
            <w:tcW w:type="dxa" w:w="1290"/>
            <w:tcMar>
              <w:top w:w="50" w:type="dxa"/>
              <w:bottom w:w="50" w:type="dxa"/>
              <w:left w:w="90" w:type="dxa"/>
              <w:right w:w="90" w:type="dxa"/>
            </w:tcMar>
            <w:shd w:val="clear" w:color="auto" w:fill="E5F5FF"/>
          </w:tcPr>
          <w:p>
            <w:pPr>
              <w:pStyle w:val="BDOITable"/>
            </w:pPr>
            <w:r>
              <w:rPr>
                <w:sz w:val="17"/>
              </w:rPr>
              <w:t>FR-CSF-022</w:t>
            </w:r>
          </w:p>
        </w:tc>
        <w:tc>
          <w:tcPr>
            <w:tcW w:type="dxa" w:w="4223"/>
            <w:tcMar>
              <w:top w:w="50" w:type="dxa"/>
              <w:bottom w:w="50" w:type="dxa"/>
              <w:left w:w="90" w:type="dxa"/>
              <w:right w:w="90" w:type="dxa"/>
            </w:tcMar>
            <w:shd w:val="clear" w:color="auto" w:fill="E5F5FF"/>
          </w:tcPr>
          <w:p>
            <w:pPr>
              <w:pStyle w:val="BDOITable"/>
            </w:pPr>
            <w:r>
              <w:rPr>
                <w:sz w:val="17"/>
              </w:rPr>
              <w:t>Acceptance covers only the disabled sync. The sending, the number and interval of retries and the FAILED state cannot be tested until the interface is specified (CSQ01).</w:t>
            </w:r>
          </w:p>
        </w:tc>
        <w:tc>
          <w:tcPr>
            <w:tcW w:type="dxa" w:w="3402"/>
            <w:tcMar>
              <w:top w:w="50" w:type="dxa"/>
              <w:bottom w:w="50" w:type="dxa"/>
              <w:left w:w="90" w:type="dxa"/>
              <w:right w:w="90" w:type="dxa"/>
            </w:tcMar>
            <w:shd w:val="clear" w:color="auto" w:fill="E5F5FF"/>
          </w:tcPr>
          <w:p>
            <w:pPr>
              <w:pStyle w:val="BDOITable"/>
            </w:pPr>
            <w:r>
              <w:rPr>
                <w:sz w:val="17"/>
              </w:rPr>
              <w:t>Give the retry count and interval as parameters; TC-CSF-022.3-01 and 3-02 stay Blocked until a test stub of the interface exists.</w:t>
            </w:r>
          </w:p>
        </w:tc>
      </w:tr>
      <w:tr>
        <w:trPr>
          <w:cantSplit w:val="true"/>
        </w:trPr>
        <w:tc>
          <w:tcPr>
            <w:tcW w:type="dxa" w:w="1056"/>
            <w:tcMar>
              <w:top w:w="50" w:type="dxa"/>
              <w:bottom w:w="50" w:type="dxa"/>
              <w:left w:w="90" w:type="dxa"/>
              <w:right w:w="90" w:type="dxa"/>
            </w:tcMar>
          </w:tcPr>
          <w:p>
            <w:pPr>
              <w:pStyle w:val="BDOITable"/>
            </w:pPr>
            <w:r>
              <w:rPr>
                <w:sz w:val="17"/>
              </w:rPr>
              <w:t>TF-CSF-07</w:t>
            </w:r>
          </w:p>
        </w:tc>
        <w:tc>
          <w:tcPr>
            <w:tcW w:type="dxa" w:w="1290"/>
            <w:tcMar>
              <w:top w:w="50" w:type="dxa"/>
              <w:bottom w:w="50" w:type="dxa"/>
              <w:left w:w="90" w:type="dxa"/>
              <w:right w:w="90" w:type="dxa"/>
            </w:tcMar>
          </w:tcPr>
          <w:p>
            <w:pPr>
              <w:pStyle w:val="BDOITable"/>
            </w:pPr>
            <w:r>
              <w:rPr>
                <w:sz w:val="17"/>
              </w:rPr>
              <w:t>FR-CSF-030</w:t>
            </w:r>
          </w:p>
        </w:tc>
        <w:tc>
          <w:tcPr>
            <w:tcW w:type="dxa" w:w="4223"/>
            <w:tcMar>
              <w:top w:w="50" w:type="dxa"/>
              <w:bottom w:w="50" w:type="dxa"/>
              <w:left w:w="90" w:type="dxa"/>
              <w:right w:w="90" w:type="dxa"/>
            </w:tcMar>
          </w:tcPr>
          <w:p>
            <w:pPr>
              <w:pStyle w:val="BDOITable"/>
            </w:pPr>
            <w:r>
              <w:rPr>
                <w:sz w:val="17"/>
              </w:rPr>
              <w:t>The RA password convention (CSQ06) is open, so the cases can check only that the file needs a password and that the password arrives separately, not its value.</w:t>
            </w:r>
          </w:p>
        </w:tc>
        <w:tc>
          <w:tcPr>
            <w:tcW w:type="dxa" w:w="3402"/>
            <w:tcMar>
              <w:top w:w="50" w:type="dxa"/>
              <w:bottom w:w="50" w:type="dxa"/>
              <w:left w:w="90" w:type="dxa"/>
              <w:right w:w="90" w:type="dxa"/>
            </w:tcMar>
          </w:tcPr>
          <w:p>
            <w:pPr>
              <w:pStyle w:val="BDOITable"/>
            </w:pPr>
            <w:r>
              <w:rPr>
                <w:sz w:val="17"/>
              </w:rPr>
              <w:t>Add the password rule to FR-CSF-030 when CSQ06 is answered; the cases are then extended with the expected password.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TF-CSF-08</w:t>
            </w:r>
          </w:p>
        </w:tc>
        <w:tc>
          <w:tcPr>
            <w:tcW w:type="dxa" w:w="1290"/>
            <w:tcMar>
              <w:top w:w="50" w:type="dxa"/>
              <w:bottom w:w="50" w:type="dxa"/>
              <w:left w:w="90" w:type="dxa"/>
              <w:right w:w="90" w:type="dxa"/>
            </w:tcMar>
            <w:shd w:val="clear" w:color="auto" w:fill="E5F5FF"/>
          </w:tcPr>
          <w:p>
            <w:pPr>
              <w:pStyle w:val="BDOITable"/>
            </w:pPr>
            <w:r>
              <w:rPr>
                <w:sz w:val="17"/>
              </w:rPr>
              <w:t>FR-CSF-032</w:t>
            </w:r>
          </w:p>
        </w:tc>
        <w:tc>
          <w:tcPr>
            <w:tcW w:type="dxa" w:w="4223"/>
            <w:tcMar>
              <w:top w:w="50" w:type="dxa"/>
              <w:bottom w:w="50" w:type="dxa"/>
              <w:left w:w="90" w:type="dxa"/>
              <w:right w:w="90" w:type="dxa"/>
            </w:tcMar>
            <w:shd w:val="clear" w:color="auto" w:fill="E5F5FF"/>
          </w:tcPr>
          <w:p>
            <w:pPr>
              <w:pStyle w:val="BDOITable"/>
            </w:pPr>
            <w:r>
              <w:rPr>
                <w:sz w:val="17"/>
              </w:rPr>
              <w:t>The maximum file size (CSQ08) is not given, so the "too large" boundary cannot be set; the 5-second upload target has no file size.</w:t>
            </w:r>
          </w:p>
        </w:tc>
        <w:tc>
          <w:tcPr>
            <w:tcW w:type="dxa" w:w="3402"/>
            <w:tcMar>
              <w:top w:w="50" w:type="dxa"/>
              <w:bottom w:w="50" w:type="dxa"/>
              <w:left w:w="90" w:type="dxa"/>
              <w:right w:w="90" w:type="dxa"/>
            </w:tcMar>
            <w:shd w:val="clear" w:color="auto" w:fill="E5F5FF"/>
          </w:tcPr>
          <w:p>
            <w:pPr>
              <w:pStyle w:val="BDOITable"/>
            </w:pPr>
            <w:r>
              <w:rPr>
                <w:sz w:val="17"/>
              </w:rPr>
              <w:t>State the size limit and the file size for the 5-second target; until then the test uses the platform limit and a 2 MB file.</w:t>
            </w:r>
          </w:p>
        </w:tc>
      </w:tr>
      <w:tr>
        <w:trPr>
          <w:cantSplit w:val="true"/>
        </w:trPr>
        <w:tc>
          <w:tcPr>
            <w:tcW w:type="dxa" w:w="1056"/>
            <w:tcMar>
              <w:top w:w="50" w:type="dxa"/>
              <w:bottom w:w="50" w:type="dxa"/>
              <w:left w:w="90" w:type="dxa"/>
              <w:right w:w="90" w:type="dxa"/>
            </w:tcMar>
          </w:tcPr>
          <w:p>
            <w:pPr>
              <w:pStyle w:val="BDOITable"/>
            </w:pPr>
            <w:r>
              <w:rPr>
                <w:sz w:val="17"/>
              </w:rPr>
              <w:t>TF-CSF-09</w:t>
            </w:r>
          </w:p>
        </w:tc>
        <w:tc>
          <w:tcPr>
            <w:tcW w:type="dxa" w:w="1290"/>
            <w:tcMar>
              <w:top w:w="50" w:type="dxa"/>
              <w:bottom w:w="50" w:type="dxa"/>
              <w:left w:w="90" w:type="dxa"/>
              <w:right w:w="90" w:type="dxa"/>
            </w:tcMar>
          </w:tcPr>
          <w:p>
            <w:pPr>
              <w:pStyle w:val="BDOITable"/>
            </w:pPr>
            <w:r>
              <w:rPr>
                <w:sz w:val="17"/>
              </w:rPr>
              <w:t>FR-CSF-033</w:t>
            </w:r>
          </w:p>
        </w:tc>
        <w:tc>
          <w:tcPr>
            <w:tcW w:type="dxa" w:w="4223"/>
            <w:tcMar>
              <w:top w:w="50" w:type="dxa"/>
              <w:bottom w:w="50" w:type="dxa"/>
              <w:left w:w="90" w:type="dxa"/>
              <w:right w:w="90" w:type="dxa"/>
            </w:tcMar>
          </w:tcPr>
          <w:p>
            <w:pPr>
              <w:pStyle w:val="BDOITable"/>
            </w:pPr>
            <w:r>
              <w:rPr>
                <w:sz w:val="17"/>
              </w:rPr>
              <w:t>The permissions matrix gives CSF_MANAGEMENT the Servicing View (CSF_VIEW) but not ATTACHMENT_VIEW. The FRS does not say whether management sees the Documents, Renewal Advice and E-policies tabs as a list without download, or not at all.</w:t>
            </w:r>
          </w:p>
        </w:tc>
        <w:tc>
          <w:tcPr>
            <w:tcW w:type="dxa" w:w="3402"/>
            <w:tcMar>
              <w:top w:w="50" w:type="dxa"/>
              <w:bottom w:w="50" w:type="dxa"/>
              <w:left w:w="90" w:type="dxa"/>
              <w:right w:w="90" w:type="dxa"/>
            </w:tcMar>
          </w:tcPr>
          <w:p>
            <w:pPr>
              <w:pStyle w:val="BDOITable"/>
            </w:pPr>
            <w:r>
              <w:rPr>
                <w:sz w:val="17"/>
              </w:rPr>
              <w:t>State the behaviour for management in section 3.3; the access checks assume the lists are shown and opening a document is refused.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TF-CSF-10</w:t>
            </w:r>
          </w:p>
        </w:tc>
        <w:tc>
          <w:tcPr>
            <w:tcW w:type="dxa" w:w="1290"/>
            <w:tcMar>
              <w:top w:w="50" w:type="dxa"/>
              <w:bottom w:w="50" w:type="dxa"/>
              <w:left w:w="90" w:type="dxa"/>
              <w:right w:w="90" w:type="dxa"/>
            </w:tcMar>
            <w:shd w:val="clear" w:color="auto" w:fill="E5F5FF"/>
          </w:tcPr>
          <w:p>
            <w:pPr>
              <w:pStyle w:val="BDOITable"/>
            </w:pPr>
            <w:r>
              <w:rPr>
                <w:sz w:val="17"/>
              </w:rPr>
              <w:t>FR-CSF-043</w:t>
            </w:r>
          </w:p>
        </w:tc>
        <w:tc>
          <w:tcPr>
            <w:tcW w:type="dxa" w:w="4223"/>
            <w:tcMar>
              <w:top w:w="50" w:type="dxa"/>
              <w:bottom w:w="50" w:type="dxa"/>
              <w:left w:w="90" w:type="dxa"/>
              <w:right w:w="90" w:type="dxa"/>
            </w:tcMar>
            <w:shd w:val="clear" w:color="auto" w:fill="E5F5FF"/>
          </w:tcPr>
          <w:p>
            <w:pPr>
              <w:pStyle w:val="BDOITable"/>
            </w:pPr>
            <w:r>
              <w:rPr>
                <w:sz w:val="17"/>
              </w:rPr>
              <w:t>The requirement is an infrastructure control and has no screen; the BRD's 4-hour RPO and backup (retention table) conflict with the 15-minute backup (CSQ11).</w:t>
            </w:r>
          </w:p>
        </w:tc>
        <w:tc>
          <w:tcPr>
            <w:tcW w:type="dxa" w:w="3402"/>
            <w:tcMar>
              <w:top w:w="50" w:type="dxa"/>
              <w:bottom w:w="50" w:type="dxa"/>
              <w:left w:w="90" w:type="dxa"/>
              <w:right w:w="90" w:type="dxa"/>
            </w:tcMar>
            <w:shd w:val="clear" w:color="auto" w:fill="E5F5FF"/>
          </w:tcPr>
          <w:p>
            <w:pPr>
              <w:pStyle w:val="BDOITable"/>
            </w:pPr>
            <w:r>
              <w:rPr>
                <w:sz w:val="17"/>
              </w:rPr>
              <w:t>Keep FR-CSF-043 for the infrastructure team's evidence (restore test log) and record the CSQ11 answer; the cases are run by the infrastructure team and witnessed by QA.</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Customer Servicing Facility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BRD-9 Customer Servicing Facility</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Customer Servicing Facility Test Plan</dc:title>
  <dc:subject>BIBS – BDOI Broker System</dc:subject>
  <dc:creator>iorta TechNXT</dc:creator>
  <cp:keywords>TestPlan, BRD-09,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