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BRD-03 Product Maintenance Sign-off Pack, release set v2.0</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BIBS-SH-BRD-03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27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27 Sep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BRD-3 Product Maintenance business sign-off pack</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owner of the set-up</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configuration inputs</w:t>
            </w:r>
          </w:p>
        </w:tc>
      </w:tr>
      <w:tr>
        <w:trPr>
          <w:cantSplit w:val="true"/>
        </w:trPr>
        <w:tc>
          <w:tcPr>
            <w:tcW w:type="dxa" w:w="2606"/>
            <w:tcMar>
              <w:top w:w="50" w:type="dxa"/>
              <w:bottom w:w="50" w:type="dxa"/>
              <w:left w:w="90" w:type="dxa"/>
              <w:right w:w="90" w:type="dxa"/>
            </w:tcMar>
          </w:tcPr>
          <w:p>
            <w:pPr>
              <w:pStyle w:val="BDOITable"/>
            </w:pPr>
            <w:r>
              <w:rPr>
                <w:sz w:val="18"/>
              </w:rPr>
              <w:t>Technical Support Unit (TSU) and Marketing</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their screens and rows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Comptrollership and BDOI IT</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Rates, commission and incentives; interfaces and access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and sign-off coordination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pack is for</w:t>
        </w:r>
        <w:r>
          <w:t xml:space="preserve">	</w:t>
        </w:r>
        <w:r>
          <w:t xml:space="preserve">4</w:t>
        </w:r>
      </w:hyperlink>
    </w:p>
    <w:p>
      <w:pPr>
        <w:pStyle w:val="toc1"/>
      </w:pPr>
      <w:hyperlink w:anchor="_Toc000102" w:history="1">
        <w:r>
          <w:t xml:space="preserve">2 The pack at a glance</w:t>
        </w:r>
        <w:r>
          <w:t xml:space="preserve">	</w:t>
        </w:r>
        <w:r>
          <w:t xml:space="preserve">4</w:t>
        </w:r>
      </w:hyperlink>
    </w:p>
    <w:p>
      <w:pPr>
        <w:pStyle w:val="toc1"/>
      </w:pPr>
      <w:hyperlink w:anchor="_Toc000103" w:history="1">
        <w:r>
          <w:t xml:space="preserve">3 Where to start</w:t>
        </w:r>
        <w:r>
          <w:t xml:space="preserve">	</w:t>
        </w:r>
        <w:r>
          <w:t xml:space="preserve">4</w:t>
        </w:r>
      </w:hyperlink>
    </w:p>
    <w:p>
      <w:pPr>
        <w:pStyle w:val="toc1"/>
      </w:pPr>
      <w:hyperlink w:anchor="_Toc000104" w:history="1">
        <w:r>
          <w:t xml:space="preserve">4 Steps up to closure</w:t>
        </w:r>
        <w:r>
          <w:t xml:space="preserve">	</w:t>
        </w:r>
        <w:r>
          <w:t xml:space="preserve">5</w:t>
        </w:r>
      </w:hyperlink>
    </w:p>
    <w:p>
      <w:pPr>
        <w:pStyle w:val="toc1"/>
      </w:pPr>
      <w:hyperlink w:anchor="_Toc000105" w:history="1">
        <w:r>
          <w:t xml:space="preserve">5 Who signs what</w:t>
        </w:r>
        <w:r>
          <w:t xml:space="preserve">	</w:t>
        </w:r>
        <w:r>
          <w:t xml:space="preserve">6</w:t>
        </w:r>
      </w:hyperlink>
    </w:p>
    <w:p>
      <w:pPr>
        <w:pStyle w:val="toc1"/>
      </w:pPr>
      <w:hyperlink w:anchor="_Toc000106" w:history="1">
        <w:r>
          <w:t xml:space="preserve">6 Configuration inputs</w:t>
        </w:r>
        <w:r>
          <w:t xml:space="preserve">	</w:t>
        </w:r>
        <w:r>
          <w:t xml:space="preserve">7</w:t>
        </w:r>
      </w:hyperlink>
    </w:p>
    <w:p>
      <w:pPr>
        <w:pStyle w:val="toc1"/>
      </w:pPr>
      <w:hyperlink w:anchor="_Toc000107" w:history="1">
        <w:r>
          <w:t xml:space="preserve">7 Change control after sign-off</w:t>
        </w:r>
        <w:r>
          <w:t xml:space="preserve">	</w:t>
        </w:r>
        <w:r>
          <w:t xml:space="preserve">7</w:t>
        </w:r>
      </w:hyperlink>
      <w:r>
        <w:fldChar w:fldCharType="end"/>
      </w:r>
    </w:p>
    <w:p>
      <w:pPr>
        <w:pStyle w:val="Heading1"/>
        <w:pageBreakBefore/>
        <w:pBdr>
          <w:bottom w:val="single" w:sz="4" w:space="4" w:color="99C1E7"/>
        </w:pBdr>
      </w:pPr>
      <w:bookmarkStart w:id="101" w:name="_Toc000101"/>
      <w:r>
        <w:rPr/>
        <w:t>1 What this pack is for</w:t>
      </w:r>
      <w:bookmarkEnd w:id="101"/>
    </w:p>
    <w:p>
      <w:r>
        <w:rPr/>
        <w:t>This pack shows the proposed BRD-3 Product Maintenance of BIBS, screen by screen, so that each BDOI business unit can confirm what it will get and sign it off. Product Maintenance is the first set of Drop 0 (Setup and Data Migration): it holds the products, package versions, rates and incentive criteria that New Business, Renewal, Employee Benefits, Submitted Policies, Operations and Accounting use, and the data migration loads its masters at go-live. Signing freezes the content, the screens and the navigation of Product Maintenance; a later change goes through the Change Management Register with its mandays. The screenshots use fictitious seed data only.</w:t>
      </w:r>
    </w:p>
    <w:p>
      <w:pPr>
        <w:pStyle w:val="Heading1"/>
        <w:pBdr>
          <w:bottom w:val="single" w:sz="4" w:space="4" w:color="99C1E7"/>
        </w:pBdr>
      </w:pPr>
      <w:bookmarkStart w:id="102" w:name="_Toc000102"/>
      <w:r>
        <w:rPr/>
        <w:t>2 The pack at a glance</w:t>
      </w:r>
      <w:bookmarkEnd w:id="102"/>
    </w:p>
    <w:p>
      <w:r>
        <w:rPr/>
        <w:t>The files are numbered so that they sort in reading order in the folder BRD-03_Product_Maintenance of Drop 0.</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00_BIBS_StartHere_BRD-03_Product_Maintenance_v2.0.docx</w:t>
            </w:r>
          </w:p>
        </w:tc>
        <w:tc>
          <w:tcPr>
            <w:tcW w:type="dxa" w:w="3626"/>
            <w:tcMar>
              <w:top w:w="50" w:type="dxa"/>
              <w:bottom w:w="50" w:type="dxa"/>
              <w:left w:w="90" w:type="dxa"/>
              <w:right w:w="90" w:type="dxa"/>
            </w:tcMar>
          </w:tcPr>
          <w:p>
            <w:pPr>
              <w:pStyle w:val="BDOITable"/>
            </w:pPr>
            <w:r>
              <w:rPr>
                <w:sz w:val="15"/>
              </w:rPr>
              <w:t>Start Here: the map of the pack, who reads what, the steps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01_BIBS_GuideDeck_BRD-03_Product_Maintenance_v2.0.pptx</w:t>
            </w:r>
          </w:p>
        </w:tc>
        <w:tc>
          <w:tcPr>
            <w:tcW w:type="dxa" w:w="3626"/>
            <w:tcMar>
              <w:top w:w="50" w:type="dxa"/>
              <w:bottom w:w="50" w:type="dxa"/>
              <w:left w:w="90" w:type="dxa"/>
              <w:right w:w="90" w:type="dxa"/>
            </w:tcMar>
            <w:shd w:val="clear" w:color="auto" w:fill="E5F5FF"/>
          </w:tcPr>
          <w:p>
            <w:pPr>
              <w:pStyle w:val="BDOITable"/>
            </w:pPr>
            <w:r>
              <w:rPr>
                <w:sz w:val="15"/>
              </w:rPr>
              <w:t>Sign-off Pack Guide: purpose, approach, the module at a glance, caveats, entry and exit criteria, change control</w:t>
            </w:r>
          </w:p>
        </w:tc>
        <w:tc>
          <w:tcPr>
            <w:tcW w:type="dxa" w:w="1926"/>
            <w:tcMar>
              <w:top w:w="50" w:type="dxa"/>
              <w:bottom w:w="50" w:type="dxa"/>
              <w:left w:w="90" w:type="dxa"/>
              <w:right w:w="90" w:type="dxa"/>
            </w:tcMar>
            <w:shd w:val="clear" w:color="auto" w:fill="E5F5FF"/>
          </w:tcPr>
          <w:p>
            <w:pPr>
              <w:pStyle w:val="BDOITable"/>
            </w:pPr>
            <w:r>
              <w:rPr>
                <w:sz w:val="15"/>
              </w:rPr>
              <w:t>Business owner, unit heads;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02_BIBS_FRS_BRD-03_Product_Maintenance_v2.0.docx</w:t>
            </w:r>
          </w:p>
        </w:tc>
        <w:tc>
          <w:tcPr>
            <w:tcW w:type="dxa" w:w="3626"/>
            <w:tcMar>
              <w:top w:w="50" w:type="dxa"/>
              <w:bottom w:w="50" w:type="dxa"/>
              <w:left w:w="90" w:type="dxa"/>
              <w:right w:w="90" w:type="dxa"/>
            </w:tcMar>
          </w:tcPr>
          <w:p>
            <w:pPr>
              <w:pStyle w:val="BDOITable"/>
            </w:pPr>
            <w:r>
              <w:rPr>
                <w:sz w:val="15"/>
              </w:rPr>
              <w:t>Functional Requirements Specification v2.0: requirements, navigation, 22 screen specifications with screenshots, walkthroughs, messages, notifications, documents, uploads, configuration inputs, cross-BRD contract</w:t>
            </w:r>
          </w:p>
        </w:tc>
        <w:tc>
          <w:tcPr>
            <w:tcW w:type="dxa" w:w="1926"/>
            <w:tcMar>
              <w:top w:w="50" w:type="dxa"/>
              <w:bottom w:w="50" w:type="dxa"/>
              <w:left w:w="90" w:type="dxa"/>
              <w:right w:w="90" w:type="dxa"/>
            </w:tcMar>
          </w:tcPr>
          <w:p>
            <w:pPr>
              <w:pStyle w:val="BDOITable"/>
            </w:pPr>
            <w:r>
              <w:rPr>
                <w:sz w:val="15"/>
              </w:rPr>
              <w:t>MBS, TSU and Marketing for their screens; Finance and BDOI IT for their chapters</w:t>
            </w:r>
          </w:p>
        </w:tc>
        <w:tc>
          <w:tcPr>
            <w:tcW w:type="dxa" w:w="1473"/>
            <w:tcMar>
              <w:top w:w="50" w:type="dxa"/>
              <w:bottom w:w="50" w:type="dxa"/>
              <w:left w:w="90" w:type="dxa"/>
              <w:right w:w="90" w:type="dxa"/>
            </w:tcMar>
          </w:tcPr>
          <w:p>
            <w:pPr>
              <w:pStyle w:val="BDOITable"/>
            </w:pPr>
            <w:r>
              <w:rPr>
                <w:sz w:val="15"/>
              </w:rPr>
              <w:t>During the review, with the SIT walkthroughs</w:t>
            </w:r>
          </w:p>
        </w:tc>
      </w:tr>
      <w:tr>
        <w:tc>
          <w:tcPr>
            <w:tcW w:type="dxa" w:w="2946"/>
            <w:tcMar>
              <w:top w:w="50" w:type="dxa"/>
              <w:bottom w:w="50" w:type="dxa"/>
              <w:left w:w="90" w:type="dxa"/>
              <w:right w:w="90" w:type="dxa"/>
            </w:tcMar>
            <w:shd w:val="clear" w:color="auto" w:fill="E5F5FF"/>
          </w:tcPr>
          <w:p>
            <w:pPr>
              <w:pStyle w:val="BDOITable"/>
            </w:pPr>
            <w:r>
              <w:rPr>
                <w:sz w:val="15"/>
              </w:rPr>
              <w:t>03_BIBS_Signoff_BRD-03_Product_Maintenance_v2.0.xlsx</w:t>
            </w:r>
          </w:p>
        </w:tc>
        <w:tc>
          <w:tcPr>
            <w:tcW w:type="dxa" w:w="3626"/>
            <w:tcMar>
              <w:top w:w="50" w:type="dxa"/>
              <w:bottom w:w="50" w:type="dxa"/>
              <w:left w:w="90" w:type="dxa"/>
              <w:right w:w="90" w:type="dxa"/>
            </w:tcMar>
            <w:shd w:val="clear" w:color="auto" w:fill="E5F5FF"/>
          </w:tcPr>
          <w:p>
            <w:pPr>
              <w:pStyle w:val="BDOITable"/>
            </w:pPr>
            <w:r>
              <w:rPr>
                <w:sz w:val="15"/>
              </w:rPr>
              <w:t>Sign-off workbook: one row per screen, field, rule and message with the BU review columns;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business owner signs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04_BIBS_TestPlan_BRD-03_Product_Maintenance_v2.0.xlsx</w:t>
            </w:r>
          </w:p>
        </w:tc>
        <w:tc>
          <w:tcPr>
            <w:tcW w:type="dxa" w:w="3626"/>
            <w:tcMar>
              <w:top w:w="50" w:type="dxa"/>
              <w:bottom w:w="50" w:type="dxa"/>
              <w:left w:w="90" w:type="dxa"/>
              <w:right w:w="90" w:type="dxa"/>
            </w:tcMar>
          </w:tcPr>
          <w:p>
            <w:pPr>
              <w:pStyle w:val="BDOITable"/>
            </w:pPr>
            <w:r>
              <w:rPr>
                <w:sz w:val="15"/>
              </w:rPr>
              <w:t>Test plan workbook: the test cases traced to the FRs and to the screens, including one screen case and one message case per screen</w:t>
            </w:r>
          </w:p>
        </w:tc>
        <w:tc>
          <w:tcPr>
            <w:tcW w:type="dxa" w:w="1926"/>
            <w:tcMar>
              <w:top w:w="50" w:type="dxa"/>
              <w:bottom w:w="50" w:type="dxa"/>
              <w:left w:w="90" w:type="dxa"/>
              <w:right w:w="90" w:type="dxa"/>
            </w:tcMar>
          </w:tcPr>
          <w:p>
            <w:pPr>
              <w:pStyle w:val="BDOITable"/>
            </w:pPr>
            <w:r>
              <w:rPr>
                <w:sz w:val="15"/>
              </w:rPr>
              <w:t>Business users who will run UAT; BDOI IT</w:t>
            </w:r>
          </w:p>
        </w:tc>
        <w:tc>
          <w:tcPr>
            <w:tcW w:type="dxa" w:w="1473"/>
            <w:tcMar>
              <w:top w:w="50" w:type="dxa"/>
              <w:bottom w:w="50" w:type="dxa"/>
              <w:left w:w="90" w:type="dxa"/>
              <w:right w:w="90" w:type="dxa"/>
            </w:tcMar>
          </w:tcPr>
          <w:p>
            <w:pPr>
              <w:pStyle w:val="BDOITable"/>
            </w:pPr>
            <w:r>
              <w:rPr>
                <w:sz w:val="15"/>
              </w:rPr>
              <w:t>After the screens; used again in SIT and UAT</w:t>
            </w:r>
          </w:p>
        </w:tc>
      </w:tr>
      <w:tr>
        <w:tc>
          <w:tcPr>
            <w:tcW w:type="dxa" w:w="2946"/>
            <w:tcMar>
              <w:top w:w="50" w:type="dxa"/>
              <w:bottom w:w="50" w:type="dxa"/>
              <w:left w:w="90" w:type="dxa"/>
              <w:right w:w="90" w:type="dxa"/>
            </w:tcMar>
            <w:shd w:val="clear" w:color="auto" w:fill="E5F5FF"/>
          </w:tcPr>
          <w:p>
            <w:pPr>
              <w:pStyle w:val="BDOITable"/>
            </w:pPr>
            <w:r>
              <w:rPr>
                <w:sz w:val="15"/>
              </w:rPr>
              <w:t>05_BIBS_TestPlan_BRD-03_Product_Maintenance_Summary_v2.0.docx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06_BIBS_Templates_BRD-03_Configuration_Inputs_v2.0.xlsx</w:t>
            </w:r>
          </w:p>
        </w:tc>
        <w:tc>
          <w:tcPr>
            <w:tcW w:type="dxa" w:w="3626"/>
            <w:tcMar>
              <w:top w:w="50" w:type="dxa"/>
              <w:bottom w:w="50" w:type="dxa"/>
              <w:left w:w="90" w:type="dxa"/>
              <w:right w:w="90" w:type="dxa"/>
            </w:tcMar>
          </w:tcPr>
          <w:p>
            <w:pPr>
              <w:pStyle w:val="BDOITable"/>
            </w:pPr>
            <w:r>
              <w:rPr>
                <w:sz w:val="15"/>
              </w:rPr>
              <w:t>Configuration input templates: product catalogue, coverages and rules, clauses, rate tables, insurers, packages in force, package map, document templates, lists of values, incentive criteria</w:t>
            </w:r>
          </w:p>
        </w:tc>
        <w:tc>
          <w:tcPr>
            <w:tcW w:type="dxa" w:w="1926"/>
            <w:tcMar>
              <w:top w:w="50" w:type="dxa"/>
              <w:bottom w:w="50" w:type="dxa"/>
              <w:left w:w="90" w:type="dxa"/>
              <w:right w:w="90" w:type="dxa"/>
            </w:tcMar>
          </w:tcPr>
          <w:p>
            <w:pPr>
              <w:pStyle w:val="BDOITable"/>
            </w:pPr>
            <w:r>
              <w:rPr>
                <w:sz w:val="15"/>
              </w:rPr>
              <w:t>MBS, TSU, Operations, Comptrollership (who provide the content)</w:t>
            </w:r>
          </w:p>
        </w:tc>
        <w:tc>
          <w:tcPr>
            <w:tcW w:type="dxa" w:w="1473"/>
            <w:tcMar>
              <w:top w:w="50" w:type="dxa"/>
              <w:bottom w:w="50" w:type="dxa"/>
              <w:left w:w="90" w:type="dxa"/>
              <w:right w:w="90" w:type="dxa"/>
            </w:tcMar>
          </w:tcPr>
          <w:p>
            <w:pPr>
              <w:pStyle w:val="BDOITable"/>
            </w:pPr>
            <w:r>
              <w:rPr>
                <w:sz w:val="15"/>
              </w:rPr>
              <w:t>During the review; filled in for the data migration mocks and the map freeze</w:t>
            </w:r>
          </w:p>
        </w:tc>
      </w:tr>
    </w:tbl>
    <w:p>
      <w:pPr>
        <w:pStyle w:val="BDOISpacer"/>
      </w:pPr>
    </w:p>
    <w:p>
      <w:pPr>
        <w:pStyle w:val="Heading1"/>
        <w:pBdr>
          <w:bottom w:val="single" w:sz="4" w:space="4" w:color="99C1E7"/>
        </w:pBdr>
      </w:pPr>
      <w:bookmarkStart w:id="103" w:name="_Toc000103"/>
      <w:r>
        <w:rPr/>
        <w:t>3 Where to start</w:t>
      </w:r>
      <w:bookmarkEnd w:id="103"/>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Business owner (Product Owner, Marketing Business System)</w:t>
            </w:r>
          </w:p>
        </w:tc>
        <w:tc>
          <w:tcPr>
            <w:tcW w:type="dxa" w:w="7592"/>
            <w:tcMar>
              <w:top w:w="50" w:type="dxa"/>
              <w:bottom w:w="50" w:type="dxa"/>
              <w:left w:w="90" w:type="dxa"/>
              <w:right w:w="90" w:type="dxa"/>
            </w:tcMar>
          </w:tcPr>
          <w:p>
            <w:pPr>
              <w:pStyle w:val="BDOITable"/>
            </w:pPr>
            <w:r>
              <w:rPr>
                <w:sz w:val="16"/>
              </w:rPr>
              <w:t>00 Start Here; 01 Guide deck; FRS chapters 1-3 (context and personas), 22 (proposed rules for confirmation), 14 (walkthroughs), 19 (configuration inputs) and 21 (sign-off); workbook Sign-off certificate</w:t>
            </w:r>
          </w:p>
        </w:tc>
      </w:tr>
      <w:tr>
        <w:tc>
          <w:tcPr>
            <w:tcW w:type="dxa" w:w="2380"/>
            <w:tcMar>
              <w:top w:w="50" w:type="dxa"/>
              <w:bottom w:w="50" w:type="dxa"/>
              <w:left w:w="90" w:type="dxa"/>
              <w:right w:w="90" w:type="dxa"/>
            </w:tcMar>
            <w:shd w:val="clear" w:color="auto" w:fill="E5F5FF"/>
          </w:tcPr>
          <w:p>
            <w:pPr>
              <w:pStyle w:val="BDOITable"/>
            </w:pPr>
            <w:r>
              <w:rPr>
                <w:b/>
                <w:sz w:val="16"/>
              </w:rPr>
              <w:t>MBS (set-up, versions, masters, incentive criteria)</w:t>
            </w:r>
          </w:p>
        </w:tc>
        <w:tc>
          <w:tcPr>
            <w:tcW w:type="dxa" w:w="7592"/>
            <w:tcMar>
              <w:top w:w="50" w:type="dxa"/>
              <w:bottom w:w="50" w:type="dxa"/>
              <w:left w:w="90" w:type="dxa"/>
              <w:right w:w="90" w:type="dxa"/>
            </w:tcMar>
            <w:shd w:val="clear" w:color="auto" w:fill="E5F5FF"/>
          </w:tcPr>
          <w:p>
            <w:pPr>
              <w:pStyle w:val="BDOITable"/>
            </w:pPr>
            <w:r>
              <w:rPr>
                <w:sz w:val="16"/>
              </w:rPr>
              <w:t>FRS chapter 12 (navigation); chapter 13 screens SCR-PM-08 and SCR-PM-11 to SCR-PM-20; walkthrough A steps 1-2 and 15-19; chapter 19 templates CI-01 to CI-06, CI-09 and CI-10; workbook Screen catalogue, Field register, Business rules and Messages of those screens</w:t>
            </w:r>
          </w:p>
        </w:tc>
      </w:tr>
      <w:tr>
        <w:tc>
          <w:tcPr>
            <w:tcW w:type="dxa" w:w="2380"/>
            <w:tcMar>
              <w:top w:w="50" w:type="dxa"/>
              <w:bottom w:w="50" w:type="dxa"/>
              <w:left w:w="90" w:type="dxa"/>
              <w:right w:w="90" w:type="dxa"/>
            </w:tcMar>
          </w:tcPr>
          <w:p>
            <w:pPr>
              <w:pStyle w:val="BDOITable"/>
            </w:pPr>
            <w:r>
              <w:rPr>
                <w:b/>
                <w:sz w:val="16"/>
              </w:rPr>
              <w:t>TSU (requests, negotiation, requirements, advisories, expiry)</w:t>
            </w:r>
          </w:p>
        </w:tc>
        <w:tc>
          <w:tcPr>
            <w:tcW w:type="dxa" w:w="7592"/>
            <w:tcMar>
              <w:top w:w="50" w:type="dxa"/>
              <w:bottom w:w="50" w:type="dxa"/>
              <w:left w:w="90" w:type="dxa"/>
              <w:right w:w="90" w:type="dxa"/>
            </w:tcMar>
          </w:tcPr>
          <w:p>
            <w:pPr>
              <w:pStyle w:val="BDOITable"/>
            </w:pPr>
            <w:r>
              <w:rPr>
                <w:sz w:val="16"/>
              </w:rPr>
              <w:t>FRS chapter 13 screens SCR-PM-01 to SCR-PM-10; walkthroughs A (steps 5-14 and 20) and B; chapter 17 (documents); chapter 19 template CI-07 (package map); workbook rows of those screens</w:t>
            </w:r>
          </w:p>
        </w:tc>
      </w:tr>
      <w:tr>
        <w:tc>
          <w:tcPr>
            <w:tcW w:type="dxa" w:w="2380"/>
            <w:tcMar>
              <w:top w:w="50" w:type="dxa"/>
              <w:bottom w:w="50" w:type="dxa"/>
              <w:left w:w="90" w:type="dxa"/>
              <w:right w:w="90" w:type="dxa"/>
            </w:tcMar>
            <w:shd w:val="clear" w:color="auto" w:fill="E5F5FF"/>
          </w:tcPr>
          <w:p>
            <w:pPr>
              <w:pStyle w:val="BDOITable"/>
            </w:pPr>
            <w:r>
              <w:rPr>
                <w:b/>
                <w:sz w:val="16"/>
              </w:rPr>
              <w:t>Marketing (requests, approval, client-specific terms, pricing)</w:t>
            </w:r>
          </w:p>
        </w:tc>
        <w:tc>
          <w:tcPr>
            <w:tcW w:type="dxa" w:w="7592"/>
            <w:tcMar>
              <w:top w:w="50" w:type="dxa"/>
              <w:bottom w:w="50" w:type="dxa"/>
              <w:left w:w="90" w:type="dxa"/>
              <w:right w:w="90" w:type="dxa"/>
            </w:tcMar>
            <w:shd w:val="clear" w:color="auto" w:fill="E5F5FF"/>
          </w:tcPr>
          <w:p>
            <w:pPr>
              <w:pStyle w:val="BDOITable"/>
            </w:pPr>
            <w:r>
              <w:rPr>
                <w:sz w:val="16"/>
              </w:rPr>
              <w:t>FRS chapter 13 screens SCR-PM-02 to SCR-PM-04, SCR-PM-21 and SCR-PM-22; walkthrough A steps 3-4 and 21-24; chapter 20 lines IC-01 to IC-03</w:t>
            </w:r>
          </w:p>
        </w:tc>
      </w:tr>
      <w:tr>
        <w:tc>
          <w:tcPr>
            <w:tcW w:type="dxa" w:w="2380"/>
            <w:tcMar>
              <w:top w:w="50" w:type="dxa"/>
              <w:bottom w:w="50" w:type="dxa"/>
              <w:left w:w="90" w:type="dxa"/>
              <w:right w:w="90" w:type="dxa"/>
            </w:tcMar>
          </w:tcPr>
          <w:p>
            <w:pPr>
              <w:pStyle w:val="BDOITable"/>
            </w:pPr>
            <w:r>
              <w:rPr>
                <w:b/>
                <w:sz w:val="16"/>
              </w:rPr>
              <w:t>Finance (Comptrollership)</w:t>
            </w:r>
          </w:p>
        </w:tc>
        <w:tc>
          <w:tcPr>
            <w:tcW w:type="dxa" w:w="7592"/>
            <w:tcMar>
              <w:top w:w="50" w:type="dxa"/>
              <w:bottom w:w="50" w:type="dxa"/>
              <w:left w:w="90" w:type="dxa"/>
              <w:right w:w="90" w:type="dxa"/>
            </w:tcMar>
          </w:tcPr>
          <w:p>
            <w:pPr>
              <w:pStyle w:val="BDOITable"/>
            </w:pPr>
            <w:r>
              <w:rPr>
                <w:sz w:val="16"/>
              </w:rPr>
              <w:t>Rates &amp; Taxes (SCR-PM-19), Insurer record commission rates (SCR-PM-18), Incentive Criteria (SCR-PM-16); contract lines IC-10 and IC-11 (chapter 20); templates CI-04 and CI-10</w:t>
            </w:r>
          </w:p>
        </w:tc>
      </w:tr>
      <w:tr>
        <w:tc>
          <w:tcPr>
            <w:tcW w:type="dxa" w:w="2380"/>
            <w:tcMar>
              <w:top w:w="50" w:type="dxa"/>
              <w:bottom w:w="50" w:type="dxa"/>
              <w:left w:w="90" w:type="dxa"/>
              <w:right w:w="90" w:type="dxa"/>
            </w:tcMar>
            <w:shd w:val="clear" w:color="auto" w:fill="E5F5FF"/>
          </w:tcPr>
          <w:p>
            <w:pPr>
              <w:pStyle w:val="BDOITable"/>
            </w:pPr>
            <w:r>
              <w:rPr>
                <w:b/>
                <w:sz w:val="16"/>
              </w:rPr>
              <w:t>BDOI IT</w:t>
            </w:r>
          </w:p>
        </w:tc>
        <w:tc>
          <w:tcPr>
            <w:tcW w:type="dxa" w:w="7592"/>
            <w:tcMar>
              <w:top w:w="50" w:type="dxa"/>
              <w:bottom w:w="50" w:type="dxa"/>
              <w:left w:w="90" w:type="dxa"/>
              <w:right w:w="90" w:type="dxa"/>
            </w:tcMar>
            <w:shd w:val="clear" w:color="auto" w:fill="E5F5FF"/>
          </w:tcPr>
          <w:p>
            <w:pPr>
              <w:pStyle w:val="BDOITable"/>
            </w:pPr>
            <w:r>
              <w:rPr>
                <w:sz w:val="16"/>
              </w:rPr>
              <w:t>Interfaces and integration (chapter 7), non-functional requirements (chapter 8), menu by persona (chapter 12), cross-BRD contract (chapter 20); product master feed pending specifications (Guide deck, caveats)</w:t>
            </w:r>
          </w:p>
        </w:tc>
      </w:tr>
      <w:tr>
        <w:tc>
          <w:tcPr>
            <w:tcW w:type="dxa" w:w="2380"/>
            <w:tcMar>
              <w:top w:w="50" w:type="dxa"/>
              <w:bottom w:w="50" w:type="dxa"/>
              <w:left w:w="90" w:type="dxa"/>
              <w:right w:w="90" w:type="dxa"/>
            </w:tcMar>
          </w:tcPr>
          <w:p>
            <w:pPr>
              <w:pStyle w:val="BDOITable"/>
            </w:pPr>
            <w:r>
              <w:rPr>
                <w:b/>
                <w:sz w:val="16"/>
              </w:rPr>
              <w:t>iorta TechNXT project team</w:t>
            </w:r>
          </w:p>
        </w:tc>
        <w:tc>
          <w:tcPr>
            <w:tcW w:type="dxa" w:w="7592"/>
            <w:tcMar>
              <w:top w:w="50" w:type="dxa"/>
              <w:bottom w:w="50" w:type="dxa"/>
              <w:left w:w="90" w:type="dxa"/>
              <w:right w:w="90" w:type="dxa"/>
            </w:tcMar>
          </w:tcPr>
          <w:p>
            <w:pPr>
              <w:pStyle w:val="BDOITable"/>
            </w:pPr>
            <w:r>
              <w:rPr>
                <w:sz w:val="16"/>
              </w:rPr>
              <w:t>All documents; keeps the comments log, the meeting minutes and the version history of the workbook, answers every comment and keeps the traceability to SIT and UAT</w:t>
            </w:r>
          </w:p>
        </w:tc>
      </w:tr>
    </w:tbl>
    <w:p>
      <w:pPr>
        <w:pStyle w:val="BDOISpacer"/>
      </w:pPr>
    </w:p>
    <w:p>
      <w:r>
        <w:rPr/>
        <w:t>SIT users of the seed data for the review: ao and mkttl (Marketing), tsu, tsulead and tsuhead (TSU), mbs (MBS), mancom (ManCom), badmin (Business Administration) and approver (New Business Approver). The passwords are sent separately to the named reviewers.</w:t>
      </w:r>
    </w:p>
    <w:p>
      <w:pPr>
        <w:pStyle w:val="Heading1"/>
        <w:pBdr>
          <w:bottom w:val="single" w:sz="4" w:space="4" w:color="99C1E7"/>
        </w:pBdr>
      </w:pPr>
      <w:bookmarkStart w:id="104" w:name="_Toc000104"/>
      <w:r>
        <w:rPr/>
        <w:t>4 Steps up to closure</w:t>
      </w:r>
      <w:bookmarkEnd w:id="104"/>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Pack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v2.0 in the BRD-03 folder of Drop 0; invitations to the sessions</w:t>
            </w:r>
          </w:p>
        </w:tc>
        <w:tc>
          <w:tcPr>
            <w:tcW w:type="dxa" w:w="1926"/>
            <w:tcMar>
              <w:top w:w="50" w:type="dxa"/>
              <w:bottom w:w="50" w:type="dxa"/>
              <w:left w:w="90" w:type="dxa"/>
              <w:right w:w="90" w:type="dxa"/>
            </w:tcMar>
          </w:tcPr>
          <w:p>
            <w:pPr>
              <w:pStyle w:val="BDOITable"/>
            </w:pPr>
            <w:r>
              <w:rPr>
                <w:sz w:val="15"/>
              </w:rPr>
              <w:t>Day 0 (Mon 2-Nov-2026)</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screen walkthrough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BDOI Product Owner; C: MBS, TSU and Marketing heads; I: BDOI IT</w:t>
            </w:r>
          </w:p>
        </w:tc>
        <w:tc>
          <w:tcPr>
            <w:tcW w:type="dxa" w:w="2946"/>
            <w:tcMar>
              <w:top w:w="50" w:type="dxa"/>
              <w:bottom w:w="50" w:type="dxa"/>
              <w:left w:w="90" w:type="dxa"/>
              <w:right w:w="90" w:type="dxa"/>
            </w:tcMar>
            <w:shd w:val="clear" w:color="auto" w:fill="E5F5FF"/>
          </w:tcPr>
          <w:p>
            <w:pPr>
              <w:pStyle w:val="BDOITable"/>
            </w:pPr>
            <w:r>
              <w:rPr>
                <w:sz w:val="15"/>
              </w:rPr>
              <w:t>Screens shown live;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3 sessions, 4 to 6-Nov-2026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 configuration inputs started</w:t>
            </w:r>
          </w:p>
        </w:tc>
        <w:tc>
          <w:tcPr>
            <w:tcW w:type="dxa" w:w="2946"/>
            <w:tcMar>
              <w:top w:w="50" w:type="dxa"/>
              <w:bottom w:w="50" w:type="dxa"/>
              <w:left w:w="90" w:type="dxa"/>
              <w:right w:w="90" w:type="dxa"/>
            </w:tcMar>
          </w:tcPr>
          <w:p>
            <w:pPr>
              <w:pStyle w:val="BDOITable"/>
            </w:pPr>
            <w:r>
              <w:rPr>
                <w:sz w:val="15"/>
              </w:rPr>
              <w:t>R: business users of MBS, TSU and Marketing; A: unit heads;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comments log entries; first drafts of the templates</w:t>
            </w:r>
          </w:p>
        </w:tc>
        <w:tc>
          <w:tcPr>
            <w:tcW w:type="dxa" w:w="1926"/>
            <w:tcMar>
              <w:top w:w="50" w:type="dxa"/>
              <w:bottom w:w="50" w:type="dxa"/>
              <w:left w:w="90" w:type="dxa"/>
              <w:right w:w="90" w:type="dxa"/>
            </w:tcMar>
          </w:tcPr>
          <w:p>
            <w:pPr>
              <w:pStyle w:val="BDOITable"/>
            </w:pPr>
            <w:r>
              <w:rPr>
                <w:sz w:val="15"/>
              </w:rPr>
              <w:t>8 working days after the walkthroughs, until Wed 18-Nov-2026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BDOI Product Owner;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correction,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3 working days, Q&amp;A on Mon 23-Nov-2026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(v2.1)</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v2.1 with the changed rows marked; change requests raised for the rest</w:t>
            </w:r>
          </w:p>
        </w:tc>
        <w:tc>
          <w:tcPr>
            <w:tcW w:type="dxa" w:w="1926"/>
            <w:tcMar>
              <w:top w:w="50" w:type="dxa"/>
              <w:bottom w:w="50" w:type="dxa"/>
              <w:left w:w="90" w:type="dxa"/>
              <w:right w:w="90" w:type="dxa"/>
            </w:tcMar>
          </w:tcPr>
          <w:p>
            <w:pPr>
              <w:pStyle w:val="BDOITable"/>
            </w:pPr>
            <w:r>
              <w:rPr>
                <w:sz w:val="15"/>
              </w:rPr>
              <w:t>v2.1 on Wed 25-Nov-2026; check by the reviewers until Fri 27-Nov-2026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BDOI Product Owner; C: MBS, TSU, Marketing, Finance, BDOI IT</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open items accepted as assumptions or change requests</w:t>
            </w:r>
          </w:p>
        </w:tc>
        <w:tc>
          <w:tcPr>
            <w:tcW w:type="dxa" w:w="1926"/>
            <w:tcMar>
              <w:top w:w="50" w:type="dxa"/>
              <w:bottom w:w="50" w:type="dxa"/>
              <w:left w:w="90" w:type="dxa"/>
              <w:right w:w="90" w:type="dxa"/>
            </w:tcMar>
            <w:shd w:val="clear" w:color="auto" w:fill="E5F5FF"/>
          </w:tcPr>
          <w:p>
            <w:pPr>
              <w:pStyle w:val="BDOITable"/>
            </w:pPr>
            <w:r>
              <w:rPr>
                <w:sz w:val="15"/>
              </w:rPr>
              <w:t>Mon 30-Nov-2026</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Content freeze; configuration and migration inputs</w:t>
            </w:r>
          </w:p>
        </w:tc>
        <w:tc>
          <w:tcPr>
            <w:tcW w:type="dxa" w:w="2946"/>
            <w:tcMar>
              <w:top w:w="50" w:type="dxa"/>
              <w:bottom w:w="50" w:type="dxa"/>
              <w:left w:w="90" w:type="dxa"/>
              <w:right w:w="90" w:type="dxa"/>
            </w:tcMar>
          </w:tcPr>
          <w:p>
            <w:pPr>
              <w:pStyle w:val="BDOITable"/>
            </w:pPr>
            <w:r>
              <w:rPr>
                <w:sz w:val="15"/>
              </w:rPr>
              <w:t>R: iorta TechNXT delivery lead; A: BDOI Product Owner; I: BDOI IT, other BRD owners, Data Migration working group</w:t>
            </w:r>
          </w:p>
        </w:tc>
        <w:tc>
          <w:tcPr>
            <w:tcW w:type="dxa" w:w="2946"/>
            <w:tcMar>
              <w:top w:w="50" w:type="dxa"/>
              <w:bottom w:w="50" w:type="dxa"/>
              <w:left w:w="90" w:type="dxa"/>
              <w:right w:w="90" w:type="dxa"/>
            </w:tcMar>
          </w:tcPr>
          <w:p>
            <w:pPr>
              <w:pStyle w:val="BDOITable"/>
            </w:pPr>
            <w:r>
              <w:rPr>
                <w:sz w:val="15"/>
              </w:rPr>
              <w:t>Content frozen as signed; approved deltas scheduled in the Change Management Register; templates handed to the data migration mocks</w:t>
            </w:r>
          </w:p>
        </w:tc>
        <w:tc>
          <w:tcPr>
            <w:tcW w:type="dxa" w:w="1926"/>
            <w:tcMar>
              <w:top w:w="50" w:type="dxa"/>
              <w:bottom w:w="50" w:type="dxa"/>
              <w:left w:w="90" w:type="dxa"/>
              <w:right w:w="90" w:type="dxa"/>
            </w:tcMar>
          </w:tcPr>
          <w:p>
            <w:pPr>
              <w:pStyle w:val="BDOITable"/>
            </w:pPr>
            <w:r>
              <w:rPr>
                <w:sz w:val="15"/>
              </w:rPr>
              <w:t>From Tue 1-Dec-2026; templates final at the map freeze</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BDOI Product Owner; C: business users</w:t>
            </w:r>
          </w:p>
        </w:tc>
        <w:tc>
          <w:tcPr>
            <w:tcW w:type="dxa" w:w="2946"/>
            <w:tcMar>
              <w:top w:w="50" w:type="dxa"/>
              <w:bottom w:w="50" w:type="dxa"/>
              <w:left w:w="90" w:type="dxa"/>
              <w:right w:w="90" w:type="dxa"/>
            </w:tcMar>
            <w:shd w:val="clear" w:color="auto" w:fill="E5F5FF"/>
          </w:tcPr>
          <w:p>
            <w:pPr>
              <w:pStyle w:val="BDOITable"/>
            </w:pPr>
            <w:r>
              <w:rPr>
                <w:sz w:val="15"/>
              </w:rPr>
              <w:t>SIT and UAT runs traced to the signed screens, rules and messages; results against each row</w:t>
            </w:r>
          </w:p>
        </w:tc>
        <w:tc>
          <w:tcPr>
            <w:tcW w:type="dxa" w:w="1926"/>
            <w:tcMar>
              <w:top w:w="50" w:type="dxa"/>
              <w:bottom w:w="50" w:type="dxa"/>
              <w:left w:w="90" w:type="dxa"/>
              <w:right w:w="90" w:type="dxa"/>
            </w:tcMar>
            <w:shd w:val="clear" w:color="auto" w:fill="E5F5FF"/>
          </w:tcPr>
          <w:p>
            <w:pPr>
              <w:pStyle w:val="BDOITable"/>
            </w:pPr>
            <w:r>
              <w:rPr>
                <w:sz w:val="15"/>
              </w:rPr>
              <w:t>SIT Apr - Jul 2027; UAT Aug - Oct 2027</w:t>
            </w:r>
          </w:p>
        </w:tc>
      </w:tr>
    </w:tbl>
    <w:p>
      <w:pPr>
        <w:pStyle w:val="BDOISpacer"/>
      </w:pPr>
    </w:p>
    <w:p>
      <w:r>
        <w:rPr>
          <w:b/>
        </w:rPr>
        <w:t>How to review.</w:t>
      </w:r>
      <w:r>
        <w:rPr/>
        <w:t xml:space="preserve"> Open the FRS chapters of your area or the same screens on SIT. In the sign-off workbook, set BU review to Accept, Change requested or Comment on each row you review (sheets Screen standards, Screen catalogue, Field register, Business rules, Messages), write the change in BU comment, and add your name and the date. Questions go to the Comments log sheet. One workbook per unit is enough.</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Units</w:t>
            </w:r>
          </w:p>
        </w:tc>
      </w:tr>
      <w:tr>
        <w:trPr>
          <w:cantSplit w:val="true"/>
        </w:trPr>
        <w:tc>
          <w:tcPr>
            <w:tcW w:type="dxa" w:w="2040"/>
            <w:tcMar>
              <w:top w:w="50" w:type="dxa"/>
              <w:bottom w:w="50" w:type="dxa"/>
              <w:left w:w="90" w:type="dxa"/>
              <w:right w:w="90" w:type="dxa"/>
            </w:tcMar>
          </w:tcPr>
          <w:p>
            <w:pPr>
              <w:pStyle w:val="BDOITable"/>
            </w:pPr>
            <w:r>
              <w:rPr>
                <w:sz w:val="18"/>
              </w:rPr>
              <w:t>Wed 4-Nov-2026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the package request from the form to the ManCom sign-off (walkthrough A steps 1-14)</w:t>
            </w:r>
          </w:p>
        </w:tc>
        <w:tc>
          <w:tcPr>
            <w:tcW w:type="dxa" w:w="2493"/>
            <w:tcMar>
              <w:top w:w="50" w:type="dxa"/>
              <w:bottom w:w="50" w:type="dxa"/>
              <w:left w:w="90" w:type="dxa"/>
              <w:right w:w="90" w:type="dxa"/>
            </w:tcMar>
          </w:tcPr>
          <w:p>
            <w:pPr>
              <w:pStyle w:val="BDOITable"/>
            </w:pPr>
            <w:r>
              <w:rPr>
                <w:sz w:val="18"/>
              </w:rPr>
              <w:t>Marketing, TSU, MBS</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Thu 5-Nov-2026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Set-up, versions and validation, insurers and commission, advisory, pricing and the rate exception (walkthrough A steps 15-24); returns and messages (walkthrough B)</w:t>
            </w:r>
          </w:p>
        </w:tc>
        <w:tc>
          <w:tcPr>
            <w:tcW w:type="dxa" w:w="2493"/>
            <w:tcMar>
              <w:top w:w="50" w:type="dxa"/>
              <w:bottom w:w="50" w:type="dxa"/>
              <w:left w:w="90" w:type="dxa"/>
              <w:right w:w="90" w:type="dxa"/>
            </w:tcMar>
            <w:shd w:val="clear" w:color="auto" w:fill="E5F5FF"/>
          </w:tcPr>
          <w:p>
            <w:pPr>
              <w:pStyle w:val="BDOITable"/>
            </w:pPr>
            <w:r>
              <w:rPr>
                <w:sz w:val="18"/>
              </w:rPr>
              <w:t>MBS, TSU, Business Administration, Marketing</w:t>
            </w:r>
          </w:p>
        </w:tc>
      </w:tr>
      <w:tr>
        <w:trPr>
          <w:cantSplit w:val="true"/>
        </w:trPr>
        <w:tc>
          <w:tcPr>
            <w:tcW w:type="dxa" w:w="2040"/>
            <w:tcMar>
              <w:top w:w="50" w:type="dxa"/>
              <w:bottom w:w="50" w:type="dxa"/>
              <w:left w:w="90" w:type="dxa"/>
              <w:right w:w="90" w:type="dxa"/>
            </w:tcMar>
          </w:tcPr>
          <w:p>
            <w:pPr>
              <w:pStyle w:val="BDOITable"/>
            </w:pPr>
            <w:r>
              <w:rPr>
                <w:sz w:val="18"/>
              </w:rPr>
              <w:t>Fri 6-Nov-2026</w:t>
            </w:r>
          </w:p>
        </w:tc>
        <w:tc>
          <w:tcPr>
            <w:tcW w:type="dxa" w:w="1360"/>
            <w:tcMar>
              <w:top w:w="50" w:type="dxa"/>
              <w:bottom w:w="50" w:type="dxa"/>
              <w:left w:w="90" w:type="dxa"/>
              <w:right w:w="90" w:type="dxa"/>
            </w:tcMar>
          </w:tcPr>
          <w:p>
            <w:pPr>
              <w:pStyle w:val="BDOITable"/>
            </w:pPr>
            <w:r>
              <w:rPr>
                <w:sz w:val="18"/>
              </w:rPr>
              <w:t>09:30-11:30</w:t>
            </w:r>
          </w:p>
        </w:tc>
        <w:tc>
          <w:tcPr>
            <w:tcW w:type="dxa" w:w="4079"/>
            <w:tcMar>
              <w:top w:w="50" w:type="dxa"/>
              <w:bottom w:w="50" w:type="dxa"/>
              <w:left w:w="90" w:type="dxa"/>
              <w:right w:w="90" w:type="dxa"/>
            </w:tcMar>
          </w:tcPr>
          <w:p>
            <w:pPr>
              <w:pStyle w:val="BDOITable"/>
            </w:pPr>
            <w:r>
              <w:rPr>
                <w:sz w:val="18"/>
              </w:rPr>
              <w:t>Catalogue screens, rates and taxes, incentive criteria, package expiry; the configuration input templates and the package map</w:t>
            </w:r>
          </w:p>
        </w:tc>
        <w:tc>
          <w:tcPr>
            <w:tcW w:type="dxa" w:w="2493"/>
            <w:tcMar>
              <w:top w:w="50" w:type="dxa"/>
              <w:bottom w:w="50" w:type="dxa"/>
              <w:left w:w="90" w:type="dxa"/>
              <w:right w:w="90" w:type="dxa"/>
            </w:tcMar>
          </w:tcPr>
          <w:p>
            <w:pPr>
              <w:pStyle w:val="BDOITable"/>
            </w:pPr>
            <w:r>
              <w:rPr>
                <w:sz w:val="18"/>
              </w:rPr>
              <w:t>MBS, Comptrollership, Data Migration working group, BDOI IT</w:t>
            </w:r>
          </w:p>
        </w:tc>
      </w:tr>
    </w:tbl>
    <w:p>
      <w:pPr>
        <w:pStyle w:val="BDOISpacer"/>
      </w:pPr>
    </w:p>
    <w:p>
      <w:pPr>
        <w:pStyle w:val="Heading1"/>
        <w:pBdr>
          <w:bottom w:val="single" w:sz="4" w:space="4" w:color="99C1E7"/>
        </w:pBdr>
      </w:pPr>
      <w:bookmarkStart w:id="105" w:name="_Toc000105"/>
      <w:r>
        <w:rPr/>
        <w:t>5 Who signs what</w:t>
      </w:r>
      <w:bookmarkEnd w:id="105"/>
    </w:p>
    <w:p>
      <w:r>
        <w:rPr/>
        <w:t>The set holds business content only: the screens and fields, the columns of the lists, reports and templates that the user sees or fills in, the validations, business rules, messages, notifications, documents, walkthroughs and reports. The business users sign that content. Technical content (the interfaces between systems, data storage, security set-up) is not part of the set: it is in the Technical Specification, a separate document reviewed by BDOI IT. The roles are those of the approval sheet of the BRD: iorta TechNXT prepares the set, the business units provide the input and review their parts, BDOI IT reviews the interfaces, the user access and the Technical Specification, the Program Manager of Business Project Services reviews the traceability and the completeness, and the Product Owner approves the whole set.</w:t>
      </w:r>
    </w:p>
    <w:p>
      <w:pPr>
        <w:pStyle w:val="Caption"/>
        <w:keepNext/>
        <w:spacing w:after="60"/>
      </w:pPr>
      <w:r>
        <w:rPr>
          <w:b/>
          <w:i w:val="0"/>
        </w:rPr>
        <w:t xml:space="preserve">Table 5: </w:t>
      </w:r>
      <w:r>
        <w:rPr/>
        <w:t>Who signs what: responsibility per part of the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1359"/>
        <w:gridCol w:w="1813"/>
        <w:gridCol w:w="1699"/>
        <w:gridCol w:w="215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Part of the set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5"/>
              </w:rPr>
              <w:t>Provides input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Reviews</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Approves</w:t>
            </w:r>
          </w:p>
        </w:tc>
      </w:tr>
      <w:tr>
        <w:tc>
          <w:tcPr>
            <w:tcW w:type="dxa" w:w="2946"/>
            <w:tcMar>
              <w:top w:w="50" w:type="dxa"/>
              <w:bottom w:w="50" w:type="dxa"/>
              <w:left w:w="90" w:type="dxa"/>
              <w:right w:w="90" w:type="dxa"/>
            </w:tcMar>
          </w:tcPr>
          <w:p>
            <w:pPr>
              <w:pStyle w:val="BDOITable"/>
            </w:pPr>
            <w:r>
              <w:rPr>
                <w:b/>
                <w:sz w:val="15"/>
              </w:rPr>
              <w:t>Screens and fields (FRS screen specifications; workbook Screen catalogue, Field register)</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TSU, MBS</w:t>
            </w:r>
          </w:p>
        </w:tc>
        <w:tc>
          <w:tcPr>
            <w:tcW w:type="dxa" w:w="1700"/>
            <w:tcMar>
              <w:top w:w="50" w:type="dxa"/>
              <w:bottom w:w="50" w:type="dxa"/>
              <w:left w:w="90" w:type="dxa"/>
              <w:right w:w="90" w:type="dxa"/>
            </w:tcMar>
          </w:tcPr>
          <w:p>
            <w:pPr>
              <w:pStyle w:val="BDOITable"/>
            </w:pPr>
            <w:r>
              <w:rPr>
                <w:sz w:val="15"/>
              </w:rPr>
              <w:t>MBS, Program Manager (BPS)</w:t>
            </w:r>
          </w:p>
        </w:tc>
        <w:tc>
          <w:tcPr>
            <w:tcW w:type="dxa" w:w="2153"/>
            <w:tcMar>
              <w:top w:w="50" w:type="dxa"/>
              <w:bottom w:w="50" w:type="dxa"/>
              <w:left w:w="90" w:type="dxa"/>
              <w:right w:w="90" w:type="dxa"/>
            </w:tcMar>
          </w:tcPr>
          <w:p>
            <w:pPr>
              <w:pStyle w:val="BDOITable"/>
            </w:pPr>
            <w:r>
              <w:rPr>
                <w:sz w:val="15"/>
              </w:rPr>
              <w:t>Product Owner, UH Claims and TU, UH Combank and Corbank, Head Retail Marketing, Head Corporate and Retail Marketing</w:t>
            </w:r>
          </w:p>
        </w:tc>
      </w:tr>
      <w:tr>
        <w:tc>
          <w:tcPr>
            <w:tcW w:type="dxa" w:w="2946"/>
            <w:tcMar>
              <w:top w:w="50" w:type="dxa"/>
              <w:bottom w:w="50" w:type="dxa"/>
              <w:left w:w="90" w:type="dxa"/>
              <w:right w:w="90" w:type="dxa"/>
            </w:tcMar>
            <w:shd w:val="clear" w:color="auto" w:fill="E5F5FF"/>
          </w:tcPr>
          <w:p>
            <w:pPr>
              <w:pStyle w:val="BDOITable"/>
            </w:pPr>
            <w:r>
              <w:rPr>
                <w:b/>
                <w:sz w:val="15"/>
              </w:rPr>
              <w:t>Business rules and validations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TSU, MBS, BA (BPS)</w:t>
            </w:r>
          </w:p>
        </w:tc>
        <w:tc>
          <w:tcPr>
            <w:tcW w:type="dxa" w:w="1700"/>
            <w:tcMar>
              <w:top w:w="50" w:type="dxa"/>
              <w:bottom w:w="50" w:type="dxa"/>
              <w:left w:w="90" w:type="dxa"/>
              <w:right w:w="90" w:type="dxa"/>
            </w:tcMar>
            <w:shd w:val="clear" w:color="auto" w:fill="E5F5FF"/>
          </w:tcPr>
          <w:p>
            <w:pPr>
              <w:pStyle w:val="BDOITable"/>
            </w:pPr>
            <w:r>
              <w:rPr>
                <w:sz w:val="15"/>
              </w:rPr>
              <w:t>MBS, Program Manager (BPS)</w:t>
            </w:r>
          </w:p>
        </w:tc>
        <w:tc>
          <w:tcPr>
            <w:tcW w:type="dxa" w:w="2153"/>
            <w:tcMar>
              <w:top w:w="50" w:type="dxa"/>
              <w:bottom w:w="50" w:type="dxa"/>
              <w:left w:w="90" w:type="dxa"/>
              <w:right w:w="90" w:type="dxa"/>
            </w:tcMar>
            <w:shd w:val="clear" w:color="auto" w:fill="E5F5FF"/>
          </w:tcPr>
          <w:p>
            <w:pPr>
              <w:pStyle w:val="BDOITable"/>
            </w:pPr>
            <w:r>
              <w:rPr>
                <w:sz w:val="15"/>
              </w:rPr>
              <w:t>Product Owner, UH Claims and TU, Head Comptrollership</w:t>
            </w:r>
          </w:p>
        </w:tc>
      </w:tr>
      <w:tr>
        <w:tc>
          <w:tcPr>
            <w:tcW w:type="dxa" w:w="2946"/>
            <w:tcMar>
              <w:top w:w="50" w:type="dxa"/>
              <w:bottom w:w="50" w:type="dxa"/>
              <w:left w:w="90" w:type="dxa"/>
              <w:right w:w="90" w:type="dxa"/>
            </w:tcMar>
          </w:tcPr>
          <w:p>
            <w:pPr>
              <w:pStyle w:val="BDOITable"/>
            </w:pPr>
            <w:r>
              <w:rPr>
                <w:b/>
                <w:sz w:val="15"/>
              </w:rPr>
              <w:t>Messages and notifications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TSU, MBS</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Documents and reports (quotation slip, comparative, advisories, catalogue reports)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TSU, MBS</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 UH Claims and TU</w:t>
            </w:r>
          </w:p>
        </w:tc>
      </w:tr>
      <w:tr>
        <w:tc>
          <w:tcPr>
            <w:tcW w:type="dxa" w:w="2946"/>
            <w:tcMar>
              <w:top w:w="50" w:type="dxa"/>
              <w:bottom w:w="50" w:type="dxa"/>
              <w:left w:w="90" w:type="dxa"/>
              <w:right w:w="90" w:type="dxa"/>
            </w:tcMar>
          </w:tcPr>
          <w:p>
            <w:pPr>
              <w:pStyle w:val="BDOITable"/>
            </w:pPr>
            <w:r>
              <w:rPr>
                <w:b/>
                <w:sz w:val="15"/>
              </w:rPr>
              <w:t>Walkthroughs (end-to-end, screen by screen)</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TSU, MBS</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Proposed business rules and clarifications for confirmation</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BA (BPS), MBS, TSU</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Interfaces, user access and menus by persona</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MBS</w:t>
            </w:r>
          </w:p>
        </w:tc>
        <w:tc>
          <w:tcPr>
            <w:tcW w:type="dxa" w:w="1700"/>
            <w:tcMar>
              <w:top w:w="50" w:type="dxa"/>
              <w:bottom w:w="50" w:type="dxa"/>
              <w:left w:w="90" w:type="dxa"/>
              <w:right w:w="90" w:type="dxa"/>
            </w:tcMar>
          </w:tcPr>
          <w:p>
            <w:pPr>
              <w:pStyle w:val="BDOITable"/>
            </w:pPr>
            <w:r>
              <w:rPr>
                <w:sz w:val="15"/>
              </w:rPr>
              <w:t>BDOI IT</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Test plan (04 workbook, 05 summary)</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TSU, MBS</w:t>
            </w:r>
          </w:p>
        </w:tc>
        <w:tc>
          <w:tcPr>
            <w:tcW w:type="dxa" w:w="1700"/>
            <w:tcMar>
              <w:top w:w="50" w:type="dxa"/>
              <w:bottom w:w="50" w:type="dxa"/>
              <w:left w:w="90" w:type="dxa"/>
              <w:right w:w="90" w:type="dxa"/>
            </w:tcMar>
            <w:shd w:val="clear" w:color="auto" w:fill="E5F5FF"/>
          </w:tcPr>
          <w:p>
            <w:pPr>
              <w:pStyle w:val="BDOITable"/>
            </w:pPr>
            <w:r>
              <w:rPr>
                <w:sz w:val="15"/>
              </w:rPr>
              <w:t>Program Manager (BPS), BDOI IT</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Configuration inputs (06 templates, Drop 0)</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MBS, TSU</w:t>
            </w:r>
          </w:p>
        </w:tc>
        <w:tc>
          <w:tcPr>
            <w:tcW w:type="dxa" w:w="1700"/>
            <w:tcMar>
              <w:top w:w="50" w:type="dxa"/>
              <w:bottom w:w="50" w:type="dxa"/>
              <w:left w:w="90" w:type="dxa"/>
              <w:right w:w="90" w:type="dxa"/>
            </w:tcMar>
          </w:tcPr>
          <w:p>
            <w:pPr>
              <w:pStyle w:val="BDOITable"/>
            </w:pPr>
            <w:r>
              <w:rPr>
                <w:sz w:val="15"/>
              </w:rPr>
              <w:t>MBS, Program Manager (BPS)</w:t>
            </w:r>
          </w:p>
        </w:tc>
        <w:tc>
          <w:tcPr>
            <w:tcW w:type="dxa" w:w="2153"/>
            <w:tcMar>
              <w:top w:w="50" w:type="dxa"/>
              <w:bottom w:w="50" w:type="dxa"/>
              <w:left w:w="90" w:type="dxa"/>
              <w:right w:w="90" w:type="dxa"/>
            </w:tcMar>
          </w:tcPr>
          <w:p>
            <w:pPr>
              <w:pStyle w:val="BDOITable"/>
            </w:pPr>
            <w:r>
              <w:rPr>
                <w:sz w:val="15"/>
              </w:rPr>
              <w:t>Product Owner, Head Comptrollership</w:t>
            </w:r>
          </w:p>
        </w:tc>
      </w:tr>
      <w:tr>
        <w:tc>
          <w:tcPr>
            <w:tcW w:type="dxa" w:w="2946"/>
            <w:tcMar>
              <w:top w:w="50" w:type="dxa"/>
              <w:bottom w:w="50" w:type="dxa"/>
              <w:left w:w="90" w:type="dxa"/>
              <w:right w:w="90" w:type="dxa"/>
            </w:tcMar>
            <w:shd w:val="clear" w:color="auto" w:fill="E5F5FF"/>
          </w:tcPr>
          <w:p>
            <w:pPr>
              <w:pStyle w:val="BDOITable"/>
            </w:pPr>
            <w:r>
              <w:rPr>
                <w:b/>
                <w:sz w:val="15"/>
              </w:rPr>
              <w:t>Technical Specification (separate document, not part of the business sign-off)</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BDOI IT</w:t>
            </w:r>
          </w:p>
        </w:tc>
        <w:tc>
          <w:tcPr>
            <w:tcW w:type="dxa" w:w="1700"/>
            <w:tcMar>
              <w:top w:w="50" w:type="dxa"/>
              <w:bottom w:w="50" w:type="dxa"/>
              <w:left w:w="90" w:type="dxa"/>
              <w:right w:w="90" w:type="dxa"/>
            </w:tcMar>
            <w:shd w:val="clear" w:color="auto" w:fill="E5F5FF"/>
          </w:tcPr>
          <w:p>
            <w:pPr>
              <w:pStyle w:val="BDOITable"/>
            </w:pPr>
            <w:r>
              <w:rPr>
                <w:sz w:val="15"/>
              </w:rPr>
              <w:t>BDOI IT</w:t>
            </w:r>
          </w:p>
        </w:tc>
        <w:tc>
          <w:tcPr>
            <w:tcW w:type="dxa" w:w="2153"/>
            <w:tcMar>
              <w:top w:w="50" w:type="dxa"/>
              <w:bottom w:w="50" w:type="dxa"/>
              <w:left w:w="90" w:type="dxa"/>
              <w:right w:w="90" w:type="dxa"/>
            </w:tcMar>
            <w:shd w:val="clear" w:color="auto" w:fill="E5F5FF"/>
          </w:tcPr>
          <w:p>
            <w:pPr>
              <w:pStyle w:val="BDOITable"/>
            </w:pPr>
            <w:r>
              <w:rPr>
                <w:sz w:val="15"/>
              </w:rPr>
              <w:t>BDOI IT</w:t>
            </w:r>
          </w:p>
        </w:tc>
      </w:tr>
    </w:tbl>
    <w:p>
      <w:pPr>
        <w:pStyle w:val="BDOISpacer"/>
      </w:pPr>
    </w:p>
    <w:p>
      <w:pPr>
        <w:pStyle w:val="Caption"/>
        <w:keepNext/>
        <w:spacing w:after="60"/>
      </w:pPr>
      <w:r>
        <w:rPr>
          <w:b/>
          <w:i w:val="0"/>
        </w:rPr>
        <w:t xml:space="preserve">Table 6: </w:t>
      </w:r>
      <w:r>
        <w:rPr/>
        <w:t>Signatories and what each confirms (BRD-3 approval sheets: main BRD p.34-35; Workshop Addendum p.8-9)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833"/>
        <w:gridCol w:w="3853"/>
        <w:gridCol w:w="2039"/>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5"/>
              </w:rPr>
              <w:t>Capacity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5"/>
              </w:rPr>
              <w:t>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5"/>
              </w:rPr>
              <w:t>Confirms by signing</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On the BRD approval sheet</w:t>
            </w:r>
          </w:p>
        </w:tc>
      </w:tr>
      <w:tr>
        <w:tc>
          <w:tcPr>
            <w:tcW w:type="dxa" w:w="1246"/>
            <w:tcMar>
              <w:top w:w="50" w:type="dxa"/>
              <w:bottom w:w="50" w:type="dxa"/>
              <w:left w:w="90" w:type="dxa"/>
              <w:right w:w="90" w:type="dxa"/>
            </w:tcMar>
          </w:tcPr>
          <w:p>
            <w:pPr>
              <w:pStyle w:val="BDOITable"/>
            </w:pPr>
            <w:r>
              <w:rPr>
                <w:sz w:val="15"/>
              </w:rPr>
              <w:t>Prepared by</w:t>
            </w:r>
          </w:p>
        </w:tc>
        <w:tc>
          <w:tcPr>
            <w:tcW w:type="dxa" w:w="2833"/>
            <w:tcMar>
              <w:top w:w="50" w:type="dxa"/>
              <w:bottom w:w="50" w:type="dxa"/>
              <w:left w:w="90" w:type="dxa"/>
              <w:right w:w="90" w:type="dxa"/>
            </w:tcMar>
          </w:tcPr>
          <w:p>
            <w:pPr>
              <w:pStyle w:val="BDOITable"/>
            </w:pPr>
            <w:r>
              <w:rPr>
                <w:sz w:val="15"/>
              </w:rPr>
              <w:t>iorta TechNXT project team: Project Manager, Business Analysis, test lead (iorta TechNXT)</w:t>
            </w:r>
          </w:p>
        </w:tc>
        <w:tc>
          <w:tcPr>
            <w:tcW w:type="dxa" w:w="3853"/>
            <w:tcMar>
              <w:top w:w="50" w:type="dxa"/>
              <w:bottom w:w="50" w:type="dxa"/>
              <w:left w:w="90" w:type="dxa"/>
              <w:right w:w="90" w:type="dxa"/>
            </w:tcMar>
          </w:tcPr>
          <w:p>
            <w:pPr>
              <w:pStyle w:val="BDOITable"/>
            </w:pPr>
            <w:r>
              <w:rPr>
                <w:sz w:val="15"/>
              </w:rPr>
              <w:t>The set is complete and consistent as issued, traced to the BRD and to the screens; every comment is answered in the comments log</w:t>
            </w:r>
          </w:p>
        </w:tc>
        <w:tc>
          <w:tcPr>
            <w:tcW w:type="dxa" w:w="2040"/>
            <w:tcMar>
              <w:top w:w="50" w:type="dxa"/>
              <w:bottom w:w="50" w:type="dxa"/>
              <w:left w:w="90" w:type="dxa"/>
              <w:right w:w="90" w:type="dxa"/>
            </w:tcMar>
          </w:tcPr>
          <w:p>
            <w:pPr>
              <w:pStyle w:val="BDOITable"/>
            </w:pPr>
            <w:r>
              <w:rPr>
                <w:sz w:val="15"/>
              </w:rPr>
              <w:t>Added for this set (author of the FRS set)</w:t>
            </w:r>
          </w:p>
        </w:tc>
      </w:tr>
      <w:tr>
        <w:tc>
          <w:tcPr>
            <w:tcW w:type="dxa" w:w="1246"/>
            <w:tcMar>
              <w:top w:w="50" w:type="dxa"/>
              <w:bottom w:w="50" w:type="dxa"/>
              <w:left w:w="90" w:type="dxa"/>
              <w:right w:w="90" w:type="dxa"/>
            </w:tcMar>
            <w:shd w:val="clear" w:color="auto" w:fill="E5F5FF"/>
          </w:tcPr>
          <w:p>
            <w:pPr>
              <w:pStyle w:val="BDOITable"/>
            </w:pPr>
            <w:r>
              <w:rPr>
                <w:sz w:val="15"/>
              </w:rPr>
              <w:t>Prepared by</w:t>
            </w:r>
          </w:p>
        </w:tc>
        <w:tc>
          <w:tcPr>
            <w:tcW w:type="dxa" w:w="2833"/>
            <w:tcMar>
              <w:top w:w="50" w:type="dxa"/>
              <w:bottom w:w="50" w:type="dxa"/>
              <w:left w:w="90" w:type="dxa"/>
              <w:right w:w="90" w:type="dxa"/>
            </w:tcMar>
            <w:shd w:val="clear" w:color="auto" w:fill="E5F5FF"/>
          </w:tcPr>
          <w:p>
            <w:pPr>
              <w:pStyle w:val="BDOITable"/>
            </w:pPr>
            <w:r>
              <w:rPr>
                <w:sz w:val="15"/>
              </w:rPr>
              <w:t>Business Analyst, Enterprise Services Group - Business Project Services (BPS) (BDO Unibank ESG)</w:t>
            </w:r>
          </w:p>
        </w:tc>
        <w:tc>
          <w:tcPr>
            <w:tcW w:type="dxa" w:w="3853"/>
            <w:tcMar>
              <w:top w:w="50" w:type="dxa"/>
              <w:bottom w:w="50" w:type="dxa"/>
              <w:left w:w="90" w:type="dxa"/>
              <w:right w:w="90" w:type="dxa"/>
            </w:tcMar>
            <w:shd w:val="clear" w:color="auto" w:fill="E5F5FF"/>
          </w:tcPr>
          <w:p>
            <w:pPr>
              <w:pStyle w:val="BDOITable"/>
            </w:pPr>
            <w:r>
              <w:rPr>
                <w:sz w:val="15"/>
              </w:rPr>
              <w:t>The set states the BRD requirements as written; every departure is listed in the proposed rules and clarifications</w:t>
            </w:r>
          </w:p>
        </w:tc>
        <w:tc>
          <w:tcPr>
            <w:tcW w:type="dxa" w:w="2040"/>
            <w:tcMar>
              <w:top w:w="50" w:type="dxa"/>
              <w:bottom w:w="50" w:type="dxa"/>
              <w:left w:w="90" w:type="dxa"/>
              <w:right w:w="90" w:type="dxa"/>
            </w:tcMar>
            <w:shd w:val="clear" w:color="auto" w:fill="E5F5FF"/>
          </w:tcPr>
          <w:p>
            <w:pPr>
              <w:pStyle w:val="BDOITable"/>
            </w:pPr>
            <w:r>
              <w:rPr>
                <w:sz w:val="15"/>
              </w:rPr>
              <w:t>Prepared by (p.34, p.8)</w:t>
            </w:r>
          </w:p>
        </w:tc>
      </w:tr>
      <w:tr>
        <w:tc>
          <w:tcPr>
            <w:tcW w:type="dxa" w:w="1246"/>
            <w:tcMar>
              <w:top w:w="50" w:type="dxa"/>
              <w:bottom w:w="50" w:type="dxa"/>
              <w:left w:w="90" w:type="dxa"/>
              <w:right w:w="90" w:type="dxa"/>
            </w:tcMar>
          </w:tcPr>
          <w:p>
            <w:pPr>
              <w:pStyle w:val="BDOITable"/>
            </w:pPr>
            <w:r>
              <w:rPr>
                <w:sz w:val="15"/>
              </w:rPr>
              <w:t>Input provided by</w:t>
            </w:r>
          </w:p>
        </w:tc>
        <w:tc>
          <w:tcPr>
            <w:tcW w:type="dxa" w:w="2833"/>
            <w:tcMar>
              <w:top w:w="50" w:type="dxa"/>
              <w:bottom w:w="50" w:type="dxa"/>
              <w:left w:w="90" w:type="dxa"/>
              <w:right w:w="90" w:type="dxa"/>
            </w:tcMar>
          </w:tcPr>
          <w:p>
            <w:pPr>
              <w:pStyle w:val="BDOITable"/>
            </w:pPr>
            <w:r>
              <w:rPr>
                <w:sz w:val="15"/>
              </w:rPr>
              <w:t>Technical Support Unit (TSU), BU representatives (BDOI)</w:t>
            </w:r>
          </w:p>
        </w:tc>
        <w:tc>
          <w:tcPr>
            <w:tcW w:type="dxa" w:w="3853"/>
            <w:tcMar>
              <w:top w:w="50" w:type="dxa"/>
              <w:bottom w:w="50" w:type="dxa"/>
              <w:left w:w="90" w:type="dxa"/>
              <w:right w:w="90" w:type="dxa"/>
            </w:tcMar>
          </w:tcPr>
          <w:p>
            <w:pPr>
              <w:pStyle w:val="BDOITable"/>
            </w:pPr>
            <w:r>
              <w:rPr>
                <w:sz w:val="15"/>
              </w:rPr>
              <w:t>The package request, negotiation, requirements, advisory and expiry screens match the business input</w:t>
            </w:r>
          </w:p>
        </w:tc>
        <w:tc>
          <w:tcPr>
            <w:tcW w:type="dxa" w:w="2040"/>
            <w:tcMar>
              <w:top w:w="50" w:type="dxa"/>
              <w:bottom w:w="50" w:type="dxa"/>
              <w:left w:w="90" w:type="dxa"/>
              <w:right w:w="90" w:type="dxa"/>
            </w:tcMar>
          </w:tcPr>
          <w:p>
            <w:pPr>
              <w:pStyle w:val="BDOITable"/>
            </w:pPr>
            <w:r>
              <w:rPr>
                <w:sz w:val="15"/>
              </w:rPr>
              <w:t>Input provided by (p.34, p.8)</w:t>
            </w:r>
          </w:p>
        </w:tc>
      </w:tr>
      <w:tr>
        <w:tc>
          <w:tcPr>
            <w:tcW w:type="dxa" w:w="1246"/>
            <w:tcMar>
              <w:top w:w="50" w:type="dxa"/>
              <w:bottom w:w="50" w:type="dxa"/>
              <w:left w:w="90" w:type="dxa"/>
              <w:right w:w="90" w:type="dxa"/>
            </w:tcMar>
            <w:shd w:val="clear" w:color="auto" w:fill="E5F5FF"/>
          </w:tcPr>
          <w:p>
            <w:pPr>
              <w:pStyle w:val="BDOITable"/>
            </w:pPr>
            <w:r>
              <w:rPr>
                <w:sz w:val="15"/>
              </w:rPr>
              <w:t>Input provided by</w:t>
            </w:r>
          </w:p>
        </w:tc>
        <w:tc>
          <w:tcPr>
            <w:tcW w:type="dxa" w:w="2833"/>
            <w:tcMar>
              <w:top w:w="50" w:type="dxa"/>
              <w:bottom w:w="50" w:type="dxa"/>
              <w:left w:w="90" w:type="dxa"/>
              <w:right w:w="90" w:type="dxa"/>
            </w:tcMar>
            <w:shd w:val="clear" w:color="auto" w:fill="E5F5FF"/>
          </w:tcPr>
          <w:p>
            <w:pPr>
              <w:pStyle w:val="BDOITable"/>
            </w:pPr>
            <w:r>
              <w:rPr>
                <w:sz w:val="15"/>
              </w:rPr>
              <w:t>Marketing Business System (MBS), BU representatives (BDOI)</w:t>
            </w:r>
          </w:p>
        </w:tc>
        <w:tc>
          <w:tcPr>
            <w:tcW w:type="dxa" w:w="3853"/>
            <w:tcMar>
              <w:top w:w="50" w:type="dxa"/>
              <w:bottom w:w="50" w:type="dxa"/>
              <w:left w:w="90" w:type="dxa"/>
              <w:right w:w="90" w:type="dxa"/>
            </w:tcMar>
            <w:shd w:val="clear" w:color="auto" w:fill="E5F5FF"/>
          </w:tcPr>
          <w:p>
            <w:pPr>
              <w:pStyle w:val="BDOITable"/>
            </w:pPr>
            <w:r>
              <w:rPr>
                <w:sz w:val="15"/>
              </w:rPr>
              <w:t>The set-up, version, master and incentive screens and the configuration inputs match the business input</w:t>
            </w:r>
          </w:p>
        </w:tc>
        <w:tc>
          <w:tcPr>
            <w:tcW w:type="dxa" w:w="2040"/>
            <w:tcMar>
              <w:top w:w="50" w:type="dxa"/>
              <w:bottom w:w="50" w:type="dxa"/>
              <w:left w:w="90" w:type="dxa"/>
              <w:right w:w="90" w:type="dxa"/>
            </w:tcMar>
            <w:shd w:val="clear" w:color="auto" w:fill="E5F5FF"/>
          </w:tcPr>
          <w:p>
            <w:pPr>
              <w:pStyle w:val="BDOITable"/>
            </w:pPr>
            <w:r>
              <w:rPr>
                <w:sz w:val="15"/>
              </w:rPr>
              <w:t>Input provided by and Reviewed by (p.34, p.8)</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Program Manager, Enterprise Services Group - Business Project Services (BPS) (BDO Unibank ESG)</w:t>
            </w:r>
          </w:p>
        </w:tc>
        <w:tc>
          <w:tcPr>
            <w:tcW w:type="dxa" w:w="3853"/>
            <w:tcMar>
              <w:top w:w="50" w:type="dxa"/>
              <w:bottom w:w="50" w:type="dxa"/>
              <w:left w:w="90" w:type="dxa"/>
              <w:right w:w="90" w:type="dxa"/>
            </w:tcMar>
          </w:tcPr>
          <w:p>
            <w:pPr>
              <w:pStyle w:val="BDOITable"/>
            </w:pPr>
            <w:r>
              <w:rPr>
                <w:sz w:val="15"/>
              </w:rPr>
              <w:t>Traceability of every BRD requirement to the set and completeness of the set</w:t>
            </w:r>
          </w:p>
        </w:tc>
        <w:tc>
          <w:tcPr>
            <w:tcW w:type="dxa" w:w="2040"/>
            <w:tcMar>
              <w:top w:w="50" w:type="dxa"/>
              <w:bottom w:w="50" w:type="dxa"/>
              <w:left w:w="90" w:type="dxa"/>
              <w:right w:w="90" w:type="dxa"/>
            </w:tcMar>
          </w:tcPr>
          <w:p>
            <w:pPr>
              <w:pStyle w:val="BDOITable"/>
            </w:pPr>
            <w:r>
              <w:rPr>
                <w:sz w:val="15"/>
              </w:rPr>
              <w:t>Reviewed by (p.34, p.9)</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BDOI Information Technology Group (BDOI IT) (BDOI)</w:t>
            </w:r>
          </w:p>
        </w:tc>
        <w:tc>
          <w:tcPr>
            <w:tcW w:type="dxa" w:w="3853"/>
            <w:tcMar>
              <w:top w:w="50" w:type="dxa"/>
              <w:bottom w:w="50" w:type="dxa"/>
              <w:left w:w="90" w:type="dxa"/>
              <w:right w:w="90" w:type="dxa"/>
            </w:tcMar>
            <w:shd w:val="clear" w:color="auto" w:fill="E5F5FF"/>
          </w:tcPr>
          <w:p>
            <w:pPr>
              <w:pStyle w:val="BDOITable"/>
            </w:pPr>
            <w:r>
              <w:rPr>
                <w:sz w:val="15"/>
              </w:rPr>
              <w:t>Interfaces, user access and menus, and the Technical Specification (a separate document); not the business screens</w:t>
            </w:r>
          </w:p>
        </w:tc>
        <w:tc>
          <w:tcPr>
            <w:tcW w:type="dxa" w:w="2040"/>
            <w:tcMar>
              <w:top w:w="50" w:type="dxa"/>
              <w:bottom w:w="50" w:type="dxa"/>
              <w:left w:w="90" w:type="dxa"/>
              <w:right w:w="90" w:type="dxa"/>
            </w:tcMar>
            <w:shd w:val="clear" w:color="auto" w:fill="E5F5FF"/>
          </w:tcPr>
          <w:p>
            <w:pPr>
              <w:pStyle w:val="BDOITable"/>
            </w:pPr>
            <w:r>
              <w:rPr>
                <w:sz w:val="15"/>
              </w:rPr>
              <w:t>Added for this set</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Product Owner, Marketing Business System (BDOI)</w:t>
            </w:r>
          </w:p>
        </w:tc>
        <w:tc>
          <w:tcPr>
            <w:tcW w:type="dxa" w:w="3853"/>
            <w:tcMar>
              <w:top w:w="50" w:type="dxa"/>
              <w:bottom w:w="50" w:type="dxa"/>
              <w:left w:w="90" w:type="dxa"/>
              <w:right w:w="90" w:type="dxa"/>
            </w:tcMar>
          </w:tcPr>
          <w:p>
            <w:pPr>
              <w:pStyle w:val="BDOITable"/>
            </w:pPr>
            <w:r>
              <w:rPr>
                <w:sz w:val="15"/>
              </w:rPr>
              <w:t>Owns the set and approves all of its contents</w:t>
            </w:r>
          </w:p>
        </w:tc>
        <w:tc>
          <w:tcPr>
            <w:tcW w:type="dxa" w:w="2040"/>
            <w:tcMar>
              <w:top w:w="50" w:type="dxa"/>
              <w:bottom w:w="50" w:type="dxa"/>
              <w:left w:w="90" w:type="dxa"/>
              <w:right w:w="90" w:type="dxa"/>
            </w:tcMar>
          </w:tcPr>
          <w:p>
            <w:pPr>
              <w:pStyle w:val="BDOITable"/>
            </w:pPr>
            <w:r>
              <w:rPr>
                <w:sz w:val="15"/>
              </w:rPr>
              <w:t>Approved by (p.34, p.9)</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Unit Head - Claims, Analytics, Risk Management, Reinsurance and Technical Underwriting (BDOI)</w:t>
            </w:r>
          </w:p>
        </w:tc>
        <w:tc>
          <w:tcPr>
            <w:tcW w:type="dxa" w:w="3853"/>
            <w:tcMar>
              <w:top w:w="50" w:type="dxa"/>
              <w:bottom w:w="50" w:type="dxa"/>
              <w:left w:w="90" w:type="dxa"/>
              <w:right w:w="90" w:type="dxa"/>
            </w:tcMar>
            <w:shd w:val="clear" w:color="auto" w:fill="E5F5FF"/>
          </w:tcPr>
          <w:p>
            <w:pPr>
              <w:pStyle w:val="BDOITable"/>
            </w:pPr>
            <w:r>
              <w:rPr>
                <w:sz w:val="15"/>
              </w:rPr>
              <w:t>The TSU part: package requests, negotiation, requirements, advisories and expiry</w:t>
            </w:r>
          </w:p>
        </w:tc>
        <w:tc>
          <w:tcPr>
            <w:tcW w:type="dxa" w:w="2040"/>
            <w:tcMar>
              <w:top w:w="50" w:type="dxa"/>
              <w:bottom w:w="50" w:type="dxa"/>
              <w:left w:w="90" w:type="dxa"/>
              <w:right w:w="90" w:type="dxa"/>
            </w:tcMar>
            <w:shd w:val="clear" w:color="auto" w:fill="E5F5FF"/>
          </w:tcPr>
          <w:p>
            <w:pPr>
              <w:pStyle w:val="BDOITable"/>
            </w:pPr>
            <w:r>
              <w:rPr>
                <w:sz w:val="15"/>
              </w:rPr>
              <w:t>Approved by (p.35, p.9)</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Unit Head - Combank and Corbank (BDOI)</w:t>
            </w:r>
          </w:p>
        </w:tc>
        <w:tc>
          <w:tcPr>
            <w:tcW w:type="dxa" w:w="3853"/>
            <w:tcMar>
              <w:top w:w="50" w:type="dxa"/>
              <w:bottom w:w="50" w:type="dxa"/>
              <w:left w:w="90" w:type="dxa"/>
              <w:right w:w="90" w:type="dxa"/>
            </w:tcMar>
          </w:tcPr>
          <w:p>
            <w:pPr>
              <w:pStyle w:val="BDOITable"/>
            </w:pPr>
            <w:r>
              <w:rPr>
                <w:sz w:val="15"/>
              </w:rPr>
              <w:t>Package requests, approvals and pricing for Combank and Corbank</w:t>
            </w:r>
          </w:p>
        </w:tc>
        <w:tc>
          <w:tcPr>
            <w:tcW w:type="dxa" w:w="2040"/>
            <w:tcMar>
              <w:top w:w="50" w:type="dxa"/>
              <w:bottom w:w="50" w:type="dxa"/>
              <w:left w:w="90" w:type="dxa"/>
              <w:right w:w="90" w:type="dxa"/>
            </w:tcMar>
          </w:tcPr>
          <w:p>
            <w:pPr>
              <w:pStyle w:val="BDOITable"/>
            </w:pPr>
            <w:r>
              <w:rPr>
                <w:sz w:val="15"/>
              </w:rPr>
              <w:t>Approved by (p.35, p.9)</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Head - Retail Marketing (BDOI)</w:t>
            </w:r>
          </w:p>
        </w:tc>
        <w:tc>
          <w:tcPr>
            <w:tcW w:type="dxa" w:w="3853"/>
            <w:tcMar>
              <w:top w:w="50" w:type="dxa"/>
              <w:bottom w:w="50" w:type="dxa"/>
              <w:left w:w="90" w:type="dxa"/>
              <w:right w:w="90" w:type="dxa"/>
            </w:tcMar>
            <w:shd w:val="clear" w:color="auto" w:fill="E5F5FF"/>
          </w:tcPr>
          <w:p>
            <w:pPr>
              <w:pStyle w:val="BDOITable"/>
            </w:pPr>
            <w:r>
              <w:rPr>
                <w:sz w:val="15"/>
              </w:rPr>
              <w:t>Package requests, approvals and pricing for Retail Marketing</w:t>
            </w:r>
          </w:p>
        </w:tc>
        <w:tc>
          <w:tcPr>
            <w:tcW w:type="dxa" w:w="2040"/>
            <w:tcMar>
              <w:top w:w="50" w:type="dxa"/>
              <w:bottom w:w="50" w:type="dxa"/>
              <w:left w:w="90" w:type="dxa"/>
              <w:right w:w="90" w:type="dxa"/>
            </w:tcMar>
            <w:shd w:val="clear" w:color="auto" w:fill="E5F5FF"/>
          </w:tcPr>
          <w:p>
            <w:pPr>
              <w:pStyle w:val="BDOITable"/>
            </w:pPr>
            <w:r>
              <w:rPr>
                <w:sz w:val="15"/>
              </w:rPr>
              <w:t>Approved by (p.35, p.9)</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Head - Corporate and Retail Marketing (BDOI)</w:t>
            </w:r>
          </w:p>
        </w:tc>
        <w:tc>
          <w:tcPr>
            <w:tcW w:type="dxa" w:w="3853"/>
            <w:tcMar>
              <w:top w:w="50" w:type="dxa"/>
              <w:bottom w:w="50" w:type="dxa"/>
              <w:left w:w="90" w:type="dxa"/>
              <w:right w:w="90" w:type="dxa"/>
            </w:tcMar>
          </w:tcPr>
          <w:p>
            <w:pPr>
              <w:pStyle w:val="BDOITable"/>
            </w:pPr>
            <w:r>
              <w:rPr>
                <w:sz w:val="15"/>
              </w:rPr>
              <w:t>Package requests, approvals and pricing for Corporate Marketing</w:t>
            </w:r>
          </w:p>
        </w:tc>
        <w:tc>
          <w:tcPr>
            <w:tcW w:type="dxa" w:w="2040"/>
            <w:tcMar>
              <w:top w:w="50" w:type="dxa"/>
              <w:bottom w:w="50" w:type="dxa"/>
              <w:left w:w="90" w:type="dxa"/>
              <w:right w:w="90" w:type="dxa"/>
            </w:tcMar>
          </w:tcPr>
          <w:p>
            <w:pPr>
              <w:pStyle w:val="BDOITable"/>
            </w:pPr>
            <w:r>
              <w:rPr>
                <w:sz w:val="15"/>
              </w:rPr>
              <w:t>Approved by (p.35)</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Head - Comptrollership (BDOI)</w:t>
            </w:r>
          </w:p>
        </w:tc>
        <w:tc>
          <w:tcPr>
            <w:tcW w:type="dxa" w:w="3853"/>
            <w:tcMar>
              <w:top w:w="50" w:type="dxa"/>
              <w:bottom w:w="50" w:type="dxa"/>
              <w:left w:w="90" w:type="dxa"/>
              <w:right w:w="90" w:type="dxa"/>
            </w:tcMar>
            <w:shd w:val="clear" w:color="auto" w:fill="E5F5FF"/>
          </w:tcPr>
          <w:p>
            <w:pPr>
              <w:pStyle w:val="BDOITable"/>
            </w:pPr>
            <w:r>
              <w:rPr>
                <w:sz w:val="15"/>
              </w:rPr>
              <w:t>Rates and taxes, commission rates and incentive criteria</w:t>
            </w:r>
          </w:p>
        </w:tc>
        <w:tc>
          <w:tcPr>
            <w:tcW w:type="dxa" w:w="2040"/>
            <w:tcMar>
              <w:top w:w="50" w:type="dxa"/>
              <w:bottom w:w="50" w:type="dxa"/>
              <w:left w:w="90" w:type="dxa"/>
              <w:right w:w="90" w:type="dxa"/>
            </w:tcMar>
            <w:shd w:val="clear" w:color="auto" w:fill="E5F5FF"/>
          </w:tcPr>
          <w:p>
            <w:pPr>
              <w:pStyle w:val="BDOITable"/>
            </w:pPr>
            <w:r>
              <w:rPr>
                <w:sz w:val="15"/>
              </w:rPr>
              <w:t>Approved by (p.35; marked not required on the addendum, p.9)</w:t>
            </w:r>
          </w:p>
        </w:tc>
      </w:tr>
    </w:tbl>
    <w:p>
      <w:pPr>
        <w:pStyle w:val="BDOISpacer"/>
      </w:pPr>
    </w:p>
    <w:p>
      <w:r>
        <w:rPr/>
        <w:t>The signatories sign the Sign-off certificate sheet of the sign-off workbook in the same order: prepared by, input provided by, reviewed by, approved by.</w:t>
      </w:r>
    </w:p>
    <w:p>
      <w:pPr>
        <w:pStyle w:val="Heading1"/>
        <w:pBdr>
          <w:bottom w:val="single" w:sz="4" w:space="4" w:color="99C1E7"/>
        </w:pBdr>
      </w:pPr>
      <w:bookmarkStart w:id="106" w:name="_Toc000106"/>
      <w:r>
        <w:rPr/>
        <w:t>6 Configuration inputs</w:t>
      </w:r>
      <w:bookmarkEnd w:id="106"/>
    </w:p>
    <w:p>
      <w:r>
        <w:rPr/>
        <w:t>The workbook of configuration input templates lists what the business provides to set up Product Maintenance and to load it at go-live: the product catalogue, coverages and rules, clauses, rate tables, insurers and commission rates, the packages in force, the package map, the document templates, the lists of values and the incentive criteria (FRS chapter 19). The owners start the templates during the review; the final content follows the data migration mocks and is due at the map freeze.</w:t>
      </w:r>
    </w:p>
    <w:p>
      <w:pPr>
        <w:pStyle w:val="Heading1"/>
        <w:pBdr>
          <w:bottom w:val="single" w:sz="4" w:space="4" w:color="99C1E7"/>
        </w:pBdr>
      </w:pPr>
      <w:bookmarkStart w:id="107" w:name="_Toc000107"/>
      <w:r>
        <w:rPr/>
        <w:t>7 Change control after sign-off</w:t>
      </w:r>
      <w:bookmarkEnd w:id="107"/>
    </w:p>
    <w:p>
      <w:r>
        <w:rPr/>
        <w:t>Signing freezes the Product Maintenance screens, fields, navigation, actions, business rules, messages, notifications, documents, configuration input templates and the cross-BRD contract as specified. The configuration content itself (products, versions, rates, clauses, templates, list values and parameters) is maintained by the business under maker-checker and is not frozen. A change to anything frozen is raised in the Change Management Register with the screen, field, rule or message concerned, assessed with its mandays and its effect on the other BRDs, approved by the owners of every BRD it touches, and delivered as a new version of the set; only the affected pages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BRD-3 Product Maintenance</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Guide Start Here</dc:title>
  <dc:subject>BIBS – BDOI Broker System</dc:subject>
  <dc:creator>iorta TechNXT</dc:creator>
  <cp:keywords>StartHere, BRD-03,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