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BRD-01 New Business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 New Business business sign-off pack (replaces the release note of the set)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Marketing, TSU, Processing, Comptrollership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Compliance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KYC and screening;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6 Change control after sign-off</w:t>
        </w:r>
        <w:r>
          <w:t xml:space="preserve">	</w:t>
        </w:r>
        <w:r>
          <w:t xml:space="preserve">7</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 New Business of BIBS, screen by screen, so that each BDOI business unit can confirm what it will get and sign it off. Signing freezes the content, the screens and the navigation of New Business;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BRD-01_New_Business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00_BIBS_StartHere_BRD-01_New_Business_v2.0.docx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01_BIBS_GuideDeck_BRD-01_New_Business_v2.0.pptx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02_BIBS_FRS_BRD-01_New_Business_v2.0.docx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46 screen specifications with screenshots, walkthroughs, messages, notifications, documents, uploads, cross-BRD contract</w:t>
            </w:r>
          </w:p>
        </w:tc>
        <w:tc>
          <w:tcPr>
            <w:tcW w:type="dxa" w:w="1926"/>
            <w:tcMar>
              <w:top w:w="50" w:type="dxa"/>
              <w:bottom w:w="50" w:type="dxa"/>
              <w:left w:w="90" w:type="dxa"/>
              <w:right w:w="90" w:type="dxa"/>
            </w:tcMar>
          </w:tcPr>
          <w:p>
            <w:pPr>
              <w:pStyle w:val="BDOITable"/>
            </w:pPr>
            <w:r>
              <w:rPr>
                <w:sz w:val="15"/>
              </w:rPr>
              <w:t>Business users of each area; Finance, Compliance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03_BIBS_Signoff_BRD-01_New_Business_v2.0.xlsx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04_BIBS_TestPlan_BRD-01_New_Business_v2.0.xlsx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05_BIBS_TestPlan_BRD-01_New_Business_Summary_v2.0.docx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Head of MBS)</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and 21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users (Marketing, TSU, Processing)</w:t>
            </w:r>
          </w:p>
        </w:tc>
        <w:tc>
          <w:tcPr>
            <w:tcW w:type="dxa" w:w="7592"/>
            <w:tcMar>
              <w:top w:w="50" w:type="dxa"/>
              <w:bottom w:w="50" w:type="dxa"/>
              <w:left w:w="90" w:type="dxa"/>
              <w:right w:w="90" w:type="dxa"/>
            </w:tcMar>
            <w:shd w:val="clear" w:color="auto" w:fill="E5F5FF"/>
          </w:tcPr>
          <w:p>
            <w:pPr>
              <w:pStyle w:val="BDOITable"/>
            </w:pPr>
            <w:r>
              <w:rPr>
                <w:sz w:val="16"/>
              </w:rPr>
              <w:t>FRS chapter 12 (navigation) and the screens of your area in chapter 13; walkthroughs in chapter 14; messages in chapter 15; workbook Screen standards, Screen catalogue, Field register, Business rules and Messages</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FRS Booking requirements (chapter 4) and generated documents (chapter 17: service invoice); walkthrough A steps 16-17; cross-BRD contract with Operations, Collections and Accounting (chapter 19); workbook Business rules of the booking screens</w:t>
            </w:r>
          </w:p>
        </w:tc>
      </w:tr>
      <w:tr>
        <w:tc>
          <w:tcPr>
            <w:tcW w:type="dxa" w:w="2380"/>
            <w:tcMar>
              <w:top w:w="50" w:type="dxa"/>
              <w:bottom w:w="50" w:type="dxa"/>
              <w:left w:w="90" w:type="dxa"/>
              <w:right w:w="90" w:type="dxa"/>
            </w:tcMar>
            <w:shd w:val="clear" w:color="auto" w:fill="E5F5FF"/>
          </w:tcPr>
          <w:p>
            <w:pPr>
              <w:pStyle w:val="BDOITable"/>
            </w:pPr>
            <w:r>
              <w:rPr>
                <w:b/>
                <w:sz w:val="16"/>
              </w:rPr>
              <w:t>Compliance</w:t>
            </w:r>
          </w:p>
        </w:tc>
        <w:tc>
          <w:tcPr>
            <w:tcW w:type="dxa" w:w="7592"/>
            <w:tcMar>
              <w:top w:w="50" w:type="dxa"/>
              <w:bottom w:w="50" w:type="dxa"/>
              <w:left w:w="90" w:type="dxa"/>
              <w:right w:w="90" w:type="dxa"/>
            </w:tcMar>
            <w:shd w:val="clear" w:color="auto" w:fill="E5F5FF"/>
          </w:tcPr>
          <w:p>
            <w:pPr>
              <w:pStyle w:val="BDOITable"/>
            </w:pPr>
            <w:r>
              <w:rPr>
                <w:sz w:val="16"/>
              </w:rPr>
              <w:t>Client onboarding and KYC screens (SCR-NB-01 to 04); sanction screening lines of the contract (chapter 19); retention rules; messages of the client screens</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Interfaces and integration (chapter 7), non-functional requirements (chapter 8), menu by persona (chapter 12), cross-BRD contract (chapter 19); integrations pending specifications (Guide deck, caveats)</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 proc, proctl and epol (Processing), badmin (Business Administration).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BRD-01 folder; invitations to the sessions</w:t>
            </w:r>
          </w:p>
        </w:tc>
        <w:tc>
          <w:tcPr>
            <w:tcW w:type="dxa" w:w="1926"/>
            <w:tcMar>
              <w:top w:w="50" w:type="dxa"/>
              <w:bottom w:w="50" w:type="dxa"/>
              <w:left w:w="90" w:type="dxa"/>
              <w:right w:w="90" w:type="dxa"/>
            </w:tcMar>
          </w:tcPr>
          <w:p>
            <w:pPr>
              <w:pStyle w:val="BDOITable"/>
            </w:pPr>
            <w:r>
              <w:rPr>
                <w:sz w:val="15"/>
              </w:rPr>
              <w:t>Day 0 (Mon 28-Sep-2026)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unit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4 sessions, 1 to 6-Oct-2026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business users of each unit;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Wed 21-Oct-2026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v2.1 on Fri 23-Oct-2026; check by the reviewers until Wed 28-Oct-2026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unit heads, Finance, Compliance,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Fri 30-Oct-2026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Thu 1-Oct-2026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client onboarding, KYC and package quotation (walkthrough A steps 1-9)</w:t>
            </w:r>
          </w:p>
        </w:tc>
        <w:tc>
          <w:tcPr>
            <w:tcW w:type="dxa" w:w="2493"/>
            <w:tcMar>
              <w:top w:w="50" w:type="dxa"/>
              <w:bottom w:w="50" w:type="dxa"/>
              <w:left w:w="90" w:type="dxa"/>
              <w:right w:w="90" w:type="dxa"/>
            </w:tcMar>
          </w:tcPr>
          <w:p>
            <w:pPr>
              <w:pStyle w:val="BDOITable"/>
            </w:pPr>
            <w:r>
              <w:rPr>
                <w:sz w:val="18"/>
              </w:rPr>
              <w:t>Marketing,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Fri 2-Oct-2026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Non-package placement: PRF, quotation slip, insurer responses, proposal slip (walkthrough B)</w:t>
            </w:r>
          </w:p>
        </w:tc>
        <w:tc>
          <w:tcPr>
            <w:tcW w:type="dxa" w:w="2493"/>
            <w:tcMar>
              <w:top w:w="50" w:type="dxa"/>
              <w:bottom w:w="50" w:type="dxa"/>
              <w:left w:w="90" w:type="dxa"/>
              <w:right w:w="90" w:type="dxa"/>
            </w:tcMar>
            <w:shd w:val="clear" w:color="auto" w:fill="E5F5FF"/>
          </w:tcPr>
          <w:p>
            <w:pPr>
              <w:pStyle w:val="BDOITable"/>
            </w:pPr>
            <w:r>
              <w:rPr>
                <w:sz w:val="18"/>
              </w:rPr>
              <w:t>TSU, Marketing</w:t>
            </w:r>
          </w:p>
        </w:tc>
      </w:tr>
      <w:tr>
        <w:trPr>
          <w:cantSplit w:val="true"/>
        </w:trPr>
        <w:tc>
          <w:tcPr>
            <w:tcW w:type="dxa" w:w="2040"/>
            <w:tcMar>
              <w:top w:w="50" w:type="dxa"/>
              <w:bottom w:w="50" w:type="dxa"/>
              <w:left w:w="90" w:type="dxa"/>
              <w:right w:w="90" w:type="dxa"/>
            </w:tcMar>
          </w:tcPr>
          <w:p>
            <w:pPr>
              <w:pStyle w:val="BDOITable"/>
            </w:pPr>
            <w:r>
              <w:rPr>
                <w:sz w:val="18"/>
              </w:rPr>
              <w:t>Mon 5-Oct-2026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Validation, payment, placement, issuance and booking; returns and messages (walkthrough A steps 10-17, walkthrough C)</w:t>
            </w:r>
          </w:p>
        </w:tc>
        <w:tc>
          <w:tcPr>
            <w:tcW w:type="dxa" w:w="2493"/>
            <w:tcMar>
              <w:top w:w="50" w:type="dxa"/>
              <w:bottom w:w="50" w:type="dxa"/>
              <w:left w:w="90" w:type="dxa"/>
              <w:right w:w="90" w:type="dxa"/>
            </w:tcMar>
          </w:tcPr>
          <w:p>
            <w:pPr>
              <w:pStyle w:val="BDOITable"/>
            </w:pPr>
            <w:r>
              <w:rPr>
                <w:sz w:val="18"/>
              </w:rPr>
              <w:t>Processing,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6-Oct-2026</w:t>
            </w:r>
          </w:p>
        </w:tc>
        <w:tc>
          <w:tcPr>
            <w:tcW w:type="dxa" w:w="1360"/>
            <w:tcMar>
              <w:top w:w="50" w:type="dxa"/>
              <w:bottom w:w="50" w:type="dxa"/>
              <w:left w:w="90" w:type="dxa"/>
              <w:right w:w="90" w:type="dxa"/>
            </w:tcMar>
            <w:shd w:val="clear" w:color="auto" w:fill="E5F5FF"/>
          </w:tcPr>
          <w:p>
            <w:pPr>
              <w:pStyle w:val="BDOITable"/>
            </w:pPr>
            <w:r>
              <w:rPr>
                <w:sz w:val="18"/>
              </w:rPr>
              <w:t>09:30-11:30</w:t>
            </w:r>
          </w:p>
        </w:tc>
        <w:tc>
          <w:tcPr>
            <w:tcW w:type="dxa" w:w="4079"/>
            <w:tcMar>
              <w:top w:w="50" w:type="dxa"/>
              <w:bottom w:w="50" w:type="dxa"/>
              <w:left w:w="90" w:type="dxa"/>
              <w:right w:w="90" w:type="dxa"/>
            </w:tcMar>
            <w:shd w:val="clear" w:color="auto" w:fill="E5F5FF"/>
          </w:tcPr>
          <w:p>
            <w:pPr>
              <w:pStyle w:val="BDOITable"/>
            </w:pPr>
            <w:r>
              <w:rPr>
                <w:sz w:val="18"/>
              </w:rPr>
              <w:t>Bulk uploads with the error file, reports and dashboard, administration screens</w:t>
            </w:r>
          </w:p>
        </w:tc>
        <w:tc>
          <w:tcPr>
            <w:tcW w:type="dxa" w:w="2493"/>
            <w:tcMar>
              <w:top w:w="50" w:type="dxa"/>
              <w:bottom w:w="50" w:type="dxa"/>
              <w:left w:w="90" w:type="dxa"/>
              <w:right w:w="90" w:type="dxa"/>
            </w:tcMar>
            <w:shd w:val="clear" w:color="auto" w:fill="E5F5FF"/>
          </w:tcPr>
          <w:p>
            <w:pPr>
              <w:pStyle w:val="BDOITable"/>
            </w:pPr>
            <w:r>
              <w:rPr>
                <w:sz w:val="18"/>
              </w:rPr>
              <w:t>MBS, Business Administration, Compliance, BDOI IT</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UH Processing, UH Combank and Corbank, Head Retail Marketing, Head Institutional Banking</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 BA (BPS)</w:t>
            </w:r>
          </w:p>
        </w:tc>
        <w:tc>
          <w:tcPr>
            <w:tcW w:type="dxa" w:w="1700"/>
            <w:tcMar>
              <w:top w:w="50" w:type="dxa"/>
              <w:bottom w:w="50" w:type="dxa"/>
              <w:left w:w="90" w:type="dxa"/>
              <w:right w:w="90" w:type="dxa"/>
            </w:tcMar>
            <w:shd w:val="clear" w:color="auto" w:fill="E5F5FF"/>
          </w:tcPr>
          <w:p>
            <w:pPr>
              <w:pStyle w:val="BDOITable"/>
            </w:pPr>
            <w:r>
              <w:rPr>
                <w:sz w:val="15"/>
              </w:rPr>
              <w:t>Program Manager (BPS), Compliance</w:t>
            </w:r>
          </w:p>
        </w:tc>
        <w:tc>
          <w:tcPr>
            <w:tcW w:type="dxa" w:w="2153"/>
            <w:tcMar>
              <w:top w:w="50" w:type="dxa"/>
              <w:bottom w:w="50" w:type="dxa"/>
              <w:left w:w="90" w:type="dxa"/>
              <w:right w:w="90" w:type="dxa"/>
            </w:tcMar>
            <w:shd w:val="clear" w:color="auto" w:fill="E5F5FF"/>
          </w:tcPr>
          <w:p>
            <w:pPr>
              <w:pStyle w:val="BDOITable"/>
            </w:pPr>
            <w:r>
              <w:rPr>
                <w:sz w:val="15"/>
              </w:rPr>
              <w:t>Product Owner, UH Processing, UH Combank and Corbank, Head Retail Marketing, Head Institutional Banking, Head Comptrollership</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(slips, advices, service invoices,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Processing, Head Comptrollership</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Interfaces, user access and menus by persona</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(BRD-1 approval sheets: Fire and Motor BRD ID consolidation p.128-129; Workshop Addendum p.22 (copy p.44))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(p.128)</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Marketing Business Services and System Support (MBS), BU representatives (BDOI)</w:t>
            </w:r>
          </w:p>
        </w:tc>
        <w:tc>
          <w:tcPr>
            <w:tcW w:type="dxa" w:w="3853"/>
            <w:tcMar>
              <w:top w:w="50" w:type="dxa"/>
              <w:bottom w:w="50" w:type="dxa"/>
              <w:left w:w="90" w:type="dxa"/>
              <w:right w:w="90" w:type="dxa"/>
            </w:tcMar>
          </w:tcPr>
          <w:p>
            <w:pPr>
              <w:pStyle w:val="BDOITable"/>
            </w:pPr>
            <w:r>
              <w:rPr>
                <w:sz w:val="15"/>
              </w:rPr>
              <w:t>The screens, fields, rules and messages of New Business match the business input</w:t>
            </w:r>
          </w:p>
        </w:tc>
        <w:tc>
          <w:tcPr>
            <w:tcW w:type="dxa" w:w="2040"/>
            <w:tcMar>
              <w:top w:w="50" w:type="dxa"/>
              <w:bottom w:w="50" w:type="dxa"/>
              <w:left w:w="90" w:type="dxa"/>
              <w:right w:w="90" w:type="dxa"/>
            </w:tcMar>
          </w:tcPr>
          <w:p>
            <w:pPr>
              <w:pStyle w:val="BDOITable"/>
            </w:pPr>
            <w:r>
              <w:rPr>
                <w:sz w:val="15"/>
              </w:rPr>
              <w:t>p.128; reviewer of the Workshop Addendum (p.22)</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Technical Support Unit (TSU), BU representatives (BDOI)</w:t>
            </w:r>
          </w:p>
        </w:tc>
        <w:tc>
          <w:tcPr>
            <w:tcW w:type="dxa" w:w="3853"/>
            <w:tcMar>
              <w:top w:w="50" w:type="dxa"/>
              <w:bottom w:w="50" w:type="dxa"/>
              <w:left w:w="90" w:type="dxa"/>
              <w:right w:w="90" w:type="dxa"/>
            </w:tcMar>
            <w:shd w:val="clear" w:color="auto" w:fill="E5F5FF"/>
          </w:tcPr>
          <w:p>
            <w:pPr>
              <w:pStyle w:val="BDOITable"/>
            </w:pPr>
            <w:r>
              <w:rPr>
                <w:sz w:val="15"/>
              </w:rPr>
              <w:t>The PRF, quotation slip, insurer terms and proposal slip screens match the business input</w:t>
            </w:r>
          </w:p>
        </w:tc>
        <w:tc>
          <w:tcPr>
            <w:tcW w:type="dxa" w:w="2040"/>
            <w:tcMar>
              <w:top w:w="50" w:type="dxa"/>
              <w:bottom w:w="50" w:type="dxa"/>
              <w:left w:w="90" w:type="dxa"/>
              <w:right w:w="90" w:type="dxa"/>
            </w:tcMar>
            <w:shd w:val="clear" w:color="auto" w:fill="E5F5FF"/>
          </w:tcPr>
          <w:p>
            <w:pPr>
              <w:pStyle w:val="BDOITable"/>
            </w:pPr>
            <w:r>
              <w:rPr>
                <w:sz w:val="15"/>
              </w:rPr>
              <w:t>Added for this set (BU input named in the BRD revision log)</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Reviewed by (p.22); Approved by (p.129)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Interfaces, user access and menus,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Reviewed by (p.128)</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Compliance Officer (BDOI)</w:t>
            </w:r>
          </w:p>
        </w:tc>
        <w:tc>
          <w:tcPr>
            <w:tcW w:type="dxa" w:w="3853"/>
            <w:tcMar>
              <w:top w:w="50" w:type="dxa"/>
              <w:bottom w:w="50" w:type="dxa"/>
              <w:left w:w="90" w:type="dxa"/>
              <w:right w:w="90" w:type="dxa"/>
            </w:tcMar>
          </w:tcPr>
          <w:p>
            <w:pPr>
              <w:pStyle w:val="BDOITable"/>
            </w:pPr>
            <w:r>
              <w:rPr>
                <w:sz w:val="15"/>
              </w:rPr>
              <w:t>KYC, the screening hand-off and record retention</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Marketing Business System (BDOI)</w:t>
            </w:r>
          </w:p>
        </w:tc>
        <w:tc>
          <w:tcPr>
            <w:tcW w:type="dxa" w:w="3853"/>
            <w:tcMar>
              <w:top w:w="50" w:type="dxa"/>
              <w:bottom w:w="50" w:type="dxa"/>
              <w:left w:w="90" w:type="dxa"/>
              <w:right w:w="90" w:type="dxa"/>
            </w:tcMar>
            <w:shd w:val="clear" w:color="auto" w:fill="E5F5FF"/>
          </w:tcPr>
          <w:p>
            <w:pPr>
              <w:pStyle w:val="BDOITable"/>
            </w:pPr>
            <w:r>
              <w:rPr>
                <w:sz w:val="15"/>
              </w:rPr>
              <w:t>Owns the set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(p.129, p.22)</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Processing (BDOI)</w:t>
            </w:r>
          </w:p>
        </w:tc>
        <w:tc>
          <w:tcPr>
            <w:tcW w:type="dxa" w:w="3853"/>
            <w:tcMar>
              <w:top w:w="50" w:type="dxa"/>
              <w:bottom w:w="50" w:type="dxa"/>
              <w:left w:w="90" w:type="dxa"/>
              <w:right w:w="90" w:type="dxa"/>
            </w:tcMar>
          </w:tcPr>
          <w:p>
            <w:pPr>
              <w:pStyle w:val="BDOITable"/>
            </w:pPr>
            <w:r>
              <w:rPr>
                <w:sz w:val="15"/>
              </w:rPr>
              <w:t>Payment, placement, issuance and booking</w:t>
            </w:r>
          </w:p>
        </w:tc>
        <w:tc>
          <w:tcPr>
            <w:tcW w:type="dxa" w:w="2040"/>
            <w:tcMar>
              <w:top w:w="50" w:type="dxa"/>
              <w:bottom w:w="50" w:type="dxa"/>
              <w:left w:w="90" w:type="dxa"/>
              <w:right w:w="90" w:type="dxa"/>
            </w:tcMar>
          </w:tcPr>
          <w:p>
            <w:pPr>
              <w:pStyle w:val="BDOITable"/>
            </w:pPr>
            <w:r>
              <w:rPr>
                <w:sz w:val="15"/>
              </w:rPr>
              <w:t>Approved by (p.22)</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(BDOI)</w:t>
            </w:r>
          </w:p>
        </w:tc>
        <w:tc>
          <w:tcPr>
            <w:tcW w:type="dxa" w:w="3853"/>
            <w:tcMar>
              <w:top w:w="50" w:type="dxa"/>
              <w:bottom w:w="50" w:type="dxa"/>
              <w:left w:w="90" w:type="dxa"/>
              <w:right w:w="90" w:type="dxa"/>
            </w:tcMar>
            <w:shd w:val="clear" w:color="auto" w:fill="E5F5FF"/>
          </w:tcPr>
          <w:p>
            <w:pPr>
              <w:pStyle w:val="BDOITable"/>
            </w:pPr>
            <w:r>
              <w:rPr>
                <w:sz w:val="15"/>
              </w:rPr>
              <w:t>Clients, quotations, PRFs and accounts of Combank and Corbank</w:t>
            </w:r>
          </w:p>
        </w:tc>
        <w:tc>
          <w:tcPr>
            <w:tcW w:type="dxa" w:w="2040"/>
            <w:tcMar>
              <w:top w:w="50" w:type="dxa"/>
              <w:bottom w:w="50" w:type="dxa"/>
              <w:left w:w="90" w:type="dxa"/>
              <w:right w:w="90" w:type="dxa"/>
            </w:tcMar>
            <w:shd w:val="clear" w:color="auto" w:fill="E5F5FF"/>
          </w:tcPr>
          <w:p>
            <w:pPr>
              <w:pStyle w:val="BDOITable"/>
            </w:pPr>
            <w:r>
              <w:rPr>
                <w:sz w:val="15"/>
              </w:rPr>
              <w:t>Approved by (p.129, p.22)</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Retail Marketing (BDOI)</w:t>
            </w:r>
          </w:p>
        </w:tc>
        <w:tc>
          <w:tcPr>
            <w:tcW w:type="dxa" w:w="3853"/>
            <w:tcMar>
              <w:top w:w="50" w:type="dxa"/>
              <w:bottom w:w="50" w:type="dxa"/>
              <w:left w:w="90" w:type="dxa"/>
              <w:right w:w="90" w:type="dxa"/>
            </w:tcMar>
          </w:tcPr>
          <w:p>
            <w:pPr>
              <w:pStyle w:val="BDOITable"/>
            </w:pPr>
            <w:r>
              <w:rPr>
                <w:sz w:val="15"/>
              </w:rPr>
              <w:t>Clients, quotations and accounts of Retail Marketing</w:t>
            </w:r>
          </w:p>
        </w:tc>
        <w:tc>
          <w:tcPr>
            <w:tcW w:type="dxa" w:w="2040"/>
            <w:tcMar>
              <w:top w:w="50" w:type="dxa"/>
              <w:bottom w:w="50" w:type="dxa"/>
              <w:left w:w="90" w:type="dxa"/>
              <w:right w:w="90" w:type="dxa"/>
            </w:tcMar>
          </w:tcPr>
          <w:p>
            <w:pPr>
              <w:pStyle w:val="BDOITable"/>
            </w:pPr>
            <w:r>
              <w:rPr>
                <w:sz w:val="15"/>
              </w:rPr>
              <w:t>Approved by (p.129, p.22)</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of Institutional Banking, SM and BDO Accounts (BDOI)</w:t>
            </w:r>
          </w:p>
        </w:tc>
        <w:tc>
          <w:tcPr>
            <w:tcW w:type="dxa" w:w="3853"/>
            <w:tcMar>
              <w:top w:w="50" w:type="dxa"/>
              <w:bottom w:w="50" w:type="dxa"/>
              <w:left w:w="90" w:type="dxa"/>
              <w:right w:w="90" w:type="dxa"/>
            </w:tcMar>
            <w:shd w:val="clear" w:color="auto" w:fill="E5F5FF"/>
          </w:tcPr>
          <w:p>
            <w:pPr>
              <w:pStyle w:val="BDOITable"/>
            </w:pPr>
            <w:r>
              <w:rPr>
                <w:sz w:val="15"/>
              </w:rPr>
              <w:t>Clients, quotations and accounts of the institutional accounts</w:t>
            </w:r>
          </w:p>
        </w:tc>
        <w:tc>
          <w:tcPr>
            <w:tcW w:type="dxa" w:w="2040"/>
            <w:tcMar>
              <w:top w:w="50" w:type="dxa"/>
              <w:bottom w:w="50" w:type="dxa"/>
              <w:left w:w="90" w:type="dxa"/>
              <w:right w:w="90" w:type="dxa"/>
            </w:tcMar>
            <w:shd w:val="clear" w:color="auto" w:fill="E5F5FF"/>
          </w:tcPr>
          <w:p>
            <w:pPr>
              <w:pStyle w:val="BDOITable"/>
            </w:pPr>
            <w:r>
              <w:rPr>
                <w:sz w:val="15"/>
              </w:rPr>
              <w:t>Approved by (p.129)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Booking entries, service invoices and the hand-off to Accounting</w:t>
            </w:r>
          </w:p>
        </w:tc>
        <w:tc>
          <w:tcPr>
            <w:tcW w:type="dxa" w:w="2040"/>
            <w:tcMar>
              <w:top w:w="50" w:type="dxa"/>
              <w:bottom w:w="50" w:type="dxa"/>
              <w:left w:w="90" w:type="dxa"/>
              <w:right w:w="90" w:type="dxa"/>
            </w:tcMar>
          </w:tcPr>
          <w:p>
            <w:pPr>
              <w:pStyle w:val="BDOITable"/>
            </w:pPr>
            <w:r>
              <w:rPr>
                <w:sz w:val="15"/>
              </w:rPr>
              <w:t>Approved by (p.129)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freezes the New Business screens, fields, navigation, actions, business rules, messages, notifications, documents, upload templates and the cross-BRD contract as specified. Configuration values marked "default" (SLA hours, thresholds, list entries, templates) are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 New Business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