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drawing>
          <wp:inline xmlns:a="http://schemas.openxmlformats.org/drawingml/2006/main" xmlns:pic="http://schemas.openxmlformats.org/drawingml/2006/picture">
            <wp:extent cx="2232000" cy="657775"/>
            <wp:docPr id="1" name="Picture 1"/>
            <wp:cNvGraphicFramePr>
              <a:graphicFrameLocks noChangeAspect="1"/>
            </wp:cNvGraphicFramePr>
            <a:graphic>
              <a:graphicData uri="http://schemas.openxmlformats.org/drawingml/2006/picture">
                <pic:pic>
                  <pic:nvPicPr>
                    <pic:cNvPr id="0" name="iorta-technxt.png"/>
                    <pic:cNvPicPr/>
                  </pic:nvPicPr>
                  <pic:blipFill>
                    <a:blip r:embed="rId11"/>
                    <a:stretch>
                      <a:fillRect/>
                    </a:stretch>
                  </pic:blipFill>
                  <pic:spPr>
                    <a:xfrm>
                      <a:off x="0" y="0"/>
                      <a:ext cx="2232000" cy="657775"/>
                    </a:xfrm>
                    <a:prstGeom prst="rect"/>
                  </pic:spPr>
                </pic:pic>
              </a:graphicData>
            </a:graphic>
          </wp:inline>
        </w:drawing>
      </w:r>
    </w:p>
    <w:p>
      <w:pPr>
        <w:spacing w:before="0" w:after="200"/>
      </w:pPr>
    </w:p>
    <w:p>
      <w:pPr>
        <w:spacing w:before="0" w:after="200"/>
      </w:pPr>
    </w:p>
    <w:p>
      <w:pPr>
        <w:spacing w:before="0" w:after="200"/>
      </w:pPr>
    </w:p>
    <w:p>
      <w:pPr>
        <w:spacing w:before="0" w:after="200"/>
      </w:pPr>
    </w:p>
    <w:p>
      <w:pPr>
        <w:spacing w:before="0" w:after="200"/>
      </w:pPr>
    </w:p>
    <w:p>
      <w:pPr>
        <w:spacing w:before="0" w:after="200"/>
      </w:pPr>
    </w:p>
    <w:p>
      <w:pPr>
        <w:spacing w:before="0" w:after="40" w:line="240" w:lineRule="auto"/>
      </w:pPr>
      <w:r>
        <w:rPr>
          <w:rFonts w:ascii="Arial" w:hAnsi="Arial" w:eastAsia="Arial" w:cs="Arial"/>
          <w:b/>
          <w:color w:val="0B4F9C"/>
          <w:sz w:val="68"/>
        </w:rPr>
        <w:t>iNXT BrokerVerse</w:t>
      </w:r>
    </w:p>
    <w:p>
      <w:pPr>
        <w:spacing w:before="0" w:after="280" w:line="240" w:lineRule="auto"/>
        <w:pBdr>
          <w:bottom w:val="single" w:sz="24" w:space="12" w:color="00A098"/>
        </w:pBdr>
      </w:pPr>
      <w:r>
        <w:rPr>
          <w:rFonts w:ascii="Arial" w:hAnsi="Arial" w:eastAsia="Arial" w:cs="Arial"/>
          <w:color w:val="00A8F0"/>
          <w:sz w:val="44"/>
        </w:rPr>
        <w:t>User Manual</w:t>
      </w:r>
    </w:p>
    <w:p>
      <w:pPr>
        <w:spacing w:before="120" w:after="80"/>
      </w:pPr>
      <w:r>
        <w:rPr>
          <w:rFonts w:ascii="Arial" w:hAnsi="Arial" w:eastAsia="Arial" w:cs="Arial"/>
          <w:color w:val="333333"/>
          <w:sz w:val="24"/>
        </w:rPr>
        <w:t>A guide for business users of the iNXT BrokerVerse insurance broking platform</w:t>
      </w:r>
    </w:p>
    <w:p>
      <w:pPr>
        <w:spacing w:before="0" w:after="200"/>
      </w:pPr>
    </w:p>
    <w:p>
      <w:pPr>
        <w:spacing w:before="0" w:after="200"/>
      </w:pPr>
    </w:p>
    <w:p>
      <w:pPr>
        <w:spacing w:before="0" w:after="200"/>
      </w:pPr>
    </w:p>
    <w:p>
      <w:pPr>
        <w:spacing w:before="0" w:after="200"/>
      </w:pPr>
    </w:p>
    <w:p>
      <w:pPr>
        <w:spacing w:before="0" w:after="200"/>
      </w:pPr>
    </w:p>
    <w:p>
      <w:pPr>
        <w:spacing w:before="0" w:after="200"/>
      </w:pPr>
    </w:p>
    <w:p>
      <w:pPr>
        <w:spacing w:before="0" w:after="200"/>
      </w:pPr>
    </w:p>
    <w:p>
      <w:pPr>
        <w:spacing w:before="0" w:after="200"/>
      </w:pPr>
    </w:p>
    <w:p>
      <w:pPr>
        <w:spacing w:before="0" w:after="200"/>
      </w:pPr>
    </w:p>
    <w:tbl>
      <w:tblPr>
        <w:tblW w:type="dxa" w:w="6009"/>
        <w:jc w:val="left"/>
        <w:tblLook w:firstColumn="1" w:firstRow="1" w:lastColumn="0" w:lastRow="0" w:noHBand="0" w:noVBand="1" w:val="04A0"/>
        <w:tblLayout w:type="fixed"/>
      </w:tblPr>
      <w:tblGrid>
        <w:gridCol w:w="2041"/>
        <w:gridCol w:w="3969"/>
      </w:tblGrid>
      <w:tr>
        <w:tc>
          <w:tcPr>
            <w:tcW w:type="dxa" w:w="2041"/>
            <w:tcBorders>
              <w:top w:val="nil"/>
              <w:left w:val="nil"/>
              <w:bottom w:val="nil"/>
              <w:right w:val="nil"/>
            </w:tcBorders>
            <w:tcMar>
              <w:top w:w="30" w:type="dxa"/>
              <w:bottom w:w="30" w:type="dxa"/>
              <w:left w:w="0" w:type="dxa"/>
              <w:right w:w="80" w:type="dxa"/>
            </w:tcMar>
          </w:tcPr>
          <w:p>
            <w:pPr>
              <w:spacing w:before="0" w:after="0"/>
            </w:pPr>
            <w:r>
              <w:rPr>
                <w:rFonts w:ascii="Arial" w:hAnsi="Arial" w:eastAsia="Arial" w:cs="Arial"/>
                <w:color w:val="6B7280"/>
                <w:sz w:val="20"/>
              </w:rPr>
              <w:t>Version</w:t>
            </w:r>
          </w:p>
        </w:tc>
        <w:tc>
          <w:tcPr>
            <w:tcW w:type="dxa" w:w="3969"/>
            <w:tcBorders>
              <w:top w:val="nil"/>
              <w:left w:val="nil"/>
              <w:bottom w:val="nil"/>
              <w:right w:val="nil"/>
            </w:tcBorders>
            <w:tcMar>
              <w:top w:w="30" w:type="dxa"/>
              <w:bottom w:w="30" w:type="dxa"/>
              <w:left w:w="0" w:type="dxa"/>
              <w:right w:w="80" w:type="dxa"/>
            </w:tcMar>
          </w:tcPr>
          <w:p>
            <w:pPr>
              <w:spacing w:before="0" w:after="0"/>
            </w:pPr>
            <w:r>
              <w:rPr>
                <w:rFonts w:ascii="Arial" w:hAnsi="Arial" w:eastAsia="Arial" w:cs="Arial"/>
                <w:b/>
                <w:color w:val="0B4F9C"/>
                <w:sz w:val="20"/>
              </w:rPr>
              <w:t>1.0</w:t>
            </w:r>
          </w:p>
        </w:tc>
      </w:tr>
      <w:tr>
        <w:tc>
          <w:tcPr>
            <w:tcW w:type="dxa" w:w="2041"/>
            <w:tcBorders>
              <w:top w:val="nil"/>
              <w:left w:val="nil"/>
              <w:bottom w:val="nil"/>
              <w:right w:val="nil"/>
            </w:tcBorders>
            <w:tcMar>
              <w:top w:w="30" w:type="dxa"/>
              <w:bottom w:w="30" w:type="dxa"/>
              <w:left w:w="0" w:type="dxa"/>
              <w:right w:w="80" w:type="dxa"/>
            </w:tcMar>
          </w:tcPr>
          <w:p>
            <w:pPr>
              <w:spacing w:before="0" w:after="0"/>
            </w:pPr>
            <w:r>
              <w:rPr>
                <w:rFonts w:ascii="Arial" w:hAnsi="Arial" w:eastAsia="Arial" w:cs="Arial"/>
                <w:color w:val="6B7280"/>
                <w:sz w:val="20"/>
              </w:rPr>
              <w:t>Date</w:t>
            </w:r>
          </w:p>
        </w:tc>
        <w:tc>
          <w:tcPr>
            <w:tcW w:type="dxa" w:w="3969"/>
            <w:tcBorders>
              <w:top w:val="nil"/>
              <w:left w:val="nil"/>
              <w:bottom w:val="nil"/>
              <w:right w:val="nil"/>
            </w:tcBorders>
            <w:tcMar>
              <w:top w:w="30" w:type="dxa"/>
              <w:bottom w:w="30" w:type="dxa"/>
              <w:left w:w="0" w:type="dxa"/>
              <w:right w:w="80" w:type="dxa"/>
            </w:tcMar>
          </w:tcPr>
          <w:p>
            <w:pPr>
              <w:spacing w:before="0" w:after="0"/>
            </w:pPr>
            <w:r>
              <w:rPr>
                <w:rFonts w:ascii="Arial" w:hAnsi="Arial" w:eastAsia="Arial" w:cs="Arial"/>
                <w:b/>
                <w:color w:val="0B4F9C"/>
                <w:sz w:val="20"/>
              </w:rPr>
              <w:t>27 September 2026</w:t>
            </w:r>
          </w:p>
        </w:tc>
      </w:tr>
      <w:tr>
        <w:tc>
          <w:tcPr>
            <w:tcW w:type="dxa" w:w="2041"/>
            <w:tcBorders>
              <w:top w:val="nil"/>
              <w:left w:val="nil"/>
              <w:bottom w:val="nil"/>
              <w:right w:val="nil"/>
            </w:tcBorders>
            <w:tcMar>
              <w:top w:w="30" w:type="dxa"/>
              <w:bottom w:w="30" w:type="dxa"/>
              <w:left w:w="0" w:type="dxa"/>
              <w:right w:w="80" w:type="dxa"/>
            </w:tcMar>
          </w:tcPr>
          <w:p>
            <w:pPr>
              <w:spacing w:before="0" w:after="0"/>
            </w:pPr>
            <w:r>
              <w:rPr>
                <w:rFonts w:ascii="Arial" w:hAnsi="Arial" w:eastAsia="Arial" w:cs="Arial"/>
                <w:color w:val="6B7280"/>
                <w:sz w:val="20"/>
              </w:rPr>
              <w:t>Prepared by</w:t>
            </w:r>
          </w:p>
        </w:tc>
        <w:tc>
          <w:tcPr>
            <w:tcW w:type="dxa" w:w="3969"/>
            <w:tcBorders>
              <w:top w:val="nil"/>
              <w:left w:val="nil"/>
              <w:bottom w:val="nil"/>
              <w:right w:val="nil"/>
            </w:tcBorders>
            <w:tcMar>
              <w:top w:w="30" w:type="dxa"/>
              <w:bottom w:w="30" w:type="dxa"/>
              <w:left w:w="0" w:type="dxa"/>
              <w:right w:w="80" w:type="dxa"/>
            </w:tcMar>
          </w:tcPr>
          <w:p>
            <w:pPr>
              <w:spacing w:before="0" w:after="0"/>
            </w:pPr>
            <w:r>
              <w:rPr>
                <w:rFonts w:ascii="Arial" w:hAnsi="Arial" w:eastAsia="Arial" w:cs="Arial"/>
                <w:b/>
                <w:color w:val="0B4F9C"/>
                <w:sz w:val="20"/>
              </w:rPr>
              <w:t>iorta TechNXT</w:t>
            </w:r>
          </w:p>
        </w:tc>
      </w:tr>
      <w:tr>
        <w:tc>
          <w:tcPr>
            <w:tcW w:type="dxa" w:w="2041"/>
            <w:tcBorders>
              <w:top w:val="nil"/>
              <w:left w:val="nil"/>
              <w:bottom w:val="nil"/>
              <w:right w:val="nil"/>
            </w:tcBorders>
            <w:tcMar>
              <w:top w:w="30" w:type="dxa"/>
              <w:bottom w:w="30" w:type="dxa"/>
              <w:left w:w="0" w:type="dxa"/>
              <w:right w:w="80" w:type="dxa"/>
            </w:tcMar>
          </w:tcPr>
          <w:p>
            <w:pPr>
              <w:spacing w:before="0" w:after="0"/>
            </w:pPr>
            <w:r>
              <w:rPr>
                <w:rFonts w:ascii="Arial" w:hAnsi="Arial" w:eastAsia="Arial" w:cs="Arial"/>
                <w:color w:val="6B7280"/>
                <w:sz w:val="20"/>
              </w:rPr>
              <w:t>Classification</w:t>
            </w:r>
          </w:p>
        </w:tc>
        <w:tc>
          <w:tcPr>
            <w:tcW w:type="dxa" w:w="3969"/>
            <w:tcBorders>
              <w:top w:val="nil"/>
              <w:left w:val="nil"/>
              <w:bottom w:val="nil"/>
              <w:right w:val="nil"/>
            </w:tcBorders>
            <w:tcMar>
              <w:top w:w="30" w:type="dxa"/>
              <w:bottom w:w="30" w:type="dxa"/>
              <w:left w:w="0" w:type="dxa"/>
              <w:right w:w="80" w:type="dxa"/>
            </w:tcMar>
          </w:tcPr>
          <w:p>
            <w:pPr>
              <w:spacing w:before="0" w:after="0"/>
            </w:pPr>
            <w:r>
              <w:rPr>
                <w:rFonts w:ascii="Arial" w:hAnsi="Arial" w:eastAsia="Arial" w:cs="Arial"/>
                <w:b/>
                <w:color w:val="0B4F9C"/>
                <w:sz w:val="20"/>
              </w:rPr>
              <w:t>Confidential</w:t>
            </w:r>
          </w:p>
        </w:tc>
      </w:tr>
    </w:tbl>
    <w:p>
      <w:pPr>
        <w:spacing w:before="560" w:after="0"/>
      </w:pPr>
      <w:r>
        <w:rPr>
          <w:rFonts w:ascii="Arial" w:hAnsi="Arial" w:eastAsia="Arial" w:cs="Arial"/>
          <w:color w:val="0090D8"/>
          <w:sz w:val="19"/>
        </w:rPr>
        <w:t>www.iortatechnxt.com</w:t>
      </w:r>
    </w:p>
    <w:p>
      <w:r>
        <w:br w:type="page"/>
      </w:r>
    </w:p>
    <w:p>
      <w:pPr>
        <w:spacing w:before="0" w:after="240"/>
        <w:pBdr>
          <w:bottom w:val="single" w:sz="12" w:space="6" w:color="00A098"/>
        </w:pBdr>
      </w:pPr>
      <w:r>
        <w:rPr>
          <w:rFonts w:ascii="Arial" w:hAnsi="Arial" w:eastAsia="Arial" w:cs="Arial"/>
          <w:b/>
          <w:color w:val="0B4F9C"/>
          <w:sz w:val="40"/>
        </w:rPr>
        <w:t>Document control</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247"/>
        <w:gridCol w:w="1701"/>
        <w:gridCol w:w="4195"/>
        <w:gridCol w:w="2268"/>
      </w:tblGrid>
      <w:tr>
        <w:trPr>
          <w:tblHeader w:val="true"/>
          <w:cantSplit/>
        </w:trPr>
        <w:tc>
          <w:tcPr>
            <w:tcW w:type="dxa" w:w="124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Version</w:t>
            </w:r>
          </w:p>
        </w:tc>
        <w:tc>
          <w:tcPr>
            <w:tcW w:type="dxa" w:w="1701"/>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Date</w:t>
            </w:r>
          </w:p>
        </w:tc>
        <w:tc>
          <w:tcPr>
            <w:tcW w:type="dxa" w:w="4195"/>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Description</w:t>
            </w:r>
          </w:p>
        </w:tc>
        <w:tc>
          <w:tcPr>
            <w:tcW w:type="dxa" w:w="226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Author</w:t>
            </w:r>
          </w:p>
        </w:tc>
      </w:tr>
      <w:tr>
        <w:trPr>
          <w:cantSplit/>
        </w:trPr>
        <w:tc>
          <w:tcPr>
            <w:tcW w:type="dxa" w:w="1247"/>
            <w:tcMar>
              <w:top w:w="80" w:type="dxa"/>
              <w:bottom w:w="80" w:type="dxa"/>
              <w:left w:w="120" w:type="dxa"/>
              <w:right w:w="120" w:type="dxa"/>
            </w:tcMar>
          </w:tcPr>
          <w:p>
            <w:pPr>
              <w:spacing w:before="0" w:after="0" w:line="276" w:lineRule="auto"/>
            </w:pPr>
            <w:r>
              <w:rPr>
                <w:rFonts w:ascii="Arial" w:hAnsi="Arial" w:eastAsia="Arial" w:cs="Arial"/>
                <w:b/>
                <w:color w:val="0B4F9C"/>
                <w:sz w:val="19"/>
              </w:rPr>
              <w:t>1.0</w:t>
            </w:r>
          </w:p>
        </w:tc>
        <w:tc>
          <w:tcPr>
            <w:tcW w:type="dxa" w:w="1701"/>
            <w:tcMar>
              <w:top w:w="80" w:type="dxa"/>
              <w:bottom w:w="80" w:type="dxa"/>
              <w:left w:w="120" w:type="dxa"/>
              <w:right w:w="120" w:type="dxa"/>
            </w:tcMar>
          </w:tcPr>
          <w:p>
            <w:pPr>
              <w:spacing w:before="0" w:after="0" w:line="276" w:lineRule="auto"/>
            </w:pPr>
            <w:r>
              <w:rPr>
                <w:rFonts w:ascii="Arial" w:hAnsi="Arial" w:eastAsia="Arial" w:cs="Arial"/>
                <w:color w:val="333333"/>
                <w:sz w:val="19"/>
              </w:rPr>
              <w:t>27-Sep-2026</w:t>
            </w:r>
          </w:p>
        </w:tc>
        <w:tc>
          <w:tcPr>
            <w:tcW w:type="dxa" w:w="4195"/>
            <w:tcMar>
              <w:top w:w="80" w:type="dxa"/>
              <w:bottom w:w="80" w:type="dxa"/>
              <w:left w:w="120" w:type="dxa"/>
              <w:right w:w="120" w:type="dxa"/>
            </w:tcMar>
          </w:tcPr>
          <w:p>
            <w:pPr>
              <w:spacing w:before="0" w:after="0" w:line="276" w:lineRule="auto"/>
            </w:pPr>
            <w:r>
              <w:rPr>
                <w:rFonts w:ascii="Arial" w:hAnsi="Arial" w:eastAsia="Arial" w:cs="Arial"/>
                <w:color w:val="333333"/>
                <w:sz w:val="19"/>
              </w:rPr>
              <w:t>First issue</w:t>
            </w:r>
          </w:p>
        </w:tc>
        <w:tc>
          <w:tcPr>
            <w:tcW w:type="dxa" w:w="2268"/>
            <w:tcMar>
              <w:top w:w="80" w:type="dxa"/>
              <w:bottom w:w="80" w:type="dxa"/>
              <w:left w:w="120" w:type="dxa"/>
              <w:right w:w="120" w:type="dxa"/>
            </w:tcMar>
          </w:tcPr>
          <w:p>
            <w:pPr>
              <w:spacing w:before="0" w:after="0" w:line="276" w:lineRule="auto"/>
            </w:pPr>
            <w:r>
              <w:rPr>
                <w:rFonts w:ascii="Arial" w:hAnsi="Arial" w:eastAsia="Arial" w:cs="Arial"/>
                <w:color w:val="333333"/>
                <w:sz w:val="19"/>
              </w:rPr>
              <w:t>iorta TechNXT</w:t>
            </w:r>
          </w:p>
        </w:tc>
      </w:tr>
    </w:tbl>
    <w:p>
      <w:pPr>
        <w:spacing w:before="0" w:after="80" w:line="240" w:lineRule="auto"/>
      </w:pPr>
    </w:p>
    <w:p>
      <w:r>
        <w:rPr>
          <w:rFonts w:ascii="Arial" w:hAnsi="Arial" w:eastAsia="Arial" w:cs="Arial"/>
          <w:b/>
        </w:rPr>
        <w:t>Distribution</w:t>
      </w:r>
      <w:r>
        <w:rPr>
          <w:rFonts w:ascii="Arial" w:hAnsi="Arial" w:eastAsia="Arial" w:cs="Arial"/>
        </w:rPr>
        <w:t>: customer project team and key users.</w:t>
      </w:r>
    </w:p>
    <w:p>
      <w:r>
        <w:rPr>
          <w:rFonts w:ascii="Arial" w:hAnsi="Arial" w:eastAsia="Arial" w:cs="Arial"/>
          <w:b/>
        </w:rPr>
        <w:t>Copyright</w:t>
      </w:r>
      <w:r>
        <w:rPr>
          <w:rFonts w:ascii="Arial" w:hAnsi="Arial" w:eastAsia="Arial" w:cs="Arial"/>
        </w:rPr>
        <w:t>: this document and its contents are the property of iorta TechNXT and are provided to the customer for the use of the iNXT BrokerVerse platform. The screens you see may differ slightly from the descriptions here, depending on your organisation's set-up and your role.</w:t>
      </w:r>
    </w:p>
    <w:p>
      <w:r>
        <w:br w:type="page"/>
      </w:r>
    </w:p>
    <w:p>
      <w:pPr>
        <w:spacing w:before="0" w:after="240"/>
        <w:pBdr>
          <w:bottom w:val="single" w:sz="12" w:space="6" w:color="00A098"/>
        </w:pBdr>
      </w:pPr>
      <w:r>
        <w:rPr>
          <w:rFonts w:ascii="Arial" w:hAnsi="Arial" w:eastAsia="Arial" w:cs="Arial"/>
          <w:b/>
          <w:color w:val="0B4F9C"/>
          <w:sz w:val="40"/>
        </w:rPr>
        <w:t>Contents</w:t>
      </w:r>
    </w:p>
    <w:p>
      <w:pPr>
        <w:pStyle w:val="TOC1"/>
      </w:pPr>
      <w:r>
        <w:fldChar w:fldCharType="begin"/>
      </w:r>
      <w:r>
        <w:instrText xml:space="preserve"> TOC \o "1-2" \h \z \u </w:instrText>
      </w:r>
      <w:r>
        <w:fldChar w:fldCharType="separate"/>
      </w:r>
      <w:r>
        <w:rPr>
          <w:rFonts w:ascii="Arial" w:hAnsi="Arial" w:eastAsia="Arial" w:cs="Arial"/>
        </w:rPr>
        <w:t>1  Introduction</w:t>
      </w:r>
      <w:r>
        <w:rPr>
          <w:rFonts w:ascii="Arial" w:hAnsi="Arial" w:eastAsia="Arial" w:cs="Arial"/>
        </w:rPr>
        <w:tab/>
        <w:t>5</w:t>
      </w:r>
    </w:p>
    <w:p>
      <w:pPr>
        <w:pStyle w:val="TOC2"/>
      </w:pPr>
      <w:r>
        <w:rPr>
          <w:rFonts w:ascii="Arial" w:hAnsi="Arial" w:eastAsia="Arial" w:cs="Arial"/>
        </w:rPr>
        <w:t>1.1  About iNXT BrokerVerse</w:t>
      </w:r>
      <w:r>
        <w:rPr>
          <w:rFonts w:ascii="Arial" w:hAnsi="Arial" w:eastAsia="Arial" w:cs="Arial"/>
        </w:rPr>
        <w:tab/>
        <w:t>5</w:t>
      </w:r>
    </w:p>
    <w:p>
      <w:pPr>
        <w:pStyle w:val="TOC2"/>
      </w:pPr>
      <w:r>
        <w:rPr>
          <w:rFonts w:ascii="Arial" w:hAnsi="Arial" w:eastAsia="Arial" w:cs="Arial"/>
        </w:rPr>
        <w:t>1.2  Who this manual is for</w:t>
      </w:r>
      <w:r>
        <w:rPr>
          <w:rFonts w:ascii="Arial" w:hAnsi="Arial" w:eastAsia="Arial" w:cs="Arial"/>
        </w:rPr>
        <w:tab/>
        <w:t>5</w:t>
      </w:r>
    </w:p>
    <w:p>
      <w:pPr>
        <w:pStyle w:val="TOC2"/>
      </w:pPr>
      <w:r>
        <w:rPr>
          <w:rFonts w:ascii="Arial" w:hAnsi="Arial" w:eastAsia="Arial" w:cs="Arial"/>
        </w:rPr>
        <w:t>1.3  How the manual is organised</w:t>
      </w:r>
      <w:r>
        <w:rPr>
          <w:rFonts w:ascii="Arial" w:hAnsi="Arial" w:eastAsia="Arial" w:cs="Arial"/>
        </w:rPr>
        <w:tab/>
        <w:t>5</w:t>
      </w:r>
    </w:p>
    <w:p>
      <w:pPr>
        <w:pStyle w:val="TOC2"/>
      </w:pPr>
      <w:r>
        <w:rPr>
          <w:rFonts w:ascii="Arial" w:hAnsi="Arial" w:eastAsia="Arial" w:cs="Arial"/>
        </w:rPr>
        <w:t>1.4  Your role decides what you see</w:t>
      </w:r>
      <w:r>
        <w:rPr>
          <w:rFonts w:ascii="Arial" w:hAnsi="Arial" w:eastAsia="Arial" w:cs="Arial"/>
        </w:rPr>
        <w:tab/>
        <w:t>5</w:t>
      </w:r>
    </w:p>
    <w:p>
      <w:pPr>
        <w:pStyle w:val="TOC1"/>
      </w:pPr>
      <w:r>
        <w:rPr>
          <w:rFonts w:ascii="Arial" w:hAnsi="Arial" w:eastAsia="Arial" w:cs="Arial"/>
        </w:rPr>
        <w:t>2  Getting started</w:t>
      </w:r>
      <w:r>
        <w:rPr>
          <w:rFonts w:ascii="Arial" w:hAnsi="Arial" w:eastAsia="Arial" w:cs="Arial"/>
        </w:rPr>
        <w:tab/>
        <w:t>6</w:t>
      </w:r>
    </w:p>
    <w:p>
      <w:pPr>
        <w:pStyle w:val="TOC2"/>
      </w:pPr>
      <w:r>
        <w:rPr>
          <w:rFonts w:ascii="Arial" w:hAnsi="Arial" w:eastAsia="Arial" w:cs="Arial"/>
        </w:rPr>
        <w:t>2.1  What you need</w:t>
      </w:r>
      <w:r>
        <w:rPr>
          <w:rFonts w:ascii="Arial" w:hAnsi="Arial" w:eastAsia="Arial" w:cs="Arial"/>
        </w:rPr>
        <w:tab/>
        <w:t>6</w:t>
      </w:r>
    </w:p>
    <w:p>
      <w:pPr>
        <w:pStyle w:val="TOC2"/>
      </w:pPr>
      <w:r>
        <w:rPr>
          <w:rFonts w:ascii="Arial" w:hAnsi="Arial" w:eastAsia="Arial" w:cs="Arial"/>
        </w:rPr>
        <w:t>2.2  Signing in</w:t>
      </w:r>
      <w:r>
        <w:rPr>
          <w:rFonts w:ascii="Arial" w:hAnsi="Arial" w:eastAsia="Arial" w:cs="Arial"/>
        </w:rPr>
        <w:tab/>
        <w:t>6</w:t>
      </w:r>
    </w:p>
    <w:p>
      <w:pPr>
        <w:pStyle w:val="TOC2"/>
      </w:pPr>
      <w:r>
        <w:rPr>
          <w:rFonts w:ascii="Arial" w:hAnsi="Arial" w:eastAsia="Arial" w:cs="Arial"/>
        </w:rPr>
        <w:t>2.3  Your first sign-in and changing your password</w:t>
      </w:r>
      <w:r>
        <w:rPr>
          <w:rFonts w:ascii="Arial" w:hAnsi="Arial" w:eastAsia="Arial" w:cs="Arial"/>
        </w:rPr>
        <w:tab/>
        <w:t>6</w:t>
      </w:r>
    </w:p>
    <w:p>
      <w:pPr>
        <w:pStyle w:val="TOC2"/>
      </w:pPr>
      <w:r>
        <w:rPr>
          <w:rFonts w:ascii="Arial" w:hAnsi="Arial" w:eastAsia="Arial" w:cs="Arial"/>
        </w:rPr>
        <w:t>2.4  If you forget your password</w:t>
      </w:r>
      <w:r>
        <w:rPr>
          <w:rFonts w:ascii="Arial" w:hAnsi="Arial" w:eastAsia="Arial" w:cs="Arial"/>
        </w:rPr>
        <w:tab/>
        <w:t>7</w:t>
      </w:r>
    </w:p>
    <w:p>
      <w:pPr>
        <w:pStyle w:val="TOC2"/>
      </w:pPr>
      <w:r>
        <w:rPr>
          <w:rFonts w:ascii="Arial" w:hAnsi="Arial" w:eastAsia="Arial" w:cs="Arial"/>
        </w:rPr>
        <w:t>2.5  Staying signed in and signing out</w:t>
      </w:r>
      <w:r>
        <w:rPr>
          <w:rFonts w:ascii="Arial" w:hAnsi="Arial" w:eastAsia="Arial" w:cs="Arial"/>
        </w:rPr>
        <w:tab/>
        <w:t>7</w:t>
      </w:r>
    </w:p>
    <w:p>
      <w:pPr>
        <w:pStyle w:val="TOC1"/>
      </w:pPr>
      <w:r>
        <w:rPr>
          <w:rFonts w:ascii="Arial" w:hAnsi="Arial" w:eastAsia="Arial" w:cs="Arial"/>
        </w:rPr>
        <w:t>3  Finding your way around</w:t>
      </w:r>
      <w:r>
        <w:rPr>
          <w:rFonts w:ascii="Arial" w:hAnsi="Arial" w:eastAsia="Arial" w:cs="Arial"/>
        </w:rPr>
        <w:tab/>
        <w:t>8</w:t>
      </w:r>
    </w:p>
    <w:p>
      <w:pPr>
        <w:pStyle w:val="TOC2"/>
      </w:pPr>
      <w:r>
        <w:rPr>
          <w:rFonts w:ascii="Arial" w:hAnsi="Arial" w:eastAsia="Arial" w:cs="Arial"/>
        </w:rPr>
        <w:t>3.1  The screen layout</w:t>
      </w:r>
      <w:r>
        <w:rPr>
          <w:rFonts w:ascii="Arial" w:hAnsi="Arial" w:eastAsia="Arial" w:cs="Arial"/>
        </w:rPr>
        <w:tab/>
        <w:t>8</w:t>
      </w:r>
    </w:p>
    <w:p>
      <w:pPr>
        <w:pStyle w:val="TOC2"/>
      </w:pPr>
      <w:r>
        <w:rPr>
          <w:rFonts w:ascii="Arial" w:hAnsi="Arial" w:eastAsia="Arial" w:cs="Arial"/>
        </w:rPr>
        <w:t>3.2  Your home page</w:t>
      </w:r>
      <w:r>
        <w:rPr>
          <w:rFonts w:ascii="Arial" w:hAnsi="Arial" w:eastAsia="Arial" w:cs="Arial"/>
        </w:rPr>
        <w:tab/>
        <w:t>8</w:t>
      </w:r>
    </w:p>
    <w:p>
      <w:pPr>
        <w:pStyle w:val="TOC2"/>
      </w:pPr>
      <w:r>
        <w:rPr>
          <w:rFonts w:ascii="Arial" w:hAnsi="Arial" w:eastAsia="Arial" w:cs="Arial"/>
        </w:rPr>
        <w:t>3.3  My Work</w:t>
      </w:r>
      <w:r>
        <w:rPr>
          <w:rFonts w:ascii="Arial" w:hAnsi="Arial" w:eastAsia="Arial" w:cs="Arial"/>
        </w:rPr>
        <w:tab/>
        <w:t>8</w:t>
      </w:r>
    </w:p>
    <w:p>
      <w:pPr>
        <w:pStyle w:val="TOC2"/>
      </w:pPr>
      <w:r>
        <w:rPr>
          <w:rFonts w:ascii="Arial" w:hAnsi="Arial" w:eastAsia="Arial" w:cs="Arial"/>
        </w:rPr>
        <w:t>3.4  My Approvals</w:t>
      </w:r>
      <w:r>
        <w:rPr>
          <w:rFonts w:ascii="Arial" w:hAnsi="Arial" w:eastAsia="Arial" w:cs="Arial"/>
        </w:rPr>
        <w:tab/>
        <w:t>9</w:t>
      </w:r>
    </w:p>
    <w:p>
      <w:pPr>
        <w:pStyle w:val="TOC2"/>
      </w:pPr>
      <w:r>
        <w:rPr>
          <w:rFonts w:ascii="Arial" w:hAnsi="Arial" w:eastAsia="Arial" w:cs="Arial"/>
        </w:rPr>
        <w:t>3.5  Working with screens</w:t>
      </w:r>
      <w:r>
        <w:rPr>
          <w:rFonts w:ascii="Arial" w:hAnsi="Arial" w:eastAsia="Arial" w:cs="Arial"/>
        </w:rPr>
        <w:tab/>
        <w:t>9</w:t>
      </w:r>
    </w:p>
    <w:p>
      <w:pPr>
        <w:pStyle w:val="TOC2"/>
      </w:pPr>
      <w:r>
        <w:rPr>
          <w:rFonts w:ascii="Arial" w:hAnsi="Arial" w:eastAsia="Arial" w:cs="Arial"/>
        </w:rPr>
        <w:t>3.6  Help Center</w:t>
      </w:r>
      <w:r>
        <w:rPr>
          <w:rFonts w:ascii="Arial" w:hAnsi="Arial" w:eastAsia="Arial" w:cs="Arial"/>
        </w:rPr>
        <w:tab/>
        <w:t>9</w:t>
      </w:r>
    </w:p>
    <w:p>
      <w:pPr>
        <w:pStyle w:val="TOC1"/>
      </w:pPr>
      <w:r>
        <w:rPr>
          <w:rFonts w:ascii="Arial" w:hAnsi="Arial" w:eastAsia="Arial" w:cs="Arial"/>
        </w:rPr>
        <w:t>4  The broking cycle at a glance</w:t>
      </w:r>
      <w:r>
        <w:rPr>
          <w:rFonts w:ascii="Arial" w:hAnsi="Arial" w:eastAsia="Arial" w:cs="Arial"/>
        </w:rPr>
        <w:tab/>
        <w:t>10</w:t>
      </w:r>
    </w:p>
    <w:p>
      <w:pPr>
        <w:pStyle w:val="TOC1"/>
      </w:pPr>
      <w:r>
        <w:rPr>
          <w:rFonts w:ascii="Arial" w:hAnsi="Arial" w:eastAsia="Arial" w:cs="Arial"/>
        </w:rPr>
        <w:t>5  Client and policy</w:t>
      </w:r>
      <w:r>
        <w:rPr>
          <w:rFonts w:ascii="Arial" w:hAnsi="Arial" w:eastAsia="Arial" w:cs="Arial"/>
        </w:rPr>
        <w:tab/>
        <w:t>11</w:t>
      </w:r>
    </w:p>
    <w:p>
      <w:pPr>
        <w:pStyle w:val="TOC2"/>
      </w:pPr>
      <w:r>
        <w:rPr>
          <w:rFonts w:ascii="Arial" w:hAnsi="Arial" w:eastAsia="Arial" w:cs="Arial"/>
        </w:rPr>
        <w:t>5.1  Clients</w:t>
      </w:r>
      <w:r>
        <w:rPr>
          <w:rFonts w:ascii="Arial" w:hAnsi="Arial" w:eastAsia="Arial" w:cs="Arial"/>
        </w:rPr>
        <w:tab/>
        <w:t>11</w:t>
      </w:r>
    </w:p>
    <w:p>
      <w:pPr>
        <w:pStyle w:val="TOC2"/>
      </w:pPr>
      <w:r>
        <w:rPr>
          <w:rFonts w:ascii="Arial" w:hAnsi="Arial" w:eastAsia="Arial" w:cs="Arial"/>
        </w:rPr>
        <w:t>5.2  Sanction screening</w:t>
      </w:r>
      <w:r>
        <w:rPr>
          <w:rFonts w:ascii="Arial" w:hAnsi="Arial" w:eastAsia="Arial" w:cs="Arial"/>
        </w:rPr>
        <w:tab/>
        <w:t>11</w:t>
      </w:r>
    </w:p>
    <w:p>
      <w:pPr>
        <w:pStyle w:val="TOC2"/>
      </w:pPr>
      <w:r>
        <w:rPr>
          <w:rFonts w:ascii="Arial" w:hAnsi="Arial" w:eastAsia="Arial" w:cs="Arial"/>
        </w:rPr>
        <w:t>5.3  Quotations</w:t>
      </w:r>
      <w:r>
        <w:rPr>
          <w:rFonts w:ascii="Arial" w:hAnsi="Arial" w:eastAsia="Arial" w:cs="Arial"/>
        </w:rPr>
        <w:tab/>
        <w:t>11</w:t>
      </w:r>
    </w:p>
    <w:p>
      <w:pPr>
        <w:pStyle w:val="TOC2"/>
      </w:pPr>
      <w:r>
        <w:rPr>
          <w:rFonts w:ascii="Arial" w:hAnsi="Arial" w:eastAsia="Arial" w:cs="Arial"/>
        </w:rPr>
        <w:t>5.4  Proposal requests (non-package risks)</w:t>
      </w:r>
      <w:r>
        <w:rPr>
          <w:rFonts w:ascii="Arial" w:hAnsi="Arial" w:eastAsia="Arial" w:cs="Arial"/>
        </w:rPr>
        <w:tab/>
        <w:t>12</w:t>
      </w:r>
    </w:p>
    <w:p>
      <w:pPr>
        <w:pStyle w:val="TOC2"/>
      </w:pPr>
      <w:r>
        <w:rPr>
          <w:rFonts w:ascii="Arial" w:hAnsi="Arial" w:eastAsia="Arial" w:cs="Arial"/>
        </w:rPr>
        <w:t>5.5  Accounts</w:t>
      </w:r>
      <w:r>
        <w:rPr>
          <w:rFonts w:ascii="Arial" w:hAnsi="Arial" w:eastAsia="Arial" w:cs="Arial"/>
        </w:rPr>
        <w:tab/>
        <w:t>12</w:t>
      </w:r>
    </w:p>
    <w:p>
      <w:pPr>
        <w:pStyle w:val="TOC2"/>
      </w:pPr>
      <w:r>
        <w:rPr>
          <w:rFonts w:ascii="Arial" w:hAnsi="Arial" w:eastAsia="Arial" w:cs="Arial"/>
        </w:rPr>
        <w:t>5.6  Employee benefits</w:t>
      </w:r>
      <w:r>
        <w:rPr>
          <w:rFonts w:ascii="Arial" w:hAnsi="Arial" w:eastAsia="Arial" w:cs="Arial"/>
        </w:rPr>
        <w:tab/>
        <w:t>12</w:t>
      </w:r>
    </w:p>
    <w:p>
      <w:pPr>
        <w:pStyle w:val="TOC2"/>
      </w:pPr>
      <w:r>
        <w:rPr>
          <w:rFonts w:ascii="Arial" w:hAnsi="Arial" w:eastAsia="Arial" w:cs="Arial"/>
        </w:rPr>
        <w:t>5.7  Placement</w:t>
      </w:r>
      <w:r>
        <w:rPr>
          <w:rFonts w:ascii="Arial" w:hAnsi="Arial" w:eastAsia="Arial" w:cs="Arial"/>
        </w:rPr>
        <w:tab/>
        <w:t>12</w:t>
      </w:r>
    </w:p>
    <w:p>
      <w:pPr>
        <w:pStyle w:val="TOC2"/>
      </w:pPr>
      <w:r>
        <w:rPr>
          <w:rFonts w:ascii="Arial" w:hAnsi="Arial" w:eastAsia="Arial" w:cs="Arial"/>
        </w:rPr>
        <w:t>5.8  Policy issuance</w:t>
      </w:r>
      <w:r>
        <w:rPr>
          <w:rFonts w:ascii="Arial" w:hAnsi="Arial" w:eastAsia="Arial" w:cs="Arial"/>
        </w:rPr>
        <w:tab/>
        <w:t>13</w:t>
      </w:r>
    </w:p>
    <w:p>
      <w:pPr>
        <w:pStyle w:val="TOC2"/>
      </w:pPr>
      <w:r>
        <w:rPr>
          <w:rFonts w:ascii="Arial" w:hAnsi="Arial" w:eastAsia="Arial" w:cs="Arial"/>
        </w:rPr>
        <w:t>5.9  Booking</w:t>
      </w:r>
      <w:r>
        <w:rPr>
          <w:rFonts w:ascii="Arial" w:hAnsi="Arial" w:eastAsia="Arial" w:cs="Arial"/>
        </w:rPr>
        <w:tab/>
        <w:t>13</w:t>
      </w:r>
    </w:p>
    <w:p>
      <w:pPr>
        <w:pStyle w:val="TOC2"/>
      </w:pPr>
      <w:r>
        <w:rPr>
          <w:rFonts w:ascii="Arial" w:hAnsi="Arial" w:eastAsia="Arial" w:cs="Arial"/>
        </w:rPr>
        <w:t>5.10  Endorsements and adjustments</w:t>
      </w:r>
      <w:r>
        <w:rPr>
          <w:rFonts w:ascii="Arial" w:hAnsi="Arial" w:eastAsia="Arial" w:cs="Arial"/>
        </w:rPr>
        <w:tab/>
        <w:t>13</w:t>
      </w:r>
    </w:p>
    <w:p>
      <w:pPr>
        <w:pStyle w:val="TOC2"/>
      </w:pPr>
      <w:r>
        <w:rPr>
          <w:rFonts w:ascii="Arial" w:hAnsi="Arial" w:eastAsia="Arial" w:cs="Arial"/>
        </w:rPr>
        <w:t>5.11  Production reconciliation</w:t>
      </w:r>
      <w:r>
        <w:rPr>
          <w:rFonts w:ascii="Arial" w:hAnsi="Arial" w:eastAsia="Arial" w:cs="Arial"/>
        </w:rPr>
        <w:tab/>
        <w:t>13</w:t>
      </w:r>
    </w:p>
    <w:p>
      <w:pPr>
        <w:pStyle w:val="TOC2"/>
      </w:pPr>
      <w:r>
        <w:rPr>
          <w:rFonts w:ascii="Arial" w:hAnsi="Arial" w:eastAsia="Arial" w:cs="Arial"/>
        </w:rPr>
        <w:t>5.12  Product maintenance</w:t>
      </w:r>
      <w:r>
        <w:rPr>
          <w:rFonts w:ascii="Arial" w:hAnsi="Arial" w:eastAsia="Arial" w:cs="Arial"/>
        </w:rPr>
        <w:tab/>
        <w:t>13</w:t>
      </w:r>
    </w:p>
    <w:p>
      <w:pPr>
        <w:pStyle w:val="TOC1"/>
      </w:pPr>
      <w:r>
        <w:rPr>
          <w:rFonts w:ascii="Arial" w:hAnsi="Arial" w:eastAsia="Arial" w:cs="Arial"/>
        </w:rPr>
        <w:t>6  Operations and finance</w:t>
      </w:r>
      <w:r>
        <w:rPr>
          <w:rFonts w:ascii="Arial" w:hAnsi="Arial" w:eastAsia="Arial" w:cs="Arial"/>
        </w:rPr>
        <w:tab/>
        <w:t>14</w:t>
      </w:r>
    </w:p>
    <w:p>
      <w:pPr>
        <w:pStyle w:val="TOC2"/>
      </w:pPr>
      <w:r>
        <w:rPr>
          <w:rFonts w:ascii="Arial" w:hAnsi="Arial" w:eastAsia="Arial" w:cs="Arial"/>
        </w:rPr>
        <w:t>6.1  Operations home and Invoice 360</w:t>
      </w:r>
      <w:r>
        <w:rPr>
          <w:rFonts w:ascii="Arial" w:hAnsi="Arial" w:eastAsia="Arial" w:cs="Arial"/>
        </w:rPr>
        <w:tab/>
        <w:t>14</w:t>
      </w:r>
    </w:p>
    <w:p>
      <w:pPr>
        <w:pStyle w:val="TOC2"/>
      </w:pPr>
      <w:r>
        <w:rPr>
          <w:rFonts w:ascii="Arial" w:hAnsi="Arial" w:eastAsia="Arial" w:cs="Arial"/>
        </w:rPr>
        <w:t>6.2  Collections</w:t>
      </w:r>
      <w:r>
        <w:rPr>
          <w:rFonts w:ascii="Arial" w:hAnsi="Arial" w:eastAsia="Arial" w:cs="Arial"/>
        </w:rPr>
        <w:tab/>
        <w:t>14</w:t>
      </w:r>
    </w:p>
    <w:p>
      <w:pPr>
        <w:pStyle w:val="TOC2"/>
      </w:pPr>
      <w:r>
        <w:rPr>
          <w:rFonts w:ascii="Arial" w:hAnsi="Arial" w:eastAsia="Arial" w:cs="Arial"/>
        </w:rPr>
        <w:t>6.3  Cashiering</w:t>
      </w:r>
      <w:r>
        <w:rPr>
          <w:rFonts w:ascii="Arial" w:hAnsi="Arial" w:eastAsia="Arial" w:cs="Arial"/>
        </w:rPr>
        <w:tab/>
        <w:t>14</w:t>
      </w:r>
    </w:p>
    <w:p>
      <w:pPr>
        <w:pStyle w:val="TOC2"/>
      </w:pPr>
      <w:r>
        <w:rPr>
          <w:rFonts w:ascii="Arial" w:hAnsi="Arial" w:eastAsia="Arial" w:cs="Arial"/>
        </w:rPr>
        <w:t>6.4  Remittance</w:t>
      </w:r>
      <w:r>
        <w:rPr>
          <w:rFonts w:ascii="Arial" w:hAnsi="Arial" w:eastAsia="Arial" w:cs="Arial"/>
        </w:rPr>
        <w:tab/>
        <w:t>14</w:t>
      </w:r>
    </w:p>
    <w:p>
      <w:pPr>
        <w:pStyle w:val="TOC2"/>
      </w:pPr>
      <w:r>
        <w:rPr>
          <w:rFonts w:ascii="Arial" w:hAnsi="Arial" w:eastAsia="Arial" w:cs="Arial"/>
        </w:rPr>
        <w:t>6.5  Commission receivables</w:t>
      </w:r>
      <w:r>
        <w:rPr>
          <w:rFonts w:ascii="Arial" w:hAnsi="Arial" w:eastAsia="Arial" w:cs="Arial"/>
        </w:rPr>
        <w:tab/>
        <w:t>14</w:t>
      </w:r>
    </w:p>
    <w:p>
      <w:pPr>
        <w:pStyle w:val="TOC2"/>
      </w:pPr>
      <w:r>
        <w:rPr>
          <w:rFonts w:ascii="Arial" w:hAnsi="Arial" w:eastAsia="Arial" w:cs="Arial"/>
        </w:rPr>
        <w:t>6.6  Disbursement</w:t>
      </w:r>
      <w:r>
        <w:rPr>
          <w:rFonts w:ascii="Arial" w:hAnsi="Arial" w:eastAsia="Arial" w:cs="Arial"/>
        </w:rPr>
        <w:tab/>
        <w:t>15</w:t>
      </w:r>
    </w:p>
    <w:p>
      <w:pPr>
        <w:pStyle w:val="TOC2"/>
      </w:pPr>
      <w:r>
        <w:rPr>
          <w:rFonts w:ascii="Arial" w:hAnsi="Arial" w:eastAsia="Arial" w:cs="Arial"/>
        </w:rPr>
        <w:t>6.7  Refund and cash advance requests</w:t>
      </w:r>
      <w:r>
        <w:rPr>
          <w:rFonts w:ascii="Arial" w:hAnsi="Arial" w:eastAsia="Arial" w:cs="Arial"/>
        </w:rPr>
        <w:tab/>
        <w:t>15</w:t>
      </w:r>
    </w:p>
    <w:p>
      <w:pPr>
        <w:pStyle w:val="TOC2"/>
      </w:pPr>
      <w:r>
        <w:rPr>
          <w:rFonts w:ascii="Arial" w:hAnsi="Arial" w:eastAsia="Arial" w:cs="Arial"/>
        </w:rPr>
        <w:t>6.8  Accounting control and general ledger</w:t>
      </w:r>
      <w:r>
        <w:rPr>
          <w:rFonts w:ascii="Arial" w:hAnsi="Arial" w:eastAsia="Arial" w:cs="Arial"/>
        </w:rPr>
        <w:tab/>
        <w:t>15</w:t>
      </w:r>
    </w:p>
    <w:p>
      <w:pPr>
        <w:pStyle w:val="TOC1"/>
      </w:pPr>
      <w:r>
        <w:rPr>
          <w:rFonts w:ascii="Arial" w:hAnsi="Arial" w:eastAsia="Arial" w:cs="Arial"/>
        </w:rPr>
        <w:t>7  Claims handling</w:t>
      </w:r>
      <w:r>
        <w:rPr>
          <w:rFonts w:ascii="Arial" w:hAnsi="Arial" w:eastAsia="Arial" w:cs="Arial"/>
        </w:rPr>
        <w:tab/>
        <w:t>16</w:t>
      </w:r>
    </w:p>
    <w:p>
      <w:pPr>
        <w:pStyle w:val="TOC1"/>
      </w:pPr>
      <w:r>
        <w:rPr>
          <w:rFonts w:ascii="Arial" w:hAnsi="Arial" w:eastAsia="Arial" w:cs="Arial"/>
        </w:rPr>
        <w:t>8  Reports</w:t>
      </w:r>
      <w:r>
        <w:rPr>
          <w:rFonts w:ascii="Arial" w:hAnsi="Arial" w:eastAsia="Arial" w:cs="Arial"/>
        </w:rPr>
        <w:tab/>
        <w:t>17</w:t>
      </w:r>
    </w:p>
    <w:p>
      <w:pPr>
        <w:pStyle w:val="TOC1"/>
      </w:pPr>
      <w:r>
        <w:rPr>
          <w:rFonts w:ascii="Arial" w:hAnsi="Arial" w:eastAsia="Arial" w:cs="Arial"/>
        </w:rPr>
        <w:t>9  Setup and administration</w:t>
      </w:r>
      <w:r>
        <w:rPr>
          <w:rFonts w:ascii="Arial" w:hAnsi="Arial" w:eastAsia="Arial" w:cs="Arial"/>
        </w:rPr>
        <w:tab/>
        <w:t>18</w:t>
      </w:r>
    </w:p>
    <w:p>
      <w:pPr>
        <w:pStyle w:val="TOC2"/>
      </w:pPr>
      <w:r>
        <w:rPr>
          <w:rFonts w:ascii="Arial" w:hAnsi="Arial" w:eastAsia="Arial" w:cs="Arial"/>
        </w:rPr>
        <w:t>9.1  Requesting access for a user</w:t>
      </w:r>
      <w:r>
        <w:rPr>
          <w:rFonts w:ascii="Arial" w:hAnsi="Arial" w:eastAsia="Arial" w:cs="Arial"/>
        </w:rPr>
        <w:tab/>
        <w:t>18</w:t>
      </w:r>
    </w:p>
    <w:p>
      <w:pPr>
        <w:pStyle w:val="TOC1"/>
      </w:pPr>
      <w:r>
        <w:rPr>
          <w:rFonts w:ascii="Arial" w:hAnsi="Arial" w:eastAsia="Arial" w:cs="Arial"/>
        </w:rPr>
        <w:t>10  Help and support</w:t>
      </w:r>
      <w:r>
        <w:rPr>
          <w:rFonts w:ascii="Arial" w:hAnsi="Arial" w:eastAsia="Arial" w:cs="Arial"/>
        </w:rPr>
        <w:tab/>
        <w:t>19</w:t>
      </w:r>
    </w:p>
    <w:p>
      <w:pPr>
        <w:pStyle w:val="TOC2"/>
      </w:pPr>
      <w:r>
        <w:rPr>
          <w:rFonts w:ascii="Arial" w:hAnsi="Arial" w:eastAsia="Arial" w:cs="Arial"/>
        </w:rPr>
        <w:t>10.1  Common questions</w:t>
      </w:r>
      <w:r>
        <w:rPr>
          <w:rFonts w:ascii="Arial" w:hAnsi="Arial" w:eastAsia="Arial" w:cs="Arial"/>
        </w:rPr>
        <w:tab/>
        <w:t>19</w:t>
      </w:r>
    </w:p>
    <w:p>
      <w:pPr>
        <w:pStyle w:val="TOC2"/>
      </w:pPr>
      <w:r>
        <w:rPr>
          <w:rFonts w:ascii="Arial" w:hAnsi="Arial" w:eastAsia="Arial" w:cs="Arial"/>
        </w:rPr>
        <w:t>10.2  Getting help</w:t>
      </w:r>
      <w:r>
        <w:rPr>
          <w:rFonts w:ascii="Arial" w:hAnsi="Arial" w:eastAsia="Arial" w:cs="Arial"/>
        </w:rPr>
        <w:tab/>
        <w:t>19</w:t>
      </w:r>
    </w:p>
    <w:p>
      <w:pPr>
        <w:pStyle w:val="TOC1"/>
      </w:pPr>
      <w:r>
        <w:rPr>
          <w:rFonts w:ascii="Arial" w:hAnsi="Arial" w:eastAsia="Arial" w:cs="Arial"/>
        </w:rPr>
        <w:t>11  Glossary</w:t>
      </w:r>
      <w:r>
        <w:rPr>
          <w:rFonts w:ascii="Arial" w:hAnsi="Arial" w:eastAsia="Arial" w:cs="Arial"/>
        </w:rPr>
        <w:tab/>
        <w:t>20</w:t>
      </w:r>
      <w:r>
        <w:fldChar w:fldCharType="end"/>
      </w:r>
    </w:p>
    <w:p>
      <w:pPr>
        <w:pStyle w:val="Heading1"/>
        <w:pageBreakBefore/>
        <w:pBdr>
          <w:bottom w:val="single" w:sz="12" w:space="6" w:color="00A098"/>
        </w:pBdr>
      </w:pPr>
      <w:r>
        <w:rPr>
          <w:rFonts w:ascii="Arial" w:hAnsi="Arial" w:eastAsia="Arial" w:cs="Arial"/>
        </w:rPr>
        <w:t>1  Introduction</w:t>
      </w:r>
    </w:p>
    <w:p>
      <w:pPr>
        <w:pStyle w:val="Heading2"/>
      </w:pPr>
      <w:r>
        <w:rPr>
          <w:rFonts w:ascii="Arial" w:hAnsi="Arial" w:eastAsia="Arial" w:cs="Arial"/>
        </w:rPr>
        <w:t>1.1  About iNXT BrokerVerse</w:t>
      </w:r>
    </w:p>
    <w:p>
      <w:r>
        <w:rPr>
          <w:rFonts w:ascii="Arial" w:hAnsi="Arial" w:eastAsia="Arial" w:cs="Arial"/>
        </w:rPr>
        <w:t>iNXT BrokerVerse is the insurance broking platform from iorta TechNXT. It brings the whole broking cycle into one system: client onboarding and KYC, quotations and proposals, placement with insurers, policy issuance and booking, collections and cashiering, remittance to insurers, commissions, disbursement, accounting, claims follow-up and reporting.</w:t>
      </w:r>
    </w:p>
    <w:p>
      <w:r>
        <w:rPr>
          <w:rFonts w:ascii="Arial" w:hAnsi="Arial" w:eastAsia="Arial" w:cs="Arial"/>
        </w:rPr>
        <w:t>Every team works from the same client, account and invoice records, so a change made in one area is visible to the next team straight away, and every step is recorded with the user, date and time.</w:t>
      </w:r>
    </w:p>
    <w:p>
      <w:pPr>
        <w:pStyle w:val="Heading2"/>
      </w:pPr>
      <w:r>
        <w:rPr>
          <w:rFonts w:ascii="Arial" w:hAnsi="Arial" w:eastAsia="Arial" w:cs="Arial"/>
        </w:rPr>
        <w:t>1.2  Who this manual is for</w:t>
      </w:r>
    </w:p>
    <w:p>
      <w:r>
        <w:rPr>
          <w:rFonts w:ascii="Arial" w:hAnsi="Arial" w:eastAsia="Arial" w:cs="Arial"/>
        </w:rPr>
        <w:t>This manual is for business users of BrokerVerse: account officers, team leaders, technical services, processing, finance and claims staff, and system administrators. It explains how to sign in, how the screens work and what each module is used for. It is not a procedures manual; your organisation's own policies still decide who does what and when.</w:t>
      </w:r>
    </w:p>
    <w:p>
      <w:pPr>
        <w:pStyle w:val="Heading2"/>
      </w:pPr>
      <w:r>
        <w:rPr>
          <w:rFonts w:ascii="Arial" w:hAnsi="Arial" w:eastAsia="Arial" w:cs="Arial"/>
        </w:rPr>
        <w:t>1.3  How the manual is organised</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948"/>
        <w:gridCol w:w="6463"/>
      </w:tblGrid>
      <w:tr>
        <w:trPr>
          <w:tblHeader w:val="true"/>
          <w:cantSplit/>
        </w:trPr>
        <w:tc>
          <w:tcPr>
            <w:tcW w:type="dxa" w:w="294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Chapter</w:t>
            </w:r>
          </w:p>
        </w:tc>
        <w:tc>
          <w:tcPr>
            <w:tcW w:type="dxa" w:w="6463"/>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covers</w:t>
            </w:r>
          </w:p>
        </w:tc>
      </w:tr>
      <w:tr>
        <w:trPr>
          <w:cantSplit/>
        </w:trPr>
        <w:tc>
          <w:tcPr>
            <w:tcW w:type="dxa" w:w="2948"/>
            <w:tcMar>
              <w:top w:w="80" w:type="dxa"/>
              <w:bottom w:w="80" w:type="dxa"/>
              <w:left w:w="120" w:type="dxa"/>
              <w:right w:w="120" w:type="dxa"/>
            </w:tcMar>
          </w:tcPr>
          <w:p>
            <w:pPr>
              <w:spacing w:before="0" w:after="0" w:line="276" w:lineRule="auto"/>
            </w:pPr>
            <w:r>
              <w:rPr>
                <w:rFonts w:ascii="Arial" w:hAnsi="Arial" w:eastAsia="Arial" w:cs="Arial"/>
                <w:b/>
                <w:color w:val="0B4F9C"/>
                <w:sz w:val="19"/>
              </w:rPr>
              <w:t>2  Getting started</w:t>
            </w:r>
          </w:p>
        </w:tc>
        <w:tc>
          <w:tcPr>
            <w:tcW w:type="dxa" w:w="6463"/>
            <w:tcMar>
              <w:top w:w="80" w:type="dxa"/>
              <w:bottom w:w="80" w:type="dxa"/>
              <w:left w:w="120" w:type="dxa"/>
              <w:right w:w="120" w:type="dxa"/>
            </w:tcMar>
          </w:tcPr>
          <w:p>
            <w:pPr>
              <w:spacing w:before="0" w:after="0" w:line="276" w:lineRule="auto"/>
            </w:pPr>
            <w:r>
              <w:rPr>
                <w:rFonts w:ascii="Arial" w:hAnsi="Arial" w:eastAsia="Arial" w:cs="Arial"/>
                <w:color w:val="333333"/>
                <w:sz w:val="19"/>
              </w:rPr>
              <w:t>Signing in, passwords, sessions and signing out</w:t>
            </w:r>
          </w:p>
        </w:tc>
      </w:tr>
      <w:tr>
        <w:trPr>
          <w:cantSplit/>
        </w:trPr>
        <w:tc>
          <w:tcPr>
            <w:tcW w:type="dxa" w:w="294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3  Finding your way around</w:t>
            </w:r>
          </w:p>
        </w:tc>
        <w:tc>
          <w:tcPr>
            <w:tcW w:type="dxa" w:w="6463"/>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The screen layout, My Work, approvals, notifications and common screen controls</w:t>
            </w:r>
          </w:p>
        </w:tc>
      </w:tr>
      <w:tr>
        <w:trPr>
          <w:cantSplit/>
        </w:trPr>
        <w:tc>
          <w:tcPr>
            <w:tcW w:type="dxa" w:w="2948"/>
            <w:tcMar>
              <w:top w:w="80" w:type="dxa"/>
              <w:bottom w:w="80" w:type="dxa"/>
              <w:left w:w="120" w:type="dxa"/>
              <w:right w:w="120" w:type="dxa"/>
            </w:tcMar>
          </w:tcPr>
          <w:p>
            <w:pPr>
              <w:spacing w:before="0" w:after="0" w:line="276" w:lineRule="auto"/>
            </w:pPr>
            <w:r>
              <w:rPr>
                <w:rFonts w:ascii="Arial" w:hAnsi="Arial" w:eastAsia="Arial" w:cs="Arial"/>
                <w:b/>
                <w:color w:val="0B4F9C"/>
                <w:sz w:val="19"/>
              </w:rPr>
              <w:t>4  The broking cycle at a glance</w:t>
            </w:r>
          </w:p>
        </w:tc>
        <w:tc>
          <w:tcPr>
            <w:tcW w:type="dxa" w:w="6463"/>
            <w:tcMar>
              <w:top w:w="80" w:type="dxa"/>
              <w:bottom w:w="80" w:type="dxa"/>
              <w:left w:w="120" w:type="dxa"/>
              <w:right w:w="120" w:type="dxa"/>
            </w:tcMar>
          </w:tcPr>
          <w:p>
            <w:pPr>
              <w:spacing w:before="0" w:after="0" w:line="276" w:lineRule="auto"/>
            </w:pPr>
            <w:r>
              <w:rPr>
                <w:rFonts w:ascii="Arial" w:hAnsi="Arial" w:eastAsia="Arial" w:cs="Arial"/>
                <w:color w:val="333333"/>
                <w:sz w:val="19"/>
              </w:rPr>
              <w:t>How a client request moves through BrokerVerse from quotation to remittance</w:t>
            </w:r>
          </w:p>
        </w:tc>
      </w:tr>
      <w:tr>
        <w:trPr>
          <w:cantSplit/>
        </w:trPr>
        <w:tc>
          <w:tcPr>
            <w:tcW w:type="dxa" w:w="294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5  Client and policy</w:t>
            </w:r>
          </w:p>
        </w:tc>
        <w:tc>
          <w:tcPr>
            <w:tcW w:type="dxa" w:w="6463"/>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Clients, screening, quotations, proposals, accounts, placement, issuance, booking and endorsements</w:t>
            </w:r>
          </w:p>
        </w:tc>
      </w:tr>
      <w:tr>
        <w:trPr>
          <w:cantSplit/>
        </w:trPr>
        <w:tc>
          <w:tcPr>
            <w:tcW w:type="dxa" w:w="2948"/>
            <w:tcMar>
              <w:top w:w="80" w:type="dxa"/>
              <w:bottom w:w="80" w:type="dxa"/>
              <w:left w:w="120" w:type="dxa"/>
              <w:right w:w="120" w:type="dxa"/>
            </w:tcMar>
          </w:tcPr>
          <w:p>
            <w:pPr>
              <w:spacing w:before="0" w:after="0" w:line="276" w:lineRule="auto"/>
            </w:pPr>
            <w:r>
              <w:rPr>
                <w:rFonts w:ascii="Arial" w:hAnsi="Arial" w:eastAsia="Arial" w:cs="Arial"/>
                <w:b/>
                <w:color w:val="0B4F9C"/>
                <w:sz w:val="19"/>
              </w:rPr>
              <w:t>6  Operations and finance</w:t>
            </w:r>
          </w:p>
        </w:tc>
        <w:tc>
          <w:tcPr>
            <w:tcW w:type="dxa" w:w="6463"/>
            <w:tcMar>
              <w:top w:w="80" w:type="dxa"/>
              <w:bottom w:w="80" w:type="dxa"/>
              <w:left w:w="120" w:type="dxa"/>
              <w:right w:w="120" w:type="dxa"/>
            </w:tcMar>
          </w:tcPr>
          <w:p>
            <w:pPr>
              <w:spacing w:before="0" w:after="0" w:line="276" w:lineRule="auto"/>
            </w:pPr>
            <w:r>
              <w:rPr>
                <w:rFonts w:ascii="Arial" w:hAnsi="Arial" w:eastAsia="Arial" w:cs="Arial"/>
                <w:color w:val="333333"/>
                <w:sz w:val="19"/>
              </w:rPr>
              <w:t>Collections, cashiering, remittance, commission, disbursement and accounting</w:t>
            </w:r>
          </w:p>
        </w:tc>
      </w:tr>
      <w:tr>
        <w:trPr>
          <w:cantSplit/>
        </w:trPr>
        <w:tc>
          <w:tcPr>
            <w:tcW w:type="dxa" w:w="294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7  Claims handling</w:t>
            </w:r>
          </w:p>
        </w:tc>
        <w:tc>
          <w:tcPr>
            <w:tcW w:type="dxa" w:w="6463"/>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Recording and following up client claims with insurers</w:t>
            </w:r>
          </w:p>
        </w:tc>
      </w:tr>
      <w:tr>
        <w:trPr>
          <w:cantSplit/>
        </w:trPr>
        <w:tc>
          <w:tcPr>
            <w:tcW w:type="dxa" w:w="2948"/>
            <w:tcMar>
              <w:top w:w="80" w:type="dxa"/>
              <w:bottom w:w="80" w:type="dxa"/>
              <w:left w:w="120" w:type="dxa"/>
              <w:right w:w="120" w:type="dxa"/>
            </w:tcMar>
          </w:tcPr>
          <w:p>
            <w:pPr>
              <w:spacing w:before="0" w:after="0" w:line="276" w:lineRule="auto"/>
            </w:pPr>
            <w:r>
              <w:rPr>
                <w:rFonts w:ascii="Arial" w:hAnsi="Arial" w:eastAsia="Arial" w:cs="Arial"/>
                <w:b/>
                <w:color w:val="0B4F9C"/>
                <w:sz w:val="19"/>
              </w:rPr>
              <w:t>8  Reports</w:t>
            </w:r>
          </w:p>
        </w:tc>
        <w:tc>
          <w:tcPr>
            <w:tcW w:type="dxa" w:w="6463"/>
            <w:tcMar>
              <w:top w:w="80" w:type="dxa"/>
              <w:bottom w:w="80" w:type="dxa"/>
              <w:left w:w="120" w:type="dxa"/>
              <w:right w:w="120" w:type="dxa"/>
            </w:tcMar>
          </w:tcPr>
          <w:p>
            <w:pPr>
              <w:spacing w:before="0" w:after="0" w:line="276" w:lineRule="auto"/>
            </w:pPr>
            <w:r>
              <w:rPr>
                <w:rFonts w:ascii="Arial" w:hAnsi="Arial" w:eastAsia="Arial" w:cs="Arial"/>
                <w:color w:val="333333"/>
                <w:sz w:val="19"/>
              </w:rPr>
              <w:t>Running, saving and exporting reports</w:t>
            </w:r>
          </w:p>
        </w:tc>
      </w:tr>
      <w:tr>
        <w:trPr>
          <w:cantSplit/>
        </w:trPr>
        <w:tc>
          <w:tcPr>
            <w:tcW w:type="dxa" w:w="294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9  Setup and administration</w:t>
            </w:r>
          </w:p>
        </w:tc>
        <w:tc>
          <w:tcPr>
            <w:tcW w:type="dxa" w:w="6463"/>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Reference data, templates and user access</w:t>
            </w:r>
          </w:p>
        </w:tc>
      </w:tr>
      <w:tr>
        <w:trPr>
          <w:cantSplit/>
        </w:trPr>
        <w:tc>
          <w:tcPr>
            <w:tcW w:type="dxa" w:w="2948"/>
            <w:tcMar>
              <w:top w:w="80" w:type="dxa"/>
              <w:bottom w:w="80" w:type="dxa"/>
              <w:left w:w="120" w:type="dxa"/>
              <w:right w:w="120" w:type="dxa"/>
            </w:tcMar>
          </w:tcPr>
          <w:p>
            <w:pPr>
              <w:spacing w:before="0" w:after="0" w:line="276" w:lineRule="auto"/>
            </w:pPr>
            <w:r>
              <w:rPr>
                <w:rFonts w:ascii="Arial" w:hAnsi="Arial" w:eastAsia="Arial" w:cs="Arial"/>
                <w:b/>
                <w:color w:val="0B4F9C"/>
                <w:sz w:val="19"/>
              </w:rPr>
              <w:t>10  Help and support</w:t>
            </w:r>
          </w:p>
        </w:tc>
        <w:tc>
          <w:tcPr>
            <w:tcW w:type="dxa" w:w="6463"/>
            <w:tcMar>
              <w:top w:w="80" w:type="dxa"/>
              <w:bottom w:w="80" w:type="dxa"/>
              <w:left w:w="120" w:type="dxa"/>
              <w:right w:w="120" w:type="dxa"/>
            </w:tcMar>
          </w:tcPr>
          <w:p>
            <w:pPr>
              <w:spacing w:before="0" w:after="0" w:line="276" w:lineRule="auto"/>
            </w:pPr>
            <w:r>
              <w:rPr>
                <w:rFonts w:ascii="Arial" w:hAnsi="Arial" w:eastAsia="Arial" w:cs="Arial"/>
                <w:color w:val="333333"/>
                <w:sz w:val="19"/>
              </w:rPr>
              <w:t>Common questions and how to get help</w:t>
            </w:r>
          </w:p>
        </w:tc>
      </w:tr>
    </w:tbl>
    <w:p>
      <w:pPr>
        <w:spacing w:before="0" w:after="80" w:line="240" w:lineRule="auto"/>
      </w:pPr>
    </w:p>
    <w:p>
      <w:pPr>
        <w:pStyle w:val="Heading2"/>
      </w:pPr>
      <w:r>
        <w:rPr>
          <w:rFonts w:ascii="Arial" w:hAnsi="Arial" w:eastAsia="Arial" w:cs="Arial"/>
        </w:rPr>
        <w:t>1.4  Your role decides what you see</w:t>
      </w:r>
    </w:p>
    <w:p>
      <w:pPr>
        <w:keepNext/>
      </w:pPr>
      <w:r>
        <w:rPr>
          <w:rFonts w:ascii="Arial" w:hAnsi="Arial" w:eastAsia="Arial" w:cs="Arial"/>
        </w:rPr>
        <w:t>BrokerVerse shows each user only the menus and actions their role allows. An account officer will not see the disbursement screens, and a cashier will not see product set-up. Buttons such as Approve, Post or Release appear only for users who hold that authority.</w:t>
      </w:r>
    </w:p>
    <w:tbl>
      <w:tblPr>
        <w:tblW w:type="dxa" w:w="9411"/>
        <w:tblLook w:firstColumn="1" w:firstRow="1" w:lastColumn="0" w:lastRow="0" w:noHBand="0" w:noVBand="1" w:val="04A0"/>
        <w:tblLayout w:type="fixed"/>
      </w:tblPr>
      <w:tblGrid>
        <w:gridCol w:w="9411"/>
      </w:tblGrid>
      <w:tr>
        <w:trPr>
          <w:cantSplit/>
        </w:trPr>
        <w:tc>
          <w:tcPr>
            <w:tcW w:type="dxa" w:w="9411"/>
            <w:shd w:val="clear" w:color="auto" w:fill="E6F5F4"/>
            <w:tcBorders>
              <w:top w:val="nil"/>
              <w:left w:val="single" w:sz="36" w:color="00A098"/>
              <w:bottom w:val="nil"/>
              <w:right w:val="nil"/>
            </w:tcBorders>
            <w:tcMar>
              <w:top w:w="110" w:type="dxa"/>
              <w:bottom w:w="110" w:type="dxa"/>
              <w:left w:w="200" w:type="dxa"/>
              <w:right w:w="160" w:type="dxa"/>
            </w:tcMar>
          </w:tcPr>
          <w:p>
            <w:pPr>
              <w:spacing w:before="0" w:after="0" w:line="288" w:lineRule="auto"/>
            </w:pPr>
            <w:r>
              <w:rPr>
                <w:rFonts w:ascii="Arial" w:hAnsi="Arial" w:eastAsia="Arial" w:cs="Arial"/>
                <w:b/>
                <w:color w:val="00857E"/>
                <w:sz w:val="20"/>
              </w:rPr>
              <w:t xml:space="preserve">Tip  </w:t>
            </w:r>
            <w:r>
              <w:rPr>
                <w:rFonts w:ascii="Arial" w:hAnsi="Arial" w:eastAsia="Arial" w:cs="Arial"/>
                <w:sz w:val="20"/>
              </w:rPr>
              <w:t>If this manual describes a screen you cannot find in your menu, your role probably does not include it. Ask your system administrator to check your access.</w:t>
            </w:r>
          </w:p>
        </w:tc>
      </w:tr>
    </w:tbl>
    <w:p>
      <w:pPr>
        <w:pStyle w:val="Heading1"/>
        <w:pageBreakBefore/>
        <w:pBdr>
          <w:bottom w:val="single" w:sz="12" w:space="6" w:color="00A098"/>
        </w:pBdr>
      </w:pPr>
      <w:r>
        <w:rPr>
          <w:rFonts w:ascii="Arial" w:hAnsi="Arial" w:eastAsia="Arial" w:cs="Arial"/>
        </w:rPr>
        <w:t>2  Getting started</w:t>
      </w:r>
    </w:p>
    <w:p>
      <w:pPr>
        <w:pStyle w:val="Heading2"/>
      </w:pPr>
      <w:r>
        <w:rPr>
          <w:rFonts w:ascii="Arial" w:hAnsi="Arial" w:eastAsia="Arial" w:cs="Arial"/>
        </w:rPr>
        <w:t>2.1  What you need</w:t>
      </w:r>
    </w:p>
    <w:p>
      <w:pPr>
        <w:pStyle w:val="ListBullet"/>
        <w:spacing w:before="0" w:after="80"/>
        <w:ind w:left="510" w:hanging="283"/>
      </w:pPr>
      <w:r>
        <w:rPr>
          <w:rFonts w:ascii="Arial" w:hAnsi="Arial" w:eastAsia="Arial" w:cs="Arial"/>
        </w:rPr>
        <w:t>A desktop or laptop with an up-to-date Google Chrome or Microsoft Edge browser.</w:t>
      </w:r>
    </w:p>
    <w:p>
      <w:pPr>
        <w:pStyle w:val="ListBullet"/>
        <w:spacing w:before="0" w:after="80"/>
        <w:ind w:left="510" w:hanging="283"/>
      </w:pPr>
      <w:r>
        <w:rPr>
          <w:rFonts w:ascii="Arial" w:hAnsi="Arial" w:eastAsia="Arial" w:cs="Arial"/>
        </w:rPr>
        <w:t>The BrokerVerse web address for your organisation.</w:t>
      </w:r>
    </w:p>
    <w:p>
      <w:pPr>
        <w:pStyle w:val="ListBullet"/>
        <w:spacing w:before="0" w:after="80"/>
        <w:ind w:left="510" w:hanging="283"/>
      </w:pPr>
      <w:r>
        <w:rPr>
          <w:rFonts w:ascii="Arial" w:hAnsi="Arial" w:eastAsia="Arial" w:cs="Arial"/>
        </w:rPr>
        <w:t>A user ID and a password, issued by your system administrator.</w:t>
      </w:r>
    </w:p>
    <w:p>
      <w:r>
        <w:rPr>
          <w:rFonts w:ascii="Arial" w:hAnsi="Arial" w:eastAsia="Arial" w:cs="Arial"/>
        </w:rPr>
        <w:t>A screen resolution of at least 1366 x 768 is recommended. BrokerVerse does not need any software to be installed on your computer.</w:t>
      </w:r>
    </w:p>
    <w:p>
      <w:pPr>
        <w:pStyle w:val="Heading2"/>
      </w:pPr>
      <w:r>
        <w:rPr>
          <w:rFonts w:ascii="Arial" w:hAnsi="Arial" w:eastAsia="Arial" w:cs="Arial"/>
        </w:rPr>
        <w:t>2.2  Signing in</w:t>
      </w:r>
    </w:p>
    <w:p>
      <w:pPr>
        <w:keepNext/>
        <w:tabs>
          <w:tab w:pos="510" w:val="left"/>
        </w:tabs>
        <w:spacing w:before="0" w:after="80"/>
        <w:ind w:left="510" w:hanging="397"/>
      </w:pPr>
      <w:r>
        <w:rPr>
          <w:rFonts w:ascii="Arial" w:hAnsi="Arial" w:eastAsia="Arial" w:cs="Arial"/>
          <w:b/>
          <w:color w:val="0090D8"/>
        </w:rPr>
        <w:t>1.</w:t>
        <w:tab/>
      </w:r>
      <w:r>
        <w:rPr>
          <w:rFonts w:ascii="Arial" w:hAnsi="Arial" w:eastAsia="Arial" w:cs="Arial"/>
        </w:rPr>
        <w:t>Open your browser and go to the BrokerVerse web address.</w:t>
      </w:r>
    </w:p>
    <w:p>
      <w:pPr>
        <w:keepNext/>
        <w:tabs>
          <w:tab w:pos="510" w:val="left"/>
        </w:tabs>
        <w:spacing w:before="0" w:after="80"/>
        <w:ind w:left="510" w:hanging="397"/>
      </w:pPr>
      <w:r>
        <w:rPr>
          <w:rFonts w:ascii="Arial" w:hAnsi="Arial" w:eastAsia="Arial" w:cs="Arial"/>
          <w:b/>
          <w:color w:val="0090D8"/>
        </w:rPr>
        <w:t>2.</w:t>
        <w:tab/>
      </w:r>
      <w:r>
        <w:rPr>
          <w:rFonts w:ascii="Arial" w:hAnsi="Arial" w:eastAsia="Arial" w:cs="Arial"/>
        </w:rPr>
        <w:t xml:space="preserve">Enter your </w:t>
      </w:r>
      <w:r>
        <w:rPr>
          <w:rFonts w:ascii="Arial" w:hAnsi="Arial" w:eastAsia="Arial" w:cs="Arial"/>
          <w:b/>
        </w:rPr>
        <w:t>User ID</w:t>
      </w:r>
      <w:r>
        <w:rPr>
          <w:rFonts w:ascii="Arial" w:hAnsi="Arial" w:eastAsia="Arial" w:cs="Arial"/>
        </w:rPr>
        <w:t xml:space="preserve"> and </w:t>
      </w:r>
      <w:r>
        <w:rPr>
          <w:rFonts w:ascii="Arial" w:hAnsi="Arial" w:eastAsia="Arial" w:cs="Arial"/>
          <w:b/>
        </w:rPr>
        <w:t>Password</w:t>
      </w:r>
      <w:r>
        <w:rPr>
          <w:rFonts w:ascii="Arial" w:hAnsi="Arial" w:eastAsia="Arial" w:cs="Arial"/>
        </w:rPr>
        <w:t>.</w:t>
      </w:r>
    </w:p>
    <w:p>
      <w:pPr>
        <w:tabs>
          <w:tab w:pos="510" w:val="left"/>
        </w:tabs>
        <w:spacing w:before="0" w:after="160"/>
        <w:ind w:left="510" w:hanging="397"/>
      </w:pPr>
      <w:r>
        <w:rPr>
          <w:rFonts w:ascii="Arial" w:hAnsi="Arial" w:eastAsia="Arial" w:cs="Arial"/>
          <w:b/>
          <w:color w:val="0090D8"/>
        </w:rPr>
        <w:t>3.</w:t>
        <w:tab/>
      </w:r>
      <w:r>
        <w:rPr>
          <w:rFonts w:ascii="Arial" w:hAnsi="Arial" w:eastAsia="Arial" w:cs="Arial"/>
        </w:rPr>
        <w:t xml:space="preserve">Click </w:t>
      </w:r>
      <w:r>
        <w:rPr>
          <w:rFonts w:ascii="Arial" w:hAnsi="Arial" w:eastAsia="Arial" w:cs="Arial"/>
          <w:b/>
        </w:rPr>
        <w:t>Login</w:t>
      </w:r>
      <w:r>
        <w:rPr>
          <w:rFonts w:ascii="Arial" w:hAnsi="Arial" w:eastAsia="Arial" w:cs="Arial"/>
        </w:rPr>
        <w:t>. Your home page opens.</w:t>
      </w:r>
    </w:p>
    <w:p>
      <w:r>
        <w:rPr>
          <w:rFonts w:ascii="Arial" w:hAnsi="Arial" w:eastAsia="Arial" w:cs="Arial"/>
        </w:rPr>
        <w:t>After several failed attempts in a row your user ID is locked for security. Your system administrator can unlock it.</w:t>
      </w:r>
    </w:p>
    <w:p>
      <w:pPr>
        <w:pStyle w:val="Heading2"/>
      </w:pPr>
      <w:r>
        <w:rPr>
          <w:rFonts w:ascii="Arial" w:hAnsi="Arial" w:eastAsia="Arial" w:cs="Arial"/>
        </w:rPr>
        <w:t>2.3  Your first sign-in and changing your password</w:t>
      </w:r>
    </w:p>
    <w:p>
      <w:r>
        <w:rPr>
          <w:rFonts w:ascii="Arial" w:hAnsi="Arial" w:eastAsia="Arial" w:cs="Arial"/>
        </w:rPr>
        <w:t>The first time you sign in, and whenever an administrator has reset your password, BrokerVerse asks you to choose your own password before the home page opens. The same happens when your password has expired.</w:t>
      </w:r>
    </w:p>
    <w:p>
      <w:r>
        <w:rPr>
          <w:rFonts w:ascii="Arial" w:hAnsi="Arial" w:eastAsia="Arial" w:cs="Arial"/>
        </w:rPr>
        <w:t>A password must meet these rules: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268"/>
        <w:gridCol w:w="7143"/>
      </w:tblGrid>
      <w:tr>
        <w:trPr>
          <w:tblHeader w:val="true"/>
          <w:cantSplit/>
        </w:trPr>
        <w:tc>
          <w:tcPr>
            <w:tcW w:type="dxa" w:w="226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Rule</w:t>
            </w:r>
          </w:p>
        </w:tc>
        <w:tc>
          <w:tcPr>
            <w:tcW w:type="dxa" w:w="7143"/>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Standard setting</w:t>
            </w:r>
          </w:p>
        </w:tc>
      </w:tr>
      <w:tr>
        <w:trPr>
          <w:cantSplit/>
        </w:trPr>
        <w:tc>
          <w:tcPr>
            <w:tcW w:type="dxa" w:w="2268"/>
            <w:tcMar>
              <w:top w:w="80" w:type="dxa"/>
              <w:bottom w:w="80" w:type="dxa"/>
              <w:left w:w="120" w:type="dxa"/>
              <w:right w:w="120" w:type="dxa"/>
            </w:tcMar>
          </w:tcPr>
          <w:p>
            <w:pPr>
              <w:spacing w:before="0" w:after="0" w:line="276" w:lineRule="auto"/>
            </w:pPr>
            <w:r>
              <w:rPr>
                <w:rFonts w:ascii="Arial" w:hAnsi="Arial" w:eastAsia="Arial" w:cs="Arial"/>
                <w:b/>
                <w:color w:val="0B4F9C"/>
                <w:sz w:val="19"/>
              </w:rPr>
              <w:t>Length</w:t>
            </w:r>
          </w:p>
        </w:tc>
        <w:tc>
          <w:tcPr>
            <w:tcW w:type="dxa" w:w="7143"/>
            <w:tcMar>
              <w:top w:w="80" w:type="dxa"/>
              <w:bottom w:w="80" w:type="dxa"/>
              <w:left w:w="120" w:type="dxa"/>
              <w:right w:w="120" w:type="dxa"/>
            </w:tcMar>
          </w:tcPr>
          <w:p>
            <w:pPr>
              <w:spacing w:before="0" w:after="0" w:line="276" w:lineRule="auto"/>
            </w:pPr>
            <w:r>
              <w:rPr>
                <w:rFonts w:ascii="Arial" w:hAnsi="Arial" w:eastAsia="Arial" w:cs="Arial"/>
                <w:color w:val="333333"/>
                <w:sz w:val="19"/>
              </w:rPr>
              <w:t>At least 10 characters</w:t>
            </w:r>
          </w:p>
        </w:tc>
      </w:tr>
      <w:tr>
        <w:trPr>
          <w:cantSplit/>
        </w:trPr>
        <w:tc>
          <w:tcPr>
            <w:tcW w:type="dxa" w:w="226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Characters</w:t>
            </w:r>
          </w:p>
        </w:tc>
        <w:tc>
          <w:tcPr>
            <w:tcW w:type="dxa" w:w="7143"/>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At least one upper-case letter, one lower-case letter, one digit and one symbol</w:t>
            </w:r>
          </w:p>
        </w:tc>
      </w:tr>
      <w:tr>
        <w:trPr>
          <w:cantSplit/>
        </w:trPr>
        <w:tc>
          <w:tcPr>
            <w:tcW w:type="dxa" w:w="2268"/>
            <w:tcMar>
              <w:top w:w="80" w:type="dxa"/>
              <w:bottom w:w="80" w:type="dxa"/>
              <w:left w:w="120" w:type="dxa"/>
              <w:right w:w="120" w:type="dxa"/>
            </w:tcMar>
          </w:tcPr>
          <w:p>
            <w:pPr>
              <w:spacing w:before="0" w:after="0" w:line="276" w:lineRule="auto"/>
            </w:pPr>
            <w:r>
              <w:rPr>
                <w:rFonts w:ascii="Arial" w:hAnsi="Arial" w:eastAsia="Arial" w:cs="Arial"/>
                <w:b/>
                <w:color w:val="0B4F9C"/>
                <w:sz w:val="19"/>
              </w:rPr>
              <w:t>Re-use</w:t>
            </w:r>
          </w:p>
        </w:tc>
        <w:tc>
          <w:tcPr>
            <w:tcW w:type="dxa" w:w="7143"/>
            <w:tcMar>
              <w:top w:w="80" w:type="dxa"/>
              <w:bottom w:w="80" w:type="dxa"/>
              <w:left w:w="120" w:type="dxa"/>
              <w:right w:w="120" w:type="dxa"/>
            </w:tcMar>
          </w:tcPr>
          <w:p>
            <w:pPr>
              <w:spacing w:before="0" w:after="0" w:line="276" w:lineRule="auto"/>
            </w:pPr>
            <w:r>
              <w:rPr>
                <w:rFonts w:ascii="Arial" w:hAnsi="Arial" w:eastAsia="Arial" w:cs="Arial"/>
                <w:color w:val="333333"/>
                <w:sz w:val="19"/>
              </w:rPr>
              <w:t>Must differ from your last 8 passwords</w:t>
            </w:r>
          </w:p>
        </w:tc>
      </w:tr>
      <w:tr>
        <w:trPr>
          <w:cantSplit/>
        </w:trPr>
        <w:tc>
          <w:tcPr>
            <w:tcW w:type="dxa" w:w="226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Changes</w:t>
            </w:r>
          </w:p>
        </w:tc>
        <w:tc>
          <w:tcPr>
            <w:tcW w:type="dxa" w:w="7143"/>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Can be changed once a day</w:t>
            </w:r>
          </w:p>
        </w:tc>
      </w:tr>
      <w:tr>
        <w:trPr>
          <w:cantSplit/>
        </w:trPr>
        <w:tc>
          <w:tcPr>
            <w:tcW w:type="dxa" w:w="2268"/>
            <w:tcMar>
              <w:top w:w="80" w:type="dxa"/>
              <w:bottom w:w="80" w:type="dxa"/>
              <w:left w:w="120" w:type="dxa"/>
              <w:right w:w="120" w:type="dxa"/>
            </w:tcMar>
          </w:tcPr>
          <w:p>
            <w:pPr>
              <w:spacing w:before="0" w:after="0" w:line="276" w:lineRule="auto"/>
            </w:pPr>
            <w:r>
              <w:rPr>
                <w:rFonts w:ascii="Arial" w:hAnsi="Arial" w:eastAsia="Arial" w:cs="Arial"/>
                <w:b/>
                <w:color w:val="0B4F9C"/>
                <w:sz w:val="19"/>
              </w:rPr>
              <w:t>Expiry</w:t>
            </w:r>
          </w:p>
        </w:tc>
        <w:tc>
          <w:tcPr>
            <w:tcW w:type="dxa" w:w="7143"/>
            <w:tcMar>
              <w:top w:w="80" w:type="dxa"/>
              <w:bottom w:w="80" w:type="dxa"/>
              <w:left w:w="120" w:type="dxa"/>
              <w:right w:w="120" w:type="dxa"/>
            </w:tcMar>
          </w:tcPr>
          <w:p>
            <w:pPr>
              <w:spacing w:before="0" w:after="0" w:line="276" w:lineRule="auto"/>
            </w:pPr>
            <w:r>
              <w:rPr>
                <w:rFonts w:ascii="Arial" w:hAnsi="Arial" w:eastAsia="Arial" w:cs="Arial"/>
                <w:color w:val="333333"/>
                <w:sz w:val="19"/>
              </w:rPr>
              <w:t>Expires after 90 days; you are reminded 7 days before</w:t>
            </w:r>
          </w:p>
        </w:tc>
      </w:tr>
    </w:tbl>
    <w:p>
      <w:pPr>
        <w:spacing w:before="0" w:after="80" w:line="240" w:lineRule="auto"/>
      </w:pPr>
    </w:p>
    <w:p>
      <w:r>
        <w:rPr>
          <w:rFonts w:ascii="Arial" w:hAnsi="Arial" w:eastAsia="Arial" w:cs="Arial"/>
        </w:rPr>
        <w:t xml:space="preserve">These are the standard settings; your organisation may have adjusted them. To change your password at any time, open </w:t>
      </w:r>
      <w:r>
        <w:rPr>
          <w:rFonts w:ascii="Arial" w:hAnsi="Arial" w:eastAsia="Arial" w:cs="Arial"/>
          <w:b/>
        </w:rPr>
        <w:t>My Profile</w:t>
      </w:r>
      <w:r>
        <w:rPr>
          <w:rFonts w:ascii="Arial" w:hAnsi="Arial" w:eastAsia="Arial" w:cs="Arial"/>
        </w:rPr>
        <w:t xml:space="preserve"> (click your name at the top right) and use </w:t>
      </w:r>
      <w:r>
        <w:rPr>
          <w:rFonts w:ascii="Arial" w:hAnsi="Arial" w:eastAsia="Arial" w:cs="Arial"/>
          <w:b/>
        </w:rPr>
        <w:t>Change password</w:t>
      </w:r>
      <w:r>
        <w:rPr>
          <w:rFonts w:ascii="Arial" w:hAnsi="Arial" w:eastAsia="Arial" w:cs="Arial"/>
        </w:rPr>
        <w:t>.</w:t>
      </w:r>
    </w:p>
    <w:p>
      <w:pPr>
        <w:pStyle w:val="Heading2"/>
      </w:pPr>
      <w:r>
        <w:rPr>
          <w:rFonts w:ascii="Arial" w:hAnsi="Arial" w:eastAsia="Arial" w:cs="Arial"/>
        </w:rPr>
        <w:t>2.4  If you forget your password</w:t>
      </w:r>
    </w:p>
    <w:p>
      <w:pPr>
        <w:keepNext/>
        <w:tabs>
          <w:tab w:pos="510" w:val="left"/>
        </w:tabs>
        <w:spacing w:before="0" w:after="80"/>
        <w:ind w:left="510" w:hanging="397"/>
      </w:pPr>
      <w:r>
        <w:rPr>
          <w:rFonts w:ascii="Arial" w:hAnsi="Arial" w:eastAsia="Arial" w:cs="Arial"/>
          <w:b/>
          <w:color w:val="0090D8"/>
        </w:rPr>
        <w:t>1.</w:t>
        <w:tab/>
      </w:r>
      <w:r>
        <w:rPr>
          <w:rFonts w:ascii="Arial" w:hAnsi="Arial" w:eastAsia="Arial" w:cs="Arial"/>
        </w:rPr>
        <w:t xml:space="preserve">On the sign-in page, click </w:t>
      </w:r>
      <w:r>
        <w:rPr>
          <w:rFonts w:ascii="Arial" w:hAnsi="Arial" w:eastAsia="Arial" w:cs="Arial"/>
          <w:b/>
        </w:rPr>
        <w:t>Forgot password?</w:t>
      </w:r>
    </w:p>
    <w:p>
      <w:pPr>
        <w:keepNext/>
        <w:tabs>
          <w:tab w:pos="510" w:val="left"/>
        </w:tabs>
        <w:spacing w:before="0" w:after="80"/>
        <w:ind w:left="510" w:hanging="397"/>
      </w:pPr>
      <w:r>
        <w:rPr>
          <w:rFonts w:ascii="Arial" w:hAnsi="Arial" w:eastAsia="Arial" w:cs="Arial"/>
          <w:b/>
          <w:color w:val="0090D8"/>
        </w:rPr>
        <w:t>2.</w:t>
        <w:tab/>
      </w:r>
      <w:r>
        <w:rPr>
          <w:rFonts w:ascii="Arial" w:hAnsi="Arial" w:eastAsia="Arial" w:cs="Arial"/>
        </w:rPr>
        <w:t>Enter your user ID and submit.</w:t>
      </w:r>
    </w:p>
    <w:p>
      <w:pPr>
        <w:keepNext/>
        <w:tabs>
          <w:tab w:pos="510" w:val="left"/>
        </w:tabs>
        <w:spacing w:before="0" w:after="80"/>
        <w:ind w:left="510" w:hanging="397"/>
      </w:pPr>
      <w:r>
        <w:rPr>
          <w:rFonts w:ascii="Arial" w:hAnsi="Arial" w:eastAsia="Arial" w:cs="Arial"/>
          <w:b/>
          <w:color w:val="0090D8"/>
        </w:rPr>
        <w:t>3.</w:t>
        <w:tab/>
      </w:r>
      <w:r>
        <w:rPr>
          <w:rFonts w:ascii="Arial" w:hAnsi="Arial" w:eastAsia="Arial" w:cs="Arial"/>
        </w:rPr>
        <w:t>Open the e-mail you receive and follow the link. The link works once and is valid for 30 minutes.</w:t>
      </w:r>
    </w:p>
    <w:p>
      <w:pPr>
        <w:keepNext/>
        <w:tabs>
          <w:tab w:pos="510" w:val="left"/>
        </w:tabs>
        <w:spacing w:before="0" w:after="160"/>
        <w:ind w:left="510" w:hanging="397"/>
      </w:pPr>
      <w:r>
        <w:rPr>
          <w:rFonts w:ascii="Arial" w:hAnsi="Arial" w:eastAsia="Arial" w:cs="Arial"/>
          <w:b/>
          <w:color w:val="0090D8"/>
        </w:rPr>
        <w:t>4.</w:t>
        <w:tab/>
      </w:r>
      <w:r>
        <w:rPr>
          <w:rFonts w:ascii="Arial" w:hAnsi="Arial" w:eastAsia="Arial" w:cs="Arial"/>
        </w:rPr>
        <w:t>Choose a new password and sign in with it.</w:t>
      </w:r>
    </w:p>
    <w:tbl>
      <w:tblPr>
        <w:tblW w:type="dxa" w:w="9411"/>
        <w:tblLook w:firstColumn="1" w:firstRow="1" w:lastColumn="0" w:lastRow="0" w:noHBand="0" w:noVBand="1" w:val="04A0"/>
        <w:tblLayout w:type="fixed"/>
      </w:tblPr>
      <w:tblGrid>
        <w:gridCol w:w="9411"/>
      </w:tblGrid>
      <w:tr>
        <w:trPr>
          <w:cantSplit/>
        </w:trPr>
        <w:tc>
          <w:tcPr>
            <w:tcW w:type="dxa" w:w="9411"/>
            <w:shd w:val="clear" w:color="auto" w:fill="FFF6E0"/>
            <w:tcBorders>
              <w:top w:val="nil"/>
              <w:left w:val="single" w:sz="36" w:color="E0A100"/>
              <w:bottom w:val="nil"/>
              <w:right w:val="nil"/>
            </w:tcBorders>
            <w:tcMar>
              <w:top w:w="110" w:type="dxa"/>
              <w:bottom w:w="110" w:type="dxa"/>
              <w:left w:w="200" w:type="dxa"/>
              <w:right w:w="160" w:type="dxa"/>
            </w:tcMar>
          </w:tcPr>
          <w:p>
            <w:pPr>
              <w:spacing w:before="0" w:after="0" w:line="288" w:lineRule="auto"/>
            </w:pPr>
            <w:r>
              <w:rPr>
                <w:rFonts w:ascii="Arial" w:hAnsi="Arial" w:eastAsia="Arial" w:cs="Arial"/>
                <w:b/>
                <w:color w:val="E0A100"/>
                <w:sz w:val="20"/>
              </w:rPr>
              <w:t xml:space="preserve">Note  </w:t>
            </w:r>
            <w:r>
              <w:rPr>
                <w:rFonts w:ascii="Arial" w:hAnsi="Arial" w:eastAsia="Arial" w:cs="Arial"/>
                <w:sz w:val="20"/>
              </w:rPr>
              <w:t>If your organisation signs you in with your corporate network account, your password is managed by your IT help desk and not by BrokerVerse.</w:t>
            </w:r>
          </w:p>
        </w:tc>
      </w:tr>
    </w:tbl>
    <w:p>
      <w:pPr>
        <w:spacing w:before="0" w:after="80" w:line="240" w:lineRule="auto"/>
      </w:pPr>
    </w:p>
    <w:p>
      <w:pPr>
        <w:pStyle w:val="Heading2"/>
      </w:pPr>
      <w:r>
        <w:rPr>
          <w:rFonts w:ascii="Arial" w:hAnsi="Arial" w:eastAsia="Arial" w:cs="Arial"/>
        </w:rPr>
        <w:t>2.5  Staying signed in and signing out</w:t>
      </w:r>
    </w:p>
    <w:p>
      <w:pPr>
        <w:pStyle w:val="ListBullet"/>
        <w:spacing w:before="0" w:after="80"/>
        <w:ind w:left="510" w:hanging="283"/>
      </w:pPr>
      <w:r>
        <w:rPr>
          <w:rFonts w:ascii="Arial" w:hAnsi="Arial" w:eastAsia="Arial" w:cs="Arial"/>
        </w:rPr>
        <w:t xml:space="preserve">If you are inactive for a while, a warning appears. Click </w:t>
      </w:r>
      <w:r>
        <w:rPr>
          <w:rFonts w:ascii="Arial" w:hAnsi="Arial" w:eastAsia="Arial" w:cs="Arial"/>
          <w:b/>
        </w:rPr>
        <w:t>Stay Signed In</w:t>
      </w:r>
      <w:r>
        <w:rPr>
          <w:rFonts w:ascii="Arial" w:hAnsi="Arial" w:eastAsia="Arial" w:cs="Arial"/>
        </w:rPr>
        <w:t xml:space="preserve"> to carry on working; if you do not, you are signed out automatically (after 30 minutes of inactivity by default).</w:t>
      </w:r>
    </w:p>
    <w:p>
      <w:pPr>
        <w:pStyle w:val="ListBullet"/>
        <w:spacing w:before="0" w:after="80"/>
        <w:ind w:left="510" w:hanging="283"/>
      </w:pPr>
      <w:r>
        <w:rPr>
          <w:rFonts w:ascii="Arial" w:hAnsi="Arial" w:eastAsia="Arial" w:cs="Arial"/>
        </w:rPr>
        <w:t>A session also ends at a fixed time after you sign in. You are warned 30 minutes before.</w:t>
      </w:r>
    </w:p>
    <w:p>
      <w:pPr>
        <w:pStyle w:val="ListBullet"/>
        <w:spacing w:before="0" w:after="80"/>
        <w:ind w:left="510" w:hanging="283"/>
      </w:pPr>
      <w:r>
        <w:rPr>
          <w:rFonts w:ascii="Arial" w:hAnsi="Arial" w:eastAsia="Arial" w:cs="Arial"/>
        </w:rPr>
        <w:t>You can work in several browser tabs at once. They share one session, and signing out in one tab signs you out of all of them.</w:t>
      </w:r>
    </w:p>
    <w:p>
      <w:pPr>
        <w:pStyle w:val="ListBullet"/>
        <w:spacing w:before="0" w:after="80"/>
        <w:ind w:left="510" w:hanging="283"/>
      </w:pPr>
      <w:r>
        <w:rPr>
          <w:rFonts w:ascii="Arial" w:hAnsi="Arial" w:eastAsia="Arial" w:cs="Arial"/>
        </w:rPr>
        <w:t xml:space="preserve">To sign out, click </w:t>
      </w:r>
      <w:r>
        <w:rPr>
          <w:rFonts w:ascii="Arial" w:hAnsi="Arial" w:eastAsia="Arial" w:cs="Arial"/>
          <w:b/>
        </w:rPr>
        <w:t>Sign out</w:t>
      </w:r>
      <w:r>
        <w:rPr>
          <w:rFonts w:ascii="Arial" w:hAnsi="Arial" w:eastAsia="Arial" w:cs="Arial"/>
        </w:rPr>
        <w:t xml:space="preserve"> at the top right of the screen. Always sign out on a shared computer.</w:t>
      </w:r>
    </w:p>
    <w:p>
      <w:r>
        <w:rPr>
          <w:rFonts w:ascii="Arial" w:hAnsi="Arial" w:eastAsia="Arial" w:cs="Arial"/>
          <w:b/>
        </w:rPr>
        <w:t>My Profile</w:t>
      </w:r>
      <w:r>
        <w:rPr>
          <w:rFonts w:ascii="Arial" w:hAnsi="Arial" w:eastAsia="Arial" w:cs="Arial"/>
        </w:rPr>
        <w:t xml:space="preserve"> lists your recent sessions and how each one ended, so you can spot a sign-in you do not recognise.</w:t>
      </w:r>
    </w:p>
    <w:p>
      <w:pPr>
        <w:pStyle w:val="Heading1"/>
        <w:pageBreakBefore/>
        <w:pBdr>
          <w:bottom w:val="single" w:sz="12" w:space="6" w:color="00A098"/>
        </w:pBdr>
      </w:pPr>
      <w:r>
        <w:rPr>
          <w:rFonts w:ascii="Arial" w:hAnsi="Arial" w:eastAsia="Arial" w:cs="Arial"/>
        </w:rPr>
        <w:t>3  Finding your way around</w:t>
      </w:r>
    </w:p>
    <w:p>
      <w:pPr>
        <w:pStyle w:val="Heading2"/>
      </w:pPr>
      <w:r>
        <w:rPr>
          <w:rFonts w:ascii="Arial" w:hAnsi="Arial" w:eastAsia="Arial" w:cs="Arial"/>
        </w:rPr>
        <w:t>3.1  The screen layout</w:t>
      </w:r>
    </w:p>
    <w:p>
      <w:r>
        <w:rPr>
          <w:rFonts w:ascii="Arial" w:hAnsi="Arial" w:eastAsia="Arial" w:cs="Arial"/>
        </w:rPr>
        <w:t>Every screen has the same frame: the menu on the left, a header across the top, and the page you are working on in the middle.</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268"/>
        <w:gridCol w:w="7143"/>
      </w:tblGrid>
      <w:tr>
        <w:trPr>
          <w:tblHeader w:val="true"/>
          <w:cantSplit/>
        </w:trPr>
        <w:tc>
          <w:tcPr>
            <w:tcW w:type="dxa" w:w="226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Area</w:t>
            </w:r>
          </w:p>
        </w:tc>
        <w:tc>
          <w:tcPr>
            <w:tcW w:type="dxa" w:w="7143"/>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it does</w:t>
            </w:r>
          </w:p>
        </w:tc>
      </w:tr>
      <w:tr>
        <w:trPr>
          <w:cantSplit/>
        </w:trPr>
        <w:tc>
          <w:tcPr>
            <w:tcW w:type="dxa" w:w="2268"/>
            <w:tcMar>
              <w:top w:w="80" w:type="dxa"/>
              <w:bottom w:w="80" w:type="dxa"/>
              <w:left w:w="120" w:type="dxa"/>
              <w:right w:w="120" w:type="dxa"/>
            </w:tcMar>
          </w:tcPr>
          <w:p>
            <w:pPr>
              <w:spacing w:before="0" w:after="0" w:line="276" w:lineRule="auto"/>
            </w:pPr>
            <w:r>
              <w:rPr>
                <w:rFonts w:ascii="Arial" w:hAnsi="Arial" w:eastAsia="Arial" w:cs="Arial"/>
                <w:b/>
                <w:color w:val="0B4F9C"/>
                <w:sz w:val="19"/>
              </w:rPr>
              <w:t>Menu (left)</w:t>
            </w:r>
          </w:p>
        </w:tc>
        <w:tc>
          <w:tcPr>
            <w:tcW w:type="dxa" w:w="7143"/>
            <w:tcMar>
              <w:top w:w="80" w:type="dxa"/>
              <w:bottom w:w="80" w:type="dxa"/>
              <w:left w:w="120" w:type="dxa"/>
              <w:right w:w="120" w:type="dxa"/>
            </w:tcMar>
          </w:tcPr>
          <w:p>
            <w:pPr>
              <w:spacing w:before="0" w:after="0" w:line="276" w:lineRule="auto"/>
            </w:pPr>
            <w:r>
              <w:rPr>
                <w:rFonts w:ascii="Arial" w:hAnsi="Arial" w:eastAsia="Arial" w:cs="Arial"/>
                <w:color w:val="333333"/>
                <w:sz w:val="19"/>
              </w:rPr>
              <w:t>Your home page, My Approvals and My Work at the top, then the menu groups: Client &amp; Policy, Operations, Finance, Claims &amp; Insurance, Reports and Setup &amp; Administration. Click a group to open it. The screen you are on is highlighted.</w:t>
            </w:r>
          </w:p>
        </w:tc>
      </w:tr>
      <w:tr>
        <w:trPr>
          <w:cantSplit/>
        </w:trPr>
        <w:tc>
          <w:tcPr>
            <w:tcW w:type="dxa" w:w="226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Company and branch</w:t>
            </w:r>
          </w:p>
        </w:tc>
        <w:tc>
          <w:tcPr>
            <w:tcW w:type="dxa" w:w="7143"/>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The two selectors at the top left of the header. Lists, dashboards and reports follow the company and branch you choose here. Choose All branches to see everything you are allowed to see.</w:t>
            </w:r>
          </w:p>
        </w:tc>
      </w:tr>
      <w:tr>
        <w:trPr>
          <w:cantSplit/>
        </w:trPr>
        <w:tc>
          <w:tcPr>
            <w:tcW w:type="dxa" w:w="2268"/>
            <w:tcMar>
              <w:top w:w="80" w:type="dxa"/>
              <w:bottom w:w="80" w:type="dxa"/>
              <w:left w:w="120" w:type="dxa"/>
              <w:right w:w="120" w:type="dxa"/>
            </w:tcMar>
          </w:tcPr>
          <w:p>
            <w:pPr>
              <w:spacing w:before="0" w:after="0" w:line="276" w:lineRule="auto"/>
            </w:pPr>
            <w:r>
              <w:rPr>
                <w:rFonts w:ascii="Arial" w:hAnsi="Arial" w:eastAsia="Arial" w:cs="Arial"/>
                <w:b/>
                <w:color w:val="0B4F9C"/>
                <w:sz w:val="19"/>
              </w:rPr>
              <w:t>Notifications</w:t>
            </w:r>
          </w:p>
        </w:tc>
        <w:tc>
          <w:tcPr>
            <w:tcW w:type="dxa" w:w="7143"/>
            <w:tcMar>
              <w:top w:w="80" w:type="dxa"/>
              <w:bottom w:w="80" w:type="dxa"/>
              <w:left w:w="120" w:type="dxa"/>
              <w:right w:w="120" w:type="dxa"/>
            </w:tcMar>
          </w:tcPr>
          <w:p>
            <w:pPr>
              <w:spacing w:before="0" w:after="0" w:line="276" w:lineRule="auto"/>
            </w:pPr>
            <w:r>
              <w:rPr>
                <w:rFonts w:ascii="Arial" w:hAnsi="Arial" w:eastAsia="Arial" w:cs="Arial"/>
                <w:color w:val="333333"/>
                <w:sz w:val="19"/>
              </w:rPr>
              <w:t>The bell shows new notifications for you, such as an item assigned to you or a record returned. Click it to open the list.</w:t>
            </w:r>
          </w:p>
        </w:tc>
      </w:tr>
      <w:tr>
        <w:trPr>
          <w:cantSplit/>
        </w:trPr>
        <w:tc>
          <w:tcPr>
            <w:tcW w:type="dxa" w:w="226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My Approvals</w:t>
            </w:r>
          </w:p>
        </w:tc>
        <w:tc>
          <w:tcPr>
            <w:tcW w:type="dxa" w:w="7143"/>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The inbox icon, with the number of items waiting for your authorisation.</w:t>
            </w:r>
          </w:p>
        </w:tc>
      </w:tr>
      <w:tr>
        <w:trPr>
          <w:cantSplit/>
        </w:trPr>
        <w:tc>
          <w:tcPr>
            <w:tcW w:type="dxa" w:w="2268"/>
            <w:tcMar>
              <w:top w:w="80" w:type="dxa"/>
              <w:bottom w:w="80" w:type="dxa"/>
              <w:left w:w="120" w:type="dxa"/>
              <w:right w:w="120" w:type="dxa"/>
            </w:tcMar>
          </w:tcPr>
          <w:p>
            <w:pPr>
              <w:spacing w:before="0" w:after="0" w:line="276" w:lineRule="auto"/>
            </w:pPr>
            <w:r>
              <w:rPr>
                <w:rFonts w:ascii="Arial" w:hAnsi="Arial" w:eastAsia="Arial" w:cs="Arial"/>
                <w:b/>
                <w:color w:val="0B4F9C"/>
                <w:sz w:val="19"/>
              </w:rPr>
              <w:t>Alerts</w:t>
            </w:r>
          </w:p>
        </w:tc>
        <w:tc>
          <w:tcPr>
            <w:tcW w:type="dxa" w:w="7143"/>
            <w:tcMar>
              <w:top w:w="80" w:type="dxa"/>
              <w:bottom w:w="80" w:type="dxa"/>
              <w:left w:w="120" w:type="dxa"/>
              <w:right w:w="120" w:type="dxa"/>
            </w:tcMar>
          </w:tcPr>
          <w:p>
            <w:pPr>
              <w:spacing w:before="0" w:after="0" w:line="276" w:lineRule="auto"/>
            </w:pPr>
            <w:r>
              <w:rPr>
                <w:rFonts w:ascii="Arial" w:hAnsi="Arial" w:eastAsia="Arial" w:cs="Arial"/>
                <w:color w:val="333333"/>
                <w:sz w:val="19"/>
              </w:rPr>
              <w:t>Shown to users who follow control alerts, with the number of open alerts.</w:t>
            </w:r>
          </w:p>
        </w:tc>
      </w:tr>
      <w:tr>
        <w:trPr>
          <w:cantSplit/>
        </w:trPr>
        <w:tc>
          <w:tcPr>
            <w:tcW w:type="dxa" w:w="226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Help</w:t>
            </w:r>
          </w:p>
        </w:tc>
        <w:tc>
          <w:tcPr>
            <w:tcW w:type="dxa" w:w="7143"/>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The question mark opens the Help Center.</w:t>
            </w:r>
          </w:p>
        </w:tc>
      </w:tr>
      <w:tr>
        <w:trPr>
          <w:cantSplit/>
        </w:trPr>
        <w:tc>
          <w:tcPr>
            <w:tcW w:type="dxa" w:w="2268"/>
            <w:tcMar>
              <w:top w:w="80" w:type="dxa"/>
              <w:bottom w:w="80" w:type="dxa"/>
              <w:left w:w="120" w:type="dxa"/>
              <w:right w:w="120" w:type="dxa"/>
            </w:tcMar>
          </w:tcPr>
          <w:p>
            <w:pPr>
              <w:spacing w:before="0" w:after="0" w:line="276" w:lineRule="auto"/>
            </w:pPr>
            <w:r>
              <w:rPr>
                <w:rFonts w:ascii="Arial" w:hAnsi="Arial" w:eastAsia="Arial" w:cs="Arial"/>
                <w:b/>
                <w:color w:val="0B4F9C"/>
                <w:sz w:val="19"/>
              </w:rPr>
              <w:t>About</w:t>
            </w:r>
          </w:p>
        </w:tc>
        <w:tc>
          <w:tcPr>
            <w:tcW w:type="dxa" w:w="7143"/>
            <w:tcMar>
              <w:top w:w="80" w:type="dxa"/>
              <w:bottom w:w="80" w:type="dxa"/>
              <w:left w:w="120" w:type="dxa"/>
              <w:right w:w="120" w:type="dxa"/>
            </w:tcMar>
          </w:tcPr>
          <w:p>
            <w:pPr>
              <w:spacing w:before="0" w:after="0" w:line="276" w:lineRule="auto"/>
            </w:pPr>
            <w:r>
              <w:rPr>
                <w:rFonts w:ascii="Arial" w:hAnsi="Arial" w:eastAsia="Arial" w:cs="Arial"/>
                <w:color w:val="333333"/>
                <w:sz w:val="19"/>
              </w:rPr>
              <w:t>The i icon shows the product name and version.</w:t>
            </w:r>
          </w:p>
        </w:tc>
      </w:tr>
      <w:tr>
        <w:trPr>
          <w:cantSplit/>
        </w:trPr>
        <w:tc>
          <w:tcPr>
            <w:tcW w:type="dxa" w:w="226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Your name</w:t>
            </w:r>
          </w:p>
        </w:tc>
        <w:tc>
          <w:tcPr>
            <w:tcW w:type="dxa" w:w="7143"/>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Opens My Profile: your details, roles, password and recent sessions.</w:t>
            </w:r>
          </w:p>
        </w:tc>
      </w:tr>
      <w:tr>
        <w:trPr>
          <w:cantSplit/>
        </w:trPr>
        <w:tc>
          <w:tcPr>
            <w:tcW w:type="dxa" w:w="2268"/>
            <w:tcMar>
              <w:top w:w="80" w:type="dxa"/>
              <w:bottom w:w="80" w:type="dxa"/>
              <w:left w:w="120" w:type="dxa"/>
              <w:right w:w="120" w:type="dxa"/>
            </w:tcMar>
          </w:tcPr>
          <w:p>
            <w:pPr>
              <w:spacing w:before="0" w:after="0" w:line="276" w:lineRule="auto"/>
            </w:pPr>
            <w:r>
              <w:rPr>
                <w:rFonts w:ascii="Arial" w:hAnsi="Arial" w:eastAsia="Arial" w:cs="Arial"/>
                <w:b/>
                <w:color w:val="0B4F9C"/>
                <w:sz w:val="19"/>
              </w:rPr>
              <w:t>Sign out</w:t>
            </w:r>
          </w:p>
        </w:tc>
        <w:tc>
          <w:tcPr>
            <w:tcW w:type="dxa" w:w="7143"/>
            <w:tcMar>
              <w:top w:w="80" w:type="dxa"/>
              <w:bottom w:w="80" w:type="dxa"/>
              <w:left w:w="120" w:type="dxa"/>
              <w:right w:w="120" w:type="dxa"/>
            </w:tcMar>
          </w:tcPr>
          <w:p>
            <w:pPr>
              <w:spacing w:before="0" w:after="0" w:line="276" w:lineRule="auto"/>
            </w:pPr>
            <w:r>
              <w:rPr>
                <w:rFonts w:ascii="Arial" w:hAnsi="Arial" w:eastAsia="Arial" w:cs="Arial"/>
                <w:color w:val="333333"/>
                <w:sz w:val="19"/>
              </w:rPr>
              <w:t>Ends your session.</w:t>
            </w:r>
          </w:p>
        </w:tc>
      </w:tr>
    </w:tbl>
    <w:p>
      <w:pPr>
        <w:spacing w:before="0" w:after="80" w:line="240" w:lineRule="auto"/>
      </w:pPr>
    </w:p>
    <w:p>
      <w:pPr>
        <w:pStyle w:val="Heading2"/>
      </w:pPr>
      <w:r>
        <w:rPr>
          <w:rFonts w:ascii="Arial" w:hAnsi="Arial" w:eastAsia="Arial" w:cs="Arial"/>
        </w:rPr>
        <w:t>3.2  Your home page</w:t>
      </w:r>
    </w:p>
    <w:p>
      <w:r>
        <w:rPr>
          <w:rFonts w:ascii="Arial" w:hAnsi="Arial" w:eastAsia="Arial" w:cs="Arial"/>
        </w:rPr>
        <w:t xml:space="preserve">Your home page depends on your role. Broking users land on the </w:t>
      </w:r>
      <w:r>
        <w:rPr>
          <w:rFonts w:ascii="Arial" w:hAnsi="Arial" w:eastAsia="Arial" w:cs="Arial"/>
          <w:b/>
        </w:rPr>
        <w:t>New Business Dashboard</w:t>
      </w:r>
      <w:r>
        <w:rPr>
          <w:rFonts w:ascii="Arial" w:hAnsi="Arial" w:eastAsia="Arial" w:cs="Arial"/>
        </w:rPr>
        <w:t>: new requests, quotations sent this month, service level breaches, bookings of the month and production against target. Finance users land on a dashboard with premium, collections, receivables ageing, payables due, cash position and pending approvals. Click a figure to open the records behind it.</w:t>
      </w:r>
    </w:p>
    <w:p>
      <w:pPr>
        <w:pStyle w:val="Heading2"/>
      </w:pPr>
      <w:r>
        <w:rPr>
          <w:rFonts w:ascii="Arial" w:hAnsi="Arial" w:eastAsia="Arial" w:cs="Arial"/>
        </w:rPr>
        <w:t>3.3  My Work</w:t>
      </w:r>
    </w:p>
    <w:p>
      <w:r>
        <w:rPr>
          <w:rFonts w:ascii="Arial" w:hAnsi="Arial" w:eastAsia="Arial" w:cs="Arial"/>
          <w:b/>
        </w:rPr>
        <w:t>My Work</w:t>
      </w:r>
      <w:r>
        <w:rPr>
          <w:rFonts w:ascii="Arial" w:hAnsi="Arial" w:eastAsia="Arial" w:cs="Arial"/>
        </w:rPr>
        <w:t xml:space="preserve"> lists everything waiting for your team: quotations, proposal requests, accounts and other work items, oldest due first. The tiles at the top show what is assigned to you, what is open in your team's queues and what is overdue.</w:t>
      </w:r>
    </w:p>
    <w:p>
      <w:pPr>
        <w:keepNext/>
        <w:tabs>
          <w:tab w:pos="510" w:val="left"/>
        </w:tabs>
        <w:spacing w:before="0" w:after="80"/>
        <w:ind w:left="510" w:hanging="397"/>
      </w:pPr>
      <w:r>
        <w:rPr>
          <w:rFonts w:ascii="Arial" w:hAnsi="Arial" w:eastAsia="Arial" w:cs="Arial"/>
          <w:b/>
          <w:color w:val="0090D8"/>
        </w:rPr>
        <w:t>1.</w:t>
        <w:tab/>
      </w:r>
      <w:r>
        <w:rPr>
          <w:rFonts w:ascii="Arial" w:hAnsi="Arial" w:eastAsia="Arial" w:cs="Arial"/>
        </w:rPr>
        <w:t>Click a tile to see only that stage.</w:t>
      </w:r>
    </w:p>
    <w:p>
      <w:pPr>
        <w:keepNext/>
        <w:tabs>
          <w:tab w:pos="510" w:val="left"/>
        </w:tabs>
        <w:spacing w:before="0" w:after="80"/>
        <w:ind w:left="510" w:hanging="397"/>
      </w:pPr>
      <w:r>
        <w:rPr>
          <w:rFonts w:ascii="Arial" w:hAnsi="Arial" w:eastAsia="Arial" w:cs="Arial"/>
          <w:b/>
          <w:color w:val="0090D8"/>
        </w:rPr>
        <w:t>2.</w:t>
        <w:tab/>
      </w:r>
      <w:r>
        <w:rPr>
          <w:rFonts w:ascii="Arial" w:hAnsi="Arial" w:eastAsia="Arial" w:cs="Arial"/>
        </w:rPr>
        <w:t>Use the tabs to switch between your own items, the unassigned team queue and everything.</w:t>
      </w:r>
    </w:p>
    <w:p>
      <w:pPr>
        <w:keepNext/>
        <w:tabs>
          <w:tab w:pos="510" w:val="left"/>
        </w:tabs>
        <w:spacing w:before="0" w:after="80"/>
        <w:ind w:left="510" w:hanging="397"/>
      </w:pPr>
      <w:r>
        <w:rPr>
          <w:rFonts w:ascii="Arial" w:hAnsi="Arial" w:eastAsia="Arial" w:cs="Arial"/>
          <w:b/>
          <w:color w:val="0090D8"/>
        </w:rPr>
        <w:t>3.</w:t>
        <w:tab/>
      </w:r>
      <w:r>
        <w:rPr>
          <w:rFonts w:ascii="Arial" w:hAnsi="Arial" w:eastAsia="Arial" w:cs="Arial"/>
        </w:rPr>
        <w:t xml:space="preserve">Click </w:t>
      </w:r>
      <w:r>
        <w:rPr>
          <w:rFonts w:ascii="Arial" w:hAnsi="Arial" w:eastAsia="Arial" w:cs="Arial"/>
          <w:b/>
        </w:rPr>
        <w:t>Claim</w:t>
      </w:r>
      <w:r>
        <w:rPr>
          <w:rFonts w:ascii="Arial" w:hAnsi="Arial" w:eastAsia="Arial" w:cs="Arial"/>
        </w:rPr>
        <w:t xml:space="preserve"> on an unassigned item to take it over, then open it to work on it.</w:t>
      </w:r>
    </w:p>
    <w:p>
      <w:pPr>
        <w:tabs>
          <w:tab w:pos="510" w:val="left"/>
        </w:tabs>
        <w:spacing w:before="0" w:after="160"/>
        <w:ind w:left="510" w:hanging="397"/>
      </w:pPr>
      <w:r>
        <w:rPr>
          <w:rFonts w:ascii="Arial" w:hAnsi="Arial" w:eastAsia="Arial" w:cs="Arial"/>
          <w:b/>
          <w:color w:val="0090D8"/>
        </w:rPr>
        <w:t>4.</w:t>
        <w:tab/>
      </w:r>
      <w:r>
        <w:rPr>
          <w:rFonts w:ascii="Arial" w:hAnsi="Arial" w:eastAsia="Arial" w:cs="Arial"/>
        </w:rPr>
        <w:t>Team leaders can assign an item to a team member or return it to the team queue.</w:t>
      </w:r>
    </w:p>
    <w:p>
      <w:r>
        <w:rPr>
          <w:rFonts w:ascii="Arial" w:hAnsi="Arial" w:eastAsia="Arial" w:cs="Arial"/>
        </w:rPr>
        <w:t>Items that pass the service level for their stage are marked overdue.</w:t>
      </w:r>
    </w:p>
    <w:p>
      <w:pPr>
        <w:pStyle w:val="Heading2"/>
      </w:pPr>
      <w:r>
        <w:rPr>
          <w:rFonts w:ascii="Arial" w:hAnsi="Arial" w:eastAsia="Arial" w:cs="Arial"/>
        </w:rPr>
        <w:t>3.4  My Approvals</w:t>
      </w:r>
    </w:p>
    <w:p>
      <w:r>
        <w:rPr>
          <w:rFonts w:ascii="Arial" w:hAnsi="Arial" w:eastAsia="Arial" w:cs="Arial"/>
          <w:b/>
        </w:rPr>
        <w:t>My Approvals</w:t>
      </w:r>
      <w:r>
        <w:rPr>
          <w:rFonts w:ascii="Arial" w:hAnsi="Arial" w:eastAsia="Arial" w:cs="Arial"/>
        </w:rPr>
        <w:t xml:space="preserve"> collects everything waiting for your authorisation across modules. Open an item to review it on its own screen, then approve, reject or return it. Once you act on it, it leaves your inbox.</w:t>
      </w:r>
    </w:p>
    <w:p>
      <w:r>
        <w:rPr>
          <w:rFonts w:ascii="Arial" w:hAnsi="Arial" w:eastAsia="Arial" w:cs="Arial"/>
        </w:rPr>
        <w:t>BrokerVerse applies the maker-checker principle throughout: you never see your own submissions in your approval inbox, and items above your authority limit are routed to someone with a higher limit.</w:t>
      </w:r>
    </w:p>
    <w:p>
      <w:pPr>
        <w:pStyle w:val="Heading2"/>
      </w:pPr>
      <w:r>
        <w:rPr>
          <w:rFonts w:ascii="Arial" w:hAnsi="Arial" w:eastAsia="Arial" w:cs="Arial"/>
        </w:rPr>
        <w:t>3.5  Working with screens</w:t>
      </w:r>
    </w:p>
    <w:p>
      <w:r>
        <w:rPr>
          <w:rFonts w:ascii="Arial" w:hAnsi="Arial" w:eastAsia="Arial" w:cs="Arial"/>
        </w:rPr>
        <w:t>Most screens follow a small number of patterns. Once you know them, you will find your way around new modules quickly.</w:t>
      </w:r>
    </w:p>
    <w:p>
      <w:pPr>
        <w:pStyle w:val="Heading3"/>
      </w:pPr>
      <w:r>
        <w:rPr>
          <w:rFonts w:ascii="Arial" w:hAnsi="Arial" w:eastAsia="Arial" w:cs="Arial"/>
        </w:rPr>
        <w:t>Work lists</w:t>
      </w:r>
    </w:p>
    <w:p>
      <w:pPr>
        <w:pStyle w:val="ListBullet"/>
        <w:spacing w:before="0" w:after="80"/>
        <w:ind w:left="510" w:hanging="283"/>
      </w:pPr>
      <w:r>
        <w:rPr>
          <w:rFonts w:ascii="Arial" w:hAnsi="Arial" w:eastAsia="Arial" w:cs="Arial"/>
        </w:rPr>
        <w:t>Tabs across the top split the list by status, for example Drafts, For Review and Sent to Client.</w:t>
      </w:r>
    </w:p>
    <w:p>
      <w:pPr>
        <w:pStyle w:val="ListBullet"/>
        <w:spacing w:before="0" w:after="80"/>
        <w:ind w:left="510" w:hanging="283"/>
      </w:pPr>
      <w:r>
        <w:rPr>
          <w:rFonts w:ascii="Arial" w:hAnsi="Arial" w:eastAsia="Arial" w:cs="Arial"/>
        </w:rPr>
        <w:t>Quick filters pick out common cases, such as your own drafts or items expiring soon.</w:t>
      </w:r>
    </w:p>
    <w:p>
      <w:pPr>
        <w:pStyle w:val="ListBullet"/>
        <w:spacing w:before="0" w:after="80"/>
        <w:ind w:left="510" w:hanging="283"/>
      </w:pPr>
      <w:r>
        <w:rPr>
          <w:rFonts w:ascii="Arial" w:hAnsi="Arial" w:eastAsia="Arial" w:cs="Arial"/>
        </w:rPr>
        <w:t>The search box finds records by their number, client name or other key details.</w:t>
      </w:r>
    </w:p>
    <w:p>
      <w:pPr>
        <w:pStyle w:val="ListBullet"/>
        <w:spacing w:before="0" w:after="80"/>
        <w:ind w:left="510" w:hanging="283"/>
      </w:pPr>
      <w:r>
        <w:rPr>
          <w:rFonts w:ascii="Arial" w:hAnsi="Arial" w:eastAsia="Arial" w:cs="Arial"/>
        </w:rPr>
        <w:t>Click a column heading to sort; click a row to open the record.</w:t>
      </w:r>
    </w:p>
    <w:p>
      <w:pPr>
        <w:pStyle w:val="Heading3"/>
      </w:pPr>
      <w:r>
        <w:rPr>
          <w:rFonts w:ascii="Arial" w:hAnsi="Arial" w:eastAsia="Arial" w:cs="Arial"/>
        </w:rPr>
        <w:t>Record pages</w:t>
      </w:r>
    </w:p>
    <w:p>
      <w:r>
        <w:rPr>
          <w:rFonts w:ascii="Arial" w:hAnsi="Arial" w:eastAsia="Arial" w:cs="Arial"/>
        </w:rPr>
        <w:t xml:space="preserve">A record page shows the record's number and status at the top, its details in tabs below, and the actions you can take on it (for example Submit, Approve or Return) in the action area. The </w:t>
      </w:r>
      <w:r>
        <w:rPr>
          <w:rFonts w:ascii="Arial" w:hAnsi="Arial" w:eastAsia="Arial" w:cs="Arial"/>
          <w:b/>
        </w:rPr>
        <w:t>History</w:t>
      </w:r>
      <w:r>
        <w:rPr>
          <w:rFonts w:ascii="Arial" w:hAnsi="Arial" w:eastAsia="Arial" w:cs="Arial"/>
        </w:rPr>
        <w:t xml:space="preserve"> tab shows every status change with the user, time and any comment or reason.</w:t>
      </w:r>
    </w:p>
    <w:p>
      <w:pPr>
        <w:pStyle w:val="Heading3"/>
      </w:pPr>
      <w:r>
        <w:rPr>
          <w:rFonts w:ascii="Arial" w:hAnsi="Arial" w:eastAsia="Arial" w:cs="Arial"/>
        </w:rPr>
        <w:t>Step-by-step forms</w:t>
      </w:r>
    </w:p>
    <w:p>
      <w:r>
        <w:rPr>
          <w:rFonts w:ascii="Arial" w:hAnsi="Arial" w:eastAsia="Arial" w:cs="Arial"/>
        </w:rPr>
        <w:t xml:space="preserve">New quotations, accounts and similar records are created in guided steps. Use </w:t>
      </w:r>
      <w:r>
        <w:rPr>
          <w:rFonts w:ascii="Arial" w:hAnsi="Arial" w:eastAsia="Arial" w:cs="Arial"/>
          <w:b/>
        </w:rPr>
        <w:t>Next</w:t>
      </w:r>
      <w:r>
        <w:rPr>
          <w:rFonts w:ascii="Arial" w:hAnsi="Arial" w:eastAsia="Arial" w:cs="Arial"/>
        </w:rPr>
        <w:t xml:space="preserve"> and </w:t>
      </w:r>
      <w:r>
        <w:rPr>
          <w:rFonts w:ascii="Arial" w:hAnsi="Arial" w:eastAsia="Arial" w:cs="Arial"/>
          <w:b/>
        </w:rPr>
        <w:t>Back</w:t>
      </w:r>
      <w:r>
        <w:rPr>
          <w:rFonts w:ascii="Arial" w:hAnsi="Arial" w:eastAsia="Arial" w:cs="Arial"/>
        </w:rPr>
        <w:t xml:space="preserve"> to move between steps. </w:t>
      </w:r>
      <w:r>
        <w:rPr>
          <w:rFonts w:ascii="Arial" w:hAnsi="Arial" w:eastAsia="Arial" w:cs="Arial"/>
          <w:b/>
        </w:rPr>
        <w:t>Save Draft</w:t>
      </w:r>
      <w:r>
        <w:rPr>
          <w:rFonts w:ascii="Arial" w:hAnsi="Arial" w:eastAsia="Arial" w:cs="Arial"/>
        </w:rPr>
        <w:t xml:space="preserve"> keeps your work so you can finish it later; </w:t>
      </w:r>
      <w:r>
        <w:rPr>
          <w:rFonts w:ascii="Arial" w:hAnsi="Arial" w:eastAsia="Arial" w:cs="Arial"/>
          <w:b/>
        </w:rPr>
        <w:t>Submit</w:t>
      </w:r>
      <w:r>
        <w:rPr>
          <w:rFonts w:ascii="Arial" w:hAnsi="Arial" w:eastAsia="Arial" w:cs="Arial"/>
        </w:rPr>
        <w:t xml:space="preserve"> sends it on to the next team. Required fields are marked with an asterisk (*), and any problem is shown next to the field before you can continue.</w:t>
      </w:r>
    </w:p>
    <w:p>
      <w:pPr>
        <w:pStyle w:val="Heading3"/>
      </w:pPr>
      <w:r>
        <w:rPr>
          <w:rFonts w:ascii="Arial" w:hAnsi="Arial" w:eastAsia="Arial" w:cs="Arial"/>
        </w:rPr>
        <w:t>Documents and attachments</w:t>
      </w:r>
    </w:p>
    <w:p>
      <w:r>
        <w:rPr>
          <w:rFonts w:ascii="Arial" w:hAnsi="Arial" w:eastAsia="Arial" w:cs="Arial"/>
        </w:rPr>
        <w:t xml:space="preserve">Records that need supporting documents have a </w:t>
      </w:r>
      <w:r>
        <w:rPr>
          <w:rFonts w:ascii="Arial" w:hAnsi="Arial" w:eastAsia="Arial" w:cs="Arial"/>
          <w:b/>
        </w:rPr>
        <w:t>Documents</w:t>
      </w:r>
      <w:r>
        <w:rPr>
          <w:rFonts w:ascii="Arial" w:hAnsi="Arial" w:eastAsia="Arial" w:cs="Arial"/>
        </w:rPr>
        <w:t xml:space="preserve"> tab or section. Choose the document type, then add one or more files. Documents generated by BrokerVerse, such as slips, letters and statements, can be downloaded as PDF and, where useful, as Word.</w:t>
      </w:r>
    </w:p>
    <w:p>
      <w:pPr>
        <w:pStyle w:val="Heading3"/>
      </w:pPr>
      <w:r>
        <w:rPr>
          <w:rFonts w:ascii="Arial" w:hAnsi="Arial" w:eastAsia="Arial" w:cs="Arial"/>
        </w:rPr>
        <w:t>Exporting and printing</w:t>
      </w:r>
    </w:p>
    <w:p>
      <w:r>
        <w:rPr>
          <w:rFonts w:ascii="Arial" w:hAnsi="Arial" w:eastAsia="Arial" w:cs="Arial"/>
        </w:rPr>
        <w:t>Lists and reports can be exported to Excel or PDF, and printed. The export uses the filters you have applied on screen.</w:t>
      </w:r>
    </w:p>
    <w:p>
      <w:pPr>
        <w:pStyle w:val="Heading3"/>
      </w:pPr>
      <w:r>
        <w:rPr>
          <w:rFonts w:ascii="Arial" w:hAnsi="Arial" w:eastAsia="Arial" w:cs="Arial"/>
        </w:rPr>
        <w:t>Bulk uploads</w:t>
      </w:r>
    </w:p>
    <w:p>
      <w:r>
        <w:rPr>
          <w:rFonts w:ascii="Arial" w:hAnsi="Arial" w:eastAsia="Arial" w:cs="Arial"/>
        </w:rPr>
        <w:t xml:space="preserve">Where many records need to be created or updated at once, </w:t>
      </w:r>
      <w:r>
        <w:rPr>
          <w:rFonts w:ascii="Arial" w:hAnsi="Arial" w:eastAsia="Arial" w:cs="Arial"/>
          <w:b/>
        </w:rPr>
        <w:t>Bulk Processing</w:t>
      </w:r>
      <w:r>
        <w:rPr>
          <w:rFonts w:ascii="Arial" w:hAnsi="Arial" w:eastAsia="Arial" w:cs="Arial"/>
        </w:rPr>
        <w:t xml:space="preserve"> lets you download a template, fill it in and upload it. Each row is checked, and a result report shows which rows were accepted and why any were rejected.</w:t>
      </w:r>
    </w:p>
    <w:p>
      <w:pPr>
        <w:pStyle w:val="Heading2"/>
      </w:pPr>
      <w:r>
        <w:rPr>
          <w:rFonts w:ascii="Arial" w:hAnsi="Arial" w:eastAsia="Arial" w:cs="Arial"/>
        </w:rPr>
        <w:t>3.6  Help Center</w:t>
      </w:r>
    </w:p>
    <w:p>
      <w:r>
        <w:rPr>
          <w:rFonts w:ascii="Arial" w:hAnsi="Arial" w:eastAsia="Arial" w:cs="Arial"/>
        </w:rPr>
        <w:t xml:space="preserve">The Help Center (the question mark in the header) describes every screen: what it is for, how its workflow runs and which controls apply. Search by screen name, module or keyword, and click </w:t>
      </w:r>
      <w:r>
        <w:rPr>
          <w:rFonts w:ascii="Arial" w:hAnsi="Arial" w:eastAsia="Arial" w:cs="Arial"/>
          <w:b/>
        </w:rPr>
        <w:t>Open</w:t>
      </w:r>
      <w:r>
        <w:rPr>
          <w:rFonts w:ascii="Arial" w:hAnsi="Arial" w:eastAsia="Arial" w:cs="Arial"/>
        </w:rPr>
        <w:t xml:space="preserve"> next to a screen to go straight to it.</w:t>
      </w:r>
    </w:p>
    <w:p>
      <w:pPr>
        <w:pStyle w:val="Heading1"/>
        <w:pageBreakBefore/>
        <w:pBdr>
          <w:bottom w:val="single" w:sz="12" w:space="6" w:color="00A098"/>
        </w:pBdr>
      </w:pPr>
      <w:r>
        <w:rPr>
          <w:rFonts w:ascii="Arial" w:hAnsi="Arial" w:eastAsia="Arial" w:cs="Arial"/>
        </w:rPr>
        <w:t>4  The broking cycle at a glance</w:t>
      </w:r>
    </w:p>
    <w:p>
      <w:r>
        <w:rPr>
          <w:rFonts w:ascii="Arial" w:hAnsi="Arial" w:eastAsia="Arial" w:cs="Arial"/>
        </w:rPr>
        <w:t>The diagram below shows the main path of a new piece of business through BrokerVerse. Each stage is handled in its own module and handed to the next team through the work queues.</w:t>
      </w:r>
    </w:p>
    <w:p>
      <w:pPr>
        <w:keepNext/>
        <w:spacing w:before="120" w:after="40"/>
        <w:jc w:val="center"/>
      </w:pPr>
      <w:r>
        <w:drawing>
          <wp:inline xmlns:a="http://schemas.openxmlformats.org/drawingml/2006/main" xmlns:pic="http://schemas.openxmlformats.org/drawingml/2006/picture">
            <wp:extent cx="5976000" cy="1673280"/>
            <wp:docPr id="2" name="Picture 2"/>
            <wp:cNvGraphicFramePr>
              <a:graphicFrameLocks noChangeAspect="1"/>
            </wp:cNvGraphicFramePr>
            <a:graphic>
              <a:graphicData uri="http://schemas.openxmlformats.org/drawingml/2006/picture">
                <pic:pic>
                  <pic:nvPicPr>
                    <pic:cNvPr id="0" name="cycle.png"/>
                    <pic:cNvPicPr/>
                  </pic:nvPicPr>
                  <pic:blipFill>
                    <a:blip r:embed="rId12"/>
                    <a:stretch>
                      <a:fillRect/>
                    </a:stretch>
                  </pic:blipFill>
                  <pic:spPr>
                    <a:xfrm>
                      <a:off x="0" y="0"/>
                      <a:ext cx="5976000" cy="1673280"/>
                    </a:xfrm>
                    <a:prstGeom prst="rect"/>
                  </pic:spPr>
                </pic:pic>
              </a:graphicData>
            </a:graphic>
          </wp:inline>
        </w:drawing>
      </w:r>
    </w:p>
    <w:p>
      <w:pPr>
        <w:spacing w:before="0" w:after="200"/>
        <w:jc w:val="center"/>
      </w:pPr>
      <w:r>
        <w:rPr>
          <w:rFonts w:ascii="Arial" w:hAnsi="Arial" w:eastAsia="Arial" w:cs="Arial"/>
          <w:i/>
          <w:color w:val="6B7280"/>
          <w:sz w:val="18"/>
        </w:rPr>
        <w:t>Figure 1. The main broking cycle in BrokerVerse</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1587"/>
        <w:gridCol w:w="5556"/>
        <w:gridCol w:w="2268"/>
      </w:tblGrid>
      <w:tr>
        <w:trPr>
          <w:tblHeader w:val="true"/>
          <w:cantSplit/>
        </w:trPr>
        <w:tc>
          <w:tcPr>
            <w:tcW w:type="dxa" w:w="1587"/>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Stage</w:t>
            </w:r>
          </w:p>
        </w:tc>
        <w:tc>
          <w:tcPr>
            <w:tcW w:type="dxa" w:w="5556"/>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What happens</w:t>
            </w:r>
          </w:p>
        </w:tc>
        <w:tc>
          <w:tcPr>
            <w:tcW w:type="dxa" w:w="226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Usually done by</w:t>
            </w:r>
          </w:p>
        </w:tc>
      </w:tr>
      <w:tr>
        <w:trPr>
          <w:cantSplit/>
        </w:trPr>
        <w:tc>
          <w:tcPr>
            <w:tcW w:type="dxa" w:w="1587"/>
            <w:tcMar>
              <w:top w:w="80" w:type="dxa"/>
              <w:bottom w:w="80" w:type="dxa"/>
              <w:left w:w="120" w:type="dxa"/>
              <w:right w:w="120" w:type="dxa"/>
            </w:tcMar>
          </w:tcPr>
          <w:p>
            <w:pPr>
              <w:spacing w:before="0" w:after="0" w:line="276" w:lineRule="auto"/>
            </w:pPr>
            <w:r>
              <w:rPr>
                <w:rFonts w:ascii="Arial" w:hAnsi="Arial" w:eastAsia="Arial" w:cs="Arial"/>
                <w:b/>
                <w:color w:val="0B4F9C"/>
                <w:sz w:val="19"/>
              </w:rPr>
              <w:t>Client</w:t>
            </w:r>
          </w:p>
        </w:tc>
        <w:tc>
          <w:tcPr>
            <w:tcW w:type="dxa" w:w="5556"/>
            <w:tcMar>
              <w:top w:w="80" w:type="dxa"/>
              <w:bottom w:w="80" w:type="dxa"/>
              <w:left w:w="120" w:type="dxa"/>
              <w:right w:w="120" w:type="dxa"/>
            </w:tcMar>
          </w:tcPr>
          <w:p>
            <w:pPr>
              <w:spacing w:before="0" w:after="0" w:line="276" w:lineRule="auto"/>
            </w:pPr>
            <w:r>
              <w:rPr>
                <w:rFonts w:ascii="Arial" w:hAnsi="Arial" w:eastAsia="Arial" w:cs="Arial"/>
                <w:color w:val="333333"/>
                <w:sz w:val="19"/>
              </w:rPr>
              <w:t>A prospect is registered, KYC documents are verified and the client is confirmed. Sanction screening runs in the background.</w:t>
            </w:r>
          </w:p>
        </w:tc>
        <w:tc>
          <w:tcPr>
            <w:tcW w:type="dxa" w:w="2268"/>
            <w:tcMar>
              <w:top w:w="80" w:type="dxa"/>
              <w:bottom w:w="80" w:type="dxa"/>
              <w:left w:w="120" w:type="dxa"/>
              <w:right w:w="120" w:type="dxa"/>
            </w:tcMar>
          </w:tcPr>
          <w:p>
            <w:pPr>
              <w:spacing w:before="0" w:after="0" w:line="276" w:lineRule="auto"/>
            </w:pPr>
            <w:r>
              <w:rPr>
                <w:rFonts w:ascii="Arial" w:hAnsi="Arial" w:eastAsia="Arial" w:cs="Arial"/>
                <w:color w:val="333333"/>
                <w:sz w:val="19"/>
              </w:rPr>
              <w:t>Account officer, team leader</w:t>
            </w:r>
          </w:p>
        </w:tc>
      </w:tr>
      <w:tr>
        <w:trPr>
          <w:cantSplit/>
        </w:trPr>
        <w:tc>
          <w:tcPr>
            <w:tcW w:type="dxa" w:w="1587"/>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Quotation</w:t>
            </w:r>
          </w:p>
        </w:tc>
        <w:tc>
          <w:tcPr>
            <w:tcW w:type="dxa" w:w="5556"/>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Package products are quoted with the premium calculated on screen and sent to the client.</w:t>
            </w:r>
          </w:p>
        </w:tc>
        <w:tc>
          <w:tcPr>
            <w:tcW w:type="dxa" w:w="226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Account officer, approver</w:t>
            </w:r>
          </w:p>
        </w:tc>
      </w:tr>
      <w:tr>
        <w:trPr>
          <w:cantSplit/>
        </w:trPr>
        <w:tc>
          <w:tcPr>
            <w:tcW w:type="dxa" w:w="1587"/>
            <w:tcMar>
              <w:top w:w="80" w:type="dxa"/>
              <w:bottom w:w="80" w:type="dxa"/>
              <w:left w:w="120" w:type="dxa"/>
              <w:right w:w="120" w:type="dxa"/>
            </w:tcMar>
          </w:tcPr>
          <w:p>
            <w:pPr>
              <w:spacing w:before="0" w:after="0" w:line="276" w:lineRule="auto"/>
            </w:pPr>
            <w:r>
              <w:rPr>
                <w:rFonts w:ascii="Arial" w:hAnsi="Arial" w:eastAsia="Arial" w:cs="Arial"/>
                <w:b/>
                <w:color w:val="0B4F9C"/>
                <w:sz w:val="19"/>
              </w:rPr>
              <w:t>Proposal</w:t>
            </w:r>
          </w:p>
        </w:tc>
        <w:tc>
          <w:tcPr>
            <w:tcW w:type="dxa" w:w="5556"/>
            <w:tcMar>
              <w:top w:w="80" w:type="dxa"/>
              <w:bottom w:w="80" w:type="dxa"/>
              <w:left w:w="120" w:type="dxa"/>
              <w:right w:w="120" w:type="dxa"/>
            </w:tcMar>
          </w:tcPr>
          <w:p>
            <w:pPr>
              <w:spacing w:before="0" w:after="0" w:line="276" w:lineRule="auto"/>
            </w:pPr>
            <w:r>
              <w:rPr>
                <w:rFonts w:ascii="Arial" w:hAnsi="Arial" w:eastAsia="Arial" w:cs="Arial"/>
                <w:color w:val="333333"/>
                <w:sz w:val="19"/>
              </w:rPr>
              <w:t>Risks outside the standard packages go to the Technical Services Unit (TSU), which obtains terms from insurers.</w:t>
            </w:r>
          </w:p>
        </w:tc>
        <w:tc>
          <w:tcPr>
            <w:tcW w:type="dxa" w:w="2268"/>
            <w:tcMar>
              <w:top w:w="80" w:type="dxa"/>
              <w:bottom w:w="80" w:type="dxa"/>
              <w:left w:w="120" w:type="dxa"/>
              <w:right w:w="120" w:type="dxa"/>
            </w:tcMar>
          </w:tcPr>
          <w:p>
            <w:pPr>
              <w:spacing w:before="0" w:after="0" w:line="276" w:lineRule="auto"/>
            </w:pPr>
            <w:r>
              <w:rPr>
                <w:rFonts w:ascii="Arial" w:hAnsi="Arial" w:eastAsia="Arial" w:cs="Arial"/>
                <w:color w:val="333333"/>
                <w:sz w:val="19"/>
              </w:rPr>
              <w:t>Account officer, TSU</w:t>
            </w:r>
          </w:p>
        </w:tc>
      </w:tr>
      <w:tr>
        <w:trPr>
          <w:cantSplit/>
        </w:trPr>
        <w:tc>
          <w:tcPr>
            <w:tcW w:type="dxa" w:w="1587"/>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Account</w:t>
            </w:r>
          </w:p>
        </w:tc>
        <w:tc>
          <w:tcPr>
            <w:tcW w:type="dxa" w:w="5556"/>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The accepted cover is captured as an account with its Account Reference Number (ARN) and submitted to Processing.</w:t>
            </w:r>
          </w:p>
        </w:tc>
        <w:tc>
          <w:tcPr>
            <w:tcW w:type="dxa" w:w="226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Account officer, Processing</w:t>
            </w:r>
          </w:p>
        </w:tc>
      </w:tr>
      <w:tr>
        <w:trPr>
          <w:cantSplit/>
        </w:trPr>
        <w:tc>
          <w:tcPr>
            <w:tcW w:type="dxa" w:w="1587"/>
            <w:tcMar>
              <w:top w:w="80" w:type="dxa"/>
              <w:bottom w:w="80" w:type="dxa"/>
              <w:left w:w="120" w:type="dxa"/>
              <w:right w:w="120" w:type="dxa"/>
            </w:tcMar>
          </w:tcPr>
          <w:p>
            <w:pPr>
              <w:spacing w:before="0" w:after="0" w:line="276" w:lineRule="auto"/>
            </w:pPr>
            <w:r>
              <w:rPr>
                <w:rFonts w:ascii="Arial" w:hAnsi="Arial" w:eastAsia="Arial" w:cs="Arial"/>
                <w:b/>
                <w:color w:val="0B4F9C"/>
                <w:sz w:val="19"/>
              </w:rPr>
              <w:t>Placement</w:t>
            </w:r>
          </w:p>
        </w:tc>
        <w:tc>
          <w:tcPr>
            <w:tcW w:type="dxa" w:w="5556"/>
            <w:tcMar>
              <w:top w:w="80" w:type="dxa"/>
              <w:bottom w:w="80" w:type="dxa"/>
              <w:left w:w="120" w:type="dxa"/>
              <w:right w:w="120" w:type="dxa"/>
            </w:tcMar>
          </w:tcPr>
          <w:p>
            <w:pPr>
              <w:spacing w:before="0" w:after="0" w:line="276" w:lineRule="auto"/>
            </w:pPr>
            <w:r>
              <w:rPr>
                <w:rFonts w:ascii="Arial" w:hAnsi="Arial" w:eastAsia="Arial" w:cs="Arial"/>
                <w:color w:val="333333"/>
                <w:sz w:val="19"/>
              </w:rPr>
              <w:t>Once payment or client confirmation is in, the account is placed with the insurer on a placement slip.</w:t>
            </w:r>
          </w:p>
        </w:tc>
        <w:tc>
          <w:tcPr>
            <w:tcW w:type="dxa" w:w="2268"/>
            <w:tcMar>
              <w:top w:w="80" w:type="dxa"/>
              <w:bottom w:w="80" w:type="dxa"/>
              <w:left w:w="120" w:type="dxa"/>
              <w:right w:w="120" w:type="dxa"/>
            </w:tcMar>
          </w:tcPr>
          <w:p>
            <w:pPr>
              <w:spacing w:before="0" w:after="0" w:line="276" w:lineRule="auto"/>
            </w:pPr>
            <w:r>
              <w:rPr>
                <w:rFonts w:ascii="Arial" w:hAnsi="Arial" w:eastAsia="Arial" w:cs="Arial"/>
                <w:color w:val="333333"/>
                <w:sz w:val="19"/>
              </w:rPr>
              <w:t>Processing</w:t>
            </w:r>
          </w:p>
        </w:tc>
      </w:tr>
      <w:tr>
        <w:trPr>
          <w:cantSplit/>
        </w:trPr>
        <w:tc>
          <w:tcPr>
            <w:tcW w:type="dxa" w:w="1587"/>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Issuance</w:t>
            </w:r>
          </w:p>
        </w:tc>
        <w:tc>
          <w:tcPr>
            <w:tcW w:type="dxa" w:w="5556"/>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The insurer's e-policy is uploaded, reviewed and sent to the client.</w:t>
            </w:r>
          </w:p>
        </w:tc>
        <w:tc>
          <w:tcPr>
            <w:tcW w:type="dxa" w:w="226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Processing, e-policy team</w:t>
            </w:r>
          </w:p>
        </w:tc>
      </w:tr>
      <w:tr>
        <w:trPr>
          <w:cantSplit/>
        </w:trPr>
        <w:tc>
          <w:tcPr>
            <w:tcW w:type="dxa" w:w="1587"/>
            <w:tcMar>
              <w:top w:w="80" w:type="dxa"/>
              <w:bottom w:w="80" w:type="dxa"/>
              <w:left w:w="120" w:type="dxa"/>
              <w:right w:w="120" w:type="dxa"/>
            </w:tcMar>
          </w:tcPr>
          <w:p>
            <w:pPr>
              <w:spacing w:before="0" w:after="0" w:line="276" w:lineRule="auto"/>
            </w:pPr>
            <w:r>
              <w:rPr>
                <w:rFonts w:ascii="Arial" w:hAnsi="Arial" w:eastAsia="Arial" w:cs="Arial"/>
                <w:b/>
                <w:color w:val="0B4F9C"/>
                <w:sz w:val="19"/>
              </w:rPr>
              <w:t>Booking</w:t>
            </w:r>
          </w:p>
        </w:tc>
        <w:tc>
          <w:tcPr>
            <w:tcW w:type="dxa" w:w="5556"/>
            <w:tcMar>
              <w:top w:w="80" w:type="dxa"/>
              <w:bottom w:w="80" w:type="dxa"/>
              <w:left w:w="120" w:type="dxa"/>
              <w:right w:w="120" w:type="dxa"/>
            </w:tcMar>
          </w:tcPr>
          <w:p>
            <w:pPr>
              <w:spacing w:before="0" w:after="0" w:line="276" w:lineRule="auto"/>
            </w:pPr>
            <w:r>
              <w:rPr>
                <w:rFonts w:ascii="Arial" w:hAnsi="Arial" w:eastAsia="Arial" w:cs="Arial"/>
                <w:color w:val="333333"/>
                <w:sz w:val="19"/>
              </w:rPr>
              <w:t>The issued policy is booked as an invoice, with its accounting entries and the commission service invoice to the insurer.</w:t>
            </w:r>
          </w:p>
        </w:tc>
        <w:tc>
          <w:tcPr>
            <w:tcW w:type="dxa" w:w="2268"/>
            <w:tcMar>
              <w:top w:w="80" w:type="dxa"/>
              <w:bottom w:w="80" w:type="dxa"/>
              <w:left w:w="120" w:type="dxa"/>
              <w:right w:w="120" w:type="dxa"/>
            </w:tcMar>
          </w:tcPr>
          <w:p>
            <w:pPr>
              <w:spacing w:before="0" w:after="0" w:line="276" w:lineRule="auto"/>
            </w:pPr>
            <w:r>
              <w:rPr>
                <w:rFonts w:ascii="Arial" w:hAnsi="Arial" w:eastAsia="Arial" w:cs="Arial"/>
                <w:color w:val="333333"/>
                <w:sz w:val="19"/>
              </w:rPr>
              <w:t>Processing</w:t>
            </w:r>
          </w:p>
        </w:tc>
      </w:tr>
      <w:tr>
        <w:trPr>
          <w:cantSplit/>
        </w:trPr>
        <w:tc>
          <w:tcPr>
            <w:tcW w:type="dxa" w:w="1587"/>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Collection</w:t>
            </w:r>
          </w:p>
        </w:tc>
        <w:tc>
          <w:tcPr>
            <w:tcW w:type="dxa" w:w="5556"/>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Premium is followed up, received and applied to the invoice.</w:t>
            </w:r>
          </w:p>
        </w:tc>
        <w:tc>
          <w:tcPr>
            <w:tcW w:type="dxa" w:w="2268"/>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Collections, Cashiering</w:t>
            </w:r>
          </w:p>
        </w:tc>
      </w:tr>
      <w:tr>
        <w:trPr>
          <w:cantSplit/>
        </w:trPr>
        <w:tc>
          <w:tcPr>
            <w:tcW w:type="dxa" w:w="1587"/>
            <w:tcMar>
              <w:top w:w="80" w:type="dxa"/>
              <w:bottom w:w="80" w:type="dxa"/>
              <w:left w:w="120" w:type="dxa"/>
              <w:right w:w="120" w:type="dxa"/>
            </w:tcMar>
          </w:tcPr>
          <w:p>
            <w:pPr>
              <w:spacing w:before="0" w:after="0" w:line="276" w:lineRule="auto"/>
            </w:pPr>
            <w:r>
              <w:rPr>
                <w:rFonts w:ascii="Arial" w:hAnsi="Arial" w:eastAsia="Arial" w:cs="Arial"/>
                <w:b/>
                <w:color w:val="0B4F9C"/>
                <w:sz w:val="19"/>
              </w:rPr>
              <w:t>Remittance</w:t>
            </w:r>
          </w:p>
        </w:tc>
        <w:tc>
          <w:tcPr>
            <w:tcW w:type="dxa" w:w="5556"/>
            <w:tcMar>
              <w:top w:w="80" w:type="dxa"/>
              <w:bottom w:w="80" w:type="dxa"/>
              <w:left w:w="120" w:type="dxa"/>
              <w:right w:w="120" w:type="dxa"/>
            </w:tcMar>
          </w:tcPr>
          <w:p>
            <w:pPr>
              <w:spacing w:before="0" w:after="0" w:line="276" w:lineRule="auto"/>
            </w:pPr>
            <w:r>
              <w:rPr>
                <w:rFonts w:ascii="Arial" w:hAnsi="Arial" w:eastAsia="Arial" w:cs="Arial"/>
                <w:color w:val="333333"/>
                <w:sz w:val="19"/>
              </w:rPr>
              <w:t>Collected premium, net of commission, is remitted to the insurer.</w:t>
            </w:r>
          </w:p>
        </w:tc>
        <w:tc>
          <w:tcPr>
            <w:tcW w:type="dxa" w:w="2268"/>
            <w:tcMar>
              <w:top w:w="80" w:type="dxa"/>
              <w:bottom w:w="80" w:type="dxa"/>
              <w:left w:w="120" w:type="dxa"/>
              <w:right w:w="120" w:type="dxa"/>
            </w:tcMar>
          </w:tcPr>
          <w:p>
            <w:pPr>
              <w:spacing w:before="0" w:after="0" w:line="276" w:lineRule="auto"/>
            </w:pPr>
            <w:r>
              <w:rPr>
                <w:rFonts w:ascii="Arial" w:hAnsi="Arial" w:eastAsia="Arial" w:cs="Arial"/>
                <w:color w:val="333333"/>
                <w:sz w:val="19"/>
              </w:rPr>
              <w:t>Remittance, Disbursement</w:t>
            </w:r>
          </w:p>
        </w:tc>
      </w:tr>
    </w:tbl>
    <w:p>
      <w:pPr>
        <w:spacing w:before="0" w:after="80" w:line="240" w:lineRule="auto"/>
      </w:pPr>
    </w:p>
    <w:p>
      <w:r>
        <w:rPr>
          <w:rFonts w:ascii="Arial" w:hAnsi="Arial" w:eastAsia="Arial" w:cs="Arial"/>
        </w:rPr>
        <w:t>After booking, the account can still change: endorsements and cancellations go through Adjustment, production is reconciled with each insurer every month, and claims are followed up in Claims Handling.</w:t>
      </w:r>
    </w:p>
    <w:p>
      <w:pPr>
        <w:pStyle w:val="Heading1"/>
        <w:pageBreakBefore/>
        <w:pBdr>
          <w:bottom w:val="single" w:sz="12" w:space="6" w:color="00A098"/>
        </w:pBdr>
      </w:pPr>
      <w:r>
        <w:rPr>
          <w:rFonts w:ascii="Arial" w:hAnsi="Arial" w:eastAsia="Arial" w:cs="Arial"/>
        </w:rPr>
        <w:t>5  Client and policy</w:t>
      </w:r>
    </w:p>
    <w:p>
      <w:r>
        <w:rPr>
          <w:rFonts w:ascii="Arial" w:hAnsi="Arial" w:eastAsia="Arial" w:cs="Arial"/>
        </w:rPr>
        <w:t xml:space="preserve">This chapter covers the modules in the </w:t>
      </w:r>
      <w:r>
        <w:rPr>
          <w:rFonts w:ascii="Arial" w:hAnsi="Arial" w:eastAsia="Arial" w:cs="Arial"/>
          <w:b/>
        </w:rPr>
        <w:t>Client &amp; Policy</w:t>
      </w:r>
      <w:r>
        <w:rPr>
          <w:rFonts w:ascii="Arial" w:hAnsi="Arial" w:eastAsia="Arial" w:cs="Arial"/>
        </w:rPr>
        <w:t xml:space="preserve"> menu group, in the order a new piece of business normally uses them.</w:t>
      </w:r>
    </w:p>
    <w:p>
      <w:pPr>
        <w:pStyle w:val="Heading2"/>
      </w:pPr>
      <w:r>
        <w:rPr>
          <w:rFonts w:ascii="Arial" w:hAnsi="Arial" w:eastAsia="Arial" w:cs="Arial"/>
        </w:rPr>
        <w:t>5.1  Clients</w:t>
      </w:r>
    </w:p>
    <w:p>
      <w:r>
        <w:rPr>
          <w:rFonts w:ascii="Arial" w:hAnsi="Arial" w:eastAsia="Arial" w:cs="Arial"/>
        </w:rPr>
        <w:t>The client record holds everything known about a client: identity, contacts and addresses, segment, KYC documents, tags, special instructions and all linked quotations, accounts and claims. A client moves through the stages Prospect, KYC for verification, KYC verified and Confirmed.</w:t>
      </w:r>
    </w:p>
    <w:p>
      <w:pPr>
        <w:pStyle w:val="Heading3"/>
      </w:pPr>
      <w:r>
        <w:rPr>
          <w:rFonts w:ascii="Arial" w:hAnsi="Arial" w:eastAsia="Arial" w:cs="Arial"/>
        </w:rPr>
        <w:t>To register a client and complete KYC</w:t>
      </w:r>
    </w:p>
    <w:p>
      <w:pPr>
        <w:keepNext/>
        <w:tabs>
          <w:tab w:pos="510" w:val="left"/>
        </w:tabs>
        <w:spacing w:before="0" w:after="80"/>
        <w:ind w:left="510" w:hanging="397"/>
      </w:pPr>
      <w:r>
        <w:rPr>
          <w:rFonts w:ascii="Arial" w:hAnsi="Arial" w:eastAsia="Arial" w:cs="Arial"/>
          <w:b/>
          <w:color w:val="0090D8"/>
        </w:rPr>
        <w:t>1.</w:t>
        <w:tab/>
      </w:r>
      <w:r>
        <w:rPr>
          <w:rFonts w:ascii="Arial" w:hAnsi="Arial" w:eastAsia="Arial" w:cs="Arial"/>
        </w:rPr>
        <w:t xml:space="preserve">Go to </w:t>
      </w:r>
      <w:r>
        <w:rPr>
          <w:rFonts w:ascii="Arial" w:hAnsi="Arial" w:eastAsia="Arial" w:cs="Arial"/>
          <w:b/>
        </w:rPr>
        <w:t>Client &amp; Policy &gt; Clients &gt; New Client</w:t>
      </w:r>
      <w:r>
        <w:rPr>
          <w:rFonts w:ascii="Arial" w:hAnsi="Arial" w:eastAsia="Arial" w:cs="Arial"/>
        </w:rPr>
        <w:t>.</w:t>
      </w:r>
    </w:p>
    <w:p>
      <w:pPr>
        <w:keepNext/>
        <w:tabs>
          <w:tab w:pos="510" w:val="left"/>
        </w:tabs>
        <w:spacing w:before="0" w:after="80"/>
        <w:ind w:left="510" w:hanging="397"/>
      </w:pPr>
      <w:r>
        <w:rPr>
          <w:rFonts w:ascii="Arial" w:hAnsi="Arial" w:eastAsia="Arial" w:cs="Arial"/>
          <w:b/>
          <w:color w:val="0090D8"/>
        </w:rPr>
        <w:t>2.</w:t>
        <w:tab/>
      </w:r>
      <w:r>
        <w:rPr>
          <w:rFonts w:ascii="Arial" w:hAnsi="Arial" w:eastAsia="Arial" w:cs="Arial"/>
        </w:rPr>
        <w:t>Choose Individual or Corporate and enter the name. Enter the TIN, ID, e-mail and mobile number if you have them. Possible duplicates are shown as you type; check them before carrying on.</w:t>
      </w:r>
    </w:p>
    <w:p>
      <w:pPr>
        <w:keepNext/>
        <w:tabs>
          <w:tab w:pos="510" w:val="left"/>
        </w:tabs>
        <w:spacing w:before="0" w:after="80"/>
        <w:ind w:left="510" w:hanging="397"/>
      </w:pPr>
      <w:r>
        <w:rPr>
          <w:rFonts w:ascii="Arial" w:hAnsi="Arial" w:eastAsia="Arial" w:cs="Arial"/>
          <w:b/>
          <w:color w:val="0090D8"/>
        </w:rPr>
        <w:t>3.</w:t>
        <w:tab/>
      </w:r>
      <w:r>
        <w:rPr>
          <w:rFonts w:ascii="Arial" w:hAnsi="Arial" w:eastAsia="Arial" w:cs="Arial"/>
        </w:rPr>
        <w:t xml:space="preserve">Click </w:t>
      </w:r>
      <w:r>
        <w:rPr>
          <w:rFonts w:ascii="Arial" w:hAnsi="Arial" w:eastAsia="Arial" w:cs="Arial"/>
          <w:b/>
        </w:rPr>
        <w:t>Save as Prospect</w:t>
      </w:r>
      <w:r>
        <w:rPr>
          <w:rFonts w:ascii="Arial" w:hAnsi="Arial" w:eastAsia="Arial" w:cs="Arial"/>
        </w:rPr>
        <w:t>. The client is saved as a prospect and gets a prospect code.</w:t>
      </w:r>
    </w:p>
    <w:p>
      <w:pPr>
        <w:keepNext/>
        <w:tabs>
          <w:tab w:pos="510" w:val="left"/>
        </w:tabs>
        <w:spacing w:before="0" w:after="80"/>
        <w:ind w:left="510" w:hanging="397"/>
      </w:pPr>
      <w:r>
        <w:rPr>
          <w:rFonts w:ascii="Arial" w:hAnsi="Arial" w:eastAsia="Arial" w:cs="Arial"/>
          <w:b/>
          <w:color w:val="0090D8"/>
        </w:rPr>
        <w:t>4.</w:t>
        <w:tab/>
      </w:r>
      <w:r>
        <w:rPr>
          <w:rFonts w:ascii="Arial" w:hAnsi="Arial" w:eastAsia="Arial" w:cs="Arial"/>
        </w:rPr>
        <w:t xml:space="preserve">On the client page, upload the mandatory KYC documents and click </w:t>
      </w:r>
      <w:r>
        <w:rPr>
          <w:rFonts w:ascii="Arial" w:hAnsi="Arial" w:eastAsia="Arial" w:cs="Arial"/>
          <w:b/>
        </w:rPr>
        <w:t>Submit KYC</w:t>
      </w:r>
      <w:r>
        <w:rPr>
          <w:rFonts w:ascii="Arial" w:hAnsi="Arial" w:eastAsia="Arial" w:cs="Arial"/>
        </w:rPr>
        <w:t>.</w:t>
      </w:r>
    </w:p>
    <w:p>
      <w:pPr>
        <w:tabs>
          <w:tab w:pos="510" w:val="left"/>
        </w:tabs>
        <w:spacing w:before="0" w:after="160"/>
        <w:ind w:left="510" w:hanging="397"/>
      </w:pPr>
      <w:r>
        <w:rPr>
          <w:rFonts w:ascii="Arial" w:hAnsi="Arial" w:eastAsia="Arial" w:cs="Arial"/>
          <w:b/>
          <w:color w:val="0090D8"/>
        </w:rPr>
        <w:t>5.</w:t>
        <w:tab/>
      </w:r>
      <w:r>
        <w:rPr>
          <w:rFonts w:ascii="Arial" w:hAnsi="Arial" w:eastAsia="Arial" w:cs="Arial"/>
        </w:rPr>
        <w:t xml:space="preserve">Your team leader checks the documents and clicks </w:t>
      </w:r>
      <w:r>
        <w:rPr>
          <w:rFonts w:ascii="Arial" w:hAnsi="Arial" w:eastAsia="Arial" w:cs="Arial"/>
          <w:b/>
        </w:rPr>
        <w:t>Verify KYC</w:t>
      </w:r>
      <w:r>
        <w:rPr>
          <w:rFonts w:ascii="Arial" w:hAnsi="Arial" w:eastAsia="Arial" w:cs="Arial"/>
        </w:rPr>
        <w:t>. The client can then be confirmed.</w:t>
      </w:r>
    </w:p>
    <w:p>
      <w:r>
        <w:rPr>
          <w:rFonts w:ascii="Arial" w:hAnsi="Arial" w:eastAsia="Arial" w:cs="Arial"/>
        </w:rPr>
        <w:t xml:space="preserve">A prospect is enough to prepare a quotation, but the client must be confirmed before accounts can be created. </w:t>
      </w:r>
      <w:r>
        <w:rPr>
          <w:rFonts w:ascii="Arial" w:hAnsi="Arial" w:eastAsia="Arial" w:cs="Arial"/>
          <w:b/>
        </w:rPr>
        <w:t>KYC Reviews Due</w:t>
      </w:r>
      <w:r>
        <w:rPr>
          <w:rFonts w:ascii="Arial" w:hAnsi="Arial" w:eastAsia="Arial" w:cs="Arial"/>
        </w:rPr>
        <w:t xml:space="preserve"> lists clients whose periodic KYC review is overdue or coming up.</w:t>
      </w:r>
    </w:p>
    <w:p>
      <w:pPr>
        <w:pStyle w:val="Heading2"/>
      </w:pPr>
      <w:r>
        <w:rPr>
          <w:rFonts w:ascii="Arial" w:hAnsi="Arial" w:eastAsia="Arial" w:cs="Arial"/>
        </w:rPr>
        <w:t>5.2  Sanction screening</w:t>
      </w:r>
    </w:p>
    <w:p>
      <w:r>
        <w:rPr>
          <w:rFonts w:ascii="Arial" w:hAnsi="Arial" w:eastAsia="Arial" w:cs="Arial"/>
        </w:rPr>
        <w:t xml:space="preserve">BrokerVerse checks clients against the sanctions, PEP and internal watchlists when they are registered, when an account is submitted, when a list changes and in a nightly run. A possible match becomes a screening case, which Compliance investigates and decides. Most users only notice screening when a client is put on hold pending a decision. Compliance staff work from </w:t>
      </w:r>
      <w:r>
        <w:rPr>
          <w:rFonts w:ascii="Arial" w:hAnsi="Arial" w:eastAsia="Arial" w:cs="Arial"/>
          <w:b/>
        </w:rPr>
        <w:t>Screening Home</w:t>
      </w:r>
      <w:r>
        <w:rPr>
          <w:rFonts w:ascii="Arial" w:hAnsi="Arial" w:eastAsia="Arial" w:cs="Arial"/>
        </w:rPr>
        <w:t xml:space="preserve">, </w:t>
      </w:r>
      <w:r>
        <w:rPr>
          <w:rFonts w:ascii="Arial" w:hAnsi="Arial" w:eastAsia="Arial" w:cs="Arial"/>
          <w:b/>
        </w:rPr>
        <w:t>Cases</w:t>
      </w:r>
      <w:r>
        <w:rPr>
          <w:rFonts w:ascii="Arial" w:hAnsi="Arial" w:eastAsia="Arial" w:cs="Arial"/>
        </w:rPr>
        <w:t xml:space="preserve"> and </w:t>
      </w:r>
      <w:r>
        <w:rPr>
          <w:rFonts w:ascii="Arial" w:hAnsi="Arial" w:eastAsia="Arial" w:cs="Arial"/>
          <w:b/>
        </w:rPr>
        <w:t>Matches</w:t>
      </w:r>
      <w:r>
        <w:rPr>
          <w:rFonts w:ascii="Arial" w:hAnsi="Arial" w:eastAsia="Arial" w:cs="Arial"/>
        </w:rPr>
        <w:t>.</w:t>
      </w:r>
    </w:p>
    <w:p>
      <w:pPr>
        <w:pStyle w:val="Heading2"/>
      </w:pPr>
      <w:r>
        <w:rPr>
          <w:rFonts w:ascii="Arial" w:hAnsi="Arial" w:eastAsia="Arial" w:cs="Arial"/>
        </w:rPr>
        <w:t>5.3  Quotations</w:t>
      </w:r>
    </w:p>
    <w:p>
      <w:r>
        <w:rPr>
          <w:rFonts w:ascii="Arial" w:hAnsi="Arial" w:eastAsia="Arial" w:cs="Arial"/>
        </w:rPr>
        <w:t>Quotations are for package products. Each quotation has a Quotation No. and an ARN, which every account created from it carries.</w:t>
      </w:r>
    </w:p>
    <w:p>
      <w:pPr>
        <w:pStyle w:val="Heading3"/>
      </w:pPr>
      <w:r>
        <w:rPr>
          <w:rFonts w:ascii="Arial" w:hAnsi="Arial" w:eastAsia="Arial" w:cs="Arial"/>
        </w:rPr>
        <w:t>To create a quotation</w:t>
      </w:r>
    </w:p>
    <w:p>
      <w:pPr>
        <w:keepNext/>
        <w:tabs>
          <w:tab w:pos="510" w:val="left"/>
        </w:tabs>
        <w:spacing w:before="0" w:after="80"/>
        <w:ind w:left="510" w:hanging="397"/>
      </w:pPr>
      <w:r>
        <w:rPr>
          <w:rFonts w:ascii="Arial" w:hAnsi="Arial" w:eastAsia="Arial" w:cs="Arial"/>
          <w:b/>
          <w:color w:val="0090D8"/>
        </w:rPr>
        <w:t>1.</w:t>
        <w:tab/>
      </w:r>
      <w:r>
        <w:rPr>
          <w:rFonts w:ascii="Arial" w:hAnsi="Arial" w:eastAsia="Arial" w:cs="Arial"/>
        </w:rPr>
        <w:t xml:space="preserve">Go to </w:t>
      </w:r>
      <w:r>
        <w:rPr>
          <w:rFonts w:ascii="Arial" w:hAnsi="Arial" w:eastAsia="Arial" w:cs="Arial"/>
          <w:b/>
        </w:rPr>
        <w:t>Quotation / Proposal &gt; New Quotation</w:t>
      </w:r>
      <w:r>
        <w:rPr>
          <w:rFonts w:ascii="Arial" w:hAnsi="Arial" w:eastAsia="Arial" w:cs="Arial"/>
        </w:rPr>
        <w:t>.</w:t>
      </w:r>
    </w:p>
    <w:p>
      <w:pPr>
        <w:keepNext/>
        <w:tabs>
          <w:tab w:pos="510" w:val="left"/>
        </w:tabs>
        <w:spacing w:before="0" w:after="80"/>
        <w:ind w:left="510" w:hanging="397"/>
      </w:pPr>
      <w:r>
        <w:rPr>
          <w:rFonts w:ascii="Arial" w:hAnsi="Arial" w:eastAsia="Arial" w:cs="Arial"/>
          <w:b/>
          <w:color w:val="0090D8"/>
        </w:rPr>
        <w:t>2.</w:t>
        <w:tab/>
      </w:r>
      <w:r>
        <w:rPr>
          <w:rFonts w:ascii="Arial" w:hAnsi="Arial" w:eastAsia="Arial" w:cs="Arial"/>
        </w:rPr>
        <w:t>Choose the client or prospect.</w:t>
      </w:r>
    </w:p>
    <w:p>
      <w:pPr>
        <w:keepNext/>
        <w:tabs>
          <w:tab w:pos="510" w:val="left"/>
        </w:tabs>
        <w:spacing w:before="0" w:after="80"/>
        <w:ind w:left="510" w:hanging="397"/>
      </w:pPr>
      <w:r>
        <w:rPr>
          <w:rFonts w:ascii="Arial" w:hAnsi="Arial" w:eastAsia="Arial" w:cs="Arial"/>
          <w:b/>
          <w:color w:val="0090D8"/>
        </w:rPr>
        <w:t>3.</w:t>
        <w:tab/>
      </w:r>
      <w:r>
        <w:rPr>
          <w:rFonts w:ascii="Arial" w:hAnsi="Arial" w:eastAsia="Arial" w:cs="Arial"/>
        </w:rPr>
        <w:t>Choose the product and enter the terms: insurer, period and validity.</w:t>
      </w:r>
    </w:p>
    <w:p>
      <w:pPr>
        <w:keepNext/>
        <w:tabs>
          <w:tab w:pos="510" w:val="left"/>
        </w:tabs>
        <w:spacing w:before="0" w:after="80"/>
        <w:ind w:left="510" w:hanging="397"/>
      </w:pPr>
      <w:r>
        <w:rPr>
          <w:rFonts w:ascii="Arial" w:hAnsi="Arial" w:eastAsia="Arial" w:cs="Arial"/>
          <w:b/>
          <w:color w:val="0090D8"/>
        </w:rPr>
        <w:t>4.</w:t>
        <w:tab/>
      </w:r>
      <w:r>
        <w:rPr>
          <w:rFonts w:ascii="Arial" w:hAnsi="Arial" w:eastAsia="Arial" w:cs="Arial"/>
        </w:rPr>
        <w:t>Add the risk items (vehicles, locations or persons). Items that share a risk group become one account when the client accepts them.</w:t>
      </w:r>
    </w:p>
    <w:p>
      <w:pPr>
        <w:keepNext/>
        <w:tabs>
          <w:tab w:pos="510" w:val="left"/>
        </w:tabs>
        <w:spacing w:before="0" w:after="80"/>
        <w:ind w:left="510" w:hanging="397"/>
      </w:pPr>
      <w:r>
        <w:rPr>
          <w:rFonts w:ascii="Arial" w:hAnsi="Arial" w:eastAsia="Arial" w:cs="Arial"/>
          <w:b/>
          <w:color w:val="0090D8"/>
        </w:rPr>
        <w:t>5.</w:t>
        <w:tab/>
      </w:r>
      <w:r>
        <w:rPr>
          <w:rFonts w:ascii="Arial" w:hAnsi="Arial" w:eastAsia="Arial" w:cs="Arial"/>
        </w:rPr>
        <w:t>Check the premium, which is calculated as you enter the details.</w:t>
      </w:r>
    </w:p>
    <w:p>
      <w:pPr>
        <w:tabs>
          <w:tab w:pos="510" w:val="left"/>
        </w:tabs>
        <w:spacing w:before="0" w:after="160"/>
        <w:ind w:left="510" w:hanging="397"/>
      </w:pPr>
      <w:r>
        <w:rPr>
          <w:rFonts w:ascii="Arial" w:hAnsi="Arial" w:eastAsia="Arial" w:cs="Arial"/>
          <w:b/>
          <w:color w:val="0090D8"/>
        </w:rPr>
        <w:t>6.</w:t>
        <w:tab/>
      </w:r>
      <w:r>
        <w:rPr>
          <w:rFonts w:ascii="Arial" w:hAnsi="Arial" w:eastAsia="Arial" w:cs="Arial"/>
        </w:rPr>
        <w:t xml:space="preserve">Review, then click </w:t>
      </w:r>
      <w:r>
        <w:rPr>
          <w:rFonts w:ascii="Arial" w:hAnsi="Arial" w:eastAsia="Arial" w:cs="Arial"/>
          <w:b/>
        </w:rPr>
        <w:t>Save Draft</w:t>
      </w:r>
      <w:r>
        <w:rPr>
          <w:rFonts w:ascii="Arial" w:hAnsi="Arial" w:eastAsia="Arial" w:cs="Arial"/>
        </w:rPr>
        <w:t xml:space="preserve"> or </w:t>
      </w:r>
      <w:r>
        <w:rPr>
          <w:rFonts w:ascii="Arial" w:hAnsi="Arial" w:eastAsia="Arial" w:cs="Arial"/>
          <w:b/>
        </w:rPr>
        <w:t>Submit for Review</w:t>
      </w:r>
      <w:r>
        <w:rPr>
          <w:rFonts w:ascii="Arial" w:hAnsi="Arial" w:eastAsia="Arial" w:cs="Arial"/>
        </w:rPr>
        <w:t>.</w:t>
      </w:r>
    </w:p>
    <w:p>
      <w:r>
        <w:rPr>
          <w:rFonts w:ascii="Arial" w:hAnsi="Arial" w:eastAsia="Arial" w:cs="Arial"/>
        </w:rPr>
        <w:t xml:space="preserve">Once approved, quotations can be sent to clients from the </w:t>
      </w:r>
      <w:r>
        <w:rPr>
          <w:rFonts w:ascii="Arial" w:hAnsi="Arial" w:eastAsia="Arial" w:cs="Arial"/>
          <w:b/>
        </w:rPr>
        <w:t>For Review</w:t>
      </w:r>
      <w:r>
        <w:rPr>
          <w:rFonts w:ascii="Arial" w:hAnsi="Arial" w:eastAsia="Arial" w:cs="Arial"/>
        </w:rPr>
        <w:t xml:space="preserve"> tab with </w:t>
      </w:r>
      <w:r>
        <w:rPr>
          <w:rFonts w:ascii="Arial" w:hAnsi="Arial" w:eastAsia="Arial" w:cs="Arial"/>
          <w:b/>
        </w:rPr>
        <w:t>Send via Email</w:t>
      </w:r>
      <w:r>
        <w:rPr>
          <w:rFonts w:ascii="Arial" w:hAnsi="Arial" w:eastAsia="Arial" w:cs="Arial"/>
        </w:rPr>
        <w:t xml:space="preserve">. Each client receives one e-mail with its quotations, and the password to open them follows separately. </w:t>
      </w:r>
      <w:r>
        <w:rPr>
          <w:rFonts w:ascii="Arial" w:hAnsi="Arial" w:eastAsia="Arial" w:cs="Arial"/>
          <w:b/>
        </w:rPr>
        <w:t>Quotation Requests</w:t>
      </w:r>
      <w:r>
        <w:rPr>
          <w:rFonts w:ascii="Arial" w:hAnsi="Arial" w:eastAsia="Arial" w:cs="Arial"/>
        </w:rPr>
        <w:t xml:space="preserve"> holds requests received by e-mail or upload that are still waiting to be quoted.</w:t>
      </w:r>
    </w:p>
    <w:p>
      <w:pPr>
        <w:pStyle w:val="Heading2"/>
      </w:pPr>
      <w:r>
        <w:rPr>
          <w:rFonts w:ascii="Arial" w:hAnsi="Arial" w:eastAsia="Arial" w:cs="Arial"/>
        </w:rPr>
        <w:t>5.4  Proposal requests (non-package risks)</w:t>
      </w:r>
    </w:p>
    <w:p>
      <w:r>
        <w:rPr>
          <w:rFonts w:ascii="Arial" w:hAnsi="Arial" w:eastAsia="Arial" w:cs="Arial"/>
        </w:rPr>
        <w:t xml:space="preserve">Risks that do not fit a standard package, or that a package rule sends for technical review, go through a Proposal Request Form (PRF). The account officer raises the PRF with the risk details, the insurers to approach and the required documents. The Technical Services Unit (TSU) works it from the </w:t>
      </w:r>
      <w:r>
        <w:rPr>
          <w:rFonts w:ascii="Arial" w:hAnsi="Arial" w:eastAsia="Arial" w:cs="Arial"/>
          <w:b/>
        </w:rPr>
        <w:t>TSU Workbench</w:t>
      </w:r>
      <w:r>
        <w:rPr>
          <w:rFonts w:ascii="Arial" w:hAnsi="Arial" w:eastAsia="Arial" w:cs="Arial"/>
        </w:rPr>
        <w:t>, obtains terms from the insurers and prepares the proposal slip, which the account officer then sends to the client.</w:t>
      </w:r>
    </w:p>
    <w:p>
      <w:pPr>
        <w:pStyle w:val="Heading2"/>
      </w:pPr>
      <w:r>
        <w:rPr>
          <w:rFonts w:ascii="Arial" w:hAnsi="Arial" w:eastAsia="Arial" w:cs="Arial"/>
        </w:rPr>
        <w:t>5.5  Accounts</w:t>
      </w:r>
    </w:p>
    <w:p>
      <w:r>
        <w:rPr>
          <w:rFonts w:ascii="Arial" w:hAnsi="Arial" w:eastAsia="Arial" w:cs="Arial"/>
        </w:rPr>
        <w:t>An account is the cover the client has accepted. It carries the ARN from the quotation and moves from Marketing to Processing, then on to payment, placement, policy issuance and booking.</w:t>
      </w:r>
    </w:p>
    <w:p>
      <w:pPr>
        <w:pStyle w:val="Heading3"/>
      </w:pPr>
      <w:r>
        <w:rPr>
          <w:rFonts w:ascii="Arial" w:hAnsi="Arial" w:eastAsia="Arial" w:cs="Arial"/>
        </w:rPr>
        <w:t>To create and submit an account</w:t>
      </w:r>
    </w:p>
    <w:p>
      <w:pPr>
        <w:keepNext/>
        <w:tabs>
          <w:tab w:pos="510" w:val="left"/>
        </w:tabs>
        <w:spacing w:before="0" w:after="80"/>
        <w:ind w:left="510" w:hanging="397"/>
      </w:pPr>
      <w:r>
        <w:rPr>
          <w:rFonts w:ascii="Arial" w:hAnsi="Arial" w:eastAsia="Arial" w:cs="Arial"/>
          <w:b/>
          <w:color w:val="0090D8"/>
        </w:rPr>
        <w:t>1.</w:t>
        <w:tab/>
      </w:r>
      <w:r>
        <w:rPr>
          <w:rFonts w:ascii="Arial" w:hAnsi="Arial" w:eastAsia="Arial" w:cs="Arial"/>
        </w:rPr>
        <w:t xml:space="preserve">Go to </w:t>
      </w:r>
      <w:r>
        <w:rPr>
          <w:rFonts w:ascii="Arial" w:hAnsi="Arial" w:eastAsia="Arial" w:cs="Arial"/>
          <w:b/>
        </w:rPr>
        <w:t>Accounts &amp; Placement &gt; New Account</w:t>
      </w:r>
      <w:r>
        <w:rPr>
          <w:rFonts w:ascii="Arial" w:hAnsi="Arial" w:eastAsia="Arial" w:cs="Arial"/>
        </w:rPr>
        <w:t>.</w:t>
      </w:r>
    </w:p>
    <w:p>
      <w:pPr>
        <w:keepNext/>
        <w:tabs>
          <w:tab w:pos="510" w:val="left"/>
        </w:tabs>
        <w:spacing w:before="0" w:after="80"/>
        <w:ind w:left="510" w:hanging="397"/>
      </w:pPr>
      <w:r>
        <w:rPr>
          <w:rFonts w:ascii="Arial" w:hAnsi="Arial" w:eastAsia="Arial" w:cs="Arial"/>
          <w:b/>
          <w:color w:val="0090D8"/>
        </w:rPr>
        <w:t>2.</w:t>
        <w:tab/>
      </w:r>
      <w:r>
        <w:rPr>
          <w:rFonts w:ascii="Arial" w:hAnsi="Arial" w:eastAsia="Arial" w:cs="Arial"/>
        </w:rPr>
        <w:t>Choose the client and the product. From this point the draft is saved automatically every 30 seconds and receives its ARN.</w:t>
      </w:r>
    </w:p>
    <w:p>
      <w:pPr>
        <w:keepNext/>
        <w:tabs>
          <w:tab w:pos="510" w:val="left"/>
        </w:tabs>
        <w:spacing w:before="0" w:after="80"/>
        <w:ind w:left="510" w:hanging="397"/>
      </w:pPr>
      <w:r>
        <w:rPr>
          <w:rFonts w:ascii="Arial" w:hAnsi="Arial" w:eastAsia="Arial" w:cs="Arial"/>
          <w:b/>
          <w:color w:val="0090D8"/>
        </w:rPr>
        <w:t>3.</w:t>
        <w:tab/>
      </w:r>
      <w:r>
        <w:rPr>
          <w:rFonts w:ascii="Arial" w:hAnsi="Arial" w:eastAsia="Arial" w:cs="Arial"/>
        </w:rPr>
        <w:t>Enter the period and payment details, then the risk items.</w:t>
      </w:r>
    </w:p>
    <w:p>
      <w:pPr>
        <w:keepNext/>
        <w:tabs>
          <w:tab w:pos="510" w:val="left"/>
        </w:tabs>
        <w:spacing w:before="0" w:after="80"/>
        <w:ind w:left="510" w:hanging="397"/>
      </w:pPr>
      <w:r>
        <w:rPr>
          <w:rFonts w:ascii="Arial" w:hAnsi="Arial" w:eastAsia="Arial" w:cs="Arial"/>
          <w:b/>
          <w:color w:val="0090D8"/>
        </w:rPr>
        <w:t>4.</w:t>
        <w:tab/>
      </w:r>
      <w:r>
        <w:rPr>
          <w:rFonts w:ascii="Arial" w:hAnsi="Arial" w:eastAsia="Arial" w:cs="Arial"/>
        </w:rPr>
        <w:t>Enter the contact details and check the premium.</w:t>
      </w:r>
    </w:p>
    <w:p>
      <w:pPr>
        <w:keepNext/>
        <w:tabs>
          <w:tab w:pos="510" w:val="left"/>
        </w:tabs>
        <w:spacing w:before="0" w:after="80"/>
        <w:ind w:left="510" w:hanging="397"/>
      </w:pPr>
      <w:r>
        <w:rPr>
          <w:rFonts w:ascii="Arial" w:hAnsi="Arial" w:eastAsia="Arial" w:cs="Arial"/>
          <w:b/>
          <w:color w:val="0090D8"/>
        </w:rPr>
        <w:t>5.</w:t>
        <w:tab/>
      </w:r>
      <w:r>
        <w:rPr>
          <w:rFonts w:ascii="Arial" w:hAnsi="Arial" w:eastAsia="Arial" w:cs="Arial"/>
        </w:rPr>
        <w:t>In the review step, attach the required documents. The completeness check tells you if anything is missing.</w:t>
      </w:r>
    </w:p>
    <w:p>
      <w:pPr>
        <w:tabs>
          <w:tab w:pos="510" w:val="left"/>
        </w:tabs>
        <w:spacing w:before="0" w:after="160"/>
        <w:ind w:left="510" w:hanging="397"/>
      </w:pPr>
      <w:r>
        <w:rPr>
          <w:rFonts w:ascii="Arial" w:hAnsi="Arial" w:eastAsia="Arial" w:cs="Arial"/>
          <w:b/>
          <w:color w:val="0090D8"/>
        </w:rPr>
        <w:t>6.</w:t>
        <w:tab/>
      </w:r>
      <w:r>
        <w:rPr>
          <w:rFonts w:ascii="Arial" w:hAnsi="Arial" w:eastAsia="Arial" w:cs="Arial"/>
        </w:rPr>
        <w:t xml:space="preserve">Click </w:t>
      </w:r>
      <w:r>
        <w:rPr>
          <w:rFonts w:ascii="Arial" w:hAnsi="Arial" w:eastAsia="Arial" w:cs="Arial"/>
          <w:b/>
        </w:rPr>
        <w:t>Submit to Processing</w:t>
      </w:r>
      <w:r>
        <w:rPr>
          <w:rFonts w:ascii="Arial" w:hAnsi="Arial" w:eastAsia="Arial" w:cs="Arial"/>
        </w:rPr>
        <w:t>. The account goes to Processing for validation.</w:t>
      </w:r>
    </w:p>
    <w:p>
      <w:r>
        <w:rPr>
          <w:rFonts w:ascii="Arial" w:hAnsi="Arial" w:eastAsia="Arial" w:cs="Arial"/>
        </w:rPr>
        <w:t xml:space="preserve">If Processing returns the account, it comes back to the account officer who created it with the reason. Make the corrections and click </w:t>
      </w:r>
      <w:r>
        <w:rPr>
          <w:rFonts w:ascii="Arial" w:hAnsi="Arial" w:eastAsia="Arial" w:cs="Arial"/>
          <w:b/>
        </w:rPr>
        <w:t>Resubmit to Processing</w:t>
      </w:r>
      <w:r>
        <w:rPr>
          <w:rFonts w:ascii="Arial" w:hAnsi="Arial" w:eastAsia="Arial" w:cs="Arial"/>
        </w:rPr>
        <w:t xml:space="preserve">. Accounts where the client pays the insurer directly are tagged </w:t>
      </w:r>
      <w:r>
        <w:rPr>
          <w:rFonts w:ascii="Arial" w:hAnsi="Arial" w:eastAsia="Arial" w:cs="Arial"/>
          <w:b/>
        </w:rPr>
        <w:t>Direct Payment</w:t>
      </w:r>
      <w:r>
        <w:rPr>
          <w:rFonts w:ascii="Arial" w:hAnsi="Arial" w:eastAsia="Arial" w:cs="Arial"/>
        </w:rPr>
        <w:t xml:space="preserve">; accounts with a free first year are tagged </w:t>
      </w:r>
      <w:r>
        <w:rPr>
          <w:rFonts w:ascii="Arial" w:hAnsi="Arial" w:eastAsia="Arial" w:cs="Arial"/>
          <w:b/>
        </w:rPr>
        <w:t>FFY</w:t>
      </w:r>
      <w:r>
        <w:rPr>
          <w:rFonts w:ascii="Arial" w:hAnsi="Arial" w:eastAsia="Arial" w:cs="Arial"/>
        </w:rPr>
        <w:t>. Both tags are set on the account's Details tab.</w:t>
      </w:r>
    </w:p>
    <w:p>
      <w:pPr>
        <w:pStyle w:val="Heading2"/>
      </w:pPr>
      <w:r>
        <w:rPr>
          <w:rFonts w:ascii="Arial" w:hAnsi="Arial" w:eastAsia="Arial" w:cs="Arial"/>
        </w:rPr>
        <w:t>5.6  Employee benefits</w:t>
      </w:r>
    </w:p>
    <w:p>
      <w:r>
        <w:rPr>
          <w:rFonts w:ascii="Arial" w:hAnsi="Arial" w:eastAsia="Arial" w:cs="Arial"/>
        </w:rPr>
        <w:t xml:space="preserve">The Employee Benefits module runs group health, group life and group personal accident programmes. A programme holds its benefit lines, HR contacts, documents and yearly cycle: renewal advice, insurer proposals, the comparative and its sign-off, the client's decision and placement. </w:t>
      </w:r>
      <w:r>
        <w:rPr>
          <w:rFonts w:ascii="Arial" w:hAnsi="Arial" w:eastAsia="Arial" w:cs="Arial"/>
          <w:b/>
        </w:rPr>
        <w:t>Member Changes</w:t>
      </w:r>
      <w:r>
        <w:rPr>
          <w:rFonts w:ascii="Arial" w:hAnsi="Arial" w:eastAsia="Arial" w:cs="Arial"/>
        </w:rPr>
        <w:t xml:space="preserve"> tracks additions, deletions and plan changes; </w:t>
      </w:r>
      <w:r>
        <w:rPr>
          <w:rFonts w:ascii="Arial" w:hAnsi="Arial" w:eastAsia="Arial" w:cs="Arial"/>
          <w:b/>
        </w:rPr>
        <w:t>Pending Items</w:t>
      </w:r>
      <w:r>
        <w:rPr>
          <w:rFonts w:ascii="Arial" w:hAnsi="Arial" w:eastAsia="Arial" w:cs="Arial"/>
        </w:rPr>
        <w:t xml:space="preserve"> follows contracts, cards and billings still to be received.</w:t>
      </w:r>
    </w:p>
    <w:p>
      <w:pPr>
        <w:pStyle w:val="Heading2"/>
      </w:pPr>
      <w:r>
        <w:rPr>
          <w:rFonts w:ascii="Arial" w:hAnsi="Arial" w:eastAsia="Arial" w:cs="Arial"/>
        </w:rPr>
        <w:t>5.7  Placement</w:t>
      </w:r>
    </w:p>
    <w:p>
      <w:r>
        <w:rPr>
          <w:rFonts w:ascii="Arial" w:hAnsi="Arial" w:eastAsia="Arial" w:cs="Arial"/>
        </w:rPr>
        <w:t xml:space="preserve">Processing places validated accounts with the insurers from the </w:t>
      </w:r>
      <w:r>
        <w:rPr>
          <w:rFonts w:ascii="Arial" w:hAnsi="Arial" w:eastAsia="Arial" w:cs="Arial"/>
          <w:b/>
        </w:rPr>
        <w:t>Placement Workbench</w:t>
      </w:r>
      <w:r>
        <w:rPr>
          <w:rFonts w:ascii="Arial" w:hAnsi="Arial" w:eastAsia="Arial" w:cs="Arial"/>
        </w:rPr>
        <w:t xml:space="preserve">. Its tiles and tabs show accounts awaiting payment, ready for placement, placed, returned by the insurer and with hold cover about to expire. Placement slips are produced per insurer branch and can be downloaded as PDF or Excel from </w:t>
      </w:r>
      <w:r>
        <w:rPr>
          <w:rFonts w:ascii="Arial" w:hAnsi="Arial" w:eastAsia="Arial" w:cs="Arial"/>
          <w:b/>
        </w:rPr>
        <w:t>Placement Slips</w:t>
      </w:r>
      <w:r>
        <w:rPr>
          <w:rFonts w:ascii="Arial" w:hAnsi="Arial" w:eastAsia="Arial" w:cs="Arial"/>
        </w:rPr>
        <w:t>, together with their send history.</w:t>
      </w:r>
    </w:p>
    <w:p>
      <w:pPr>
        <w:pStyle w:val="Heading2"/>
      </w:pPr>
      <w:r>
        <w:rPr>
          <w:rFonts w:ascii="Arial" w:hAnsi="Arial" w:eastAsia="Arial" w:cs="Arial"/>
        </w:rPr>
        <w:t>5.8  Policy issuance</w:t>
      </w:r>
    </w:p>
    <w:p>
      <w:r>
        <w:rPr>
          <w:rFonts w:ascii="Arial" w:hAnsi="Arial" w:eastAsia="Arial" w:cs="Arial"/>
        </w:rPr>
        <w:t xml:space="preserve">The </w:t>
      </w:r>
      <w:r>
        <w:rPr>
          <w:rFonts w:ascii="Arial" w:hAnsi="Arial" w:eastAsia="Arial" w:cs="Arial"/>
          <w:b/>
        </w:rPr>
        <w:t>Issuance Workbench</w:t>
      </w:r>
      <w:r>
        <w:rPr>
          <w:rFonts w:ascii="Arial" w:hAnsi="Arial" w:eastAsia="Arial" w:cs="Arial"/>
        </w:rPr>
        <w:t xml:space="preserve"> follows placed accounts until the policy is issued.</w:t>
      </w:r>
    </w:p>
    <w:p>
      <w:pPr>
        <w:pStyle w:val="ListBullet"/>
        <w:spacing w:before="0" w:after="80"/>
        <w:ind w:left="510" w:hanging="283"/>
      </w:pPr>
      <w:r>
        <w:rPr>
          <w:rFonts w:ascii="Arial" w:hAnsi="Arial" w:eastAsia="Arial" w:cs="Arial"/>
          <w:b/>
        </w:rPr>
        <w:t>E-policy Upload</w:t>
      </w:r>
      <w:r>
        <w:rPr>
          <w:rFonts w:ascii="Arial" w:hAnsi="Arial" w:eastAsia="Arial" w:cs="Arial"/>
        </w:rPr>
        <w:t>: upload one e-policy, or many at once. Each file is matched to its account by ARN or policy number, then reviewed before the policy number is updated.</w:t>
      </w:r>
    </w:p>
    <w:p>
      <w:pPr>
        <w:pStyle w:val="ListBullet"/>
        <w:spacing w:before="0" w:after="80"/>
        <w:ind w:left="510" w:hanging="283"/>
      </w:pPr>
      <w:r>
        <w:rPr>
          <w:rFonts w:ascii="Arial" w:hAnsi="Arial" w:eastAsia="Arial" w:cs="Arial"/>
          <w:b/>
        </w:rPr>
        <w:t>Insurance Advice</w:t>
      </w:r>
      <w:r>
        <w:rPr>
          <w:rFonts w:ascii="Arial" w:hAnsi="Arial" w:eastAsia="Arial" w:cs="Arial"/>
        </w:rPr>
        <w:t>: produce and send the Insurance Advice for mortgaged accounts to the mortgagee bank.</w:t>
      </w:r>
    </w:p>
    <w:p>
      <w:pPr>
        <w:pStyle w:val="ListBullet"/>
        <w:spacing w:before="0" w:after="80"/>
        <w:ind w:left="510" w:hanging="283"/>
      </w:pPr>
      <w:r>
        <w:rPr>
          <w:rFonts w:ascii="Arial" w:hAnsi="Arial" w:eastAsia="Arial" w:cs="Arial"/>
          <w:b/>
        </w:rPr>
        <w:t>E-policy Dispatch</w:t>
      </w:r>
      <w:r>
        <w:rPr>
          <w:rFonts w:ascii="Arial" w:hAnsi="Arial" w:eastAsia="Arial" w:cs="Arial"/>
        </w:rPr>
        <w:t>: send confirmed e-policies to clients one by one or in a batch, and follow each delivery.</w:t>
      </w:r>
    </w:p>
    <w:p>
      <w:pPr>
        <w:pStyle w:val="Heading2"/>
      </w:pPr>
      <w:r>
        <w:rPr>
          <w:rFonts w:ascii="Arial" w:hAnsi="Arial" w:eastAsia="Arial" w:cs="Arial"/>
        </w:rPr>
        <w:t>5.9  Booking</w:t>
      </w:r>
    </w:p>
    <w:p>
      <w:r>
        <w:rPr>
          <w:rFonts w:ascii="Arial" w:hAnsi="Arial" w:eastAsia="Arial" w:cs="Arial"/>
        </w:rPr>
        <w:t xml:space="preserve">Booking turns an issued policy into a booked invoice in one step: the accounting entries, the client and insurer balances, and the commission service invoice to the insurer. Accounts ready to book are listed in the </w:t>
      </w:r>
      <w:r>
        <w:rPr>
          <w:rFonts w:ascii="Arial" w:hAnsi="Arial" w:eastAsia="Arial" w:cs="Arial"/>
          <w:b/>
        </w:rPr>
        <w:t>Booking Workbench</w:t>
      </w:r>
      <w:r>
        <w:rPr>
          <w:rFonts w:ascii="Arial" w:hAnsi="Arial" w:eastAsia="Arial" w:cs="Arial"/>
        </w:rPr>
        <w:t xml:space="preserve">. They can be booked individually or in batches, and </w:t>
      </w:r>
      <w:r>
        <w:rPr>
          <w:rFonts w:ascii="Arial" w:hAnsi="Arial" w:eastAsia="Arial" w:cs="Arial"/>
          <w:b/>
        </w:rPr>
        <w:t>Batch Runs</w:t>
      </w:r>
      <w:r>
        <w:rPr>
          <w:rFonts w:ascii="Arial" w:hAnsi="Arial" w:eastAsia="Arial" w:cs="Arial"/>
        </w:rPr>
        <w:t xml:space="preserve"> shows the result of each account in a batch.</w:t>
      </w:r>
    </w:p>
    <w:p>
      <w:pPr>
        <w:pStyle w:val="Heading2"/>
      </w:pPr>
      <w:r>
        <w:rPr>
          <w:rFonts w:ascii="Arial" w:hAnsi="Arial" w:eastAsia="Arial" w:cs="Arial"/>
        </w:rPr>
        <w:t>5.10  Endorsements and adjustments</w:t>
      </w:r>
    </w:p>
    <w:p>
      <w:r>
        <w:rPr>
          <w:rFonts w:ascii="Arial" w:hAnsi="Arial" w:eastAsia="Arial" w:cs="Arial"/>
        </w:rPr>
        <w:t xml:space="preserve">Changes to a booked account (positive, negative and non-financial endorsements, and cancellations) are raised in </w:t>
      </w:r>
      <w:r>
        <w:rPr>
          <w:rFonts w:ascii="Arial" w:hAnsi="Arial" w:eastAsia="Arial" w:cs="Arial"/>
          <w:b/>
        </w:rPr>
        <w:t>Adjustment &gt; New Request</w:t>
      </w:r>
      <w:r>
        <w:rPr>
          <w:rFonts w:ascii="Arial" w:hAnsi="Arial" w:eastAsia="Arial" w:cs="Arial"/>
        </w:rPr>
        <w:t xml:space="preserve">. The wizard takes you through choosing the invoices, describing the change, recalculating the premium and submitting. The request is then validated, approved and posted, and the </w:t>
      </w:r>
      <w:r>
        <w:rPr>
          <w:rFonts w:ascii="Arial" w:hAnsi="Arial" w:eastAsia="Arial" w:cs="Arial"/>
          <w:b/>
        </w:rPr>
        <w:t>Adjustment Workbench</w:t>
      </w:r>
      <w:r>
        <w:rPr>
          <w:rFonts w:ascii="Arial" w:hAnsi="Arial" w:eastAsia="Arial" w:cs="Arial"/>
        </w:rPr>
        <w:t xml:space="preserve"> shows each request by stage.</w:t>
      </w:r>
    </w:p>
    <w:p>
      <w:pPr>
        <w:pStyle w:val="Heading2"/>
      </w:pPr>
      <w:r>
        <w:rPr>
          <w:rFonts w:ascii="Arial" w:hAnsi="Arial" w:eastAsia="Arial" w:cs="Arial"/>
        </w:rPr>
        <w:t>5.11  Production reconciliation</w:t>
      </w:r>
    </w:p>
    <w:p>
      <w:r>
        <w:rPr>
          <w:rFonts w:ascii="Arial" w:hAnsi="Arial" w:eastAsia="Arial" w:cs="Arial"/>
        </w:rPr>
        <w:t xml:space="preserve">Every month BrokerVerse extracts the register of booked accounts for each insurer. The insurer's feedback is uploaded and matched automatically within the agreed tolerance, and anything left unmatched is followed up to closure. Accounts an insurer reports that have not been booked appear in </w:t>
      </w:r>
      <w:r>
        <w:rPr>
          <w:rFonts w:ascii="Arial" w:hAnsi="Arial" w:eastAsia="Arial" w:cs="Arial"/>
          <w:b/>
        </w:rPr>
        <w:t>Unbooked Accounts</w:t>
      </w:r>
      <w:r>
        <w:rPr>
          <w:rFonts w:ascii="Arial" w:hAnsi="Arial" w:eastAsia="Arial" w:cs="Arial"/>
        </w:rPr>
        <w:t>.</w:t>
      </w:r>
    </w:p>
    <w:p>
      <w:pPr>
        <w:pStyle w:val="Heading2"/>
      </w:pPr>
      <w:r>
        <w:rPr>
          <w:rFonts w:ascii="Arial" w:hAnsi="Arial" w:eastAsia="Arial" w:cs="Arial"/>
        </w:rPr>
        <w:t>5.12  Product maintenance</w:t>
      </w:r>
    </w:p>
    <w:p>
      <w:r>
        <w:rPr>
          <w:rFonts w:ascii="Arial" w:hAnsi="Arial" w:eastAsia="Arial" w:cs="Arial"/>
        </w:rPr>
        <w:t xml:space="preserve">Product maintenance holds what your organisation sells and with whom: products and packages with their rules, the insurer panel with commission rates, rates and taxes, and the sales organisation. New or changed packages are requested through </w:t>
      </w:r>
      <w:r>
        <w:rPr>
          <w:rFonts w:ascii="Arial" w:hAnsi="Arial" w:eastAsia="Arial" w:cs="Arial"/>
          <w:b/>
        </w:rPr>
        <w:t>Package Requests</w:t>
      </w:r>
      <w:r>
        <w:rPr>
          <w:rFonts w:ascii="Arial" w:hAnsi="Arial" w:eastAsia="Arial" w:cs="Arial"/>
        </w:rPr>
        <w:t xml:space="preserve">, reviewed and negotiated by TSU, set up, and validated in the </w:t>
      </w:r>
      <w:r>
        <w:rPr>
          <w:rFonts w:ascii="Arial" w:hAnsi="Arial" w:eastAsia="Arial" w:cs="Arial"/>
          <w:b/>
        </w:rPr>
        <w:t>Validation Queue</w:t>
      </w:r>
      <w:r>
        <w:rPr>
          <w:rFonts w:ascii="Arial" w:hAnsi="Arial" w:eastAsia="Arial" w:cs="Arial"/>
        </w:rPr>
        <w:t xml:space="preserve"> before new business can use them. The </w:t>
      </w:r>
      <w:r>
        <w:rPr>
          <w:rFonts w:ascii="Arial" w:hAnsi="Arial" w:eastAsia="Arial" w:cs="Arial"/>
          <w:b/>
        </w:rPr>
        <w:t>Premium Calculator</w:t>
      </w:r>
      <w:r>
        <w:rPr>
          <w:rFonts w:ascii="Arial" w:hAnsi="Arial" w:eastAsia="Arial" w:cs="Arial"/>
        </w:rPr>
        <w:t xml:space="preserve"> lets you rate a product without creating a quotation.</w:t>
      </w:r>
    </w:p>
    <w:p>
      <w:pPr>
        <w:pStyle w:val="Heading1"/>
        <w:pageBreakBefore/>
        <w:pBdr>
          <w:bottom w:val="single" w:sz="12" w:space="6" w:color="00A098"/>
        </w:pBdr>
      </w:pPr>
      <w:r>
        <w:rPr>
          <w:rFonts w:ascii="Arial" w:hAnsi="Arial" w:eastAsia="Arial" w:cs="Arial"/>
        </w:rPr>
        <w:t>6  Operations and finance</w:t>
      </w:r>
    </w:p>
    <w:p>
      <w:r>
        <w:rPr>
          <w:rFonts w:ascii="Arial" w:hAnsi="Arial" w:eastAsia="Arial" w:cs="Arial"/>
        </w:rPr>
        <w:t xml:space="preserve">The </w:t>
      </w:r>
      <w:r>
        <w:rPr>
          <w:rFonts w:ascii="Arial" w:hAnsi="Arial" w:eastAsia="Arial" w:cs="Arial"/>
          <w:b/>
        </w:rPr>
        <w:t>Operations</w:t>
      </w:r>
      <w:r>
        <w:rPr>
          <w:rFonts w:ascii="Arial" w:hAnsi="Arial" w:eastAsia="Arial" w:cs="Arial"/>
        </w:rPr>
        <w:t xml:space="preserve"> and </w:t>
      </w:r>
      <w:r>
        <w:rPr>
          <w:rFonts w:ascii="Arial" w:hAnsi="Arial" w:eastAsia="Arial" w:cs="Arial"/>
          <w:b/>
        </w:rPr>
        <w:t>Finance</w:t>
      </w:r>
      <w:r>
        <w:rPr>
          <w:rFonts w:ascii="Arial" w:hAnsi="Arial" w:eastAsia="Arial" w:cs="Arial"/>
        </w:rPr>
        <w:t xml:space="preserve"> menu groups handle the money side of the business. They all work from one invoice ledger, so the premium, payments, remittance and commission of every booked invoice can be seen in one place.</w:t>
      </w:r>
    </w:p>
    <w:p>
      <w:pPr>
        <w:pStyle w:val="Heading2"/>
      </w:pPr>
      <w:r>
        <w:rPr>
          <w:rFonts w:ascii="Arial" w:hAnsi="Arial" w:eastAsia="Arial" w:cs="Arial"/>
        </w:rPr>
        <w:t>6.1  Operations home and Invoice 360</w:t>
      </w:r>
    </w:p>
    <w:p>
      <w:r>
        <w:rPr>
          <w:rFonts w:ascii="Arial" w:hAnsi="Arial" w:eastAsia="Arial" w:cs="Arial"/>
          <w:b/>
        </w:rPr>
        <w:t>Operations Home</w:t>
      </w:r>
      <w:r>
        <w:rPr>
          <w:rFonts w:ascii="Arial" w:hAnsi="Arial" w:eastAsia="Arial" w:cs="Arial"/>
        </w:rPr>
        <w:t xml:space="preserve"> shows one card per team you belong to, with live counts of the work waiting. </w:t>
      </w:r>
      <w:r>
        <w:rPr>
          <w:rFonts w:ascii="Arial" w:hAnsi="Arial" w:eastAsia="Arial" w:cs="Arial"/>
          <w:b/>
        </w:rPr>
        <w:t>Invoice Search</w:t>
      </w:r>
      <w:r>
        <w:rPr>
          <w:rFonts w:ascii="Arial" w:hAnsi="Arial" w:eastAsia="Arial" w:cs="Arial"/>
        </w:rPr>
        <w:t xml:space="preserve"> finds any booked invoice; opening it shows the </w:t>
      </w:r>
      <w:r>
        <w:rPr>
          <w:rFonts w:ascii="Arial" w:hAnsi="Arial" w:eastAsia="Arial" w:cs="Arial"/>
          <w:b/>
        </w:rPr>
        <w:t>Invoice 360</w:t>
      </w:r>
      <w:r>
        <w:rPr>
          <w:rFonts w:ascii="Arial" w:hAnsi="Arial" w:eastAsia="Arial" w:cs="Arial"/>
        </w:rPr>
        <w:t xml:space="preserve"> view: its premium components and balances, insurer shares, every movement, related endorsements and one tab for each module that has touched it.</w:t>
      </w:r>
    </w:p>
    <w:p>
      <w:pPr>
        <w:pStyle w:val="Heading2"/>
      </w:pPr>
      <w:r>
        <w:rPr>
          <w:rFonts w:ascii="Arial" w:hAnsi="Arial" w:eastAsia="Arial" w:cs="Arial"/>
        </w:rPr>
        <w:t>6.2  Collections</w:t>
      </w:r>
    </w:p>
    <w:p>
      <w:r>
        <w:rPr>
          <w:rFonts w:ascii="Arial" w:hAnsi="Arial" w:eastAsia="Arial" w:cs="Arial"/>
        </w:rPr>
        <w:t xml:space="preserve">Collections follows up outstanding premium. The </w:t>
      </w:r>
      <w:r>
        <w:rPr>
          <w:rFonts w:ascii="Arial" w:hAnsi="Arial" w:eastAsia="Arial" w:cs="Arial"/>
          <w:b/>
        </w:rPr>
        <w:t>PR Worklist</w:t>
      </w:r>
      <w:r>
        <w:rPr>
          <w:rFonts w:ascii="Arial" w:hAnsi="Arial" w:eastAsia="Arial" w:cs="Arial"/>
        </w:rPr>
        <w:t xml:space="preserve"> has one row per invoice with an outstanding balance, refreshed nightly and after every payment. Collectors record their follow-up and a disposition, and can capture promises to pay, installment plans and escalations. Team leaders assign accounts to collectors in </w:t>
      </w:r>
      <w:r>
        <w:rPr>
          <w:rFonts w:ascii="Arial" w:hAnsi="Arial" w:eastAsia="Arial" w:cs="Arial"/>
          <w:b/>
        </w:rPr>
        <w:t>Assignments</w:t>
      </w:r>
      <w:r>
        <w:rPr>
          <w:rFonts w:ascii="Arial" w:hAnsi="Arial" w:eastAsia="Arial" w:cs="Arial"/>
        </w:rPr>
        <w:t>.</w:t>
      </w:r>
    </w:p>
    <w:p>
      <w:pPr>
        <w:pStyle w:val="Heading2"/>
      </w:pPr>
      <w:r>
        <w:rPr>
          <w:rFonts w:ascii="Arial" w:hAnsi="Arial" w:eastAsia="Arial" w:cs="Arial"/>
        </w:rPr>
        <w:t>6.3  Cashiering</w:t>
      </w:r>
    </w:p>
    <w:p>
      <w:r>
        <w:rPr>
          <w:rFonts w:ascii="Arial" w:hAnsi="Arial" w:eastAsia="Arial" w:cs="Arial"/>
        </w:rPr>
        <w:t>Cashiering receives payments, issues acknowledgement and official receipts, and applies payments to invoices.</w:t>
      </w:r>
    </w:p>
    <w:p>
      <w:pPr>
        <w:pStyle w:val="Heading3"/>
      </w:pPr>
      <w:r>
        <w:rPr>
          <w:rFonts w:ascii="Arial" w:hAnsi="Arial" w:eastAsia="Arial" w:cs="Arial"/>
        </w:rPr>
        <w:t>To receive a payment at the counter</w:t>
      </w:r>
    </w:p>
    <w:p>
      <w:pPr>
        <w:keepNext/>
        <w:tabs>
          <w:tab w:pos="510" w:val="left"/>
        </w:tabs>
        <w:spacing w:before="0" w:after="80"/>
        <w:ind w:left="510" w:hanging="397"/>
      </w:pPr>
      <w:r>
        <w:rPr>
          <w:rFonts w:ascii="Arial" w:hAnsi="Arial" w:eastAsia="Arial" w:cs="Arial"/>
          <w:b/>
          <w:color w:val="0090D8"/>
        </w:rPr>
        <w:t>1.</w:t>
        <w:tab/>
      </w:r>
      <w:r>
        <w:rPr>
          <w:rFonts w:ascii="Arial" w:hAnsi="Arial" w:eastAsia="Arial" w:cs="Arial"/>
        </w:rPr>
        <w:t xml:space="preserve">Go to </w:t>
      </w:r>
      <w:r>
        <w:rPr>
          <w:rFonts w:ascii="Arial" w:hAnsi="Arial" w:eastAsia="Arial" w:cs="Arial"/>
          <w:b/>
        </w:rPr>
        <w:t>Cashiering &gt; Receive Payment</w:t>
      </w:r>
      <w:r>
        <w:rPr>
          <w:rFonts w:ascii="Arial" w:hAnsi="Arial" w:eastAsia="Arial" w:cs="Arial"/>
        </w:rPr>
        <w:t>.</w:t>
      </w:r>
    </w:p>
    <w:p>
      <w:pPr>
        <w:keepNext/>
        <w:tabs>
          <w:tab w:pos="510" w:val="left"/>
        </w:tabs>
        <w:spacing w:before="0" w:after="80"/>
        <w:ind w:left="510" w:hanging="397"/>
      </w:pPr>
      <w:r>
        <w:rPr>
          <w:rFonts w:ascii="Arial" w:hAnsi="Arial" w:eastAsia="Arial" w:cs="Arial"/>
          <w:b/>
          <w:color w:val="0090D8"/>
        </w:rPr>
        <w:t>2.</w:t>
        <w:tab/>
      </w:r>
      <w:r>
        <w:rPr>
          <w:rFonts w:ascii="Arial" w:hAnsi="Arial" w:eastAsia="Arial" w:cs="Arial"/>
        </w:rPr>
        <w:t>Enter the ARN, invoice, policy or PN numbers, the payor and the amount.</w:t>
      </w:r>
    </w:p>
    <w:p>
      <w:pPr>
        <w:keepNext/>
        <w:tabs>
          <w:tab w:pos="510" w:val="left"/>
        </w:tabs>
        <w:spacing w:before="0" w:after="80"/>
        <w:ind w:left="510" w:hanging="397"/>
      </w:pPr>
      <w:r>
        <w:rPr>
          <w:rFonts w:ascii="Arial" w:hAnsi="Arial" w:eastAsia="Arial" w:cs="Arial"/>
          <w:b/>
          <w:color w:val="0090D8"/>
        </w:rPr>
        <w:t>3.</w:t>
        <w:tab/>
      </w:r>
      <w:r>
        <w:rPr>
          <w:rFonts w:ascii="Arial" w:hAnsi="Arial" w:eastAsia="Arial" w:cs="Arial"/>
        </w:rPr>
        <w:t>Check the preview. It shows which invoices are matched and how the payment is applied to each component, and any excess.</w:t>
      </w:r>
    </w:p>
    <w:p>
      <w:pPr>
        <w:tabs>
          <w:tab w:pos="510" w:val="left"/>
        </w:tabs>
        <w:spacing w:before="0" w:after="160"/>
        <w:ind w:left="510" w:hanging="397"/>
      </w:pPr>
      <w:r>
        <w:rPr>
          <w:rFonts w:ascii="Arial" w:hAnsi="Arial" w:eastAsia="Arial" w:cs="Arial"/>
          <w:b/>
          <w:color w:val="0090D8"/>
        </w:rPr>
        <w:t>4.</w:t>
        <w:tab/>
      </w:r>
      <w:r>
        <w:rPr>
          <w:rFonts w:ascii="Arial" w:hAnsi="Arial" w:eastAsia="Arial" w:cs="Arial"/>
        </w:rPr>
        <w:t xml:space="preserve">Click </w:t>
      </w:r>
      <w:r>
        <w:rPr>
          <w:rFonts w:ascii="Arial" w:hAnsi="Arial" w:eastAsia="Arial" w:cs="Arial"/>
          <w:b/>
        </w:rPr>
        <w:t>Issue AR and Apply</w:t>
      </w:r>
      <w:r>
        <w:rPr>
          <w:rFonts w:ascii="Arial" w:hAnsi="Arial" w:eastAsia="Arial" w:cs="Arial"/>
        </w:rPr>
        <w:t>. The acknowledgement receipt (AR) is issued and the payment is applied.</w:t>
      </w:r>
    </w:p>
    <w:p>
      <w:r>
        <w:rPr>
          <w:rFonts w:ascii="Arial" w:hAnsi="Arial" w:eastAsia="Arial" w:cs="Arial"/>
        </w:rPr>
        <w:t xml:space="preserve">Payment files from banks and other channels are loaded in </w:t>
      </w:r>
      <w:r>
        <w:rPr>
          <w:rFonts w:ascii="Arial" w:hAnsi="Arial" w:eastAsia="Arial" w:cs="Arial"/>
          <w:b/>
        </w:rPr>
        <w:t>Payment Uploads</w:t>
      </w:r>
      <w:r>
        <w:rPr>
          <w:rFonts w:ascii="Arial" w:hAnsi="Arial" w:eastAsia="Arial" w:cs="Arial"/>
        </w:rPr>
        <w:t xml:space="preserve">. Payments that cannot be applied go to </w:t>
      </w:r>
      <w:r>
        <w:rPr>
          <w:rFonts w:ascii="Arial" w:hAnsi="Arial" w:eastAsia="Arial" w:cs="Arial"/>
          <w:b/>
        </w:rPr>
        <w:t>Unapplied Payments</w:t>
      </w:r>
      <w:r>
        <w:rPr>
          <w:rFonts w:ascii="Arial" w:hAnsi="Arial" w:eastAsia="Arial" w:cs="Arial"/>
        </w:rPr>
        <w:t xml:space="preserve">, where they are applied, refunded or transferred. Payments received before an account is booked wait in </w:t>
      </w:r>
      <w:r>
        <w:rPr>
          <w:rFonts w:ascii="Arial" w:hAnsi="Arial" w:eastAsia="Arial" w:cs="Arial"/>
          <w:b/>
        </w:rPr>
        <w:t>Pre-booked Payments</w:t>
      </w:r>
      <w:r>
        <w:rPr>
          <w:rFonts w:ascii="Arial" w:hAnsi="Arial" w:eastAsia="Arial" w:cs="Arial"/>
        </w:rPr>
        <w:t xml:space="preserve"> and are applied automatically once it is booked.</w:t>
      </w:r>
    </w:p>
    <w:p>
      <w:pPr>
        <w:pStyle w:val="Heading2"/>
      </w:pPr>
      <w:r>
        <w:rPr>
          <w:rFonts w:ascii="Arial" w:hAnsi="Arial" w:eastAsia="Arial" w:cs="Arial"/>
        </w:rPr>
        <w:t>6.4  Remittance</w:t>
      </w:r>
    </w:p>
    <w:p>
      <w:r>
        <w:rPr>
          <w:rFonts w:ascii="Arial" w:hAnsi="Arial" w:eastAsia="Arial" w:cs="Arial"/>
        </w:rPr>
        <w:t xml:space="preserve">Remittance extracts the collected premium due to each insurer, builds remittance batches, sends them for approval and on to Disbursement for payment, and records the insurer's official receipt when it comes back. Marketing can ask to hold an invoice out of remittance until a date through </w:t>
      </w:r>
      <w:r>
        <w:rPr>
          <w:rFonts w:ascii="Arial" w:hAnsi="Arial" w:eastAsia="Arial" w:cs="Arial"/>
          <w:b/>
        </w:rPr>
        <w:t>Remittance Holds</w:t>
      </w:r>
      <w:r>
        <w:rPr>
          <w:rFonts w:ascii="Arial" w:hAnsi="Arial" w:eastAsia="Arial" w:cs="Arial"/>
        </w:rPr>
        <w:t>.</w:t>
      </w:r>
    </w:p>
    <w:p>
      <w:pPr>
        <w:pStyle w:val="Heading2"/>
      </w:pPr>
      <w:r>
        <w:rPr>
          <w:rFonts w:ascii="Arial" w:hAnsi="Arial" w:eastAsia="Arial" w:cs="Arial"/>
        </w:rPr>
        <w:t>6.5  Commission receivables</w:t>
      </w:r>
    </w:p>
    <w:p>
      <w:r>
        <w:rPr>
          <w:rFonts w:ascii="Arial" w:hAnsi="Arial" w:eastAsia="Arial" w:cs="Arial"/>
        </w:rPr>
        <w:t>For accounts the client paid directly to the insurer, the commission is billed to the insurer. Commission Receivables confirms these direct payment accounts, bills the insurers, records their answers and the collection, and runs the insurer incentive schemes. It also tracks the withholding tax certificates the insurers issue on commission.</w:t>
      </w:r>
    </w:p>
    <w:p>
      <w:pPr>
        <w:pStyle w:val="Heading2"/>
      </w:pPr>
      <w:r>
        <w:rPr>
          <w:rFonts w:ascii="Arial" w:hAnsi="Arial" w:eastAsia="Arial" w:cs="Arial"/>
        </w:rPr>
        <w:t>6.6  Disbursement</w:t>
      </w:r>
    </w:p>
    <w:p>
      <w:r>
        <w:rPr>
          <w:rFonts w:ascii="Arial" w:hAnsi="Arial" w:eastAsia="Arial" w:cs="Arial"/>
        </w:rPr>
        <w:t xml:space="preserve">Disbursement pays what other teams request: remittances to insurers, client refunds, suppliers and others. Each payment is a disbursement voucher (DV), reviewed and approved before it posts. The </w:t>
      </w:r>
      <w:r>
        <w:rPr>
          <w:rFonts w:ascii="Arial" w:hAnsi="Arial" w:eastAsia="Arial" w:cs="Arial"/>
          <w:b/>
        </w:rPr>
        <w:t>Disbursement End of Day</w:t>
      </w:r>
      <w:r>
        <w:rPr>
          <w:rFonts w:ascii="Arial" w:hAnsi="Arial" w:eastAsia="Arial" w:cs="Arial"/>
        </w:rPr>
        <w:t xml:space="preserve"> closes the approved vouchers of the day and produces the checks, bank credit files and reports.</w:t>
      </w:r>
    </w:p>
    <w:p>
      <w:pPr>
        <w:pStyle w:val="Heading2"/>
      </w:pPr>
      <w:r>
        <w:rPr>
          <w:rFonts w:ascii="Arial" w:hAnsi="Arial" w:eastAsia="Arial" w:cs="Arial"/>
        </w:rPr>
        <w:t>6.7  Refund and cash advance requests</w:t>
      </w:r>
    </w:p>
    <w:p>
      <w:r>
        <w:rPr>
          <w:rFonts w:ascii="Arial" w:hAnsi="Arial" w:eastAsia="Arial" w:cs="Arial"/>
        </w:rPr>
        <w:t xml:space="preserve">Client refund requests and employee cash advance requests are raised in </w:t>
      </w:r>
      <w:r>
        <w:rPr>
          <w:rFonts w:ascii="Arial" w:hAnsi="Arial" w:eastAsia="Arial" w:cs="Arial"/>
          <w:b/>
        </w:rPr>
        <w:t>Refund &amp; Cash Advance Requests</w:t>
      </w:r>
      <w:r>
        <w:rPr>
          <w:rFonts w:ascii="Arial" w:hAnsi="Arial" w:eastAsia="Arial" w:cs="Arial"/>
        </w:rPr>
        <w:t>, reviewed and approved there, and then passed to Disbursement for payment. The request page shows the status of the payment, including the DV and check.</w:t>
      </w:r>
    </w:p>
    <w:p>
      <w:pPr>
        <w:pStyle w:val="Heading2"/>
      </w:pPr>
      <w:r>
        <w:rPr>
          <w:rFonts w:ascii="Arial" w:hAnsi="Arial" w:eastAsia="Arial" w:cs="Arial"/>
        </w:rPr>
        <w:t>6.8  Accounting control and general ledger</w:t>
      </w:r>
    </w:p>
    <w:p>
      <w:r>
        <w:rPr>
          <w:rFonts w:ascii="Arial" w:hAnsi="Arial" w:eastAsia="Arial" w:cs="Arial"/>
        </w:rPr>
        <w:t>The remaining Finance screens are used by the accounting team:</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948"/>
        <w:gridCol w:w="6463"/>
      </w:tblGrid>
      <w:tr>
        <w:trPr>
          <w:tblHeader w:val="true"/>
          <w:cantSplit/>
        </w:trPr>
        <w:tc>
          <w:tcPr>
            <w:tcW w:type="dxa" w:w="294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Area</w:t>
            </w:r>
          </w:p>
        </w:tc>
        <w:tc>
          <w:tcPr>
            <w:tcW w:type="dxa" w:w="6463"/>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Used for</w:t>
            </w:r>
          </w:p>
        </w:tc>
      </w:tr>
      <w:tr>
        <w:trPr>
          <w:cantSplit/>
        </w:trPr>
        <w:tc>
          <w:tcPr>
            <w:tcW w:type="dxa" w:w="2948"/>
            <w:tcMar>
              <w:top w:w="80" w:type="dxa"/>
              <w:bottom w:w="80" w:type="dxa"/>
              <w:left w:w="120" w:type="dxa"/>
              <w:right w:w="120" w:type="dxa"/>
            </w:tcMar>
          </w:tcPr>
          <w:p>
            <w:pPr>
              <w:spacing w:before="0" w:after="0" w:line="276" w:lineRule="auto"/>
            </w:pPr>
            <w:r>
              <w:rPr>
                <w:rFonts w:ascii="Arial" w:hAnsi="Arial" w:eastAsia="Arial" w:cs="Arial"/>
                <w:b/>
                <w:color w:val="0B4F9C"/>
                <w:sz w:val="19"/>
              </w:rPr>
              <w:t>ACSL</w:t>
            </w:r>
          </w:p>
        </w:tc>
        <w:tc>
          <w:tcPr>
            <w:tcW w:type="dxa" w:w="6463"/>
            <w:tcMar>
              <w:top w:w="80" w:type="dxa"/>
              <w:bottom w:w="80" w:type="dxa"/>
              <w:left w:w="120" w:type="dxa"/>
              <w:right w:w="120" w:type="dxa"/>
            </w:tcMar>
          </w:tcPr>
          <w:p>
            <w:pPr>
              <w:spacing w:before="0" w:after="0" w:line="276" w:lineRule="auto"/>
            </w:pPr>
            <w:r>
              <w:rPr>
                <w:rFonts w:ascii="Arial" w:hAnsi="Arial" w:eastAsia="Arial" w:cs="Arial"/>
                <w:color w:val="333333"/>
                <w:sz w:val="19"/>
              </w:rPr>
              <w:t>Reconciling insurer statements of account and sub-ledgers with the general ledger, investigating accounts and posting correction entries</w:t>
            </w:r>
          </w:p>
        </w:tc>
      </w:tr>
      <w:tr>
        <w:trPr>
          <w:cantSplit/>
        </w:trPr>
        <w:tc>
          <w:tcPr>
            <w:tcW w:type="dxa" w:w="294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Accounting Reports</w:t>
            </w:r>
          </w:p>
        </w:tc>
        <w:tc>
          <w:tcPr>
            <w:tcW w:type="dxa" w:w="6463"/>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The accounting report pack, account schedules and service fee runs</w:t>
            </w:r>
          </w:p>
        </w:tc>
      </w:tr>
      <w:tr>
        <w:trPr>
          <w:cantSplit/>
        </w:trPr>
        <w:tc>
          <w:tcPr>
            <w:tcW w:type="dxa" w:w="2948"/>
            <w:tcMar>
              <w:top w:w="80" w:type="dxa"/>
              <w:bottom w:w="80" w:type="dxa"/>
              <w:left w:w="120" w:type="dxa"/>
              <w:right w:w="120" w:type="dxa"/>
            </w:tcMar>
          </w:tcPr>
          <w:p>
            <w:pPr>
              <w:spacing w:before="0" w:after="0" w:line="276" w:lineRule="auto"/>
            </w:pPr>
            <w:r>
              <w:rPr>
                <w:rFonts w:ascii="Arial" w:hAnsi="Arial" w:eastAsia="Arial" w:cs="Arial"/>
                <w:b/>
                <w:color w:val="0B4F9C"/>
                <w:sz w:val="19"/>
              </w:rPr>
              <w:t>General Ledger</w:t>
            </w:r>
          </w:p>
        </w:tc>
        <w:tc>
          <w:tcPr>
            <w:tcW w:type="dxa" w:w="6463"/>
            <w:tcMar>
              <w:top w:w="80" w:type="dxa"/>
              <w:bottom w:w="80" w:type="dxa"/>
              <w:left w:w="120" w:type="dxa"/>
              <w:right w:w="120" w:type="dxa"/>
            </w:tcMar>
          </w:tcPr>
          <w:p>
            <w:pPr>
              <w:spacing w:before="0" w:after="0" w:line="276" w:lineRule="auto"/>
            </w:pPr>
            <w:r>
              <w:rPr>
                <w:rFonts w:ascii="Arial" w:hAnsi="Arial" w:eastAsia="Arial" w:cs="Arial"/>
                <w:color w:val="333333"/>
                <w:sz w:val="19"/>
              </w:rPr>
              <w:t>Journals, the chart of accounts, recurring journals and journal uploads</w:t>
            </w:r>
          </w:p>
        </w:tc>
      </w:tr>
      <w:tr>
        <w:trPr>
          <w:cantSplit/>
        </w:trPr>
        <w:tc>
          <w:tcPr>
            <w:tcW w:type="dxa" w:w="294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Receivables &amp; Banking, Payables &amp; Cash</w:t>
            </w:r>
          </w:p>
        </w:tc>
        <w:tc>
          <w:tcPr>
            <w:tcW w:type="dxa" w:w="6463"/>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Bank reconciliation, bank accounts and check books</w:t>
            </w:r>
          </w:p>
        </w:tc>
      </w:tr>
      <w:tr>
        <w:trPr>
          <w:cantSplit/>
        </w:trPr>
        <w:tc>
          <w:tcPr>
            <w:tcW w:type="dxa" w:w="2948"/>
            <w:tcMar>
              <w:top w:w="80" w:type="dxa"/>
              <w:bottom w:w="80" w:type="dxa"/>
              <w:left w:w="120" w:type="dxa"/>
              <w:right w:w="120" w:type="dxa"/>
            </w:tcMar>
          </w:tcPr>
          <w:p>
            <w:pPr>
              <w:spacing w:before="0" w:after="0" w:line="276" w:lineRule="auto"/>
            </w:pPr>
            <w:r>
              <w:rPr>
                <w:rFonts w:ascii="Arial" w:hAnsi="Arial" w:eastAsia="Arial" w:cs="Arial"/>
                <w:b/>
                <w:color w:val="0B4F9C"/>
                <w:sz w:val="19"/>
              </w:rPr>
              <w:t>Assets &amp; Investments</w:t>
            </w:r>
          </w:p>
        </w:tc>
        <w:tc>
          <w:tcPr>
            <w:tcW w:type="dxa" w:w="6463"/>
            <w:tcMar>
              <w:top w:w="80" w:type="dxa"/>
              <w:bottom w:w="80" w:type="dxa"/>
              <w:left w:w="120" w:type="dxa"/>
              <w:right w:w="120" w:type="dxa"/>
            </w:tcMar>
          </w:tcPr>
          <w:p>
            <w:pPr>
              <w:spacing w:before="0" w:after="0" w:line="276" w:lineRule="auto"/>
            </w:pPr>
            <w:r>
              <w:rPr>
                <w:rFonts w:ascii="Arial" w:hAnsi="Arial" w:eastAsia="Arial" w:cs="Arial"/>
                <w:color w:val="333333"/>
                <w:sz w:val="19"/>
              </w:rPr>
              <w:t>Fixed asset and investment schedules</w:t>
            </w:r>
          </w:p>
        </w:tc>
      </w:tr>
      <w:tr>
        <w:trPr>
          <w:cantSplit/>
        </w:trPr>
        <w:tc>
          <w:tcPr>
            <w:tcW w:type="dxa" w:w="294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Planning &amp; Closing</w:t>
            </w:r>
          </w:p>
        </w:tc>
        <w:tc>
          <w:tcPr>
            <w:tcW w:type="dxa" w:w="6463"/>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Budgets, month-end and year-end close</w:t>
            </w:r>
          </w:p>
        </w:tc>
      </w:tr>
      <w:tr>
        <w:trPr>
          <w:cantSplit/>
        </w:trPr>
        <w:tc>
          <w:tcPr>
            <w:tcW w:type="dxa" w:w="2948"/>
            <w:tcMar>
              <w:top w:w="80" w:type="dxa"/>
              <w:bottom w:w="80" w:type="dxa"/>
              <w:left w:w="120" w:type="dxa"/>
              <w:right w:w="120" w:type="dxa"/>
            </w:tcMar>
          </w:tcPr>
          <w:p>
            <w:pPr>
              <w:spacing w:before="0" w:after="0" w:line="276" w:lineRule="auto"/>
            </w:pPr>
            <w:r>
              <w:rPr>
                <w:rFonts w:ascii="Arial" w:hAnsi="Arial" w:eastAsia="Arial" w:cs="Arial"/>
                <w:b/>
                <w:color w:val="0B4F9C"/>
                <w:sz w:val="19"/>
              </w:rPr>
              <w:t>Tax &amp; Statutory</w:t>
            </w:r>
          </w:p>
        </w:tc>
        <w:tc>
          <w:tcPr>
            <w:tcW w:type="dxa" w:w="6463"/>
            <w:tcMar>
              <w:top w:w="80" w:type="dxa"/>
              <w:bottom w:w="80" w:type="dxa"/>
              <w:left w:w="120" w:type="dxa"/>
              <w:right w:w="120" w:type="dxa"/>
            </w:tcMar>
          </w:tcPr>
          <w:p>
            <w:pPr>
              <w:spacing w:before="0" w:after="0" w:line="276" w:lineRule="auto"/>
            </w:pPr>
            <w:r>
              <w:rPr>
                <w:rFonts w:ascii="Arial" w:hAnsi="Arial" w:eastAsia="Arial" w:cs="Arial"/>
                <w:color w:val="333333"/>
                <w:sz w:val="19"/>
              </w:rPr>
              <w:t>Tax returns, certificates and statutory reports</w:t>
            </w:r>
          </w:p>
        </w:tc>
      </w:tr>
    </w:tbl>
    <w:p>
      <w:pPr>
        <w:pStyle w:val="Heading1"/>
        <w:pageBreakBefore/>
        <w:pBdr>
          <w:bottom w:val="single" w:sz="12" w:space="6" w:color="00A098"/>
        </w:pBdr>
      </w:pPr>
      <w:r>
        <w:rPr>
          <w:rFonts w:ascii="Arial" w:hAnsi="Arial" w:eastAsia="Arial" w:cs="Arial"/>
        </w:rPr>
        <w:t>7  Claims handling</w:t>
      </w:r>
    </w:p>
    <w:p>
      <w:r>
        <w:rPr>
          <w:rFonts w:ascii="Arial" w:hAnsi="Arial" w:eastAsia="Arial" w:cs="Arial"/>
        </w:rPr>
        <w:t>Claims Handling is the broker's case file for a client's claim against its insurers. The insurer decides and pays the claim; BrokerVerse records the loss, the insurer's claim numbers, the reserve and settlement as the insurer reports them, and keeps the follow-up on track.</w:t>
      </w:r>
    </w:p>
    <w:p>
      <w:pPr>
        <w:pStyle w:val="Heading3"/>
      </w:pPr>
      <w:r>
        <w:rPr>
          <w:rFonts w:ascii="Arial" w:hAnsi="Arial" w:eastAsia="Arial" w:cs="Arial"/>
        </w:rPr>
        <w:t>To record a claim</w:t>
      </w:r>
    </w:p>
    <w:p>
      <w:pPr>
        <w:keepNext/>
        <w:tabs>
          <w:tab w:pos="510" w:val="left"/>
        </w:tabs>
        <w:spacing w:before="0" w:after="80"/>
        <w:ind w:left="510" w:hanging="397"/>
      </w:pPr>
      <w:r>
        <w:rPr>
          <w:rFonts w:ascii="Arial" w:hAnsi="Arial" w:eastAsia="Arial" w:cs="Arial"/>
          <w:b/>
          <w:color w:val="0090D8"/>
        </w:rPr>
        <w:t>1.</w:t>
        <w:tab/>
      </w:r>
      <w:r>
        <w:rPr>
          <w:rFonts w:ascii="Arial" w:hAnsi="Arial" w:eastAsia="Arial" w:cs="Arial"/>
        </w:rPr>
        <w:t xml:space="preserve">Go to </w:t>
      </w:r>
      <w:r>
        <w:rPr>
          <w:rFonts w:ascii="Arial" w:hAnsi="Arial" w:eastAsia="Arial" w:cs="Arial"/>
          <w:b/>
        </w:rPr>
        <w:t>Claims &amp; Insurance &gt; Claims Handling &gt; Record Claim</w:t>
      </w:r>
      <w:r>
        <w:rPr>
          <w:rFonts w:ascii="Arial" w:hAnsi="Arial" w:eastAsia="Arial" w:cs="Arial"/>
        </w:rPr>
        <w:t>.</w:t>
      </w:r>
    </w:p>
    <w:p>
      <w:pPr>
        <w:keepNext/>
        <w:tabs>
          <w:tab w:pos="510" w:val="left"/>
        </w:tabs>
        <w:spacing w:before="0" w:after="80"/>
        <w:ind w:left="510" w:hanging="397"/>
      </w:pPr>
      <w:r>
        <w:rPr>
          <w:rFonts w:ascii="Arial" w:hAnsi="Arial" w:eastAsia="Arial" w:cs="Arial"/>
          <w:b/>
          <w:color w:val="0090D8"/>
        </w:rPr>
        <w:t>2.</w:t>
        <w:tab/>
      </w:r>
      <w:r>
        <w:rPr>
          <w:rFonts w:ascii="Arial" w:hAnsi="Arial" w:eastAsia="Arial" w:cs="Arial"/>
        </w:rPr>
        <w:t>Find the cover by ARN, policy number or assured name. The cover card shows the policy, period, sum insured and any unpaid premium.</w:t>
      </w:r>
    </w:p>
    <w:p>
      <w:pPr>
        <w:keepNext/>
        <w:tabs>
          <w:tab w:pos="510" w:val="left"/>
        </w:tabs>
        <w:spacing w:before="0" w:after="80"/>
        <w:ind w:left="510" w:hanging="397"/>
      </w:pPr>
      <w:r>
        <w:rPr>
          <w:rFonts w:ascii="Arial" w:hAnsi="Arial" w:eastAsia="Arial" w:cs="Arial"/>
          <w:b/>
          <w:color w:val="0090D8"/>
        </w:rPr>
        <w:t>3.</w:t>
        <w:tab/>
      </w:r>
      <w:r>
        <w:rPr>
          <w:rFonts w:ascii="Arial" w:hAnsi="Arial" w:eastAsia="Arial" w:cs="Arial"/>
        </w:rPr>
        <w:t>Choose the affected locations or items and enter the details of the loss.</w:t>
      </w:r>
    </w:p>
    <w:p>
      <w:pPr>
        <w:tabs>
          <w:tab w:pos="510" w:val="left"/>
        </w:tabs>
        <w:spacing w:before="0" w:after="160"/>
        <w:ind w:left="510" w:hanging="397"/>
      </w:pPr>
      <w:r>
        <w:rPr>
          <w:rFonts w:ascii="Arial" w:hAnsi="Arial" w:eastAsia="Arial" w:cs="Arial"/>
          <w:b/>
          <w:color w:val="0090D8"/>
        </w:rPr>
        <w:t>4.</w:t>
        <w:tab/>
      </w:r>
      <w:r>
        <w:rPr>
          <w:rFonts w:ascii="Arial" w:hAnsi="Arial" w:eastAsia="Arial" w:cs="Arial"/>
        </w:rPr>
        <w:t xml:space="preserve">Click </w:t>
      </w:r>
      <w:r>
        <w:rPr>
          <w:rFonts w:ascii="Arial" w:hAnsi="Arial" w:eastAsia="Arial" w:cs="Arial"/>
          <w:b/>
        </w:rPr>
        <w:t>Save Claim</w:t>
      </w:r>
      <w:r>
        <w:rPr>
          <w:rFonts w:ascii="Arial" w:hAnsi="Arial" w:eastAsia="Arial" w:cs="Arial"/>
        </w:rPr>
        <w:t xml:space="preserve">. The claim is given a claim number and appears in the </w:t>
      </w:r>
      <w:r>
        <w:rPr>
          <w:rFonts w:ascii="Arial" w:hAnsi="Arial" w:eastAsia="Arial" w:cs="Arial"/>
          <w:b/>
        </w:rPr>
        <w:t>Claims Worklist</w:t>
      </w:r>
      <w:r>
        <w:rPr>
          <w:rFonts w:ascii="Arial" w:hAnsi="Arial" w:eastAsia="Arial" w:cs="Arial"/>
        </w:rPr>
        <w:t>.</w:t>
      </w:r>
    </w:p>
    <w:p>
      <w:r>
        <w:rPr>
          <w:rFonts w:ascii="Arial" w:hAnsi="Arial" w:eastAsia="Arial" w:cs="Arial"/>
        </w:rPr>
        <w:t xml:space="preserve">From the claim page you record the insurer's claim number, reserve and settlement, update the status, attach documents and keep the diary. </w:t>
      </w:r>
      <w:r>
        <w:rPr>
          <w:rFonts w:ascii="Arial" w:hAnsi="Arial" w:eastAsia="Arial" w:cs="Arial"/>
          <w:b/>
        </w:rPr>
        <w:t>My Diary</w:t>
      </w:r>
      <w:r>
        <w:rPr>
          <w:rFonts w:ascii="Arial" w:hAnsi="Arial" w:eastAsia="Arial" w:cs="Arial"/>
        </w:rPr>
        <w:t xml:space="preserve"> gathers your calls, e-mails, meetings and follow-ups across all claims, with the ones due today and overdue. </w:t>
      </w:r>
      <w:r>
        <w:rPr>
          <w:rFonts w:ascii="Arial" w:hAnsi="Arial" w:eastAsia="Arial" w:cs="Arial"/>
          <w:b/>
        </w:rPr>
        <w:t>Claims Home</w:t>
      </w:r>
      <w:r>
        <w:rPr>
          <w:rFonts w:ascii="Arial" w:hAnsi="Arial" w:eastAsia="Arial" w:cs="Arial"/>
        </w:rPr>
        <w:t xml:space="preserve"> gives an overview of open claims, follow-ups due and claims by status.</w:t>
      </w:r>
    </w:p>
    <w:p>
      <w:pPr>
        <w:pStyle w:val="Heading1"/>
        <w:pageBreakBefore/>
        <w:pBdr>
          <w:bottom w:val="single" w:sz="12" w:space="6" w:color="00A098"/>
        </w:pBdr>
      </w:pPr>
      <w:r>
        <w:rPr>
          <w:rFonts w:ascii="Arial" w:hAnsi="Arial" w:eastAsia="Arial" w:cs="Arial"/>
        </w:rPr>
        <w:t>8  Reports</w:t>
      </w:r>
    </w:p>
    <w:p>
      <w:r>
        <w:rPr>
          <w:rFonts w:ascii="Arial" w:hAnsi="Arial" w:eastAsia="Arial" w:cs="Arial"/>
        </w:rPr>
        <w:t xml:space="preserve">Reports are found in the </w:t>
      </w:r>
      <w:r>
        <w:rPr>
          <w:rFonts w:ascii="Arial" w:hAnsi="Arial" w:eastAsia="Arial" w:cs="Arial"/>
          <w:b/>
        </w:rPr>
        <w:t>Reports</w:t>
      </w:r>
      <w:r>
        <w:rPr>
          <w:rFonts w:ascii="Arial" w:hAnsi="Arial" w:eastAsia="Arial" w:cs="Arial"/>
        </w:rPr>
        <w:t xml:space="preserve"> menu group. </w:t>
      </w:r>
      <w:r>
        <w:rPr>
          <w:rFonts w:ascii="Arial" w:hAnsi="Arial" w:eastAsia="Arial" w:cs="Arial"/>
          <w:b/>
        </w:rPr>
        <w:t>New Business Reports</w:t>
      </w:r>
      <w:r>
        <w:rPr>
          <w:rFonts w:ascii="Arial" w:hAnsi="Arial" w:eastAsia="Arial" w:cs="Arial"/>
        </w:rPr>
        <w:t xml:space="preserve"> holds the operational reports of the broking teams (account status, placement, production and dispatch). The </w:t>
      </w:r>
      <w:r>
        <w:rPr>
          <w:rFonts w:ascii="Arial" w:hAnsi="Arial" w:eastAsia="Arial" w:cs="Arial"/>
          <w:b/>
        </w:rPr>
        <w:t>Report Centre</w:t>
      </w:r>
      <w:r>
        <w:rPr>
          <w:rFonts w:ascii="Arial" w:hAnsi="Arial" w:eastAsia="Arial" w:cs="Arial"/>
        </w:rPr>
        <w:t xml:space="preserve"> holds the financial statements, registers and control reports. You only see the reports your role may run.</w:t>
      </w:r>
    </w:p>
    <w:p>
      <w:pPr>
        <w:pStyle w:val="Heading3"/>
      </w:pPr>
      <w:r>
        <w:rPr>
          <w:rFonts w:ascii="Arial" w:hAnsi="Arial" w:eastAsia="Arial" w:cs="Arial"/>
        </w:rPr>
        <w:t>To run a report</w:t>
      </w:r>
    </w:p>
    <w:p>
      <w:pPr>
        <w:keepNext/>
        <w:tabs>
          <w:tab w:pos="510" w:val="left"/>
        </w:tabs>
        <w:spacing w:before="0" w:after="80"/>
        <w:ind w:left="510" w:hanging="397"/>
      </w:pPr>
      <w:r>
        <w:rPr>
          <w:rFonts w:ascii="Arial" w:hAnsi="Arial" w:eastAsia="Arial" w:cs="Arial"/>
          <w:b/>
          <w:color w:val="0090D8"/>
        </w:rPr>
        <w:t>1.</w:t>
        <w:tab/>
      </w:r>
      <w:r>
        <w:rPr>
          <w:rFonts w:ascii="Arial" w:hAnsi="Arial" w:eastAsia="Arial" w:cs="Arial"/>
        </w:rPr>
        <w:t xml:space="preserve">Open the </w:t>
      </w:r>
      <w:r>
        <w:rPr>
          <w:rFonts w:ascii="Arial" w:hAnsi="Arial" w:eastAsia="Arial" w:cs="Arial"/>
          <w:b/>
        </w:rPr>
        <w:t>Report Centre</w:t>
      </w:r>
      <w:r>
        <w:rPr>
          <w:rFonts w:ascii="Arial" w:hAnsi="Arial" w:eastAsia="Arial" w:cs="Arial"/>
        </w:rPr>
        <w:t xml:space="preserve"> or </w:t>
      </w:r>
      <w:r>
        <w:rPr>
          <w:rFonts w:ascii="Arial" w:hAnsi="Arial" w:eastAsia="Arial" w:cs="Arial"/>
          <w:b/>
        </w:rPr>
        <w:t>New Business Reports</w:t>
      </w:r>
      <w:r>
        <w:rPr>
          <w:rFonts w:ascii="Arial" w:hAnsi="Arial" w:eastAsia="Arial" w:cs="Arial"/>
        </w:rPr>
        <w:t xml:space="preserve"> and choose the report.</w:t>
      </w:r>
    </w:p>
    <w:p>
      <w:pPr>
        <w:keepNext/>
        <w:tabs>
          <w:tab w:pos="510" w:val="left"/>
        </w:tabs>
        <w:spacing w:before="0" w:after="80"/>
        <w:ind w:left="510" w:hanging="397"/>
      </w:pPr>
      <w:r>
        <w:rPr>
          <w:rFonts w:ascii="Arial" w:hAnsi="Arial" w:eastAsia="Arial" w:cs="Arial"/>
          <w:b/>
          <w:color w:val="0090D8"/>
        </w:rPr>
        <w:t>2.</w:t>
        <w:tab/>
      </w:r>
      <w:r>
        <w:rPr>
          <w:rFonts w:ascii="Arial" w:hAnsi="Arial" w:eastAsia="Arial" w:cs="Arial"/>
        </w:rPr>
        <w:t>Fill in the parameters, such as the period, branch or insurer.</w:t>
      </w:r>
    </w:p>
    <w:p>
      <w:pPr>
        <w:keepNext/>
        <w:tabs>
          <w:tab w:pos="510" w:val="left"/>
        </w:tabs>
        <w:spacing w:before="0" w:after="80"/>
        <w:ind w:left="510" w:hanging="397"/>
      </w:pPr>
      <w:r>
        <w:rPr>
          <w:rFonts w:ascii="Arial" w:hAnsi="Arial" w:eastAsia="Arial" w:cs="Arial"/>
          <w:b/>
          <w:color w:val="0090D8"/>
        </w:rPr>
        <w:t>3.</w:t>
        <w:tab/>
      </w:r>
      <w:r>
        <w:rPr>
          <w:rFonts w:ascii="Arial" w:hAnsi="Arial" w:eastAsia="Arial" w:cs="Arial"/>
        </w:rPr>
        <w:t xml:space="preserve">Click </w:t>
      </w:r>
      <w:r>
        <w:rPr>
          <w:rFonts w:ascii="Arial" w:hAnsi="Arial" w:eastAsia="Arial" w:cs="Arial"/>
          <w:b/>
        </w:rPr>
        <w:t>Run Report</w:t>
      </w:r>
      <w:r>
        <w:rPr>
          <w:rFonts w:ascii="Arial" w:hAnsi="Arial" w:eastAsia="Arial" w:cs="Arial"/>
        </w:rPr>
        <w:t xml:space="preserve"> to see the report on screen.</w:t>
      </w:r>
    </w:p>
    <w:p>
      <w:pPr>
        <w:keepNext/>
        <w:tabs>
          <w:tab w:pos="510" w:val="left"/>
        </w:tabs>
        <w:spacing w:before="0" w:after="160"/>
        <w:ind w:left="510" w:hanging="397"/>
      </w:pPr>
      <w:r>
        <w:rPr>
          <w:rFonts w:ascii="Arial" w:hAnsi="Arial" w:eastAsia="Arial" w:cs="Arial"/>
          <w:b/>
          <w:color w:val="0090D8"/>
        </w:rPr>
        <w:t>4.</w:t>
        <w:tab/>
      </w:r>
      <w:r>
        <w:rPr>
          <w:rFonts w:ascii="Arial" w:hAnsi="Arial" w:eastAsia="Arial" w:cs="Arial"/>
        </w:rPr>
        <w:t xml:space="preserve">Use </w:t>
      </w:r>
      <w:r>
        <w:rPr>
          <w:rFonts w:ascii="Arial" w:hAnsi="Arial" w:eastAsia="Arial" w:cs="Arial"/>
          <w:b/>
        </w:rPr>
        <w:t>Print</w:t>
      </w:r>
      <w:r>
        <w:rPr>
          <w:rFonts w:ascii="Arial" w:hAnsi="Arial" w:eastAsia="Arial" w:cs="Arial"/>
        </w:rPr>
        <w:t>, or download the report as Excel or PDF. Reports that are documents or schedules can also be downloaded as Word.</w:t>
      </w:r>
    </w:p>
    <w:tbl>
      <w:tblPr>
        <w:tblW w:type="dxa" w:w="9411"/>
        <w:tblLook w:firstColumn="1" w:firstRow="1" w:lastColumn="0" w:lastRow="0" w:noHBand="0" w:noVBand="1" w:val="04A0"/>
        <w:tblLayout w:type="fixed"/>
      </w:tblPr>
      <w:tblGrid>
        <w:gridCol w:w="9411"/>
      </w:tblGrid>
      <w:tr>
        <w:trPr>
          <w:cantSplit/>
        </w:trPr>
        <w:tc>
          <w:tcPr>
            <w:tcW w:type="dxa" w:w="9411"/>
            <w:shd w:val="clear" w:color="auto" w:fill="E6F5F4"/>
            <w:tcBorders>
              <w:top w:val="nil"/>
              <w:left w:val="single" w:sz="36" w:color="00A098"/>
              <w:bottom w:val="nil"/>
              <w:right w:val="nil"/>
            </w:tcBorders>
            <w:tcMar>
              <w:top w:w="110" w:type="dxa"/>
              <w:bottom w:w="110" w:type="dxa"/>
              <w:left w:w="200" w:type="dxa"/>
              <w:right w:w="160" w:type="dxa"/>
            </w:tcMar>
          </w:tcPr>
          <w:p>
            <w:pPr>
              <w:spacing w:before="0" w:after="0" w:line="288" w:lineRule="auto"/>
            </w:pPr>
            <w:r>
              <w:rPr>
                <w:rFonts w:ascii="Arial" w:hAnsi="Arial" w:eastAsia="Arial" w:cs="Arial"/>
                <w:b/>
                <w:color w:val="00857E"/>
                <w:sz w:val="20"/>
              </w:rPr>
              <w:t xml:space="preserve">Tip  </w:t>
            </w:r>
            <w:r>
              <w:rPr>
                <w:rFonts w:ascii="Arial" w:hAnsi="Arial" w:eastAsia="Arial" w:cs="Arial"/>
                <w:sz w:val="20"/>
              </w:rPr>
              <w:t xml:space="preserve">If you run the same report often, save its parameters with </w:t>
            </w:r>
            <w:r>
              <w:rPr>
                <w:rFonts w:ascii="Arial" w:hAnsi="Arial" w:eastAsia="Arial" w:cs="Arial"/>
                <w:b/>
                <w:sz w:val="20"/>
              </w:rPr>
              <w:t>Save Variant</w:t>
            </w:r>
            <w:r>
              <w:rPr>
                <w:rFonts w:ascii="Arial" w:hAnsi="Arial" w:eastAsia="Arial" w:cs="Arial"/>
                <w:sz w:val="20"/>
              </w:rPr>
              <w:t>. Shared variants are offered to everyone who can run the report.</w:t>
            </w:r>
          </w:p>
        </w:tc>
      </w:tr>
    </w:tbl>
    <w:p>
      <w:pPr>
        <w:spacing w:before="0" w:after="80" w:line="240" w:lineRule="auto"/>
      </w:pPr>
    </w:p>
    <w:p>
      <w:r>
        <w:rPr>
          <w:rFonts w:ascii="Arial" w:hAnsi="Arial" w:eastAsia="Arial" w:cs="Arial"/>
        </w:rPr>
        <w:t>Printed and PDF reports show the report name, the user, the run time and the filters used in the header, so a printout can always be traced back to how it was produced.</w:t>
      </w:r>
    </w:p>
    <w:p>
      <w:pPr>
        <w:pStyle w:val="Heading1"/>
        <w:pageBreakBefore/>
        <w:pBdr>
          <w:bottom w:val="single" w:sz="12" w:space="6" w:color="00A098"/>
        </w:pBdr>
      </w:pPr>
      <w:r>
        <w:rPr>
          <w:rFonts w:ascii="Arial" w:hAnsi="Arial" w:eastAsia="Arial" w:cs="Arial"/>
        </w:rPr>
        <w:t>9  Setup and administration</w:t>
      </w:r>
    </w:p>
    <w:p>
      <w:r>
        <w:rPr>
          <w:rFonts w:ascii="Arial" w:hAnsi="Arial" w:eastAsia="Arial" w:cs="Arial"/>
        </w:rPr>
        <w:t xml:space="preserve">The </w:t>
      </w:r>
      <w:r>
        <w:rPr>
          <w:rFonts w:ascii="Arial" w:hAnsi="Arial" w:eastAsia="Arial" w:cs="Arial"/>
          <w:b/>
        </w:rPr>
        <w:t>Setup &amp; Administration</w:t>
      </w:r>
      <w:r>
        <w:rPr>
          <w:rFonts w:ascii="Arial" w:hAnsi="Arial" w:eastAsia="Arial" w:cs="Arial"/>
        </w:rPr>
        <w:t xml:space="preserve"> menu group is used by business and system administrators. Changes to reference data and access follow maker-checker: one user makes the change and another approves it.</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608"/>
        <w:gridCol w:w="6803"/>
      </w:tblGrid>
      <w:tr>
        <w:trPr>
          <w:tblHeader w:val="true"/>
          <w:cantSplit/>
        </w:trPr>
        <w:tc>
          <w:tcPr>
            <w:tcW w:type="dxa" w:w="260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Screen</w:t>
            </w:r>
          </w:p>
        </w:tc>
        <w:tc>
          <w:tcPr>
            <w:tcW w:type="dxa" w:w="6803"/>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Used for</w:t>
            </w:r>
          </w:p>
        </w:tc>
      </w:tr>
      <w:tr>
        <w:trPr>
          <w:cantSplit/>
        </w:trPr>
        <w:tc>
          <w:tcPr>
            <w:tcW w:type="dxa" w:w="2608"/>
            <w:tcMar>
              <w:top w:w="80" w:type="dxa"/>
              <w:bottom w:w="80" w:type="dxa"/>
              <w:left w:w="120" w:type="dxa"/>
              <w:right w:w="120" w:type="dxa"/>
            </w:tcMar>
          </w:tcPr>
          <w:p>
            <w:pPr>
              <w:spacing w:before="0" w:after="0" w:line="276" w:lineRule="auto"/>
            </w:pPr>
            <w:r>
              <w:rPr>
                <w:rFonts w:ascii="Arial" w:hAnsi="Arial" w:eastAsia="Arial" w:cs="Arial"/>
                <w:b/>
                <w:color w:val="0B4F9C"/>
                <w:sz w:val="19"/>
              </w:rPr>
              <w:t>Lists of Values</w:t>
            </w:r>
          </w:p>
        </w:tc>
        <w:tc>
          <w:tcPr>
            <w:tcW w:type="dxa" w:w="6803"/>
            <w:tcMar>
              <w:top w:w="80" w:type="dxa"/>
              <w:bottom w:w="80" w:type="dxa"/>
              <w:left w:w="120" w:type="dxa"/>
              <w:right w:w="120" w:type="dxa"/>
            </w:tcMar>
          </w:tcPr>
          <w:p>
            <w:pPr>
              <w:spacing w:before="0" w:after="0" w:line="276" w:lineRule="auto"/>
            </w:pPr>
            <w:r>
              <w:rPr>
                <w:rFonts w:ascii="Arial" w:hAnsi="Arial" w:eastAsia="Arial" w:cs="Arial"/>
                <w:color w:val="333333"/>
                <w:sz w:val="19"/>
              </w:rPr>
              <w:t>The coded values offered in drop-down lists, such as segments, reasons, document types and client tags, each with its order and effective period</w:t>
            </w:r>
          </w:p>
        </w:tc>
      </w:tr>
      <w:tr>
        <w:trPr>
          <w:cantSplit/>
        </w:trPr>
        <w:tc>
          <w:tcPr>
            <w:tcW w:type="dxa" w:w="260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Document Templates</w:t>
            </w:r>
          </w:p>
        </w:tc>
        <w:tc>
          <w:tcPr>
            <w:tcW w:type="dxa" w:w="6803"/>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The wording merged into quotations, slips, advices, e-mails and service invoices</w:t>
            </w:r>
          </w:p>
        </w:tc>
      </w:tr>
      <w:tr>
        <w:trPr>
          <w:cantSplit/>
        </w:trPr>
        <w:tc>
          <w:tcPr>
            <w:tcW w:type="dxa" w:w="2608"/>
            <w:tcMar>
              <w:top w:w="80" w:type="dxa"/>
              <w:bottom w:w="80" w:type="dxa"/>
              <w:left w:w="120" w:type="dxa"/>
              <w:right w:w="120" w:type="dxa"/>
            </w:tcMar>
          </w:tcPr>
          <w:p>
            <w:pPr>
              <w:spacing w:before="0" w:after="0" w:line="276" w:lineRule="auto"/>
            </w:pPr>
            <w:r>
              <w:rPr>
                <w:rFonts w:ascii="Arial" w:hAnsi="Arial" w:eastAsia="Arial" w:cs="Arial"/>
                <w:b/>
                <w:color w:val="0B4F9C"/>
                <w:sz w:val="19"/>
              </w:rPr>
              <w:t>Outbound Messages</w:t>
            </w:r>
          </w:p>
        </w:tc>
        <w:tc>
          <w:tcPr>
            <w:tcW w:type="dxa" w:w="6803"/>
            <w:tcMar>
              <w:top w:w="80" w:type="dxa"/>
              <w:bottom w:w="80" w:type="dxa"/>
              <w:left w:w="120" w:type="dxa"/>
              <w:right w:w="120" w:type="dxa"/>
            </w:tcMar>
          </w:tcPr>
          <w:p>
            <w:pPr>
              <w:spacing w:before="0" w:after="0" w:line="276" w:lineRule="auto"/>
            </w:pPr>
            <w:r>
              <w:rPr>
                <w:rFonts w:ascii="Arial" w:hAnsi="Arial" w:eastAsia="Arial" w:cs="Arial"/>
                <w:color w:val="333333"/>
                <w:sz w:val="19"/>
              </w:rPr>
              <w:t>A log of every e-mail sent or attempted, with its recipients, attachments and outcome</w:t>
            </w:r>
          </w:p>
        </w:tc>
      </w:tr>
      <w:tr>
        <w:trPr>
          <w:cantSplit/>
        </w:trPr>
        <w:tc>
          <w:tcPr>
            <w:tcW w:type="dxa" w:w="260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Data Retention</w:t>
            </w:r>
          </w:p>
        </w:tc>
        <w:tc>
          <w:tcPr>
            <w:tcW w:type="dxa" w:w="6803"/>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Retention rules by record type and the records due for review</w:t>
            </w:r>
          </w:p>
        </w:tc>
      </w:tr>
      <w:tr>
        <w:trPr>
          <w:cantSplit/>
        </w:trPr>
        <w:tc>
          <w:tcPr>
            <w:tcW w:type="dxa" w:w="2608"/>
            <w:tcMar>
              <w:top w:w="80" w:type="dxa"/>
              <w:bottom w:w="80" w:type="dxa"/>
              <w:left w:w="120" w:type="dxa"/>
              <w:right w:w="120" w:type="dxa"/>
            </w:tcMar>
          </w:tcPr>
          <w:p>
            <w:pPr>
              <w:spacing w:before="0" w:after="0" w:line="276" w:lineRule="auto"/>
            </w:pPr>
            <w:r>
              <w:rPr>
                <w:rFonts w:ascii="Arial" w:hAnsi="Arial" w:eastAsia="Arial" w:cs="Arial"/>
                <w:b/>
                <w:color w:val="0B4F9C"/>
                <w:sz w:val="19"/>
              </w:rPr>
              <w:t>Compliance Setup</w:t>
            </w:r>
          </w:p>
        </w:tc>
        <w:tc>
          <w:tcPr>
            <w:tcW w:type="dxa" w:w="6803"/>
            <w:tcMar>
              <w:top w:w="80" w:type="dxa"/>
              <w:bottom w:w="80" w:type="dxa"/>
              <w:left w:w="120" w:type="dxa"/>
              <w:right w:w="120" w:type="dxa"/>
            </w:tcMar>
          </w:tcPr>
          <w:p>
            <w:pPr>
              <w:spacing w:before="0" w:after="0" w:line="276" w:lineRule="auto"/>
            </w:pPr>
            <w:r>
              <w:rPr>
                <w:rFonts w:ascii="Arial" w:hAnsi="Arial" w:eastAsia="Arial" w:cs="Arial"/>
                <w:color w:val="333333"/>
                <w:sz w:val="19"/>
              </w:rPr>
              <w:t>Screening configuration, watchlists and review templates</w:t>
            </w:r>
          </w:p>
        </w:tc>
      </w:tr>
      <w:tr>
        <w:trPr>
          <w:cantSplit/>
        </w:trPr>
        <w:tc>
          <w:tcPr>
            <w:tcW w:type="dxa" w:w="260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Access Requests</w:t>
            </w:r>
          </w:p>
        </w:tc>
        <w:tc>
          <w:tcPr>
            <w:tcW w:type="dxa" w:w="6803"/>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Requests to enrol, change, deactivate or reactivate users</w:t>
            </w:r>
          </w:p>
        </w:tc>
      </w:tr>
      <w:tr>
        <w:trPr>
          <w:cantSplit/>
        </w:trPr>
        <w:tc>
          <w:tcPr>
            <w:tcW w:type="dxa" w:w="2608"/>
            <w:tcMar>
              <w:top w:w="80" w:type="dxa"/>
              <w:bottom w:w="80" w:type="dxa"/>
              <w:left w:w="120" w:type="dxa"/>
              <w:right w:w="120" w:type="dxa"/>
            </w:tcMar>
          </w:tcPr>
          <w:p>
            <w:pPr>
              <w:spacing w:before="0" w:after="0" w:line="276" w:lineRule="auto"/>
            </w:pPr>
            <w:r>
              <w:rPr>
                <w:rFonts w:ascii="Arial" w:hAnsi="Arial" w:eastAsia="Arial" w:cs="Arial"/>
                <w:b/>
                <w:color w:val="0B4F9C"/>
                <w:sz w:val="19"/>
              </w:rPr>
              <w:t>Group Profile Requests</w:t>
            </w:r>
          </w:p>
        </w:tc>
        <w:tc>
          <w:tcPr>
            <w:tcW w:type="dxa" w:w="6803"/>
            <w:tcMar>
              <w:top w:w="80" w:type="dxa"/>
              <w:bottom w:w="80" w:type="dxa"/>
              <w:left w:w="120" w:type="dxa"/>
              <w:right w:w="120" w:type="dxa"/>
            </w:tcMar>
          </w:tcPr>
          <w:p>
            <w:pPr>
              <w:spacing w:before="0" w:after="0" w:line="276" w:lineRule="auto"/>
            </w:pPr>
            <w:r>
              <w:rPr>
                <w:rFonts w:ascii="Arial" w:hAnsi="Arial" w:eastAsia="Arial" w:cs="Arial"/>
                <w:color w:val="333333"/>
                <w:sz w:val="19"/>
              </w:rPr>
              <w:t>Requests to create or change roles and their permissions</w:t>
            </w:r>
          </w:p>
        </w:tc>
      </w:tr>
      <w:tr>
        <w:trPr>
          <w:cantSplit/>
        </w:trPr>
        <w:tc>
          <w:tcPr>
            <w:tcW w:type="dxa" w:w="260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User Access Matrix</w:t>
            </w:r>
          </w:p>
        </w:tc>
        <w:tc>
          <w:tcPr>
            <w:tcW w:type="dxa" w:w="6803"/>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Every role against every permission, for review and sign-off</w:t>
            </w:r>
          </w:p>
        </w:tc>
      </w:tr>
    </w:tbl>
    <w:p>
      <w:pPr>
        <w:spacing w:before="0" w:after="80" w:line="240" w:lineRule="auto"/>
      </w:pPr>
    </w:p>
    <w:p>
      <w:pPr>
        <w:pStyle w:val="Heading2"/>
      </w:pPr>
      <w:r>
        <w:rPr>
          <w:rFonts w:ascii="Arial" w:hAnsi="Arial" w:eastAsia="Arial" w:cs="Arial"/>
        </w:rPr>
        <w:t>9.1  Requesting access for a user</w:t>
      </w:r>
    </w:p>
    <w:p>
      <w:pPr>
        <w:keepNext/>
        <w:tabs>
          <w:tab w:pos="510" w:val="left"/>
        </w:tabs>
        <w:spacing w:before="0" w:after="80"/>
        <w:ind w:left="510" w:hanging="397"/>
      </w:pPr>
      <w:r>
        <w:rPr>
          <w:rFonts w:ascii="Arial" w:hAnsi="Arial" w:eastAsia="Arial" w:cs="Arial"/>
          <w:b/>
          <w:color w:val="0090D8"/>
        </w:rPr>
        <w:t>1.</w:t>
        <w:tab/>
      </w:r>
      <w:r>
        <w:rPr>
          <w:rFonts w:ascii="Arial" w:hAnsi="Arial" w:eastAsia="Arial" w:cs="Arial"/>
        </w:rPr>
        <w:t xml:space="preserve">Go to </w:t>
      </w:r>
      <w:r>
        <w:rPr>
          <w:rFonts w:ascii="Arial" w:hAnsi="Arial" w:eastAsia="Arial" w:cs="Arial"/>
          <w:b/>
        </w:rPr>
        <w:t>User Access &gt; Access Requests</w:t>
      </w:r>
      <w:r>
        <w:rPr>
          <w:rFonts w:ascii="Arial" w:hAnsi="Arial" w:eastAsia="Arial" w:cs="Arial"/>
        </w:rPr>
        <w:t xml:space="preserve"> and click </w:t>
      </w:r>
      <w:r>
        <w:rPr>
          <w:rFonts w:ascii="Arial" w:hAnsi="Arial" w:eastAsia="Arial" w:cs="Arial"/>
          <w:b/>
        </w:rPr>
        <w:t>New Access Request</w:t>
      </w:r>
      <w:r>
        <w:rPr>
          <w:rFonts w:ascii="Arial" w:hAnsi="Arial" w:eastAsia="Arial" w:cs="Arial"/>
        </w:rPr>
        <w:t>.</w:t>
      </w:r>
    </w:p>
    <w:p>
      <w:pPr>
        <w:keepNext/>
        <w:tabs>
          <w:tab w:pos="510" w:val="left"/>
        </w:tabs>
        <w:spacing w:before="0" w:after="80"/>
        <w:ind w:left="510" w:hanging="397"/>
      </w:pPr>
      <w:r>
        <w:rPr>
          <w:rFonts w:ascii="Arial" w:hAnsi="Arial" w:eastAsia="Arial" w:cs="Arial"/>
          <w:b/>
          <w:color w:val="0090D8"/>
        </w:rPr>
        <w:t>2.</w:t>
        <w:tab/>
      </w:r>
      <w:r>
        <w:rPr>
          <w:rFonts w:ascii="Arial" w:hAnsi="Arial" w:eastAsia="Arial" w:cs="Arial"/>
        </w:rPr>
        <w:t>Choose the action (enrol, modify, deactivate or reactivate), the user and the roles.</w:t>
      </w:r>
    </w:p>
    <w:p>
      <w:pPr>
        <w:tabs>
          <w:tab w:pos="510" w:val="left"/>
        </w:tabs>
        <w:spacing w:before="0" w:after="160"/>
        <w:ind w:left="510" w:hanging="397"/>
      </w:pPr>
      <w:r>
        <w:rPr>
          <w:rFonts w:ascii="Arial" w:hAnsi="Arial" w:eastAsia="Arial" w:cs="Arial"/>
          <w:b/>
          <w:color w:val="0090D8"/>
        </w:rPr>
        <w:t>3.</w:t>
        <w:tab/>
      </w:r>
      <w:r>
        <w:rPr>
          <w:rFonts w:ascii="Arial" w:hAnsi="Arial" w:eastAsia="Arial" w:cs="Arial"/>
        </w:rPr>
        <w:t>Submit. The request goes to the approvers in turn and is then implemented by the system administrator.</w:t>
      </w:r>
    </w:p>
    <w:p>
      <w:r>
        <w:rPr>
          <w:rFonts w:ascii="Arial" w:hAnsi="Arial" w:eastAsia="Arial" w:cs="Arial"/>
        </w:rPr>
        <w:t xml:space="preserve">Many users can be requested at once with </w:t>
      </w:r>
      <w:r>
        <w:rPr>
          <w:rFonts w:ascii="Arial" w:hAnsi="Arial" w:eastAsia="Arial" w:cs="Arial"/>
          <w:b/>
        </w:rPr>
        <w:t>Bulk Request</w:t>
      </w:r>
      <w:r>
        <w:rPr>
          <w:rFonts w:ascii="Arial" w:hAnsi="Arial" w:eastAsia="Arial" w:cs="Arial"/>
        </w:rPr>
        <w:t>, using the upload template. Every change to a user or role is recorded in the access audit log.</w:t>
      </w:r>
    </w:p>
    <w:p>
      <w:pPr>
        <w:pStyle w:val="Heading1"/>
        <w:pageBreakBefore/>
        <w:pBdr>
          <w:bottom w:val="single" w:sz="12" w:space="6" w:color="00A098"/>
        </w:pBdr>
      </w:pPr>
      <w:r>
        <w:rPr>
          <w:rFonts w:ascii="Arial" w:hAnsi="Arial" w:eastAsia="Arial" w:cs="Arial"/>
        </w:rPr>
        <w:t>10  Help and support</w:t>
      </w:r>
    </w:p>
    <w:p>
      <w:pPr>
        <w:pStyle w:val="Heading2"/>
      </w:pPr>
      <w:r>
        <w:rPr>
          <w:rFonts w:ascii="Arial" w:hAnsi="Arial" w:eastAsia="Arial" w:cs="Arial"/>
        </w:rPr>
        <w:t>10.1  Common questions</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948"/>
        <w:gridCol w:w="6463"/>
      </w:tblGrid>
      <w:tr>
        <w:trPr>
          <w:tblHeader w:val="true"/>
          <w:cantSplit/>
        </w:trPr>
        <w:tc>
          <w:tcPr>
            <w:tcW w:type="dxa" w:w="294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Question</w:t>
            </w:r>
          </w:p>
        </w:tc>
        <w:tc>
          <w:tcPr>
            <w:tcW w:type="dxa" w:w="6463"/>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Answer</w:t>
            </w:r>
          </w:p>
        </w:tc>
      </w:tr>
      <w:tr>
        <w:trPr>
          <w:cantSplit/>
        </w:trPr>
        <w:tc>
          <w:tcPr>
            <w:tcW w:type="dxa" w:w="2948"/>
            <w:tcMar>
              <w:top w:w="80" w:type="dxa"/>
              <w:bottom w:w="80" w:type="dxa"/>
              <w:left w:w="120" w:type="dxa"/>
              <w:right w:w="120" w:type="dxa"/>
            </w:tcMar>
          </w:tcPr>
          <w:p>
            <w:pPr>
              <w:spacing w:before="0" w:after="0" w:line="276" w:lineRule="auto"/>
            </w:pPr>
            <w:r>
              <w:rPr>
                <w:rFonts w:ascii="Arial" w:hAnsi="Arial" w:eastAsia="Arial" w:cs="Arial"/>
                <w:b/>
                <w:color w:val="0B4F9C"/>
                <w:sz w:val="19"/>
              </w:rPr>
              <w:t>I cannot sign in.</w:t>
            </w:r>
          </w:p>
        </w:tc>
        <w:tc>
          <w:tcPr>
            <w:tcW w:type="dxa" w:w="6463"/>
            <w:tcMar>
              <w:top w:w="80" w:type="dxa"/>
              <w:bottom w:w="80" w:type="dxa"/>
              <w:left w:w="120" w:type="dxa"/>
              <w:right w:w="120" w:type="dxa"/>
            </w:tcMar>
          </w:tcPr>
          <w:p>
            <w:pPr>
              <w:spacing w:before="0" w:after="0" w:line="276" w:lineRule="auto"/>
            </w:pPr>
            <w:r>
              <w:rPr>
                <w:rFonts w:ascii="Arial" w:hAnsi="Arial" w:eastAsia="Arial" w:cs="Arial"/>
                <w:color w:val="333333"/>
                <w:sz w:val="19"/>
              </w:rPr>
              <w:t>Check your user ID and that Caps Lock is off. If your password has expired or was reset, you will be asked to change it. If your user ID is locked, ask your system administrator to unlock it.</w:t>
            </w:r>
          </w:p>
        </w:tc>
      </w:tr>
      <w:tr>
        <w:trPr>
          <w:cantSplit/>
        </w:trPr>
        <w:tc>
          <w:tcPr>
            <w:tcW w:type="dxa" w:w="294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A screen in this manual is not in my menu.</w:t>
            </w:r>
          </w:p>
        </w:tc>
        <w:tc>
          <w:tcPr>
            <w:tcW w:type="dxa" w:w="6463"/>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Your role does not include it. Ask your system administrator if you need it.</w:t>
            </w:r>
          </w:p>
        </w:tc>
      </w:tr>
      <w:tr>
        <w:trPr>
          <w:cantSplit/>
        </w:trPr>
        <w:tc>
          <w:tcPr>
            <w:tcW w:type="dxa" w:w="2948"/>
            <w:tcMar>
              <w:top w:w="80" w:type="dxa"/>
              <w:bottom w:w="80" w:type="dxa"/>
              <w:left w:w="120" w:type="dxa"/>
              <w:right w:w="120" w:type="dxa"/>
            </w:tcMar>
          </w:tcPr>
          <w:p>
            <w:pPr>
              <w:spacing w:before="0" w:after="0" w:line="276" w:lineRule="auto"/>
            </w:pPr>
            <w:r>
              <w:rPr>
                <w:rFonts w:ascii="Arial" w:hAnsi="Arial" w:eastAsia="Arial" w:cs="Arial"/>
                <w:b/>
                <w:color w:val="0B4F9C"/>
                <w:sz w:val="19"/>
              </w:rPr>
              <w:t>I cannot find a record I know exists.</w:t>
            </w:r>
          </w:p>
        </w:tc>
        <w:tc>
          <w:tcPr>
            <w:tcW w:type="dxa" w:w="6463"/>
            <w:tcMar>
              <w:top w:w="80" w:type="dxa"/>
              <w:bottom w:w="80" w:type="dxa"/>
              <w:left w:w="120" w:type="dxa"/>
              <w:right w:w="120" w:type="dxa"/>
            </w:tcMar>
          </w:tcPr>
          <w:p>
            <w:pPr>
              <w:spacing w:before="0" w:after="0" w:line="276" w:lineRule="auto"/>
            </w:pPr>
            <w:r>
              <w:rPr>
                <w:rFonts w:ascii="Arial" w:hAnsi="Arial" w:eastAsia="Arial" w:cs="Arial"/>
                <w:color w:val="333333"/>
                <w:sz w:val="19"/>
              </w:rPr>
              <w:t>Check the company and branch selected in the header, and clear any filters or tabs on the list.</w:t>
            </w:r>
          </w:p>
        </w:tc>
      </w:tr>
      <w:tr>
        <w:trPr>
          <w:cantSplit/>
        </w:trPr>
        <w:tc>
          <w:tcPr>
            <w:tcW w:type="dxa" w:w="294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The Submit button is not available.</w:t>
            </w:r>
          </w:p>
        </w:tc>
        <w:tc>
          <w:tcPr>
            <w:tcW w:type="dxa" w:w="6463"/>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A required field or document is missing. The form shows what is missing; on accounts, the completeness check lists it.</w:t>
            </w:r>
          </w:p>
        </w:tc>
      </w:tr>
      <w:tr>
        <w:trPr>
          <w:cantSplit/>
        </w:trPr>
        <w:tc>
          <w:tcPr>
            <w:tcW w:type="dxa" w:w="2948"/>
            <w:tcMar>
              <w:top w:w="80" w:type="dxa"/>
              <w:bottom w:w="80" w:type="dxa"/>
              <w:left w:w="120" w:type="dxa"/>
              <w:right w:w="120" w:type="dxa"/>
            </w:tcMar>
          </w:tcPr>
          <w:p>
            <w:pPr>
              <w:spacing w:before="0" w:after="0" w:line="276" w:lineRule="auto"/>
            </w:pPr>
            <w:r>
              <w:rPr>
                <w:rFonts w:ascii="Arial" w:hAnsi="Arial" w:eastAsia="Arial" w:cs="Arial"/>
                <w:b/>
                <w:color w:val="0B4F9C"/>
                <w:sz w:val="19"/>
              </w:rPr>
              <w:t>I was signed out while working.</w:t>
            </w:r>
          </w:p>
        </w:tc>
        <w:tc>
          <w:tcPr>
            <w:tcW w:type="dxa" w:w="6463"/>
            <w:tcMar>
              <w:top w:w="80" w:type="dxa"/>
              <w:bottom w:w="80" w:type="dxa"/>
              <w:left w:w="120" w:type="dxa"/>
              <w:right w:w="120" w:type="dxa"/>
            </w:tcMar>
          </w:tcPr>
          <w:p>
            <w:pPr>
              <w:spacing w:before="0" w:after="0" w:line="276" w:lineRule="auto"/>
            </w:pPr>
            <w:r>
              <w:rPr>
                <w:rFonts w:ascii="Arial" w:hAnsi="Arial" w:eastAsia="Arial" w:cs="Arial"/>
                <w:color w:val="333333"/>
                <w:sz w:val="19"/>
              </w:rPr>
              <w:t>Sessions end after a period of inactivity. Anything saved as a draft is kept; sign in again and carry on.</w:t>
            </w:r>
          </w:p>
        </w:tc>
      </w:tr>
      <w:tr>
        <w:trPr>
          <w:cantSplit/>
        </w:trPr>
        <w:tc>
          <w:tcPr>
            <w:tcW w:type="dxa" w:w="294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A record was returned to me.</w:t>
            </w:r>
          </w:p>
        </w:tc>
        <w:tc>
          <w:tcPr>
            <w:tcW w:type="dxa" w:w="6463"/>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Open it from My Work or the notification. The reason is shown on the record and in its History tab.</w:t>
            </w:r>
          </w:p>
        </w:tc>
      </w:tr>
    </w:tbl>
    <w:p>
      <w:pPr>
        <w:spacing w:before="0" w:after="80" w:line="240" w:lineRule="auto"/>
      </w:pPr>
    </w:p>
    <w:p>
      <w:pPr>
        <w:pStyle w:val="Heading2"/>
      </w:pPr>
      <w:r>
        <w:rPr>
          <w:rFonts w:ascii="Arial" w:hAnsi="Arial" w:eastAsia="Arial" w:cs="Arial"/>
        </w:rPr>
        <w:t>10.2  Getting help</w:t>
      </w:r>
    </w:p>
    <w:p>
      <w:pPr>
        <w:pStyle w:val="ListBullet"/>
        <w:spacing w:before="0" w:after="80"/>
        <w:ind w:left="510" w:hanging="283"/>
      </w:pPr>
      <w:r>
        <w:rPr>
          <w:rFonts w:ascii="Arial" w:hAnsi="Arial" w:eastAsia="Arial" w:cs="Arial"/>
          <w:b/>
        </w:rPr>
        <w:t>In the system</w:t>
      </w:r>
      <w:r>
        <w:rPr>
          <w:rFonts w:ascii="Arial" w:hAnsi="Arial" w:eastAsia="Arial" w:cs="Arial"/>
        </w:rPr>
        <w:t>: open the Help Center from the question mark in the header.</w:t>
      </w:r>
    </w:p>
    <w:p>
      <w:pPr>
        <w:pStyle w:val="ListBullet"/>
        <w:spacing w:before="0" w:after="80"/>
        <w:ind w:left="510" w:hanging="283"/>
      </w:pPr>
      <w:r>
        <w:rPr>
          <w:rFonts w:ascii="Arial" w:hAnsi="Arial" w:eastAsia="Arial" w:cs="Arial"/>
          <w:b/>
        </w:rPr>
        <w:t>In your organisation</w:t>
      </w:r>
      <w:r>
        <w:rPr>
          <w:rFonts w:ascii="Arial" w:hAnsi="Arial" w:eastAsia="Arial" w:cs="Arial"/>
        </w:rPr>
        <w:t>: contact your team leader or BrokerVerse system administrator for questions about access, procedures and data.</w:t>
      </w:r>
    </w:p>
    <w:p>
      <w:pPr>
        <w:pStyle w:val="ListBullet"/>
        <w:spacing w:before="0" w:after="80"/>
        <w:ind w:left="510" w:hanging="283"/>
      </w:pPr>
      <w:r>
        <w:rPr>
          <w:rFonts w:ascii="Arial" w:hAnsi="Arial" w:eastAsia="Arial" w:cs="Arial"/>
          <w:b/>
        </w:rPr>
        <w:t>From iorta TechNXT</w:t>
      </w:r>
      <w:r>
        <w:rPr>
          <w:rFonts w:ascii="Arial" w:hAnsi="Arial" w:eastAsia="Arial" w:cs="Arial"/>
        </w:rPr>
        <w:t>: raise product issues through your agreed support channel. When you report a problem, include the screen name, the record number, what you did and any message shown.</w:t>
      </w:r>
    </w:p>
    <w:p>
      <w:r>
        <w:rPr>
          <w:rFonts w:ascii="Arial" w:hAnsi="Arial" w:eastAsia="Arial" w:cs="Arial"/>
        </w:rPr>
        <w:t>More about iorta TechNXT is available at www.iortatechnxt.com.</w:t>
      </w:r>
    </w:p>
    <w:p>
      <w:pPr>
        <w:pStyle w:val="Heading1"/>
        <w:pageBreakBefore/>
        <w:pBdr>
          <w:bottom w:val="single" w:sz="12" w:space="6" w:color="00A098"/>
        </w:pBdr>
      </w:pPr>
      <w:r>
        <w:rPr>
          <w:rFonts w:ascii="Arial" w:hAnsi="Arial" w:eastAsia="Arial" w:cs="Arial"/>
        </w:rPr>
        <w:t>11  Glossary</w:t>
      </w:r>
    </w:p>
    <w:tbl>
      <w:tblPr>
        <w:tblW w:type="dxa" w:w="9411"/>
        <w:jc w:val="left"/>
        <w:tblLook w:firstColumn="1" w:firstRow="1" w:lastColumn="0" w:lastRow="0" w:noHBand="0" w:noVBand="1" w:val="04A0"/>
        <w:tblBorders>
          <w:top w:val="single" w:sz="4" w:color="C9D6E3"/>
          <w:left w:val="single" w:sz="4" w:color="C9D6E3"/>
          <w:bottom w:val="single" w:sz="4" w:color="C9D6E3"/>
          <w:right w:val="single" w:sz="4" w:color="C9D6E3"/>
          <w:insideH w:val="single" w:sz="4" w:color="C9D6E3"/>
          <w:insideV w:val="single" w:sz="4" w:color="C9D6E3"/>
        </w:tblBorders>
        <w:tblLayout w:type="fixed"/>
      </w:tblPr>
      <w:tblGrid>
        <w:gridCol w:w="2268"/>
        <w:gridCol w:w="7143"/>
      </w:tblGrid>
      <w:tr>
        <w:trPr>
          <w:tblHeader w:val="true"/>
          <w:cantSplit/>
        </w:trPr>
        <w:tc>
          <w:tcPr>
            <w:tcW w:type="dxa" w:w="2268"/>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Term</w:t>
            </w:r>
          </w:p>
        </w:tc>
        <w:tc>
          <w:tcPr>
            <w:tcW w:type="dxa" w:w="7143"/>
            <w:shd w:val="clear" w:color="auto" w:fill="0B4F9C"/>
            <w:tcMar>
              <w:top w:w="80" w:type="dxa"/>
              <w:bottom w:w="80" w:type="dxa"/>
              <w:left w:w="120" w:type="dxa"/>
              <w:right w:w="120" w:type="dxa"/>
            </w:tcMar>
            <w:vAlign w:val="center"/>
          </w:tcPr>
          <w:p>
            <w:pPr>
              <w:spacing w:before="0" w:after="0" w:line="264" w:lineRule="auto"/>
            </w:pPr>
            <w:r>
              <w:rPr>
                <w:rFonts w:ascii="Arial" w:hAnsi="Arial" w:eastAsia="Arial" w:cs="Arial"/>
                <w:b/>
                <w:color w:val="FFFFFF"/>
                <w:sz w:val="19"/>
              </w:rPr>
              <w:t>Meaning</w:t>
            </w:r>
          </w:p>
        </w:tc>
      </w:tr>
      <w:tr>
        <w:trPr>
          <w:cantSplit/>
        </w:trPr>
        <w:tc>
          <w:tcPr>
            <w:tcW w:type="dxa" w:w="2268"/>
            <w:tcMar>
              <w:top w:w="80" w:type="dxa"/>
              <w:bottom w:w="80" w:type="dxa"/>
              <w:left w:w="120" w:type="dxa"/>
              <w:right w:w="120" w:type="dxa"/>
            </w:tcMar>
          </w:tcPr>
          <w:p>
            <w:pPr>
              <w:spacing w:before="0" w:after="0" w:line="276" w:lineRule="auto"/>
            </w:pPr>
            <w:r>
              <w:rPr>
                <w:rFonts w:ascii="Arial" w:hAnsi="Arial" w:eastAsia="Arial" w:cs="Arial"/>
                <w:b/>
                <w:color w:val="0B4F9C"/>
                <w:sz w:val="19"/>
              </w:rPr>
              <w:t>AR / OR</w:t>
            </w:r>
          </w:p>
        </w:tc>
        <w:tc>
          <w:tcPr>
            <w:tcW w:type="dxa" w:w="7143"/>
            <w:tcMar>
              <w:top w:w="80" w:type="dxa"/>
              <w:bottom w:w="80" w:type="dxa"/>
              <w:left w:w="120" w:type="dxa"/>
              <w:right w:w="120" w:type="dxa"/>
            </w:tcMar>
          </w:tcPr>
          <w:p>
            <w:pPr>
              <w:spacing w:before="0" w:after="0" w:line="276" w:lineRule="auto"/>
            </w:pPr>
            <w:r>
              <w:rPr>
                <w:rFonts w:ascii="Arial" w:hAnsi="Arial" w:eastAsia="Arial" w:cs="Arial"/>
                <w:color w:val="333333"/>
                <w:sz w:val="19"/>
              </w:rPr>
              <w:t>Acknowledgement receipt / official receipt issued for a payment</w:t>
            </w:r>
          </w:p>
        </w:tc>
      </w:tr>
      <w:tr>
        <w:trPr>
          <w:cantSplit/>
        </w:trPr>
        <w:tc>
          <w:tcPr>
            <w:tcW w:type="dxa" w:w="226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ARN</w:t>
            </w:r>
          </w:p>
        </w:tc>
        <w:tc>
          <w:tcPr>
            <w:tcW w:type="dxa" w:w="7143"/>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Account Reference Number, the reference an account carries from quotation to booking</w:t>
            </w:r>
          </w:p>
        </w:tc>
      </w:tr>
      <w:tr>
        <w:trPr>
          <w:cantSplit/>
        </w:trPr>
        <w:tc>
          <w:tcPr>
            <w:tcW w:type="dxa" w:w="2268"/>
            <w:tcMar>
              <w:top w:w="80" w:type="dxa"/>
              <w:bottom w:w="80" w:type="dxa"/>
              <w:left w:w="120" w:type="dxa"/>
              <w:right w:w="120" w:type="dxa"/>
            </w:tcMar>
          </w:tcPr>
          <w:p>
            <w:pPr>
              <w:spacing w:before="0" w:after="0" w:line="276" w:lineRule="auto"/>
            </w:pPr>
            <w:r>
              <w:rPr>
                <w:rFonts w:ascii="Arial" w:hAnsi="Arial" w:eastAsia="Arial" w:cs="Arial"/>
                <w:b/>
                <w:color w:val="0B4F9C"/>
                <w:sz w:val="19"/>
              </w:rPr>
              <w:t>Booking</w:t>
            </w:r>
          </w:p>
        </w:tc>
        <w:tc>
          <w:tcPr>
            <w:tcW w:type="dxa" w:w="7143"/>
            <w:tcMar>
              <w:top w:w="80" w:type="dxa"/>
              <w:bottom w:w="80" w:type="dxa"/>
              <w:left w:w="120" w:type="dxa"/>
              <w:right w:w="120" w:type="dxa"/>
            </w:tcMar>
          </w:tcPr>
          <w:p>
            <w:pPr>
              <w:spacing w:before="0" w:after="0" w:line="276" w:lineRule="auto"/>
            </w:pPr>
            <w:r>
              <w:rPr>
                <w:rFonts w:ascii="Arial" w:hAnsi="Arial" w:eastAsia="Arial" w:cs="Arial"/>
                <w:color w:val="333333"/>
                <w:sz w:val="19"/>
              </w:rPr>
              <w:t>Recording an issued policy as an invoice, with its accounting entries</w:t>
            </w:r>
          </w:p>
        </w:tc>
      </w:tr>
      <w:tr>
        <w:trPr>
          <w:cantSplit/>
        </w:trPr>
        <w:tc>
          <w:tcPr>
            <w:tcW w:type="dxa" w:w="226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Direct payment (DP)</w:t>
            </w:r>
          </w:p>
        </w:tc>
        <w:tc>
          <w:tcPr>
            <w:tcW w:type="dxa" w:w="7143"/>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An account where the client pays the premium straight to the insurer</w:t>
            </w:r>
          </w:p>
        </w:tc>
      </w:tr>
      <w:tr>
        <w:trPr>
          <w:cantSplit/>
        </w:trPr>
        <w:tc>
          <w:tcPr>
            <w:tcW w:type="dxa" w:w="2268"/>
            <w:tcMar>
              <w:top w:w="80" w:type="dxa"/>
              <w:bottom w:w="80" w:type="dxa"/>
              <w:left w:w="120" w:type="dxa"/>
              <w:right w:w="120" w:type="dxa"/>
            </w:tcMar>
          </w:tcPr>
          <w:p>
            <w:pPr>
              <w:spacing w:before="0" w:after="0" w:line="276" w:lineRule="auto"/>
            </w:pPr>
            <w:r>
              <w:rPr>
                <w:rFonts w:ascii="Arial" w:hAnsi="Arial" w:eastAsia="Arial" w:cs="Arial"/>
                <w:b/>
                <w:color w:val="0B4F9C"/>
                <w:sz w:val="19"/>
              </w:rPr>
              <w:t>DV</w:t>
            </w:r>
          </w:p>
        </w:tc>
        <w:tc>
          <w:tcPr>
            <w:tcW w:type="dxa" w:w="7143"/>
            <w:tcMar>
              <w:top w:w="80" w:type="dxa"/>
              <w:bottom w:w="80" w:type="dxa"/>
              <w:left w:w="120" w:type="dxa"/>
              <w:right w:w="120" w:type="dxa"/>
            </w:tcMar>
          </w:tcPr>
          <w:p>
            <w:pPr>
              <w:spacing w:before="0" w:after="0" w:line="276" w:lineRule="auto"/>
            </w:pPr>
            <w:r>
              <w:rPr>
                <w:rFonts w:ascii="Arial" w:hAnsi="Arial" w:eastAsia="Arial" w:cs="Arial"/>
                <w:color w:val="333333"/>
                <w:sz w:val="19"/>
              </w:rPr>
              <w:t>Disbursement voucher, the record of a payment made</w:t>
            </w:r>
          </w:p>
        </w:tc>
      </w:tr>
      <w:tr>
        <w:trPr>
          <w:cantSplit/>
        </w:trPr>
        <w:tc>
          <w:tcPr>
            <w:tcW w:type="dxa" w:w="226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Endorsement</w:t>
            </w:r>
          </w:p>
        </w:tc>
        <w:tc>
          <w:tcPr>
            <w:tcW w:type="dxa" w:w="7143"/>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A change to a booked policy; it can increase, reduce or not affect the premium</w:t>
            </w:r>
          </w:p>
        </w:tc>
      </w:tr>
      <w:tr>
        <w:trPr>
          <w:cantSplit/>
        </w:trPr>
        <w:tc>
          <w:tcPr>
            <w:tcW w:type="dxa" w:w="2268"/>
            <w:tcMar>
              <w:top w:w="80" w:type="dxa"/>
              <w:bottom w:w="80" w:type="dxa"/>
              <w:left w:w="120" w:type="dxa"/>
              <w:right w:w="120" w:type="dxa"/>
            </w:tcMar>
          </w:tcPr>
          <w:p>
            <w:pPr>
              <w:spacing w:before="0" w:after="0" w:line="276" w:lineRule="auto"/>
            </w:pPr>
            <w:r>
              <w:rPr>
                <w:rFonts w:ascii="Arial" w:hAnsi="Arial" w:eastAsia="Arial" w:cs="Arial"/>
                <w:b/>
                <w:color w:val="0B4F9C"/>
                <w:sz w:val="19"/>
              </w:rPr>
              <w:t>E-policy</w:t>
            </w:r>
          </w:p>
        </w:tc>
        <w:tc>
          <w:tcPr>
            <w:tcW w:type="dxa" w:w="7143"/>
            <w:tcMar>
              <w:top w:w="80" w:type="dxa"/>
              <w:bottom w:w="80" w:type="dxa"/>
              <w:left w:w="120" w:type="dxa"/>
              <w:right w:w="120" w:type="dxa"/>
            </w:tcMar>
          </w:tcPr>
          <w:p>
            <w:pPr>
              <w:spacing w:before="0" w:after="0" w:line="276" w:lineRule="auto"/>
            </w:pPr>
            <w:r>
              <w:rPr>
                <w:rFonts w:ascii="Arial" w:hAnsi="Arial" w:eastAsia="Arial" w:cs="Arial"/>
                <w:color w:val="333333"/>
                <w:sz w:val="19"/>
              </w:rPr>
              <w:t>The electronic policy document issued by the insurer</w:t>
            </w:r>
          </w:p>
        </w:tc>
      </w:tr>
      <w:tr>
        <w:trPr>
          <w:cantSplit/>
        </w:trPr>
        <w:tc>
          <w:tcPr>
            <w:tcW w:type="dxa" w:w="226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FFY</w:t>
            </w:r>
          </w:p>
        </w:tc>
        <w:tc>
          <w:tcPr>
            <w:tcW w:type="dxa" w:w="7143"/>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Free First Year, an account arrangement tracked with its FFY start and end dates</w:t>
            </w:r>
          </w:p>
        </w:tc>
      </w:tr>
      <w:tr>
        <w:trPr>
          <w:cantSplit/>
        </w:trPr>
        <w:tc>
          <w:tcPr>
            <w:tcW w:type="dxa" w:w="2268"/>
            <w:tcMar>
              <w:top w:w="80" w:type="dxa"/>
              <w:bottom w:w="80" w:type="dxa"/>
              <w:left w:w="120" w:type="dxa"/>
              <w:right w:w="120" w:type="dxa"/>
            </w:tcMar>
          </w:tcPr>
          <w:p>
            <w:pPr>
              <w:spacing w:before="0" w:after="0" w:line="276" w:lineRule="auto"/>
            </w:pPr>
            <w:r>
              <w:rPr>
                <w:rFonts w:ascii="Arial" w:hAnsi="Arial" w:eastAsia="Arial" w:cs="Arial"/>
                <w:b/>
                <w:color w:val="0B4F9C"/>
                <w:sz w:val="19"/>
              </w:rPr>
              <w:t>KYC</w:t>
            </w:r>
          </w:p>
        </w:tc>
        <w:tc>
          <w:tcPr>
            <w:tcW w:type="dxa" w:w="7143"/>
            <w:tcMar>
              <w:top w:w="80" w:type="dxa"/>
              <w:bottom w:w="80" w:type="dxa"/>
              <w:left w:w="120" w:type="dxa"/>
              <w:right w:w="120" w:type="dxa"/>
            </w:tcMar>
          </w:tcPr>
          <w:p>
            <w:pPr>
              <w:spacing w:before="0" w:after="0" w:line="276" w:lineRule="auto"/>
            </w:pPr>
            <w:r>
              <w:rPr>
                <w:rFonts w:ascii="Arial" w:hAnsi="Arial" w:eastAsia="Arial" w:cs="Arial"/>
                <w:color w:val="333333"/>
                <w:sz w:val="19"/>
              </w:rPr>
              <w:t>Know your customer: the identity checks and documents needed before a client is confirmed</w:t>
            </w:r>
          </w:p>
        </w:tc>
      </w:tr>
      <w:tr>
        <w:trPr>
          <w:cantSplit/>
        </w:trPr>
        <w:tc>
          <w:tcPr>
            <w:tcW w:type="dxa" w:w="226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Maker-checker</w:t>
            </w:r>
          </w:p>
        </w:tc>
        <w:tc>
          <w:tcPr>
            <w:tcW w:type="dxa" w:w="7143"/>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The control where one user makes a change and a different user approves it</w:t>
            </w:r>
          </w:p>
        </w:tc>
      </w:tr>
      <w:tr>
        <w:trPr>
          <w:cantSplit/>
        </w:trPr>
        <w:tc>
          <w:tcPr>
            <w:tcW w:type="dxa" w:w="2268"/>
            <w:tcMar>
              <w:top w:w="80" w:type="dxa"/>
              <w:bottom w:w="80" w:type="dxa"/>
              <w:left w:w="120" w:type="dxa"/>
              <w:right w:w="120" w:type="dxa"/>
            </w:tcMar>
          </w:tcPr>
          <w:p>
            <w:pPr>
              <w:spacing w:before="0" w:after="0" w:line="276" w:lineRule="auto"/>
            </w:pPr>
            <w:r>
              <w:rPr>
                <w:rFonts w:ascii="Arial" w:hAnsi="Arial" w:eastAsia="Arial" w:cs="Arial"/>
                <w:b/>
                <w:color w:val="0B4F9C"/>
                <w:sz w:val="19"/>
              </w:rPr>
              <w:t>PEP</w:t>
            </w:r>
          </w:p>
        </w:tc>
        <w:tc>
          <w:tcPr>
            <w:tcW w:type="dxa" w:w="7143"/>
            <w:tcMar>
              <w:top w:w="80" w:type="dxa"/>
              <w:bottom w:w="80" w:type="dxa"/>
              <w:left w:w="120" w:type="dxa"/>
              <w:right w:w="120" w:type="dxa"/>
            </w:tcMar>
          </w:tcPr>
          <w:p>
            <w:pPr>
              <w:spacing w:before="0" w:after="0" w:line="276" w:lineRule="auto"/>
            </w:pPr>
            <w:r>
              <w:rPr>
                <w:rFonts w:ascii="Arial" w:hAnsi="Arial" w:eastAsia="Arial" w:cs="Arial"/>
                <w:color w:val="333333"/>
                <w:sz w:val="19"/>
              </w:rPr>
              <w:t>Politically exposed person</w:t>
            </w:r>
          </w:p>
        </w:tc>
      </w:tr>
      <w:tr>
        <w:trPr>
          <w:cantSplit/>
        </w:trPr>
        <w:tc>
          <w:tcPr>
            <w:tcW w:type="dxa" w:w="226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PRF</w:t>
            </w:r>
          </w:p>
        </w:tc>
        <w:tc>
          <w:tcPr>
            <w:tcW w:type="dxa" w:w="7143"/>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Proposal Request Form, used for risks outside the standard packages</w:t>
            </w:r>
          </w:p>
        </w:tc>
      </w:tr>
      <w:tr>
        <w:trPr>
          <w:cantSplit/>
        </w:trPr>
        <w:tc>
          <w:tcPr>
            <w:tcW w:type="dxa" w:w="2268"/>
            <w:tcMar>
              <w:top w:w="80" w:type="dxa"/>
              <w:bottom w:w="80" w:type="dxa"/>
              <w:left w:w="120" w:type="dxa"/>
              <w:right w:w="120" w:type="dxa"/>
            </w:tcMar>
          </w:tcPr>
          <w:p>
            <w:pPr>
              <w:spacing w:before="0" w:after="0" w:line="276" w:lineRule="auto"/>
            </w:pPr>
            <w:r>
              <w:rPr>
                <w:rFonts w:ascii="Arial" w:hAnsi="Arial" w:eastAsia="Arial" w:cs="Arial"/>
                <w:b/>
                <w:color w:val="0B4F9C"/>
                <w:sz w:val="19"/>
              </w:rPr>
              <w:t>Remittance</w:t>
            </w:r>
          </w:p>
        </w:tc>
        <w:tc>
          <w:tcPr>
            <w:tcW w:type="dxa" w:w="7143"/>
            <w:tcMar>
              <w:top w:w="80" w:type="dxa"/>
              <w:bottom w:w="80" w:type="dxa"/>
              <w:left w:w="120" w:type="dxa"/>
              <w:right w:w="120" w:type="dxa"/>
            </w:tcMar>
          </w:tcPr>
          <w:p>
            <w:pPr>
              <w:spacing w:before="0" w:after="0" w:line="276" w:lineRule="auto"/>
            </w:pPr>
            <w:r>
              <w:rPr>
                <w:rFonts w:ascii="Arial" w:hAnsi="Arial" w:eastAsia="Arial" w:cs="Arial"/>
                <w:color w:val="333333"/>
                <w:sz w:val="19"/>
              </w:rPr>
              <w:t>Paying the collected premium, net of commission, to the insurer</w:t>
            </w:r>
          </w:p>
        </w:tc>
      </w:tr>
      <w:tr>
        <w:trPr>
          <w:cantSplit/>
        </w:trPr>
        <w:tc>
          <w:tcPr>
            <w:tcW w:type="dxa" w:w="226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SLA</w:t>
            </w:r>
          </w:p>
        </w:tc>
        <w:tc>
          <w:tcPr>
            <w:tcW w:type="dxa" w:w="7143"/>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Service level: the time allowed for a stage before an item is overdue</w:t>
            </w:r>
          </w:p>
        </w:tc>
      </w:tr>
      <w:tr>
        <w:trPr>
          <w:cantSplit/>
        </w:trPr>
        <w:tc>
          <w:tcPr>
            <w:tcW w:type="dxa" w:w="2268"/>
            <w:tcMar>
              <w:top w:w="80" w:type="dxa"/>
              <w:bottom w:w="80" w:type="dxa"/>
              <w:left w:w="120" w:type="dxa"/>
              <w:right w:w="120" w:type="dxa"/>
            </w:tcMar>
          </w:tcPr>
          <w:p>
            <w:pPr>
              <w:spacing w:before="0" w:after="0" w:line="276" w:lineRule="auto"/>
            </w:pPr>
            <w:r>
              <w:rPr>
                <w:rFonts w:ascii="Arial" w:hAnsi="Arial" w:eastAsia="Arial" w:cs="Arial"/>
                <w:b/>
                <w:color w:val="0B4F9C"/>
                <w:sz w:val="19"/>
              </w:rPr>
              <w:t>SOA</w:t>
            </w:r>
          </w:p>
        </w:tc>
        <w:tc>
          <w:tcPr>
            <w:tcW w:type="dxa" w:w="7143"/>
            <w:tcMar>
              <w:top w:w="80" w:type="dxa"/>
              <w:bottom w:w="80" w:type="dxa"/>
              <w:left w:w="120" w:type="dxa"/>
              <w:right w:w="120" w:type="dxa"/>
            </w:tcMar>
          </w:tcPr>
          <w:p>
            <w:pPr>
              <w:spacing w:before="0" w:after="0" w:line="276" w:lineRule="auto"/>
            </w:pPr>
            <w:r>
              <w:rPr>
                <w:rFonts w:ascii="Arial" w:hAnsi="Arial" w:eastAsia="Arial" w:cs="Arial"/>
                <w:color w:val="333333"/>
                <w:sz w:val="19"/>
              </w:rPr>
              <w:t>Statement of account</w:t>
            </w:r>
          </w:p>
        </w:tc>
      </w:tr>
      <w:tr>
        <w:trPr>
          <w:cantSplit/>
        </w:trPr>
        <w:tc>
          <w:tcPr>
            <w:tcW w:type="dxa" w:w="2268"/>
            <w:shd w:val="clear" w:color="auto" w:fill="EEF6FC"/>
            <w:tcMar>
              <w:top w:w="80" w:type="dxa"/>
              <w:bottom w:w="80" w:type="dxa"/>
              <w:left w:w="120" w:type="dxa"/>
              <w:right w:w="120" w:type="dxa"/>
            </w:tcMar>
          </w:tcPr>
          <w:p>
            <w:pPr>
              <w:spacing w:before="0" w:after="0" w:line="276" w:lineRule="auto"/>
            </w:pPr>
            <w:r>
              <w:rPr>
                <w:rFonts w:ascii="Arial" w:hAnsi="Arial" w:eastAsia="Arial" w:cs="Arial"/>
                <w:b/>
                <w:color w:val="0B4F9C"/>
                <w:sz w:val="19"/>
              </w:rPr>
              <w:t>TSU</w:t>
            </w:r>
          </w:p>
        </w:tc>
        <w:tc>
          <w:tcPr>
            <w:tcW w:type="dxa" w:w="7143"/>
            <w:shd w:val="clear" w:color="auto" w:fill="EEF6FC"/>
            <w:tcMar>
              <w:top w:w="80" w:type="dxa"/>
              <w:bottom w:w="80" w:type="dxa"/>
              <w:left w:w="120" w:type="dxa"/>
              <w:right w:w="120" w:type="dxa"/>
            </w:tcMar>
          </w:tcPr>
          <w:p>
            <w:pPr>
              <w:spacing w:before="0" w:after="0" w:line="276" w:lineRule="auto"/>
            </w:pPr>
            <w:r>
              <w:rPr>
                <w:rFonts w:ascii="Arial" w:hAnsi="Arial" w:eastAsia="Arial" w:cs="Arial"/>
                <w:color w:val="333333"/>
                <w:sz w:val="19"/>
              </w:rPr>
              <w:t>Technical Services Unit, which obtains terms from insurers for non-package risks</w:t>
            </w:r>
          </w:p>
        </w:tc>
      </w:tr>
    </w:tbl>
    <w:p>
      <w:pPr>
        <w:spacing w:before="0" w:after="80" w:line="240" w:lineRule="auto"/>
      </w:pPr>
    </w:p>
    <w:sectPr w:rsidR="00FC693F" w:rsidRPr="0006063C" w:rsidSect="00034616">
      <w:headerReference w:type="default" r:id="rId9"/>
      <w:footerReference w:type="default" r:id="rId10"/>
      <w:pgSz w:w="11906" w:h="16838"/>
      <w:pgMar w:top="1474" w:right="1247" w:bottom="1247" w:left="124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9411" w:val="right"/>
      </w:tabs>
      <w:pBdr>
        <w:top w:val="single" w:sz="4" w:space="6" w:color="C9D6E3"/>
      </w:pBdr>
    </w:pPr>
    <w:r>
      <w:rPr>
        <w:rFonts w:ascii="Arial" w:hAnsi="Arial" w:eastAsia="Arial" w:cs="Arial"/>
        <w:color w:val="6B7280"/>
        <w:sz w:val="16"/>
      </w:rPr>
      <w:t>© 2026 iorta TechNXT. Confidential.   Version 1.0</w:t>
    </w:r>
    <w:r>
      <w:rPr>
        <w:rFonts w:ascii="Arial" w:hAnsi="Arial" w:eastAsia="Arial" w:cs="Arial"/>
        <w:color w:val="6B7280"/>
        <w:sz w:val="16"/>
      </w:rPr>
      <w:tab/>
      <w:t xml:space="preserve">Page </w:t>
    </w:r>
    <w:r>
      <w:fldChar w:fldCharType="begin"/>
    </w:r>
    <w:r>
      <w:instrText xml:space="preserve"> PAGE </w:instrText>
    </w:r>
    <w:r>
      <w:fldChar w:fldCharType="separate"/>
    </w:r>
    <w:r>
      <w:rPr>
        <w:rFonts w:ascii="Arial" w:hAnsi="Arial" w:eastAsia="Arial" w:cs="Arial"/>
        <w:b w:val="0"/>
        <w:color w:val="6B7280"/>
        <w:sz w:val="16"/>
      </w:rPr>
      <w:t>1</w:t>
    </w:r>
    <w:r>
      <w:fldChar w:fldCharType="end"/>
    </w:r>
    <w:r>
      <w:rPr>
        <w:rFonts w:ascii="Arial" w:hAnsi="Arial" w:eastAsia="Arial" w:cs="Arial"/>
        <w:color w:val="6B7280"/>
        <w:sz w:val="16"/>
      </w:rPr>
      <w:t xml:space="preserve"> of </w:t>
    </w:r>
    <w:r>
      <w:fldChar w:fldCharType="begin"/>
    </w:r>
    <w:r>
      <w:instrText xml:space="preserve"> NUMPAGES </w:instrText>
    </w:r>
    <w:r>
      <w:fldChar w:fldCharType="separate"/>
    </w:r>
    <w:r>
      <w:rPr>
        <w:rFonts w:ascii="Arial" w:hAnsi="Arial" w:eastAsia="Arial" w:cs="Arial"/>
        <w:b w:val="0"/>
        <w:color w:val="6B7280"/>
        <w:sz w:val="16"/>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9411" w:val="right"/>
      </w:tabs>
      <w:spacing w:before="0" w:after="0"/>
      <w:pBdr>
        <w:bottom w:val="single" w:sz="8" w:space="6" w:color="00A8F0"/>
      </w:pBdr>
    </w:pPr>
    <w:r>
      <w:drawing>
        <wp:inline xmlns:a="http://schemas.openxmlformats.org/drawingml/2006/main" xmlns:pic="http://schemas.openxmlformats.org/drawingml/2006/picture">
          <wp:extent cx="1160494" cy="342000"/>
          <wp:docPr id="1" name="Picture 1"/>
          <wp:cNvGraphicFramePr>
            <a:graphicFrameLocks noChangeAspect="1"/>
          </wp:cNvGraphicFramePr>
          <a:graphic>
            <a:graphicData uri="http://schemas.openxmlformats.org/drawingml/2006/picture">
              <pic:pic>
                <pic:nvPicPr>
                  <pic:cNvPr id="0" name="iorta-technxt.png"/>
                  <pic:cNvPicPr/>
                </pic:nvPicPr>
                <pic:blipFill>
                  <a:blip r:embed="rId1"/>
                  <a:stretch>
                    <a:fillRect/>
                  </a:stretch>
                </pic:blipFill>
                <pic:spPr>
                  <a:xfrm>
                    <a:off x="0" y="0"/>
                    <a:ext cx="1160494" cy="342000"/>
                  </a:xfrm>
                  <a:prstGeom prst="rect"/>
                </pic:spPr>
              </pic:pic>
            </a:graphicData>
          </a:graphic>
        </wp:inline>
      </w:drawing>
    </w:r>
    <w:r>
      <w:rPr>
        <w:rFonts w:ascii="Arial" w:hAnsi="Arial" w:eastAsia="Arial" w:cs="Arial"/>
        <w:color w:val="6B7280"/>
        <w:sz w:val="17"/>
      </w:rPr>
      <w:tab/>
      <w:t>iNXT BrokerVerse  |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Arial" w:hAnsi="Arial" w:eastAsia="Arial" w:cs="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cs="Arial"/>
      <w:color w:val="6B7280"/>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cs="Arial"/>
      <w:color w:val="6B7280"/>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line="264" w:lineRule="auto"/>
      <w:outlineLvl w:val="0"/>
    </w:pPr>
    <w:rPr>
      <w:rFonts w:ascii="Arial" w:hAnsi="Arial" w:eastAsia="Arial" w:cs="Arial"/>
      <w:b/>
      <w:bCs/>
      <w:i w:val="0"/>
      <w:color w:val="0B4F9C"/>
      <w:sz w:val="40"/>
      <w:szCs w:val="28"/>
    </w:rPr>
  </w:style>
  <w:style w:type="paragraph" w:styleId="Heading2">
    <w:name w:val="heading 2"/>
    <w:basedOn w:val="Normal"/>
    <w:next w:val="Normal"/>
    <w:link w:val="Heading2Char"/>
    <w:uiPriority w:val="9"/>
    <w:unhideWhenUsed/>
    <w:qFormat/>
    <w:rsid w:val="00FC693F"/>
    <w:pPr>
      <w:keepNext/>
      <w:keepLines/>
      <w:spacing w:before="320" w:after="120" w:line="264" w:lineRule="auto"/>
      <w:outlineLvl w:val="1"/>
    </w:pPr>
    <w:rPr>
      <w:rFonts w:ascii="Arial" w:hAnsi="Arial" w:eastAsia="Arial" w:cs="Arial"/>
      <w:b/>
      <w:bCs/>
      <w:i w:val="0"/>
      <w:color w:val="0090D8"/>
      <w:sz w:val="27"/>
      <w:szCs w:val="26"/>
    </w:rPr>
  </w:style>
  <w:style w:type="paragraph" w:styleId="Heading3">
    <w:name w:val="heading 3"/>
    <w:basedOn w:val="Normal"/>
    <w:next w:val="Normal"/>
    <w:link w:val="Heading3Char"/>
    <w:uiPriority w:val="9"/>
    <w:unhideWhenUsed/>
    <w:qFormat/>
    <w:rsid w:val="00FC693F"/>
    <w:pPr>
      <w:keepNext/>
      <w:keepLines/>
      <w:spacing w:before="200" w:after="80" w:line="264" w:lineRule="auto"/>
      <w:outlineLvl w:val="2"/>
    </w:pPr>
    <w:rPr>
      <w:rFonts w:ascii="Arial" w:hAnsi="Arial" w:eastAsia="Arial" w:cs="Arial"/>
      <w:b/>
      <w:bCs/>
      <w:i w:val="0"/>
      <w:color w:val="0B4F9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cs="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tabs>
        <w:tab w:pos="9411" w:val="right" w:leader="dot"/>
      </w:tabs>
      <w:spacing w:after="80" w:before="120"/>
      <w:ind w:left="0"/>
    </w:pPr>
    <w:rPr>
      <w:b/>
      <w:color w:val="0B4F9C"/>
    </w:rPr>
  </w:style>
  <w:style w:type="paragraph" w:customStyle="1" w:styleId="TOC2">
    <w:name w:val="TOC 2"/>
    <w:basedOn w:val="Normal"/>
    <w:pPr>
      <w:tabs>
        <w:tab w:pos="9411" w:val="right" w:leader="dot"/>
      </w:tabs>
      <w:spacing w:after="60" w:before="0"/>
      <w:ind w:left="454"/>
    </w:pPr>
    <w:rPr>
      <w:b w:val="0"/>
      <w:color w:val="33333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iNXT BrokerVerse User Manual</dc:title>
  <dc:subject>User manual</dc:subject>
  <dc:creator>iorta TechNXT</dc:creator>
  <cp:keywords>iNXT BrokerVerse, user manual, iorta TechNXT</cp:keywords>
  <dc:description>generated by python-docx</dc:description>
  <cp:lastModifiedBy/>
  <cp:revision>1</cp:revision>
  <dcterms:created xsi:type="dcterms:W3CDTF">2013-12-23T23:15:00Z</dcterms:created>
  <dcterms:modified xsi:type="dcterms:W3CDTF">2013-12-23T23:15:00Z</dcterms:modified>
  <cp:category/>
</cp:coreProperties>
</file>