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3.2</w:t>
      </w:r>
    </w:p>
    <w:p>
      <w:pPr>
        <w:rPr>
          <w:rFonts w:ascii="Calibri" w:hAnsi="Calibri" w:cs="Calibri"/>
          <w:sz w:val="19"/>
          <w:szCs w:val="19"/>
        </w:rPr>
      </w:pPr>
      <w:r>
        <w:rPr>
          <w:rFonts w:ascii="Calibri" w:hAnsi="Calibri" w:cs="Calibri"/>
          <w:sz w:val="19"/>
          <w:szCs w:val="19"/>
        </w:rPr>
        <w:t xml:space="preserve">This review copy shows in light yellow every passage added in version 3.2: the full coverage of the Cashiering scope of the BRD with acceptance criteria and the Business Unit review edition. BDOI's text of version 3.1 is not shaded; the points for decision are in Appendix R and the open questions in Appendix S.</w:t>
      </w:r>
    </w:p>
    <w:p>
      <w:pPr>
        <w:pStyle w:val="ListParagraph"/>
        <w:numPr>
          <w:ilvl w:val="0"/>
          <w:numId w:val="327"/>
        </w:numPr>
        <w:rPr>
          <w:rFonts w:ascii="Calibri" w:hAnsi="Calibri" w:cs="Calibri"/>
          <w:sz w:val="19"/>
          <w:szCs w:val="19"/>
        </w:rPr>
      </w:pPr>
      <w:r>
        <w:rPr>
          <w:rFonts w:ascii="Calibri" w:hAnsi="Calibri" w:cs="Calibri"/>
          <w:sz w:val="19"/>
          <w:szCs w:val="19"/>
        </w:rPr>
        <w:t xml:space="preserve">Cover: drafting support line; Document Revision Log: row 3.2; Signoff Sheet: iorta TechNXT Project Team (drafting support) under Prepared by.</w:t>
      </w:r>
    </w:p>
    <w:p>
      <w:pPr>
        <w:pStyle w:val="ListParagraph"/>
        <w:numPr>
          <w:ilvl w:val="0"/>
          <w:numId w:val="327"/>
        </w:numPr>
        <w:rPr>
          <w:rFonts w:ascii="Calibri" w:hAnsi="Calibri" w:cs="Calibri"/>
          <w:sz w:val="19"/>
          <w:szCs w:val="19"/>
        </w:rPr>
      </w:pPr>
      <w:r>
        <w:rPr>
          <w:rFonts w:ascii="Calibri" w:hAnsi="Calibri" w:cs="Calibri"/>
          <w:sz w:val="19"/>
          <w:szCs w:val="19"/>
        </w:rPr>
        <w:t xml:space="preserve">Introduction: the drafting of this version, the scope of the BRD of 8-Oct-2026 and the new section 1.4 Summary for the Business Unit Review (scope on a page, the process from end to end, key numbers, the ten decisions, how to review).</w:t>
      </w:r>
    </w:p>
    <w:p>
      <w:pPr>
        <w:pStyle w:val="ListParagraph"/>
        <w:numPr>
          <w:ilvl w:val="0"/>
          <w:numId w:val="327"/>
        </w:numPr>
        <w:rPr>
          <w:rFonts w:ascii="Calibri" w:hAnsi="Calibri" w:cs="Calibri"/>
          <w:sz w:val="19"/>
          <w:szCs w:val="19"/>
        </w:rPr>
      </w:pPr>
      <w:r>
        <w:rPr>
          <w:rFonts w:ascii="Calibri" w:hAnsi="Calibri" w:cs="Calibri"/>
          <w:sz w:val="19"/>
          <w:szCs w:val="19"/>
        </w:rPr>
        <w:t xml:space="preserve">Business Requirements Mapping: 30 rows given FR items (the eight blank rows filled), 3 BRD IDs removed from the BRD added as rows; List of Integrations completed.</w:t>
      </w:r>
    </w:p>
    <w:p>
      <w:pPr>
        <w:pStyle w:val="ListParagraph"/>
        <w:numPr>
          <w:ilvl w:val="0"/>
          <w:numId w:val="327"/>
        </w:numPr>
        <w:rPr>
          <w:rFonts w:ascii="Calibri" w:hAnsi="Calibri" w:cs="Calibri"/>
          <w:sz w:val="19"/>
          <w:szCs w:val="19"/>
        </w:rPr>
      </w:pPr>
      <w:r>
        <w:rPr>
          <w:rFonts w:ascii="Calibri" w:hAnsi="Calibri" w:cs="Calibri"/>
          <w:sz w:val="19"/>
          <w:szCs w:val="19"/>
        </w:rPr>
        <w:t xml:space="preserve">Functional Requirements: 66 of BDOI's items elaborated, 22 new sub-items continuing BDOI's numbering, 10 new entries FRS.CSH.05.02 to FRS.CSH.10.04 (15 sub-items); 179 statements and 167 numbered acceptance criteria; column Application Feature Model filled for every entry.</w:t>
      </w:r>
    </w:p>
    <w:p>
      <w:pPr>
        <w:pStyle w:val="ListParagraph"/>
        <w:numPr>
          <w:ilvl w:val="0"/>
          <w:numId w:val="327"/>
        </w:numPr>
        <w:rPr>
          <w:rFonts w:ascii="Calibri" w:hAnsi="Calibri" w:cs="Calibri"/>
          <w:sz w:val="19"/>
          <w:szCs w:val="19"/>
        </w:rPr>
      </w:pPr>
      <w:r>
        <w:rPr>
          <w:rFonts w:ascii="Calibri" w:hAnsi="Calibri" w:cs="Calibri"/>
          <w:sz w:val="19"/>
          <w:szCs w:val="19"/>
        </w:rPr>
        <w:t xml:space="preserve">Appendix B: references of version 3.2. New Appendices C To-Be Process Flows (13 figures); D Payment and Upload File Layouts (6 files); E Screen Specifications (20 screens and the menu by persona); F Messages (155); G Notifications and E-mail Texts (18); H Business Rules, Roles and Parameters; I Accounting Entries (17 events); J Workflow and Approvals; K Process Walkthroughs (21 steps); L Document Prints (8); M Reports and Schedules (23 reports, 8 runs); N Integrations (12); O Non-functional Requirements (14); P Data Set-up (15); Q Traceability (36 BRD IDs); R Observations (83); S Open Questions (13 kept, 27 answered by BDOI's FRS and not repeated); T Change Control; U Review Checklist (26 points); V Glossary (42 terms).</w:t>
      </w:r>
    </w:p>
    <w:p>
      <w:pPr>
        <w:pStyle w:val="ListParagraph"/>
        <w:numPr>
          <w:ilvl w:val="0"/>
          <w:numId w:val="327"/>
        </w:numPr>
        <w:rPr>
          <w:rFonts w:ascii="Calibri" w:hAnsi="Calibri" w:cs="Calibri"/>
          <w:sz w:val="19"/>
          <w:szCs w:val="19"/>
        </w:rPr>
      </w:pPr>
      <w:r>
        <w:rPr>
          <w:rFonts w:ascii="Calibri" w:hAnsi="Calibri" w:cs="Calibri"/>
          <w:sz w:val="19"/>
          <w:szCs w:val="19"/>
        </w:rPr>
        <w:t xml:space="preserve">BDOI's text of version 3.1 is unchanged: every paragraph, table row and FR ID of BDOI is still in place; the slips noticed are proposed in Appendix R only.</w:t>
      </w:r>
    </w:p>
    <w:p>
      <w:pPr>
        <w:rPr>
          <w:rFonts w:ascii="Calibri" w:hAnsi="Calibri" w:cs="Calibri"/>
          <w:sz w:val="19"/>
          <w:szCs w:val="19"/>
        </w:rPr>
      </w:pPr>
      <w:r>
        <w:rPr>
          <w:rFonts w:ascii="Calibri" w:hAnsi="Calibri" w:cs="Calibri"/>
          <w:sz w:val="19"/>
          <w:szCs w:val="19"/>
        </w:rPr>
        <w:t xml:space="preserve">The first decision BDOI must take is whether every AR and OR is posted by a second user before its number is issued (Appendix R, C1); section 1.4 lists the ten decisions.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3.2</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shd w:val="clear" w:color="auto" w:fill="FFF59D"/>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09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Draft for BDOI review: 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shd w:val="clear" w:color="auto" w:fill="FFF59D"/>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stays in the BIBS FRS BRD-2 Operations v2.1.</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shd w:val="clear" w:color="auto" w:fill="FFF59D"/>
        </w:rPr>
        <w:t xml:space="preserve">Version 3.2 of this document was drafted with the iorta TechNXT Project Team,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shd w:val="clear" w:color="auto" w:fill="FFF59D"/>
        </w:rPr>
        <w:t xml:space="preserve">Summary for the Business Unit Review</w:t>
      </w:r>
    </w:p>
    <w:p>
      <w:pPr>
        <w:ind w:left="360" w:right="270"/>
        <w:jc w:val="both"/>
      </w:pPr>
      <w:r>
        <w:rPr>
          <w:rFonts w:ascii="Arial" w:hAnsi="Arial" w:cs="Arial"/>
          <w:shd w:val="clear" w:color="auto" w:fill="FFF59D"/>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BIBS FRS BRD-2 Operations v2.1</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The process from end to end</w:t>
      </w:r>
    </w:p>
    <w:p>
      <w:pPr>
        <w:jc w:val="center"/>
      </w:pPr>
      <w:r>
        <w:drawing>
          <wp:inline>
            <wp:extent cx="4032746" cy="6949440"/>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62"/>
                    <a:stretch>
                      <a:fillRect/>
                    </a:stretch>
                  </pic:blipFill>
                  <pic:spPr>
                    <a:xfrm>
                      <a:off x="0" y="0"/>
                      <a:ext cx="4032746" cy="69494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Key numbers</w:t>
      </w:r>
    </w:p>
    <w:p>
      <w:pPr>
        <w:ind w:left="360" w:right="270"/>
        <w:jc w:val="both"/>
      </w:pPr>
      <w:r>
        <w:rPr>
          <w:rFonts w:ascii="Arial" w:hAnsi="Arial" w:cs="Arial"/>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66 / 37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24 / 131</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23 / 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282</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 / 27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83</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Decisions the Business Unit must take</w:t>
      </w:r>
    </w:p>
    <w:p>
      <w:pPr>
        <w:ind w:left="360" w:right="270"/>
        <w:jc w:val="both"/>
      </w:pPr>
      <w:r>
        <w:rPr>
          <w:rFonts w:ascii="Arial" w:hAnsi="Arial" w:cs="Arial"/>
          <w:shd w:val="clear" w:color="auto" w:fill="FFF59D"/>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R-01 (C1)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R-02 (C2)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R-07 (C8)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R-08 (C9)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R-11 (C12)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R-04 (C5)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R-05 (C6)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R-23 (C26)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R-06 (C7)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R-26 (C4); R-03 (C3)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How to review this document</w:t>
      </w:r>
    </w:p>
    <w:p>
      <w:pPr>
        <w:ind w:left="360" w:right="270"/>
        <w:jc w:val="both"/>
      </w:pPr>
      <w:r>
        <w:rPr>
          <w:rFonts w:ascii="Arial" w:hAnsi="Arial" w:cs="Arial"/>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shd w:val="clear" w:color="auto" w:fill="FFF59D"/>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shd w:val="clear" w:color="auto" w:fill="FFF59D"/>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800" w:type="dxa"/>
        <w:tblInd w:w="43" w:type="dxa"/>
        <w:tblLayout w:type="fixed"/>
        <w:tblCellMar>
          <w:top w:w="28" w:type="dxa"/>
          <w:left w:w="28" w:type="dxa"/>
          <w:bottom w:w="28" w:type="dxa"/>
          <w:right w:w="28" w:type="dxa"/>
        </w:tblCellMar>
        <w:tblLook w:val="04A0" w:firstRow="1" w:lastRow="0" w:firstColumn="1" w:lastColumn="0" w:noHBand="0" w:noVBand="1"/>
      </w:tblPr>
      <w:tblGrid>
        <w:gridCol w:w="1829"/>
        <w:gridCol w:w="5950"/>
        <w:gridCol w:w="3021"/>
      </w:tblGrid>
      <w:tr w:rsidR="009A43D9" w14:paraId="3E4E75DA"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FRS.CSH.01.01, FRS.CSH.01.02</w:t>
            </w:r>
          </w:p>
        </w:tc>
      </w:tr>
      <w:tr w:rsidR="009A43D9" w14:paraId="2FF3A09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FRS.CSH.01.02, FRS.OPS.002.04, FRS.OPS.002.05</w:t>
            </w:r>
          </w:p>
        </w:tc>
      </w:tr>
      <w:tr w:rsidR="009A43D9" w14:paraId="071FA0F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21"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shd w:val="clear" w:color="auto" w:fill="FFF59D"/>
              </w:rPr>
              <w:t xml:space="preserve">Added in v3.2: FRS.CSH.01.03, FRS.CSH.01.03.05, FRS.CSH.10.01.02</w:t>
            </w:r>
          </w:p>
        </w:tc>
      </w:tr>
      <w:tr w:rsidR="009A43D9" w14:paraId="7477397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shd w:val="clear" w:color="auto" w:fill="FFF59D"/>
              </w:rPr>
              <w:t xml:space="preserve">Added in v3.2: FRS.CSH.10.01, FRS.CSH.06.03</w:t>
            </w:r>
          </w:p>
        </w:tc>
      </w:tr>
      <w:tr w:rsidR="009A43D9" w14:paraId="2C0EA3F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FRS.CSH.10.02</w:t>
            </w:r>
          </w:p>
        </w:tc>
      </w:tr>
      <w:tr w:rsidR="009A43D9" w14:paraId="3FE803F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FRS.CSH.05.01.13, FRS.CSH.10.03, FRS.CSH.09.02.23</w:t>
            </w:r>
          </w:p>
        </w:tc>
      </w:tr>
      <w:tr w:rsidR="009A43D9" w14:paraId="377E3AA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FRS.CSH.08.01, FRS.CSH.08.02, FRS.CSH.02.05.10</w:t>
            </w:r>
          </w:p>
        </w:tc>
      </w:tr>
      <w:tr w:rsidR="009A43D9" w14:paraId="7116E96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 FRS.CSH.02.01.16, FRS.CSH.03.01.11, FRS.CSH.04.01.12</w:t>
            </w:r>
          </w:p>
        </w:tc>
      </w:tr>
      <w:tr w:rsidR="009A43D9" w14:paraId="2564D151"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FRS.CSH.02.02.10, FRS.CSH.02.06</w:t>
            </w:r>
          </w:p>
        </w:tc>
      </w:tr>
      <w:tr w:rsidR="009A43D9" w14:paraId="0B81309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FRS.CSH.03.01.06</w:t>
            </w:r>
          </w:p>
        </w:tc>
      </w:tr>
      <w:tr w:rsidR="009A43D9" w14:paraId="29369FB5"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FRS.CSH.04.01.06</w:t>
            </w:r>
          </w:p>
        </w:tc>
      </w:tr>
      <w:tr w:rsidR="009A43D9" w14:paraId="4806619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FRS.CSH.02.03.06, FRS.CSH.02.05.08</w:t>
            </w:r>
          </w:p>
        </w:tc>
      </w:tr>
      <w:tr w:rsidR="009A43D9" w14:paraId="22A8DD7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FRS.CSH.02.05.14, FRS.CSH.07.01.05</w:t>
            </w:r>
          </w:p>
        </w:tc>
      </w:tr>
      <w:tr w:rsidR="009A43D9" w14:paraId="7A61E5E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FRS.CSH.05.02, FRS.CSH.05.01.13</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CSHID.009</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accept check with “for check pick up” from Collection.</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Removed from the BRD by the Cashiering annex of May 2026 (annex p.4-6): check pick-up is no longer part of BDOI's target process; no FR item.</w:t>
            </w:r>
          </w:p>
        </w:tc>
      </w:tr>
      <w:tr w:rsidR="009A43D9" w14:paraId="54C9EA3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FRS.CSH.08.01.04</w:t>
            </w:r>
          </w:p>
        </w:tc>
      </w:tr>
      <w:tr w:rsidR="009A43D9" w14:paraId="3722AA0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FRS.CSH.08.03, FRS.CSH.02.01.14</w:t>
            </w:r>
          </w:p>
        </w:tc>
      </w:tr>
      <w:tr w:rsidR="009A43D9" w14:paraId="6B0E69F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FRS.CSH.03.01.09</w:t>
            </w:r>
          </w:p>
        </w:tc>
      </w:tr>
      <w:tr w:rsidR="009A43D9" w14:paraId="0569CDE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FRS.CSH.04.01.10</w:t>
            </w:r>
          </w:p>
        </w:tc>
      </w:tr>
      <w:tr w:rsidR="009A43D9" w14:paraId="3C792B9D"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FRS.CSH.02.05.15</w:t>
            </w:r>
          </w:p>
        </w:tc>
      </w:tr>
      <w:tr w:rsidR="009A43D9" w14:paraId="25388D38"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FRS.CSH.02.05.09</w:t>
            </w:r>
          </w:p>
        </w:tc>
      </w:tr>
      <w:tr w:rsidR="009A43D9" w14:paraId="25F9BCD7"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FRS.CSH.02.05.12, FRS.CSH.06.01.08</w:t>
            </w:r>
          </w:p>
        </w:tc>
      </w:tr>
      <w:tr w:rsidR="009A43D9" w14:paraId="661C218F"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FRS.CSH.09.01.05</w:t>
            </w:r>
          </w:p>
        </w:tc>
      </w:tr>
      <w:tr w:rsidR="009A43D9" w14:paraId="0DE8B9F0"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FRS.CSH.02.04.17</w:t>
            </w:r>
          </w:p>
        </w:tc>
      </w:tr>
      <w:tr w:rsidR="009A43D9" w14:paraId="376DB41C"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FRS.CSH.05.03, FRS.CSH.05.04, FRS.CSH.02.01.02</w:t>
            </w:r>
          </w:p>
        </w:tc>
      </w:tr>
      <w:tr w:rsidR="009A43D9" w14:paraId="6238C0D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w:t>
            </w:r>
          </w:p>
        </w:tc>
      </w:tr>
      <w:tr w:rsidR="009A43D9" w14:paraId="1AC214C6"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FRS.CSH.02.05.11</w:t>
            </w:r>
          </w:p>
        </w:tc>
      </w:tr>
      <w:tr w:rsidR="009A43D9" w14:paraId="6B4475F9"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FRS.CSH.09.02, FRS.CSH.02.06.04</w:t>
            </w:r>
          </w:p>
        </w:tc>
      </w:tr>
      <w:tr w:rsidR="009A43D9" w14:paraId="1C9BD50E"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FRS.CSH.06.02, FRS.CSH.06.03</w:t>
            </w:r>
          </w:p>
        </w:tc>
      </w:tr>
      <w:tr w:rsidR="009A43D9" w14:paraId="0B6AD73B"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CSHID.026</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receive tagged BIR 2307 data from Marketing Collection, process payments (cash or certificate), and remit accordingly. Issue ARs, reverse premiums, and forward transactions to Disbursement.</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the BIR 2307 processing is done by Marketing Collection (MKTID.013); no FR item.</w:t>
            </w:r>
          </w:p>
        </w:tc>
      </w:tr>
      <w:tr>
        <w:trPr/>
        <w:tc>
          <w:tcPr>
            <w:tcW w:w="1829"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CSHID.027</w:t>
            </w:r>
          </w:p>
        </w:tc>
        <w:tc>
          <w:tcPr>
            <w:tcW w:w="5950"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no FR item.</w:t>
            </w:r>
          </w:p>
        </w:tc>
      </w:tr>
      <w:tr w:rsidR="009A43D9" w14:paraId="3C1900F4"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FRS.CSH.02.05.13</w:t>
            </w:r>
          </w:p>
        </w:tc>
      </w:tr>
      <w:tr w:rsidR="009A43D9" w14:paraId="192C7F23" w14:textId="77777777">
        <w:trPr>
          <w:trHeight w:val="302"/>
        </w:trPr>
        <w:tc>
          <w:tcPr>
            <w:tcW w:w="1829"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50"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shd w:val="clear" w:color="auto" w:fill="FFF59D"/>
        </w:rPr>
        <w:t xml:space="preserve">Added in version 3.2 (Appendix N gives each interface with its direction, trigger, owner and what BDOI IT provides):</w:t>
      </w:r>
    </w:p>
    <w:p>
      <w:pPr>
        <w:numPr>
          <w:ilvl w:val="0"/>
          <w:numId w:val="90"/>
        </w:numPr>
        <w:rPr/>
      </w:pPr>
      <w:r>
        <w:rPr>
          <w:shd w:val="clear" w:color="auto" w:fill="FFF59D"/>
        </w:rPr>
        <w:t xml:space="preserve">- Trade (TFS) and Direct Credit files to BIBS by upload; CLPC file by upload</w:t>
      </w:r>
    </w:p>
    <w:p>
      <w:pPr>
        <w:numPr>
          <w:ilvl w:val="0"/>
          <w:numId w:val="90"/>
        </w:numPr>
        <w:rPr/>
      </w:pPr>
      <w:r>
        <w:rPr>
          <w:shd w:val="clear" w:color="auto" w:fill="FFF59D"/>
        </w:rPr>
        <w:t xml:space="preserve">- BIBS Collections module to Cashiering: disposition requests on unapplied payments, commission payment details</w:t>
      </w:r>
    </w:p>
    <w:p>
      <w:pPr>
        <w:numPr>
          <w:ilvl w:val="0"/>
          <w:numId w:val="90"/>
        </w:numPr>
        <w:rPr/>
      </w:pPr>
      <w:r>
        <w:rPr>
          <w:shd w:val="clear" w:color="auto" w:fill="FFF59D"/>
        </w:rPr>
        <w:t xml:space="preserve">- Cashiering to BIBS Disbursement module: refund requests; Disbursement to Cashiering: payment request status and the approved insurer settlements that trigger the automatic OR</w:t>
      </w:r>
    </w:p>
    <w:p>
      <w:pPr>
        <w:numPr>
          <w:ilvl w:val="0"/>
          <w:numId w:val="90"/>
        </w:numPr>
        <w:rPr/>
      </w:pPr>
      <w:r>
        <w:rPr>
          <w:shd w:val="clear" w:color="auto" w:fill="FFF59D"/>
        </w:rPr>
        <w:t xml:space="preserve">- BIBS New Business to Cashiering: booked accounts; Cashiering to New Business: payment confirmation of each account</w:t>
      </w:r>
    </w:p>
    <w:p>
      <w:pPr>
        <w:numPr>
          <w:ilvl w:val="0"/>
          <w:numId w:val="90"/>
        </w:numPr>
        <w:rPr/>
      </w:pPr>
      <w:r>
        <w:rPr>
          <w:shd w:val="clear" w:color="auto" w:fill="FFF59D"/>
        </w:rPr>
        <w:t xml:space="preserve">- Cashiering to BIBS Remittance: paid and applied premium of each account; Remittance to Cashiering: remittance status</w:t>
      </w:r>
    </w:p>
    <w:p>
      <w:pPr>
        <w:numPr>
          <w:ilvl w:val="0"/>
          <w:numId w:val="90"/>
        </w:numPr>
        <w:rPr/>
      </w:pPr>
      <w:r>
        <w:rPr>
          <w:shd w:val="clear" w:color="auto" w:fill="FFF59D"/>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Sign-in (User Access Maintenance FRS)</w:t>
            </w:r>
          </w:p>
          <w:p>
            <w:pPr>
              <w:rPr>
                <w:rFonts w:ascii="Calibri" w:hAnsi="Calibri" w:cs="Calibri"/>
                <w:sz w:val="20"/>
                <w:szCs w:val="20"/>
              </w:rPr>
            </w:pPr>
            <w:r>
              <w:rPr>
                <w:rFonts w:ascii="Calibri" w:hAnsi="Calibri" w:cs="Calibri"/>
                <w:sz w:val="20"/>
                <w:szCs w:val="20"/>
                <w:shd w:val="clear" w:color="auto" w:fill="FFF59D"/>
              </w:rPr>
              <w:t xml:space="preserve">BIBS reference: FR-OP-001</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shd w:val="clear" w:color="auto" w:fill="FFF59D"/>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shd w:val="clear" w:color="auto" w:fill="FFF59D"/>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Roles, permissions and segregation of duties</w:t>
            </w:r>
          </w:p>
          <w:p>
            <w:pPr>
              <w:rPr>
                <w:rFonts w:ascii="Calibri" w:hAnsi="Calibri" w:cs="Calibri"/>
                <w:sz w:val="20"/>
                <w:szCs w:val="20"/>
              </w:rPr>
            </w:pPr>
            <w:r>
              <w:rPr>
                <w:rFonts w:ascii="Calibri" w:hAnsi="Calibri" w:cs="Calibri"/>
                <w:sz w:val="20"/>
                <w:szCs w:val="20"/>
                <w:shd w:val="clear" w:color="auto" w:fill="FFF59D"/>
              </w:rPr>
              <w:t xml:space="preserve">BIBS reference: FR-OP-001, FR-OP-002</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shd w:val="clear" w:color="auto" w:fill="FFF59D"/>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Cashiering Workbench (Appendix E.1)</w:t>
            </w:r>
          </w:p>
          <w:p>
            <w:pPr>
              <w:rPr>
                <w:rFonts w:ascii="Calibri" w:hAnsi="Calibri" w:cs="Calibri"/>
                <w:sz w:val="20"/>
                <w:szCs w:val="20"/>
              </w:rPr>
            </w:pPr>
            <w:r>
              <w:rPr>
                <w:rFonts w:ascii="Calibri" w:hAnsi="Calibri" w:cs="Calibri"/>
                <w:sz w:val="20"/>
                <w:szCs w:val="20"/>
                <w:shd w:val="clear" w:color="auto" w:fill="FFF59D"/>
              </w:rPr>
              <w:t xml:space="preserve">BIBS reference: FR-OP-003, FR-OP-022</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shd w:val="clear" w:color="auto" w:fill="FFF59D"/>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shd w:val="clear" w:color="auto" w:fill="FFF59D"/>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shd w:val="clear" w:color="auto" w:fill="FFF59D"/>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Receive Payment; Receipts (Appendix E.2,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FR-OP-011, FR-OP-013, FR-OP-018, FR-OP-019, FR-OP-020, FR-OP-024, FR-OP-028</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shd w:val="clear" w:color="auto" w:fill="FFF59D"/>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shd w:val="clear" w:color="auto" w:fill="FFF59D"/>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shd w:val="clear" w:color="auto" w:fill="FFF59D"/>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shd w:val="clear" w:color="auto" w:fill="FFF59D"/>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shd w:val="clear" w:color="auto" w:fill="FFF59D"/>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 Issue Official Receipt; Commission ORs (Appendix E.3, Appendix E.12)</w:t>
            </w:r>
          </w:p>
          <w:p>
            <w:pPr>
              <w:rPr>
                <w:rFonts w:ascii="Calibri" w:hAnsi="Calibri" w:cs="Calibri"/>
                <w:sz w:val="20"/>
                <w:szCs w:val="20"/>
              </w:rPr>
            </w:pPr>
            <w:r>
              <w:rPr>
                <w:rFonts w:ascii="Calibri" w:hAnsi="Calibri" w:cs="Calibri"/>
                <w:sz w:val="20"/>
                <w:szCs w:val="20"/>
                <w:shd w:val="clear" w:color="auto" w:fill="FFF59D"/>
              </w:rPr>
              <w:t xml:space="preserve">BIBS reference: FR-OP-002, FR-OP-008, FR-OP-012, FR-OP-021, FR-OP-027, FR-OP-094</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shd w:val="clear" w:color="auto" w:fill="FFF59D"/>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shd w:val="clear" w:color="auto" w:fill="FFF59D"/>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shd w:val="clear" w:color="auto" w:fill="FFF59D"/>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shd w:val="clear" w:color="auto" w:fill="FFF59D"/>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Series (Appendix E.13)</w:t>
            </w:r>
          </w:p>
          <w:p>
            <w:pPr>
              <w:rPr>
                <w:rFonts w:ascii="Calibri" w:hAnsi="Calibri" w:cs="Calibri"/>
                <w:sz w:val="20"/>
                <w:szCs w:val="20"/>
              </w:rPr>
            </w:pPr>
            <w:r>
              <w:rPr>
                <w:rFonts w:ascii="Calibri" w:hAnsi="Calibri" w:cs="Calibri"/>
                <w:sz w:val="20"/>
                <w:szCs w:val="20"/>
                <w:shd w:val="clear" w:color="auto" w:fill="FFF59D"/>
              </w:rPr>
              <w:t xml:space="preserve">BIBS reference: FR-OP-010</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shd w:val="clear" w:color="auto" w:fill="FFF59D"/>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shd w:val="clear" w:color="auto" w:fill="FFF59D"/>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shd w:val="clear" w:color="auto" w:fill="FFF59D"/>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shd w:val="clear" w:color="auto" w:fill="FFF59D"/>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shd w:val="clear" w:color="auto" w:fill="FFF59D"/>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shd w:val="clear" w:color="auto" w:fill="FFF59D"/>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shd w:val="clear" w:color="auto" w:fill="FFF59D"/>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shd w:val="clear" w:color="auto" w:fill="FFF59D"/>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shd w:val="clear" w:color="auto" w:fill="FFF59D"/>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shd w:val="clear" w:color="auto" w:fill="FFF59D"/>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Batch Print; Document templates (Appendix E.11; Appendix L)</w:t>
            </w:r>
          </w:p>
          <w:p>
            <w:pPr>
              <w:rPr>
                <w:rFonts w:ascii="Calibri" w:hAnsi="Calibri" w:cs="Calibri"/>
                <w:sz w:val="20"/>
                <w:szCs w:val="20"/>
              </w:rPr>
            </w:pPr>
            <w:r>
              <w:rPr>
                <w:rFonts w:ascii="Calibri" w:hAnsi="Calibri" w:cs="Calibri"/>
                <w:sz w:val="20"/>
                <w:szCs w:val="20"/>
                <w:shd w:val="clear" w:color="auto" w:fill="FFF59D"/>
              </w:rPr>
              <w:t xml:space="preserve">BIBS reference: FR-OP-015, FR-OP-024, FR-OP-025</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shd w:val="clear" w:color="auto" w:fill="FFF59D"/>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shd w:val="clear" w:color="auto" w:fill="FFF59D"/>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shd w:val="clear" w:color="auto" w:fill="FFF59D"/>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shd w:val="clear" w:color="auto" w:fill="FFF59D"/>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shd w:val="clear" w:color="auto" w:fill="FFF59D"/>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shd w:val="clear" w:color="auto" w:fill="FFF59D"/>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shd w:val="clear" w:color="auto" w:fill="FFF59D"/>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shd w:val="clear" w:color="auto" w:fill="FFF59D"/>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shd w:val="clear" w:color="auto" w:fill="FFF59D"/>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(posting, application, journal)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FR-OP-006, FR-OP-010, FR-OP-011, FR-OP-013, FR-OP-018, FR-OP-019, FR-OP-021, FR-OP-022, FR-OP-023, FR-OP-025, FR-OP-027, FR-OP-113</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shd w:val="clear" w:color="auto" w:fill="FFF59D"/>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shd w:val="clear" w:color="auto" w:fill="FFF59D"/>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shd w:val="clear" w:color="auto" w:fill="FFF59D"/>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shd w:val="clear" w:color="auto" w:fill="FFF59D"/>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shd w:val="clear" w:color="auto" w:fill="FFF59D"/>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shd w:val="clear" w:color="auto" w:fill="FFF59D"/>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Setup › Document Templates (AR and OR forms, Appendix L)</w:t>
            </w:r>
          </w:p>
          <w:p>
            <w:pPr>
              <w:rPr>
                <w:rFonts w:ascii="Calibri" w:hAnsi="Calibri" w:cs="Calibri"/>
                <w:sz w:val="20"/>
                <w:szCs w:val="20"/>
              </w:rPr>
            </w:pPr>
            <w:r>
              <w:rPr>
                <w:rFonts w:ascii="Calibri" w:hAnsi="Calibri" w:cs="Calibri"/>
                <w:sz w:val="20"/>
                <w:szCs w:val="20"/>
                <w:shd w:val="clear" w:color="auto" w:fill="FFF59D"/>
              </w:rPr>
              <w:t xml:space="preserve">BIBS reference: FR-OP-011, FR-OP-012, FR-OP-025, FR-OP-028</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shd w:val="clear" w:color="auto" w:fill="FFF59D"/>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shd w:val="clear" w:color="auto" w:fill="FFF59D"/>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shd w:val="clear" w:color="auto" w:fill="FFF59D"/>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shd w:val="clear" w:color="auto" w:fill="FFF59D"/>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shd w:val="clear" w:color="auto" w:fill="FFF59D"/>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Cancel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FR-OP-013, FR-OP-027</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shd w:val="clear" w:color="auto" w:fill="FFF59D"/>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shd w:val="clear" w:color="auto" w:fill="FFF59D"/>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shd w:val="clear" w:color="auto" w:fill="FFF59D"/>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shd w:val="clear" w:color="auto" w:fill="FFF59D"/>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Reinstate (Appendix E.4)</w:t>
            </w:r>
          </w:p>
          <w:p>
            <w:pPr>
              <w:rPr>
                <w:rFonts w:ascii="Calibri" w:hAnsi="Calibri" w:cs="Calibri"/>
                <w:sz w:val="20"/>
                <w:szCs w:val="20"/>
              </w:rPr>
            </w:pPr>
            <w:r>
              <w:rPr>
                <w:rFonts w:ascii="Calibri" w:hAnsi="Calibri" w:cs="Calibri"/>
                <w:sz w:val="20"/>
                <w:szCs w:val="20"/>
                <w:shd w:val="clear" w:color="auto" w:fill="FFF59D"/>
              </w:rPr>
              <w:t xml:space="preserve">BIBS reference: FR-OP-002, FR-OP-014, FR-OP-027, FR-OP-057</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shd w:val="clear" w:color="auto" w:fill="FFF59D"/>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shd w:val="clear" w:color="auto" w:fill="FFF59D"/>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shd w:val="clear" w:color="auto" w:fill="FFF59D"/>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shd w:val="clear" w:color="auto" w:fill="FFF59D"/>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shd w:val="clear" w:color="auto" w:fill="FFF59D"/>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Payment Uploads; Cashiering Setup (Appendix E.9, Appendix E.14)</w:t>
            </w:r>
          </w:p>
          <w:p>
            <w:pPr>
              <w:rPr>
                <w:rFonts w:ascii="Calibri" w:hAnsi="Calibri" w:cs="Calibri"/>
                <w:sz w:val="20"/>
                <w:szCs w:val="20"/>
              </w:rPr>
            </w:pPr>
            <w:r>
              <w:rPr>
                <w:rFonts w:ascii="Calibri" w:hAnsi="Calibri" w:cs="Calibri"/>
                <w:sz w:val="20"/>
                <w:szCs w:val="20"/>
                <w:shd w:val="clear" w:color="auto" w:fill="FFF59D"/>
              </w:rPr>
              <w:t xml:space="preserve">BIBS reference: FR-OP-002, FR-OP-008, FR-OP-015, FR-OP-016, FR-OP-018, FR-OP-019, FR-OP-025, FR-OP-131</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shd w:val="clear" w:color="auto" w:fill="FFF59D"/>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shd w:val="clear" w:color="auto" w:fill="FFF59D"/>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shd w:val="clear" w:color="auto" w:fill="FFF59D"/>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PDC Warehouse (Appendix E.10)</w:t>
            </w:r>
          </w:p>
          <w:p>
            <w:pPr>
              <w:rPr>
                <w:rFonts w:ascii="Calibri" w:hAnsi="Calibri" w:cs="Calibri"/>
                <w:sz w:val="20"/>
                <w:szCs w:val="20"/>
              </w:rPr>
            </w:pPr>
            <w:r>
              <w:rPr>
                <w:rFonts w:ascii="Calibri" w:hAnsi="Calibri" w:cs="Calibri"/>
                <w:sz w:val="20"/>
                <w:szCs w:val="20"/>
                <w:shd w:val="clear" w:color="auto" w:fill="FFF59D"/>
              </w:rPr>
              <w:t xml:space="preserve">BIBS reference: FR-OP-016, FR-OP-018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Pre-booked Payments (Appendix E.8)</w:t>
            </w:r>
          </w:p>
          <w:p>
            <w:pPr>
              <w:rPr>
                <w:rFonts w:ascii="Calibri" w:hAnsi="Calibri" w:cs="Calibri"/>
                <w:sz w:val="20"/>
                <w:szCs w:val="20"/>
              </w:rPr>
            </w:pPr>
            <w:r>
              <w:rPr>
                <w:rFonts w:ascii="Calibri" w:hAnsi="Calibri" w:cs="Calibri"/>
                <w:sz w:val="20"/>
                <w:szCs w:val="20"/>
                <w:shd w:val="clear" w:color="auto" w:fill="FFF59D"/>
              </w:rPr>
              <w:t xml:space="preserve">BIBS reference: FR-OP-018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shd w:val="clear" w:color="auto" w:fill="FFF59D"/>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shd w:val="clear" w:color="auto" w:fill="FFF59D"/>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New Business › Placement payment gate</w:t>
            </w:r>
          </w:p>
          <w:p>
            <w:pPr>
              <w:rPr>
                <w:rFonts w:ascii="Calibri" w:hAnsi="Calibri" w:cs="Calibri"/>
                <w:sz w:val="20"/>
                <w:szCs w:val="20"/>
              </w:rPr>
            </w:pPr>
            <w:r>
              <w:rPr>
                <w:rFonts w:ascii="Calibri" w:hAnsi="Calibri" w:cs="Calibri"/>
                <w:sz w:val="20"/>
                <w:szCs w:val="20"/>
                <w:shd w:val="clear" w:color="auto" w:fill="FFF59D"/>
              </w:rPr>
              <w:t xml:space="preserve">BIBS reference: FR-OP-132</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shd w:val="clear" w:color="auto" w:fill="FFF59D"/>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shd w:val="clear" w:color="auto" w:fill="FFF59D"/>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shd w:val="clear" w:color="auto" w:fill="FFF59D"/>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shd w:val="clear" w:color="auto" w:fill="FFF59D"/>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shd w:val="clear" w:color="auto" w:fill="FFF59D"/>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shd w:val="clear" w:color="auto" w:fill="FFF59D"/>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shd w:val="clear" w:color="auto" w:fill="FFF59D"/>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shd w:val="clear" w:color="auto" w:fill="FFF59D"/>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(Appendix E.5, Appendix E.6)</w:t>
            </w:r>
          </w:p>
          <w:p>
            <w:pPr>
              <w:rPr>
                <w:rFonts w:ascii="Calibri" w:hAnsi="Calibri" w:cs="Calibri"/>
                <w:sz w:val="20"/>
                <w:szCs w:val="20"/>
              </w:rPr>
            </w:pPr>
            <w:r>
              <w:rPr>
                <w:rFonts w:ascii="Calibri" w:hAnsi="Calibri" w:cs="Calibri"/>
                <w:sz w:val="20"/>
                <w:szCs w:val="20"/>
                <w:shd w:val="clear" w:color="auto" w:fill="FFF59D"/>
              </w:rPr>
              <w:t xml:space="preserve">BIBS reference: FR-OP-002, FR-OP-022, FR-OP-023</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(tabs) (Appendix E.5, Appendix E.6)</w:t>
            </w:r>
          </w:p>
          <w:p>
            <w:pPr>
              <w:rPr>
                <w:rFonts w:ascii="Calibri" w:hAnsi="Calibri" w:cs="Calibri"/>
                <w:sz w:val="20"/>
                <w:szCs w:val="20"/>
              </w:rPr>
            </w:pPr>
            <w:r>
              <w:rPr>
                <w:rFonts w:ascii="Calibri" w:hAnsi="Calibri" w:cs="Calibri"/>
                <w:sz w:val="20"/>
                <w:szCs w:val="20"/>
                <w:shd w:val="clear" w:color="auto" w:fill="FFF59D"/>
              </w:rPr>
              <w:t xml:space="preserve">BIBS reference: FR-OP-022, FR-OP-120</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shd w:val="clear" w:color="auto" w:fill="FFF59D"/>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shd w:val="clear" w:color="auto" w:fill="FFF59D"/>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shd w:val="clear" w:color="auto" w:fill="FFF59D"/>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Incoming Requests (Appendix E.7)</w:t>
            </w:r>
          </w:p>
          <w:p>
            <w:pPr>
              <w:rPr>
                <w:rFonts w:ascii="Calibri" w:hAnsi="Calibri" w:cs="Calibri"/>
                <w:sz w:val="20"/>
                <w:szCs w:val="20"/>
              </w:rPr>
            </w:pPr>
            <w:r>
              <w:rPr>
                <w:rFonts w:ascii="Calibri" w:hAnsi="Calibri" w:cs="Calibri"/>
                <w:sz w:val="20"/>
                <w:szCs w:val="20"/>
                <w:shd w:val="clear" w:color="auto" w:fill="FFF59D"/>
              </w:rPr>
              <w:t xml:space="preserve">BIBS reference: FR-OP-022, FR-OP-130</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shd w:val="clear" w:color="auto" w:fill="FFF59D"/>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shd w:val="clear" w:color="auto" w:fill="FFF59D"/>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shd w:val="clear" w:color="auto" w:fill="FFF59D"/>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shd w:val="clear" w:color="auto" w:fill="FFF59D"/>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shd w:val="clear" w:color="auto" w:fill="FFF59D"/>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shd w:val="clear" w:color="auto" w:fill="FFF59D"/>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Commission ORs; Disbursement (Appendix E.12)</w:t>
            </w:r>
          </w:p>
          <w:p>
            <w:pPr>
              <w:rPr>
                <w:rFonts w:ascii="Calibri" w:hAnsi="Calibri" w:cs="Calibri"/>
                <w:sz w:val="20"/>
                <w:szCs w:val="20"/>
              </w:rPr>
            </w:pPr>
            <w:r>
              <w:rPr>
                <w:rFonts w:ascii="Calibri" w:hAnsi="Calibri" w:cs="Calibri"/>
                <w:sz w:val="20"/>
                <w:szCs w:val="20"/>
                <w:shd w:val="clear" w:color="auto" w:fill="FFF59D"/>
              </w:rPr>
              <w:t xml:space="preserve">BIBS reference: FR-OP-021, FR-OP-035</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shd w:val="clear" w:color="auto" w:fill="FFF59D"/>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shd w:val="clear" w:color="auto" w:fill="FFF59D"/>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shd w:val="clear" w:color="auto" w:fill="FFF59D"/>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shd w:val="clear" w:color="auto" w:fill="FFF59D"/>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(search); Operations › Invoice Search, Invoice 360 (Appendix E.3, Appendix E.15, Appendix E.16)</w:t>
            </w:r>
          </w:p>
          <w:p>
            <w:pPr>
              <w:rPr>
                <w:rFonts w:ascii="Calibri" w:hAnsi="Calibri" w:cs="Calibri"/>
                <w:sz w:val="20"/>
                <w:szCs w:val="20"/>
              </w:rPr>
            </w:pPr>
            <w:r>
              <w:rPr>
                <w:rFonts w:ascii="Calibri" w:hAnsi="Calibri" w:cs="Calibri"/>
                <w:sz w:val="20"/>
                <w:szCs w:val="20"/>
                <w:shd w:val="clear" w:color="auto" w:fill="FFF59D"/>
              </w:rPr>
              <w:t xml:space="preserve">BIBS reference: FR-OP-004, FR-OP-005, FR-OP-024</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Invoice Search, Invoice 360 (Appendix E.15, Appendix E.16)</w:t>
            </w:r>
          </w:p>
          <w:p>
            <w:pPr>
              <w:rPr>
                <w:rFonts w:ascii="Calibri" w:hAnsi="Calibri" w:cs="Calibri"/>
                <w:sz w:val="20"/>
                <w:szCs w:val="20"/>
              </w:rPr>
            </w:pPr>
            <w:r>
              <w:rPr>
                <w:rFonts w:ascii="Calibri" w:hAnsi="Calibri" w:cs="Calibri"/>
                <w:sz w:val="20"/>
                <w:szCs w:val="20"/>
                <w:shd w:val="clear" w:color="auto" w:fill="FFF59D"/>
              </w:rPr>
              <w:t xml:space="preserve">BIBS reference: FR-OP-004, FR-OP-005</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shd w:val="clear" w:color="auto" w:fill="FFF59D"/>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History (Appendix E.4)</w:t>
            </w:r>
          </w:p>
          <w:p>
            <w:pPr>
              <w:rPr>
                <w:rFonts w:ascii="Calibri" w:hAnsi="Calibri" w:cs="Calibri"/>
                <w:sz w:val="20"/>
                <w:szCs w:val="20"/>
              </w:rPr>
            </w:pPr>
            <w:r>
              <w:rPr>
                <w:rFonts w:ascii="Calibri" w:hAnsi="Calibri" w:cs="Calibri"/>
                <w:sz w:val="20"/>
                <w:szCs w:val="20"/>
                <w:shd w:val="clear" w:color="auto" w:fill="FFF59D"/>
              </w:rPr>
              <w:t xml:space="preserve">BIBS reference: FR-OP-024</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shd w:val="clear" w:color="auto" w:fill="FFF59D"/>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shd w:val="clear" w:color="auto" w:fill="FFF59D"/>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shd w:val="clear" w:color="auto" w:fill="FFF59D"/>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shd w:val="clear" w:color="auto" w:fill="FFF59D"/>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Operations › Report Archive (Appendix E.17, Appendix E.18, Appendix E.19)</w:t>
            </w:r>
          </w:p>
          <w:p>
            <w:pPr>
              <w:rPr>
                <w:rFonts w:ascii="Calibri" w:hAnsi="Calibri" w:cs="Calibri"/>
                <w:sz w:val="20"/>
                <w:szCs w:val="20"/>
              </w:rPr>
            </w:pPr>
            <w:r>
              <w:rPr>
                <w:rFonts w:ascii="Calibri" w:hAnsi="Calibri" w:cs="Calibri"/>
                <w:sz w:val="20"/>
                <w:szCs w:val="20"/>
                <w:shd w:val="clear" w:color="auto" w:fill="FFF59D"/>
              </w:rPr>
              <w:t xml:space="preserve">BIBS reference: FR-OP-009, FR-OP-028</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shd w:val="clear" w:color="auto" w:fill="FFF59D"/>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shd w:val="clear" w:color="auto" w:fill="FFF59D"/>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shd w:val="clear" w:color="auto" w:fill="FFF59D"/>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shd w:val="clear" w:color="auto" w:fill="FFF59D"/>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shd w:val="clear" w:color="auto" w:fill="FFF59D"/>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shd w:val="clear" w:color="auto" w:fill="FFF59D"/>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shd w:val="clear" w:color="auto" w:fill="FFF59D"/>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(Cashiering reports, Appendix M)</w:t>
            </w:r>
          </w:p>
          <w:p>
            <w:pPr>
              <w:rPr>
                <w:rFonts w:ascii="Calibri" w:hAnsi="Calibri" w:cs="Calibri"/>
                <w:sz w:val="20"/>
                <w:szCs w:val="20"/>
              </w:rPr>
            </w:pPr>
            <w:r>
              <w:rPr>
                <w:rFonts w:ascii="Calibri" w:hAnsi="Calibri" w:cs="Calibri"/>
                <w:sz w:val="20"/>
                <w:szCs w:val="20"/>
                <w:shd w:val="clear" w:color="auto" w:fill="FFF59D"/>
              </w:rPr>
              <w:t xml:space="preserve">BIBS reference: FR-OP-008, FR-OP-016, FR-OP-028</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b/>
                <w:bCs/>
                <w:sz w:val="22"/>
                <w:szCs w:val="22"/>
                <w:shd w:val="clear" w:color="auto" w:fill="FFF59D"/>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shd w:val="clear" w:color="auto" w:fill="FFF59D"/>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shd w:val="clear" w:color="auto" w:fill="FFF59D"/>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shd w:val="clear" w:color="auto" w:fill="FFF59D"/>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Hand-offs and Extracts; Disbursement Queue (Appendix N)</w:t>
            </w:r>
          </w:p>
          <w:p>
            <w:pPr>
              <w:rPr>
                <w:rFonts w:ascii="Calibri" w:hAnsi="Calibri" w:cs="Calibri"/>
                <w:sz w:val="20"/>
                <w:szCs w:val="20"/>
              </w:rPr>
            </w:pPr>
            <w:r>
              <w:rPr>
                <w:rFonts w:ascii="Calibri" w:hAnsi="Calibri" w:cs="Calibri"/>
                <w:sz w:val="20"/>
                <w:szCs w:val="20"/>
                <w:shd w:val="clear" w:color="auto" w:fill="FFF59D"/>
              </w:rPr>
              <w:t xml:space="preserve">BIBS reference: FR-OP-003, FR-OP-120, FR-OP-121, FR-OP-130</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(Appendix E.20)</w:t>
            </w:r>
          </w:p>
          <w:p>
            <w:pPr>
              <w:rPr>
                <w:rFonts w:ascii="Calibri" w:hAnsi="Calibri" w:cs="Calibri"/>
                <w:sz w:val="20"/>
                <w:szCs w:val="20"/>
              </w:rPr>
            </w:pPr>
            <w:r>
              <w:rPr>
                <w:rFonts w:ascii="Calibri" w:hAnsi="Calibri" w:cs="Calibri"/>
                <w:sz w:val="20"/>
                <w:szCs w:val="20"/>
                <w:shd w:val="clear" w:color="auto" w:fill="FFF59D"/>
              </w:rPr>
              <w:t xml:space="preserve">BIBS reference: FR-OP-131</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Administration › Scheduled Jobs</w:t>
            </w:r>
          </w:p>
          <w:p>
            <w:pPr>
              <w:rPr>
                <w:rFonts w:ascii="Calibri" w:hAnsi="Calibri" w:cs="Calibri"/>
                <w:sz w:val="20"/>
                <w:szCs w:val="20"/>
              </w:rPr>
            </w:pPr>
            <w:r>
              <w:rPr>
                <w:rFonts w:ascii="Calibri" w:hAnsi="Calibri" w:cs="Calibri"/>
                <w:sz w:val="20"/>
                <w:szCs w:val="20"/>
                <w:shd w:val="clear" w:color="auto" w:fill="FFF59D"/>
              </w:rPr>
              <w:t xml:space="preserve">BIBS reference: FR-OP-008</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shd w:val="clear" w:color="auto" w:fill="FFF59D"/>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shd w:val="clear" w:color="auto" w:fill="FFF59D"/>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shd w:val="clear" w:color="auto" w:fill="FFF59D"/>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Notifications (bell), Alerts, Notification Settings (Appendix G)</w:t>
            </w:r>
          </w:p>
          <w:p>
            <w:pPr>
              <w:rPr>
                <w:rFonts w:ascii="Calibri" w:hAnsi="Calibri" w:cs="Calibri"/>
                <w:sz w:val="20"/>
                <w:szCs w:val="20"/>
              </w:rPr>
            </w:pPr>
            <w:r>
              <w:rPr>
                <w:rFonts w:ascii="Calibri" w:hAnsi="Calibri" w:cs="Calibri"/>
                <w:sz w:val="20"/>
                <w:szCs w:val="20"/>
                <w:shd w:val="clear" w:color="auto" w:fill="FFF59D"/>
              </w:rPr>
              <w:t xml:space="preserve">BIBS reference: FR-OP-010, FR-OP-013, FR-OP-018, FR-OP-022, FR-OP-120</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917" w:type="dxa"/>
        <w:jc w:val="center"/>
        <w:tblLayout w:type="fixed"/>
        <w:tblCellMar>
          <w:left w:w="115" w:type="dxa"/>
          <w:right w:w="115" w:type="dxa"/>
        </w:tblCellMar>
        <w:tblLook w:val="04A0" w:firstRow="1" w:lastRow="0" w:firstColumn="1" w:lastColumn="0" w:noHBand="0" w:noVBand="1"/>
      </w:tblPr>
      <w:tblGrid>
        <w:gridCol w:w="10917"/>
      </w:tblGrid>
      <w:tr w:rsidR="009A43D9" w14:paraId="73346E77"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shd w:val="clear" w:color="auto" w:fill="FFF59D"/>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917"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shd w:val="clear" w:color="auto" w:fill="FFF59D"/>
        </w:rPr>
        <w:t xml:space="preserve">References added in version 3.2:</w:t>
      </w:r>
    </w:p>
    <w:p>
      <w:pPr>
        <w:ind w:left="360" w:right="270"/>
        <w:jc w:val="both"/>
        <w:rPr>
          <w:rFonts w:ascii="Arial" w:hAnsi="Arial" w:cs="Arial"/>
        </w:rPr>
      </w:pPr>
      <w:r>
        <w:rPr>
          <w:rFonts w:ascii="Arial" w:hAnsi="Arial" w:cs="Arial"/>
          <w:shd w:val="clear" w:color="auto" w:fill="FFF59D"/>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shd w:val="clear" w:color="auto" w:fill="FFF59D"/>
        </w:rPr>
        <w:t xml:space="preserve">- BIBS FRS BRD-2 Operations v2.1 (8-Oct-2026) and its test plan: the reference requirements FR-OP-nnn and the test conditions TC-OP-nnn.n quoted in Appendix Q.</w:t>
      </w:r>
    </w:p>
    <w:p>
      <w:pPr>
        <w:ind w:left="360" w:right="270"/>
        <w:jc w:val="both"/>
        <w:rPr>
          <w:rFonts w:ascii="Arial" w:hAnsi="Arial" w:cs="Arial"/>
        </w:rPr>
      </w:pPr>
      <w:r>
        <w:rPr>
          <w:rFonts w:ascii="Arial" w:hAnsi="Arial" w:cs="Arial"/>
          <w:shd w:val="clear" w:color="auto" w:fill="FFF59D"/>
        </w:rPr>
        <w:t xml:space="preserve">- Comparison of BDOI's Operations Cashiering FRS with the BIBS FRS BRD-2 Operations, v1.0 (9-Oct-2026): the conflicts and slips of Appendix R.</w:t>
      </w:r>
    </w:p>
    <w:p>
      <w:pPr>
        <w:ind w:left="360" w:right="270"/>
        <w:jc w:val="both"/>
        <w:rPr>
          <w:rFonts w:ascii="Arial" w:hAnsi="Arial" w:cs="Arial"/>
        </w:rPr>
      </w:pPr>
      <w:r>
        <w:rPr>
          <w:rFonts w:ascii="Arial" w:hAnsi="Arial" w:cs="Arial"/>
          <w:shd w:val="clear" w:color="auto" w:fill="FFF59D"/>
        </w:rPr>
        <w:t xml:space="preserve">- Review workbooks of BRD-02 Operations Cashiering, v1.0 (9-Oct-2026): Business Unit Requirements Collection; BRD vs Out-of-the-Box vs Best Practice; Change Request Register; Test Cases and Traceability; Business Unit Walkthrough Users.</w:t>
      </w:r>
    </w:p>
    <w:p>
      <w:pPr>
        <w:ind w:left="360" w:right="270"/>
        <w:jc w:val="both"/>
        <w:rPr>
          <w:rFonts w:ascii="Arial" w:hAnsi="Arial" w:cs="Arial"/>
        </w:rPr>
      </w:pPr>
      <w:r>
        <w:rPr>
          <w:rFonts w:ascii="Arial" w:hAnsi="Arial" w:cs="Arial"/>
          <w:shd w:val="clear" w:color="auto" w:fill="FFF59D"/>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shd w:val="clear" w:color="auto" w:fill="FFF59D"/>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shd w:val="clear" w:color="auto" w:fill="FFF59D"/>
        </w:rPr>
        <w:t xml:space="preserve">Appendix C – To-Be Process Flows</w:t>
      </w:r>
    </w:p>
    <w:p>
      <w:pPr>
        <w:rPr>
          <w:rFonts w:ascii="Calibri" w:hAnsi="Calibri" w:cs="Calibri"/>
        </w:rPr>
      </w:pPr>
      <w:r>
        <w:rPr>
          <w:rFonts w:ascii="Calibri" w:hAnsi="Calibri" w:cs="Calibri"/>
          <w:shd w:val="clear" w:color="auto" w:fill="FFF59D"/>
        </w:rPr>
        <w:t xml:space="preserve">One figure for every process of the Cashiering scope of the BRD, drawn from end to end with one column per persona and one for the system, then the status life-cycles of the records. The figures follow BDOI's text of section 3; where the BRD or the BIBS reference reads differently,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C.1 Process flows</w:t>
      </w:r>
    </w:p>
    <w:p>
      <w:pPr>
        <w:jc w:val="center"/>
      </w:pPr>
      <w:r>
        <w:drawing>
          <wp:inline>
            <wp:extent cx="3837524"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7524"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jc w:val="center"/>
      </w:pPr>
      <w:r>
        <w:drawing>
          <wp:inline>
            <wp:extent cx="4915481" cy="786384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5481"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jc w:val="center"/>
      </w:pPr>
      <w:r>
        <w:drawing>
          <wp:inline>
            <wp:extent cx="5105734" cy="7863839"/>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734"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Every row is processed on its own; a failed row never stops the others (BRQID.006). The right-hand column is the Unapplied list. Traces to: BRQID.005, 006; CSHID.008, 020, 022; FRS.CSH.05.01.</w:t>
      </w:r>
    </w:p>
    <w:p>
      <w:pPr>
        <w:jc w:val="center"/>
      </w:pPr>
      <w:r>
        <w:drawing>
          <wp:inline>
            <wp:extent cx="5127473"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47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right-hand column shows what the posting creates in each case (remitted AR, AR not remitted, OR); the GL reversal entries are in Appendix I. Traces to: CSHID.001, 002, 003, 012; FRS.CSH.03.01.</w:t>
      </w:r>
    </w:p>
    <w:p>
      <w:pPr>
        <w:jc w:val="center"/>
      </w:pPr>
      <w:r>
        <w:drawing>
          <wp:inline>
            <wp:extent cx="4907429"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7429"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receipt stays Issued; the reversed payment becomes an Unapplied, AR Insurer Refund or AP Unapplied Commission record (BDOI FRS.CSH.04.01.09). Traces to: CSHID.001, 002, 004, 005, 013; FRS.CSH.04.01.</w:t>
      </w:r>
    </w:p>
    <w:p>
      <w:pPr>
        <w:jc w:val="center"/>
      </w:pPr>
      <w:r>
        <w:drawing>
          <wp:inline>
            <wp:extent cx="5095855"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585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tabs of the Unapplied list follow the record: Unapplied, Monitoring, For Approval, For Reversal and Done. Traces to: CSHID.016, 024, 025; FRS.CSH.06.01, FRS.CSH.06.02.</w:t>
      </w:r>
    </w:p>
    <w:p>
      <w:pPr>
        <w:jc w:val="center"/>
      </w:pPr>
      <w:r>
        <w:drawing>
          <wp:inline>
            <wp:extent cx="4622958" cy="786384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2958"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post-dated check is not matched before its maturity (CSHID.020). Traces to: CSHID.008, 020; FRS.CSH.05.01.04, FRS.CSH.05.02.</w:t>
      </w:r>
    </w:p>
    <w:p>
      <w:pPr>
        <w:jc w:val="center"/>
      </w:pPr>
      <w:r>
        <w:drawing>
          <wp:inline>
            <wp:extent cx="2786889" cy="786384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6889"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certificate number is assigned per printed receipt; every print after the first carries REPRINT. Traces to: CSHID.019; FRS.CSH.02.04.</w:t>
      </w:r>
    </w:p>
    <w:p>
      <w:pPr>
        <w:jc w:val="center"/>
      </w:pPr>
      <w:r>
        <w:drawing>
          <wp:inline>
            <wp:extent cx="6400800" cy="7763317"/>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317"/>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OR is generated once Disbursement approves the settlement (BDOI FRS.CSH.07.01.01; Appendix R, C12). Traces to: CSHID.007; FRS.CSH.07.01.</w:t>
      </w:r>
    </w:p>
    <w:p>
      <w:pPr>
        <w:jc w:val="center"/>
      </w:pPr>
      <w:r>
        <w:drawing>
          <wp:inline>
            <wp:extent cx="4510080" cy="7863839"/>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1008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shd w:val="clear" w:color="auto" w:fill="FFF59D"/>
        </w:rPr>
        <w:t xml:space="preserve">C.2 Status life-cycles</w:t>
      </w:r>
    </w:p>
    <w:p>
      <w:pPr>
        <w:jc w:val="center"/>
      </w:pPr>
      <w:r>
        <w:drawing>
          <wp:inline>
            <wp:extent cx="6400800" cy="1606709"/>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670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jc w:val="center"/>
      </w:pPr>
      <w:r>
        <w:drawing>
          <wp:inline>
            <wp:extent cx="6400800" cy="4915696"/>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6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status of an AR or OR number. Bottom: the record status of a payment of a file after matching (BDOI FRS.CSH.05.01.08 to .10). Traces to: CSHID.006, 008, 019, 020; FRS.CSH.02.05, 03.01, 05.01.</w:t>
      </w:r>
    </w:p>
    <w:p>
      <w:pPr>
        <w:jc w:val="center"/>
      </w:pPr>
      <w:r>
        <w:drawing>
          <wp:inline>
            <wp:extent cx="6400800" cy="2834714"/>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471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shd w:val="clear" w:color="auto" w:fill="FFF59D"/>
        </w:rPr>
        <w:t xml:space="preserve">Appendix D – Payment and Upload File Layouts</w:t>
      </w:r>
    </w:p>
    <w:p>
      <w:pPr>
        <w:rPr>
          <w:rFonts w:ascii="Calibri" w:hAnsi="Calibri" w:cs="Calibri"/>
        </w:rPr>
      </w:pPr>
      <w:r>
        <w:rPr>
          <w:rFonts w:ascii="Calibri" w:hAnsi="Calibri" w:cs="Calibri"/>
          <w:shd w:val="clear" w:color="auto" w:fill="FFF59D"/>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shd w:val="clear" w:color="auto" w:fill="FFF59D"/>
        </w:rPr>
        <w:t xml:space="preserve">D.1 Bills Payment file (OBPCS, via MFT)</w:t>
      </w:r>
    </w:p>
    <w:p>
      <w:pPr>
        <w:rPr>
          <w:rFonts w:ascii="Calibri" w:hAnsi="Calibri" w:cs="Calibri"/>
        </w:rPr>
      </w:pPr>
      <w:r>
        <w:rPr>
          <w:rFonts w:ascii="Calibri" w:hAnsi="Calibri" w:cs="Calibri"/>
          <w:shd w:val="clear" w:color="auto" w:fill="FFF59D"/>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File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Incremental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Late deposit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Y /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Paying bank</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HH:MM:SS (00:00:00)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D.2 Post-dated checks file (PMS, via MFT; or Excel upload)</w:t>
      </w:r>
    </w:p>
    <w:p>
      <w:pPr>
        <w:rPr>
          <w:rFonts w:ascii="Calibri" w:hAnsi="Calibri" w:cs="Calibri"/>
        </w:rPr>
      </w:pPr>
      <w:r>
        <w:rPr>
          <w:rFonts w:ascii="Calibri" w:hAnsi="Calibri" w:cs="Calibri"/>
          <w:shd w:val="clear" w:color="auto" w:fill="FFF59D"/>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(0012345)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Bank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(PNB)</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branch</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(Makati)</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Maturity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(CBG)</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D.3 CLPC file</w:t>
      </w:r>
    </w:p>
    <w:p>
      <w:pPr>
        <w:rPr>
          <w:rFonts w:ascii="Calibri" w:hAnsi="Calibri" w:cs="Calibri"/>
        </w:rPr>
      </w:pPr>
      <w:r>
        <w:rPr>
          <w:rFonts w:ascii="Calibri" w:hAnsi="Calibri" w:cs="Calibri"/>
          <w:shd w:val="clear" w:color="auto" w:fill="FFF59D"/>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 to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PN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CORP.DEPT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(FIP)</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REMARKS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row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D.4 Trade file (TFS, from CIB)</w:t>
      </w:r>
    </w:p>
    <w:p>
      <w:pPr>
        <w:rPr>
          <w:rFonts w:ascii="Calibri" w:hAnsi="Calibri" w:cs="Calibri"/>
        </w:rPr>
      </w:pPr>
      <w:r>
        <w:rPr>
          <w:rFonts w:ascii="Calibri" w:hAnsi="Calibri" w:cs="Calibri"/>
          <w:shd w:val="clear" w:color="auto" w:fill="FFF59D"/>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(RECON)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Debit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D.5 Direct Credit file</w:t>
      </w:r>
    </w:p>
    <w:p>
      <w:pPr>
        <w:rPr>
          <w:rFonts w:ascii="Calibri" w:hAnsi="Calibri" w:cs="Calibri"/>
        </w:rPr>
      </w:pPr>
      <w:r>
        <w:rPr>
          <w:rFonts w:ascii="Calibri" w:hAnsi="Calibri" w:cs="Calibri"/>
          <w:shd w:val="clear" w:color="auto" w:fill="FFF59D"/>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BP filename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Logged by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D.6 Commission Schedule (FRS.CSH.02.02.03)</w:t>
      </w:r>
    </w:p>
    <w:p>
      <w:pPr>
        <w:rPr>
          <w:rFonts w:ascii="Calibri" w:hAnsi="Calibri" w:cs="Calibri"/>
        </w:rPr>
      </w:pPr>
      <w:r>
        <w:rPr>
          <w:rFonts w:ascii="Calibri" w:hAnsi="Calibri" w:cs="Calibri"/>
          <w:shd w:val="clear" w:color="auto" w:fill="FFF59D"/>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(INS-MGIC)</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Payee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(2307-0001)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VAT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E – Screen Specifications</w:t>
      </w:r>
    </w:p>
    <w:p>
      <w:pPr>
        <w:rPr>
          <w:rFonts w:ascii="Calibri" w:hAnsi="Calibri" w:cs="Calibri"/>
        </w:rPr>
      </w:pPr>
      <w:r>
        <w:rPr>
          <w:rFonts w:ascii="Calibri" w:hAnsi="Calibri" w:cs="Calibri"/>
          <w:shd w:val="clear" w:color="auto" w:fill="FFF59D"/>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Where BDOI's FRS asks for a field, a filter or a step that the screen does not show today (for example the posting step, the bank account or the entry type), section 3 prevails and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E.1 Cashiering Workbench</w:t>
      </w:r>
    </w:p>
    <w:p>
      <w:pPr>
        <w:rPr>
          <w:rFonts w:ascii="Calibri" w:hAnsi="Calibri" w:cs="Calibri"/>
        </w:rPr>
      </w:pPr>
      <w:r>
        <w:rPr>
          <w:rFonts w:ascii="Calibri" w:hAnsi="Calibri" w:cs="Calibri"/>
          <w:shd w:val="clear" w:color="auto" w:fill="FFF59D"/>
        </w:rPr>
        <w:t xml:space="preserve">Purpose: The landing page of Cashiering: the work queues of the section counted live (unapplied payments, dispositions and receipt actions for approval, pre-booked payments, post-dated checks, BIR 2307 to validate, invoices with outstanding or partial premium, hand-offs), each opening its list.</w:t>
      </w:r>
    </w:p>
    <w:p>
      <w:pPr>
        <w:rPr>
          <w:rFonts w:ascii="Calibri" w:hAnsi="Calibri" w:cs="Calibri"/>
        </w:rPr>
      </w:pPr>
      <w:r>
        <w:rPr>
          <w:rFonts w:ascii="Calibri" w:hAnsi="Calibri" w:cs="Calibri"/>
          <w:shd w:val="clear" w:color="auto" w:fill="FFF59D"/>
        </w:rPr>
        <w:t xml:space="preserve">Access: Operations Home › Cashiering › Open</w:t>
      </w:r>
    </w:p>
    <w:p>
      <w:pPr>
        <w:rPr>
          <w:rFonts w:ascii="Calibri" w:hAnsi="Calibri" w:cs="Calibri"/>
        </w:rPr>
      </w:pPr>
      <w:r>
        <w:rPr>
          <w:rFonts w:ascii="Calibri" w:hAnsi="Calibri" w:cs="Calibri"/>
          <w:shd w:val="clear" w:color="auto" w:fill="FFF59D"/>
        </w:rPr>
        <w:t xml:space="preserve">FR items: FRS.CSH.01.03.02, FRS.CSH.01.03.04, FRS.CSH.01.03.05, FRS.CSH.10.01.02</w:t>
      </w:r>
    </w:p>
    <w:p>
      <w:pPr>
        <w:jc w:val="center"/>
      </w:pPr>
      <w:r>
        <w:drawing>
          <wp:inline>
            <wp:extent cx="5852160" cy="2769686"/>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852160" cy="276968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 Cashiering Workbench with the work queues of the section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Queues: [Work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Live count; Needs attention on the queues waiting for action; Cashiering records and the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tile opens its list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Invoices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Search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work tile]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of the queue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5"/>
        </w:numPr>
        <w:rPr>
          <w:rFonts w:ascii="Calibri" w:hAnsi="Calibri" w:cs="Calibri"/>
        </w:rPr>
      </w:pPr>
      <w:r>
        <w:rPr>
          <w:rFonts w:ascii="Calibri" w:hAnsi="Calibri" w:cs="Calibri"/>
          <w:shd w:val="clear" w:color="auto" w:fill="FFF59D"/>
        </w:rPr>
        <w:t xml:space="preserve">The tiles are counted live from the Cashiering records and the invoice ledger.</w:t>
      </w:r>
    </w:p>
    <w:p>
      <w:pPr>
        <w:pStyle w:val="ListParagraph"/>
        <w:numPr>
          <w:ilvl w:val="0"/>
          <w:numId w:val="305"/>
        </w:numPr>
        <w:rPr>
          <w:rFonts w:ascii="Calibri" w:hAnsi="Calibri" w:cs="Calibri"/>
        </w:rPr>
      </w:pPr>
      <w:r>
        <w:rPr>
          <w:rFonts w:ascii="Calibri" w:hAnsi="Calibri" w:cs="Calibri"/>
          <w:shd w:val="clear" w:color="auto" w:fill="FFF59D"/>
        </w:rPr>
        <w:t xml:space="preserve">The Check Pick-ups Due tile of the screenshot is withdrawn with check pick-up (CSHID.009 removed from scope); the BIR 2307 to Validate tile moves to the Marketing Collection work with the PR 2307 reversal.</w:t>
      </w:r>
    </w:p>
    <w:p>
      <w:pPr>
        <w:pStyle w:val="Heading2"/>
        <w:keepNext/>
        <w:numPr>
          <w:ilvl w:val="0"/>
          <w:numId w:val="0"/>
        </w:numPr>
        <w:rPr>
          <w:rFonts w:ascii="Calibri" w:hAnsi="Calibri" w:cs="Calibri"/>
        </w:rPr>
      </w:pPr>
      <w:r>
        <w:rPr>
          <w:rFonts w:ascii="Calibri" w:hAnsi="Calibri" w:cs="Calibri"/>
          <w:shd w:val="clear" w:color="auto" w:fill="FFF59D"/>
        </w:rPr>
        <w:t xml:space="preserve">E.2 Receive Payment</w:t>
      </w:r>
    </w:p>
    <w:p>
      <w:pPr>
        <w:rPr>
          <w:rFonts w:ascii="Calibri" w:hAnsi="Calibri" w:cs="Calibri"/>
        </w:rPr>
      </w:pPr>
      <w:r>
        <w:rPr>
          <w:rFonts w:ascii="Calibri" w:hAnsi="Calibri" w:cs="Calibri"/>
          <w:shd w:val="clear" w:color="auto" w:fill="FFF59D"/>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4505298" cy="4206239"/>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38"/>
                    <a:stretch>
                      <a:fillRect/>
                    </a:stretch>
                  </pic:blipFill>
                  <pic:spPr>
                    <a:xfrm>
                      <a:off x="0" y="0"/>
                      <a:ext cx="450529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Clear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6"/>
        </w:numPr>
        <w:rPr>
          <w:rFonts w:ascii="Calibri" w:hAnsi="Calibri" w:cs="Calibri"/>
        </w:rPr>
      </w:pPr>
      <w:r>
        <w:rPr>
          <w:rFonts w:ascii="Calibri" w:hAnsi="Calibri" w:cs="Calibri"/>
          <w:shd w:val="clear" w:color="auto" w:fill="FFF59D"/>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6"/>
        </w:numPr>
        <w:rPr>
          <w:rFonts w:ascii="Calibri" w:hAnsi="Calibri" w:cs="Calibri"/>
        </w:rPr>
      </w:pPr>
      <w:r>
        <w:rPr>
          <w:rFonts w:ascii="Calibri" w:hAnsi="Calibri" w:cs="Calibri"/>
          <w:shd w:val="clear" w:color="auto" w:fill="FFF59D"/>
        </w:rPr>
        <w:t xml:space="preserve">Payments are applied in the order DST, VAT / premium tax, LGT, fire service tax, other charges, basic premium; the premium due to the insurer is never applied.</w:t>
      </w:r>
    </w:p>
    <w:p>
      <w:pPr>
        <w:pStyle w:val="ListParagraph"/>
        <w:numPr>
          <w:ilvl w:val="0"/>
          <w:numId w:val="306"/>
        </w:numPr>
        <w:rPr>
          <w:rFonts w:ascii="Calibri" w:hAnsi="Calibri" w:cs="Calibri"/>
        </w:rPr>
      </w:pPr>
      <w:r>
        <w:rPr>
          <w:rFonts w:ascii="Calibri" w:hAnsi="Calibri" w:cs="Calibri"/>
          <w:shd w:val="clear" w:color="auto" w:fill="FFF59D"/>
        </w:rPr>
        <w:t xml:space="preserve">The payment of a 2% CWT client is applied up to 98% of the premium; the 2% waits for the BIR 2307 and anything above it stays unapplied.</w:t>
      </w:r>
    </w:p>
    <w:p>
      <w:pPr>
        <w:pStyle w:val="ListParagraph"/>
        <w:numPr>
          <w:ilvl w:val="0"/>
          <w:numId w:val="306"/>
        </w:numPr>
        <w:rPr>
          <w:rFonts w:ascii="Calibri" w:hAnsi="Calibri" w:cs="Calibri"/>
        </w:rPr>
      </w:pPr>
      <w:r>
        <w:rPr>
          <w:rFonts w:ascii="Calibri" w:hAnsi="Calibri" w:cs="Calibri"/>
          <w:shd w:val="clear" w:color="auto" w:fill="FFF59D"/>
        </w:rPr>
        <w:t xml:space="preserve">The amount is converted at the BOOK rate of the currency and the AR takes the next number of the branch series.</w:t>
      </w:r>
    </w:p>
    <w:p>
      <w:pPr>
        <w:pStyle w:val="ListParagraph"/>
        <w:numPr>
          <w:ilvl w:val="0"/>
          <w:numId w:val="306"/>
        </w:numPr>
        <w:rPr>
          <w:rFonts w:ascii="Calibri" w:hAnsi="Calibri" w:cs="Calibri"/>
        </w:rPr>
      </w:pPr>
      <w:r>
        <w:rPr>
          <w:rFonts w:ascii="Calibri" w:hAnsi="Calibri" w:cs="Calibri"/>
          <w:shd w:val="clear" w:color="auto" w:fill="FFF59D"/>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shd w:val="clear" w:color="auto" w:fill="FFF59D"/>
        </w:rPr>
        <w:t xml:space="preserve">E.3 Receipts</w:t>
      </w:r>
    </w:p>
    <w:p>
      <w:pPr>
        <w:rPr>
          <w:rFonts w:ascii="Calibri" w:hAnsi="Calibri" w:cs="Calibri"/>
        </w:rPr>
      </w:pPr>
      <w:r>
        <w:rPr>
          <w:rFonts w:ascii="Calibri" w:hAnsi="Calibri" w:cs="Calibri"/>
          <w:shd w:val="clear" w:color="auto" w:fill="FFF59D"/>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shd w:val="clear" w:color="auto" w:fill="FFF59D"/>
        </w:rPr>
        <w:t xml:space="preserve">Access: Cashiering Workbench › Cancellations and Reinstatements for Approval tile</w:t>
      </w:r>
    </w:p>
    <w:p>
      <w:pPr>
        <w:rPr>
          <w:rFonts w:ascii="Calibri" w:hAnsi="Calibri" w:cs="Calibri"/>
        </w:rPr>
      </w:pPr>
      <w:r>
        <w:rPr>
          <w:rFonts w:ascii="Calibri" w:hAnsi="Calibri" w:cs="Calibri"/>
          <w:shd w:val="clear" w:color="auto" w:fill="FFF59D"/>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3733158" cy="4206239"/>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39"/>
                    <a:stretch>
                      <a:fillRect/>
                    </a:stretch>
                  </pic:blipFill>
                  <pic:spPr>
                    <a:xfrm>
                      <a:off x="0" y="0"/>
                      <a:ext cx="3733158"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E.3: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Resubmit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7"/>
        </w:numPr>
        <w:rPr>
          <w:rFonts w:ascii="Calibri" w:hAnsi="Calibri" w:cs="Calibri"/>
        </w:rPr>
      </w:pPr>
      <w:r>
        <w:rPr>
          <w:rFonts w:ascii="Calibri" w:hAnsi="Calibri" w:cs="Calibri"/>
          <w:shd w:val="clear" w:color="auto" w:fill="FFF59D"/>
        </w:rPr>
        <w:t xml:space="preserve">An OR is issued only from a Head Office series; an AR from the series of the receiving branch.</w:t>
      </w:r>
    </w:p>
    <w:p>
      <w:pPr>
        <w:pStyle w:val="ListParagraph"/>
        <w:numPr>
          <w:ilvl w:val="0"/>
          <w:numId w:val="307"/>
        </w:numPr>
        <w:rPr>
          <w:rFonts w:ascii="Calibri" w:hAnsi="Calibri" w:cs="Calibri"/>
        </w:rPr>
      </w:pPr>
      <w:r>
        <w:rPr>
          <w:rFonts w:ascii="Calibri" w:hAnsi="Calibri" w:cs="Calibri"/>
          <w:shd w:val="clear" w:color="auto" w:fill="FFF59D"/>
        </w:rPr>
        <w:t xml:space="preserve">The receipt search has ten criteria and every search is logged.</w:t>
      </w:r>
    </w:p>
    <w:p>
      <w:pPr>
        <w:pStyle w:val="ListParagraph"/>
        <w:numPr>
          <w:ilvl w:val="0"/>
          <w:numId w:val="307"/>
        </w:numPr>
        <w:rPr>
          <w:rFonts w:ascii="Calibri" w:hAnsi="Calibri" w:cs="Calibri"/>
        </w:rPr>
      </w:pPr>
      <w:r>
        <w:rPr>
          <w:rFonts w:ascii="Calibri" w:hAnsi="Calibri" w:cs="Calibri"/>
          <w:shd w:val="clear" w:color="auto" w:fill="FFF59D"/>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shd w:val="clear" w:color="auto" w:fill="FFF59D"/>
        </w:rPr>
        <w:t xml:space="preserve">E.4 Receipt</w:t>
      </w:r>
    </w:p>
    <w:p>
      <w:pPr>
        <w:rPr>
          <w:rFonts w:ascii="Calibri" w:hAnsi="Calibri" w:cs="Calibri"/>
        </w:rPr>
      </w:pPr>
      <w:r>
        <w:rPr>
          <w:rFonts w:ascii="Calibri" w:hAnsi="Calibri" w:cs="Calibri"/>
          <w:shd w:val="clear" w:color="auto" w:fill="FFF59D"/>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shd w:val="clear" w:color="auto" w:fill="FFF59D"/>
        </w:rPr>
        <w:t xml:space="preserve">Access: Receipts › open a row; Receive Payment (after Issue AR and Apply); Unapplied Payment › Open Receipt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jc w:val="center"/>
      </w:pPr>
      <w:r>
        <w:drawing>
          <wp:inline>
            <wp:extent cx="5852160" cy="281004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0"/>
                    <a:stretch>
                      <a:fillRect/>
                    </a:stretch>
                  </pic:blipFill>
                  <pic:spPr>
                    <a:xfrm>
                      <a:off x="0" y="0"/>
                      <a:ext cx="5852160" cy="281004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E.4: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Applications / Lines / Journal / History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Radio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partial</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(Remarks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(PDF)</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Reinstate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8"/>
        </w:numPr>
        <w:rPr>
          <w:rFonts w:ascii="Calibri" w:hAnsi="Calibri" w:cs="Calibri"/>
        </w:rPr>
      </w:pPr>
      <w:r>
        <w:rPr>
          <w:rFonts w:ascii="Calibri" w:hAnsi="Calibri" w:cs="Calibri"/>
          <w:shd w:val="clear" w:color="auto" w:fill="FFF59D"/>
        </w:rPr>
        <w:t xml:space="preserve">A cancellation reverses every active application, reverses the receipt entry and closes the unapplied balance of the receipt.</w:t>
      </w:r>
    </w:p>
    <w:p>
      <w:pPr>
        <w:pStyle w:val="ListParagraph"/>
        <w:numPr>
          <w:ilvl w:val="0"/>
          <w:numId w:val="308"/>
        </w:numPr>
        <w:rPr>
          <w:rFonts w:ascii="Calibri" w:hAnsi="Calibri" w:cs="Calibri"/>
        </w:rPr>
      </w:pPr>
      <w:r>
        <w:rPr>
          <w:rFonts w:ascii="Calibri" w:hAnsi="Calibri" w:cs="Calibri"/>
          <w:shd w:val="clear" w:color="auto" w:fill="FFF59D"/>
        </w:rPr>
        <w:t xml:space="preserve">A reinstatement restores the receipt for the full or partial amount, applies it to the invoice encoded and leaves the rest unapplied; a bounced check needs no encoded fields.</w:t>
      </w:r>
    </w:p>
    <w:p>
      <w:pPr>
        <w:pStyle w:val="ListParagraph"/>
        <w:numPr>
          <w:ilvl w:val="0"/>
          <w:numId w:val="308"/>
        </w:numPr>
        <w:rPr>
          <w:rFonts w:ascii="Calibri" w:hAnsi="Calibri" w:cs="Calibri"/>
        </w:rPr>
      </w:pPr>
      <w:r>
        <w:rPr>
          <w:rFonts w:ascii="Calibri" w:hAnsi="Calibri" w:cs="Calibri"/>
          <w:shd w:val="clear" w:color="auto" w:fill="FFF59D"/>
        </w:rPr>
        <w:t xml:space="preserve">The requester never approves the own request.</w:t>
      </w:r>
    </w:p>
    <w:p>
      <w:pPr>
        <w:pStyle w:val="ListParagraph"/>
        <w:numPr>
          <w:ilvl w:val="0"/>
          <w:numId w:val="308"/>
        </w:numPr>
        <w:rPr>
          <w:rFonts w:ascii="Calibri" w:hAnsi="Calibri" w:cs="Calibri"/>
        </w:rPr>
      </w:pPr>
      <w:r>
        <w:rPr>
          <w:rFonts w:ascii="Calibri" w:hAnsi="Calibri" w:cs="Calibri"/>
          <w:shd w:val="clear" w:color="auto" w:fill="FFF59D"/>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shd w:val="clear" w:color="auto" w:fill="FFF59D"/>
        </w:rPr>
        <w:t xml:space="preserve">E.5 Unapplied Payments</w:t>
      </w:r>
    </w:p>
    <w:p>
      <w:pPr>
        <w:rPr>
          <w:rFonts w:ascii="Calibri" w:hAnsi="Calibri" w:cs="Calibri"/>
        </w:rPr>
      </w:pPr>
      <w:r>
        <w:rPr>
          <w:rFonts w:ascii="Calibri" w:hAnsi="Calibri" w:cs="Calibri"/>
          <w:shd w:val="clear" w:color="auto" w:fill="FFF59D"/>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shd w:val="clear" w:color="auto" w:fill="FFF59D"/>
        </w:rPr>
        <w:t xml:space="preserve">Access: Cashiering Workbench › Unapplied Payments and Dispositions for Approval tiles</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1"/>
                    <a:stretch>
                      <a:fillRect/>
                    </a:stretch>
                  </pic:blipFill>
                  <pic:spPr>
                    <a:xfrm>
                      <a:off x="0" y="0"/>
                      <a:ext cx="5852160" cy="3803904"/>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E.5: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Select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9"/>
        </w:numPr>
        <w:rPr>
          <w:rFonts w:ascii="Calibri" w:hAnsi="Calibri" w:cs="Calibri"/>
        </w:rPr>
      </w:pPr>
      <w:r>
        <w:rPr>
          <w:rFonts w:ascii="Calibri" w:hAnsi="Calibri" w:cs="Calibri"/>
          <w:shd w:val="clear" w:color="auto" w:fill="FFF59D"/>
        </w:rPr>
        <w:t xml:space="preserve">Every unapplied balance keeps its origin until it is disposed of.</w:t>
      </w:r>
    </w:p>
    <w:p>
      <w:pPr>
        <w:pStyle w:val="ListParagraph"/>
        <w:numPr>
          <w:ilvl w:val="0"/>
          <w:numId w:val="309"/>
        </w:numPr>
        <w:rPr>
          <w:rFonts w:ascii="Calibri" w:hAnsi="Calibri" w:cs="Calibri"/>
        </w:rPr>
      </w:pPr>
      <w:r>
        <w:rPr>
          <w:rFonts w:ascii="Calibri" w:hAnsi="Calibri" w:cs="Calibri"/>
          <w:shd w:val="clear" w:color="auto" w:fill="FFF59D"/>
        </w:rPr>
        <w:t xml:space="preserve">Bulk submit and approve process each item on its own, so one failure does not stop the others.</w:t>
      </w:r>
    </w:p>
    <w:p>
      <w:pPr>
        <w:pStyle w:val="ListParagraph"/>
        <w:numPr>
          <w:ilvl w:val="0"/>
          <w:numId w:val="309"/>
        </w:numPr>
        <w:rPr>
          <w:rFonts w:ascii="Calibri" w:hAnsi="Calibri" w:cs="Calibri"/>
        </w:rPr>
      </w:pPr>
      <w:r>
        <w:rPr>
          <w:rFonts w:ascii="Calibri" w:hAnsi="Calibri" w:cs="Calibri"/>
          <w:shd w:val="clear" w:color="auto" w:fill="FFF59D"/>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shd w:val="clear" w:color="auto" w:fill="FFF59D"/>
        </w:rPr>
        <w:t xml:space="preserve">E.6 Unapplied Payment</w:t>
      </w:r>
    </w:p>
    <w:p>
      <w:pPr>
        <w:rPr>
          <w:rFonts w:ascii="Calibri" w:hAnsi="Calibri" w:cs="Calibri"/>
        </w:rPr>
      </w:pPr>
      <w:r>
        <w:rPr>
          <w:rFonts w:ascii="Calibri" w:hAnsi="Calibri" w:cs="Calibri"/>
          <w:shd w:val="clear" w:color="auto" w:fill="FFF59D"/>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shd w:val="clear" w:color="auto" w:fill="FFF59D"/>
        </w:rPr>
        <w:t xml:space="preserve">Access: Unapplied Payments › open a row</w:t>
      </w:r>
    </w:p>
    <w:p>
      <w:pPr>
        <w:rPr>
          <w:rFonts w:ascii="Calibri" w:hAnsi="Calibri" w:cs="Calibri"/>
        </w:rPr>
      </w:pPr>
      <w:r>
        <w:rPr>
          <w:rFonts w:ascii="Calibri" w:hAnsi="Calibri" w:cs="Calibri"/>
          <w:shd w:val="clear" w:color="auto" w:fill="FFF59D"/>
        </w:rPr>
        <w:t xml:space="preserve">FR items: FRS.CSH.01.03.04, FRS.CSH.02.05.10, FRS.CSH.02.05.12, FRS.CSH.06.01.01, FRS.CSH.06.01.03, FRS.CSH.06.01.07, FRS.CSH.06.01.08, FRS.CSH.06.02.01, FRS.CSH.06.02.02, FRS.CSH.06.03.01, FRS.CSH.06.03.02, FRS.CSH.10.01.01, FRS.CSH.10.04.01</w:t>
      </w:r>
    </w:p>
    <w:p>
      <w:pPr>
        <w:jc w:val="center"/>
      </w:pPr>
      <w:r>
        <w:drawing>
          <wp:inline>
            <wp:extent cx="3587675" cy="4206240"/>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2"/>
                    <a:stretch>
                      <a:fillRect/>
                    </a:stretch>
                  </pic:blipFill>
                  <pic:spPr>
                    <a:xfrm>
                      <a:off x="0" y="0"/>
                      <a:ext cx="358767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E.6: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0"/>
        </w:numPr>
        <w:rPr>
          <w:rFonts w:ascii="Calibri" w:hAnsi="Calibri" w:cs="Calibri"/>
        </w:rPr>
      </w:pPr>
      <w:r>
        <w:rPr>
          <w:rFonts w:ascii="Calibri" w:hAnsi="Calibri" w:cs="Calibri"/>
          <w:shd w:val="clear" w:color="auto" w:fill="FFF59D"/>
        </w:rPr>
        <w:t xml:space="preserve">The disposition type decides the fields to fill and whether a second user approves it.</w:t>
      </w:r>
    </w:p>
    <w:p>
      <w:pPr>
        <w:pStyle w:val="ListParagraph"/>
        <w:numPr>
          <w:ilvl w:val="0"/>
          <w:numId w:val="310"/>
        </w:numPr>
        <w:rPr>
          <w:rFonts w:ascii="Calibri" w:hAnsi="Calibri" w:cs="Calibri"/>
        </w:rPr>
      </w:pPr>
      <w:r>
        <w:rPr>
          <w:rFonts w:ascii="Calibri" w:hAnsi="Calibri" w:cs="Calibri"/>
          <w:shd w:val="clear" w:color="auto" w:fill="FFF59D"/>
        </w:rPr>
        <w:t xml:space="preserve">A refund goes to the Disbursement queue and is completed when Disbursement pays it.</w:t>
      </w:r>
    </w:p>
    <w:p>
      <w:pPr>
        <w:pStyle w:val="ListParagraph"/>
        <w:numPr>
          <w:ilvl w:val="0"/>
          <w:numId w:val="310"/>
        </w:numPr>
        <w:rPr>
          <w:rFonts w:ascii="Calibri" w:hAnsi="Calibri" w:cs="Calibri"/>
        </w:rPr>
      </w:pPr>
      <w:r>
        <w:rPr>
          <w:rFonts w:ascii="Calibri" w:hAnsi="Calibri" w:cs="Calibri"/>
          <w:shd w:val="clear" w:color="auto" w:fill="FFF59D"/>
        </w:rPr>
        <w:t xml:space="preserve">A balance left after a partial disposition returns to the Unapplied tab.</w:t>
      </w:r>
    </w:p>
    <w:p>
      <w:pPr>
        <w:pStyle w:val="ListParagraph"/>
        <w:numPr>
          <w:ilvl w:val="0"/>
          <w:numId w:val="310"/>
        </w:numPr>
        <w:rPr>
          <w:rFonts w:ascii="Calibri" w:hAnsi="Calibri" w:cs="Calibri"/>
        </w:rPr>
      </w:pPr>
      <w:r>
        <w:rPr>
          <w:rFonts w:ascii="Calibri" w:hAnsi="Calibri" w:cs="Calibri"/>
          <w:shd w:val="clear" w:color="auto" w:fill="FFF59D"/>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shd w:val="clear" w:color="auto" w:fill="FFF59D"/>
        </w:rPr>
        <w:t xml:space="preserve">E.7 Incoming Requests</w:t>
      </w:r>
    </w:p>
    <w:p>
      <w:pPr>
        <w:rPr>
          <w:rFonts w:ascii="Calibri" w:hAnsi="Calibri" w:cs="Calibri"/>
        </w:rPr>
      </w:pPr>
      <w:r>
        <w:rPr>
          <w:rFonts w:ascii="Calibri" w:hAnsi="Calibri" w:cs="Calibri"/>
          <w:shd w:val="clear" w:color="auto" w:fill="FFF59D"/>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FRS.CSH.10.01.01, FRS.CSH.10.04.01</w:t>
      </w:r>
    </w:p>
    <w:p>
      <w:pPr>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3"/>
                    <a:stretch>
                      <a:fillRect/>
                    </a:stretch>
                  </pic:blipFill>
                  <pic:spPr>
                    <a:xfrm>
                      <a:off x="0" y="0"/>
                      <a:ext cx="5852160" cy="287058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E.7: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1"/>
        </w:numPr>
        <w:rPr>
          <w:rFonts w:ascii="Calibri" w:hAnsi="Calibri" w:cs="Calibri"/>
        </w:rPr>
      </w:pPr>
      <w:r>
        <w:rPr>
          <w:rFonts w:ascii="Calibri" w:hAnsi="Calibri" w:cs="Calibri"/>
          <w:shd w:val="clear" w:color="auto" w:fill="FFF59D"/>
        </w:rPr>
        <w:t xml:space="preserve">Collections asks Cashiering to dispose of an unapplied payment; Cashiering decides and the collector sees the outcome.</w:t>
      </w:r>
    </w:p>
    <w:p>
      <w:pPr>
        <w:pStyle w:val="ListParagraph"/>
        <w:numPr>
          <w:ilvl w:val="0"/>
          <w:numId w:val="311"/>
        </w:numPr>
        <w:rPr>
          <w:rFonts w:ascii="Calibri" w:hAnsi="Calibri" w:cs="Calibri"/>
        </w:rPr>
      </w:pPr>
      <w:r>
        <w:rPr>
          <w:rFonts w:ascii="Calibri" w:hAnsi="Calibri" w:cs="Calibri"/>
          <w:shd w:val="clear" w:color="auto" w:fill="FFF59D"/>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shd w:val="clear" w:color="auto" w:fill="FFF59D"/>
        </w:rPr>
        <w:t xml:space="preserve">E.8 Pre-booked Payments</w:t>
      </w:r>
    </w:p>
    <w:p>
      <w:pPr>
        <w:rPr>
          <w:rFonts w:ascii="Calibri" w:hAnsi="Calibri" w:cs="Calibri"/>
        </w:rPr>
      </w:pPr>
      <w:r>
        <w:rPr>
          <w:rFonts w:ascii="Calibri" w:hAnsi="Calibri" w:cs="Calibri"/>
          <w:shd w:val="clear" w:color="auto" w:fill="FFF59D"/>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shd w:val="clear" w:color="auto" w:fill="FFF59D"/>
        </w:rPr>
        <w:t xml:space="preserve">Access: Cashiering Workbench › Pre-booked Payments tile</w:t>
      </w:r>
    </w:p>
    <w:p>
      <w:pPr>
        <w:rPr>
          <w:rFonts w:ascii="Calibri" w:hAnsi="Calibri" w:cs="Calibri"/>
        </w:rPr>
      </w:pPr>
      <w:r>
        <w:rPr>
          <w:rFonts w:ascii="Calibri" w:hAnsi="Calibri" w:cs="Calibri"/>
          <w:shd w:val="clear" w:color="auto" w:fill="FFF59D"/>
        </w:rPr>
        <w:t xml:space="preserve">FR items: FRS.CSH.02.01.02, FRS.CSH.02.01.03, FRS.CSH.02.05.10, FRS.CSH.02.05.13, FRS.CSH.05.01.08, FRS.CSH.05.02.02, FRS.CSH.05.03.01, FRS.CSH.05.04.01, FRS.CSH.10.04.02</w:t>
      </w:r>
    </w:p>
    <w:p>
      <w:pPr>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4"/>
                    <a:stretch>
                      <a:fillRect/>
                    </a:stretch>
                  </pic:blipFill>
                  <pic:spPr>
                    <a:xfrm>
                      <a:off x="0" y="0"/>
                      <a:ext cx="5852160" cy="2002851"/>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E.8: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Re-match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2"/>
        </w:numPr>
        <w:rPr>
          <w:rFonts w:ascii="Calibri" w:hAnsi="Calibri" w:cs="Calibri"/>
        </w:rPr>
      </w:pPr>
      <w:r>
        <w:rPr>
          <w:rFonts w:ascii="Calibri" w:hAnsi="Calibri" w:cs="Calibri"/>
          <w:shd w:val="clear" w:color="auto" w:fill="FFF59D"/>
        </w:rPr>
        <w:t xml:space="preserve">A payment for an account not yet booked waits in the queue and opens the New Business payment gate.</w:t>
      </w:r>
    </w:p>
    <w:p>
      <w:pPr>
        <w:pStyle w:val="ListParagraph"/>
        <w:numPr>
          <w:ilvl w:val="0"/>
          <w:numId w:val="312"/>
        </w:numPr>
        <w:rPr>
          <w:rFonts w:ascii="Calibri" w:hAnsi="Calibri" w:cs="Calibri"/>
        </w:rPr>
      </w:pPr>
      <w:r>
        <w:rPr>
          <w:rFonts w:ascii="Calibri" w:hAnsi="Calibri" w:cs="Calibri"/>
          <w:shd w:val="clear" w:color="auto" w:fill="FFF59D"/>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shd w:val="clear" w:color="auto" w:fill="FFF59D"/>
        </w:rPr>
        <w:t xml:space="preserve">E.9 Payment Uploads</w:t>
      </w:r>
    </w:p>
    <w:p>
      <w:pPr>
        <w:rPr>
          <w:rFonts w:ascii="Calibri" w:hAnsi="Calibri" w:cs="Calibri"/>
        </w:rPr>
      </w:pPr>
      <w:r>
        <w:rPr>
          <w:rFonts w:ascii="Calibri" w:hAnsi="Calibri" w:cs="Calibri"/>
          <w:shd w:val="clear" w:color="auto" w:fill="FFF59D"/>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FRS.CSH.02.04.02, FRS.CSH.05.01.01, FRS.CSH.05.01.04, FRS.CSH.05.01.05, FRS.CSH.05.01.06, FRS.CSH.05.01.10, FRS.CSH.05.01.12, FRS.CSH.05.01.13, FRS.CSH.05.02.01, FRS.CSH.05.02.02, FRS.CSH.05.02.03, FRS.CSH.09.02.19, FRS.CSH.09.02.23, FRS.CSH.10.03.01</w:t>
      </w:r>
    </w:p>
    <w:p>
      <w:pPr>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5"/>
                    <a:stretch>
                      <a:fillRect/>
                    </a:stretch>
                  </pic:blipFill>
                  <pic:spPr>
                    <a:xfrm>
                      <a:off x="0" y="0"/>
                      <a:ext cx="5852160" cy="4076332"/>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E.9: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2. Upload: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3"/>
        </w:numPr>
        <w:rPr>
          <w:rFonts w:ascii="Calibri" w:hAnsi="Calibri" w:cs="Calibri"/>
        </w:rPr>
      </w:pPr>
      <w:r>
        <w:rPr>
          <w:rFonts w:ascii="Calibri" w:hAnsi="Calibri" w:cs="Calibri"/>
          <w:shd w:val="clear" w:color="auto" w:fill="FFF59D"/>
        </w:rPr>
        <w:t xml:space="preserve">Every row is a payment: an AR is issued and the payment is matched at once; the same file cannot be uploaded twice.</w:t>
      </w:r>
    </w:p>
    <w:p>
      <w:pPr>
        <w:pStyle w:val="ListParagraph"/>
        <w:numPr>
          <w:ilvl w:val="0"/>
          <w:numId w:val="313"/>
        </w:numPr>
        <w:rPr>
          <w:rFonts w:ascii="Calibri" w:hAnsi="Calibri" w:cs="Calibri"/>
        </w:rPr>
      </w:pPr>
      <w:r>
        <w:rPr>
          <w:rFonts w:ascii="Calibri" w:hAnsi="Calibri" w:cs="Calibri"/>
          <w:shd w:val="clear" w:color="auto" w:fill="FFF59D"/>
        </w:rPr>
        <w:t xml:space="preserve">A failed row never stops the run; the failed rows are corrected in the report and uploaded again as a new file.</w:t>
      </w:r>
    </w:p>
    <w:p>
      <w:pPr>
        <w:pStyle w:val="ListParagraph"/>
        <w:numPr>
          <w:ilvl w:val="0"/>
          <w:numId w:val="313"/>
        </w:numPr>
        <w:rPr>
          <w:rFonts w:ascii="Calibri" w:hAnsi="Calibri" w:cs="Calibri"/>
        </w:rPr>
      </w:pPr>
      <w:r>
        <w:rPr>
          <w:rFonts w:ascii="Calibri" w:hAnsi="Calibri" w:cs="Calibri"/>
          <w:shd w:val="clear" w:color="auto" w:fill="FFF59D"/>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shd w:val="clear" w:color="auto" w:fill="FFF59D"/>
        </w:rPr>
        <w:t xml:space="preserve">E.10 PDC Warehouse</w:t>
      </w:r>
    </w:p>
    <w:p>
      <w:pPr>
        <w:rPr>
          <w:rFonts w:ascii="Calibri" w:hAnsi="Calibri" w:cs="Calibri"/>
        </w:rPr>
      </w:pPr>
      <w:r>
        <w:rPr>
          <w:rFonts w:ascii="Calibri" w:hAnsi="Calibri" w:cs="Calibri"/>
          <w:shd w:val="clear" w:color="auto" w:fill="FFF59D"/>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shd w:val="clear" w:color="auto" w:fill="FFF59D"/>
        </w:rPr>
        <w:t xml:space="preserve">Access: Cashiering Workbench › Post-dated Checks in the Warehouse tile</w:t>
      </w:r>
    </w:p>
    <w:p>
      <w:pPr>
        <w:rPr>
          <w:rFonts w:ascii="Calibri" w:hAnsi="Calibri" w:cs="Calibri"/>
        </w:rPr>
      </w:pPr>
      <w:r>
        <w:rPr>
          <w:rFonts w:ascii="Calibri" w:hAnsi="Calibri" w:cs="Calibri"/>
          <w:shd w:val="clear" w:color="auto" w:fill="FFF59D"/>
        </w:rPr>
        <w:t xml:space="preserve">FR items: FRS.CSH.05.01.04, FRS.CSH.05.02.01, FRS.CSH.05.02.02, FRS.CSH.05.02.03, FRS.CSH.09.02.19</w:t>
      </w:r>
    </w:p>
    <w:p>
      <w:pPr>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46"/>
                    <a:stretch>
                      <a:fillRect/>
                    </a:stretch>
                  </pic:blipFill>
                  <pic:spPr>
                    <a:xfrm>
                      <a:off x="0" y="0"/>
                      <a:ext cx="5852160" cy="197762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E.10: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Heading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4"/>
        </w:numPr>
        <w:rPr>
          <w:rFonts w:ascii="Calibri" w:hAnsi="Calibri" w:cs="Calibri"/>
        </w:rPr>
      </w:pPr>
      <w:r>
        <w:rPr>
          <w:rFonts w:ascii="Calibri" w:hAnsi="Calibri" w:cs="Calibri"/>
          <w:shd w:val="clear" w:color="auto" w:fill="FFF59D"/>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shd w:val="clear" w:color="auto" w:fill="FFF59D"/>
        </w:rPr>
        <w:t xml:space="preserve">E.11 Batch Print</w:t>
      </w:r>
    </w:p>
    <w:p>
      <w:pPr>
        <w:rPr>
          <w:rFonts w:ascii="Calibri" w:hAnsi="Calibri" w:cs="Calibri"/>
        </w:rPr>
      </w:pPr>
      <w:r>
        <w:rPr>
          <w:rFonts w:ascii="Calibri" w:hAnsi="Calibri" w:cs="Calibri"/>
          <w:shd w:val="clear" w:color="auto" w:fill="FFF59D"/>
        </w:rPr>
        <w:t xml:space="preserve">Purpose: Print receipts in one batch: choose them by kind, insurer and date, preview the list, print the selected receipts into one PDF and retry the ones that failed.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FRS.CSH.02.04.05, FRS.CSH.02.04.07, FRS.CSH.02.04.12, FRS.CSH.02.04.16, FRS.CSH.02.04.17, FRS.CSH.02.05.14, FRS.CSH.02.06.01, FRS.CSH.02.06.02, FRS.CSH.02.06.03, FRS.CSH.05.01.10</w:t>
      </w:r>
    </w:p>
    <w:p>
      <w:pPr>
        <w:jc w:val="center"/>
      </w:pPr>
      <w:r>
        <w:drawing>
          <wp:inline>
            <wp:extent cx="3477718" cy="4206240"/>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47"/>
                    <a:stretch>
                      <a:fillRect/>
                    </a:stretch>
                  </pic:blipFill>
                  <pic:spPr>
                    <a:xfrm>
                      <a:off x="0" y="0"/>
                      <a:ext cx="3477718"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E.11: Batch Print: receipts to print and the print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Receipts to Print: Kind / Insurer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Acknowledgement Receipt, Official Receipt; 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Receipts to Print: Receipt No. / Date / Payor / Amount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Printed &lt;n&gt;x or Not yet;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Batch No. / Criteria / Progress / Printed / Failed / Created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Progress bar; red when a receipt failed; Print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Preview List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issued receipts of the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selected receipts into one PDF and records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Batch done or with failures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printed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merged PDF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Retry Failures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failed receipts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5"/>
        </w:numPr>
        <w:rPr>
          <w:rFonts w:ascii="Calibri" w:hAnsi="Calibri" w:cs="Calibri"/>
        </w:rPr>
      </w:pPr>
      <w:r>
        <w:rPr>
          <w:rFonts w:ascii="Calibri" w:hAnsi="Calibri" w:cs="Calibri"/>
          <w:shd w:val="clear" w:color="auto" w:fill="FFF59D"/>
        </w:rPr>
        <w:t xml:space="preserve">A batch records each receipt printed, so a failure is retried without printing the others again.</w:t>
      </w:r>
    </w:p>
    <w:p>
      <w:pPr>
        <w:pStyle w:val="Heading2"/>
        <w:keepNext/>
        <w:numPr>
          <w:ilvl w:val="0"/>
          <w:numId w:val="0"/>
        </w:numPr>
        <w:rPr>
          <w:rFonts w:ascii="Calibri" w:hAnsi="Calibri" w:cs="Calibri"/>
        </w:rPr>
      </w:pPr>
      <w:r>
        <w:rPr>
          <w:rFonts w:ascii="Calibri" w:hAnsi="Calibri" w:cs="Calibri"/>
          <w:shd w:val="clear" w:color="auto" w:fill="FFF59D"/>
        </w:rPr>
        <w:t xml:space="preserve">E.12 Commission ORs</w:t>
      </w:r>
    </w:p>
    <w:p>
      <w:pPr>
        <w:rPr>
          <w:rFonts w:ascii="Calibri" w:hAnsi="Calibri" w:cs="Calibri"/>
        </w:rPr>
      </w:pPr>
      <w:r>
        <w:rPr>
          <w:rFonts w:ascii="Calibri" w:hAnsi="Calibri" w:cs="Calibri"/>
          <w:shd w:val="clear" w:color="auto" w:fill="FFF59D"/>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jc w:val="center"/>
      </w:pPr>
      <w:r>
        <w:drawing>
          <wp:inline>
            <wp:extent cx="4651323" cy="4206240"/>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48"/>
                    <a:stretch>
                      <a:fillRect/>
                    </a:stretch>
                  </pic:blipFill>
                  <pic:spPr>
                    <a:xfrm>
                      <a:off x="0" y="0"/>
                      <a:ext cx="4651323"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E.12: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6"/>
        </w:numPr>
        <w:rPr>
          <w:rFonts w:ascii="Calibri" w:hAnsi="Calibri" w:cs="Calibri"/>
        </w:rPr>
      </w:pPr>
      <w:r>
        <w:rPr>
          <w:rFonts w:ascii="Calibri" w:hAnsi="Calibri" w:cs="Calibri"/>
          <w:shd w:val="clear" w:color="auto" w:fill="FFF59D"/>
        </w:rPr>
        <w:t xml:space="preserve">One OR is issued per staged commission payment.</w:t>
      </w:r>
    </w:p>
    <w:p>
      <w:pPr>
        <w:pStyle w:val="Heading2"/>
        <w:keepNext/>
        <w:numPr>
          <w:ilvl w:val="0"/>
          <w:numId w:val="0"/>
        </w:numPr>
        <w:rPr>
          <w:rFonts w:ascii="Calibri" w:hAnsi="Calibri" w:cs="Calibri"/>
        </w:rPr>
      </w:pPr>
      <w:r>
        <w:rPr>
          <w:rFonts w:ascii="Calibri" w:hAnsi="Calibri" w:cs="Calibri"/>
          <w:shd w:val="clear" w:color="auto" w:fill="FFF59D"/>
        </w:rPr>
        <w:t xml:space="preserve">E.13 Receipt Series</w:t>
      </w:r>
    </w:p>
    <w:p>
      <w:pPr>
        <w:rPr>
          <w:rFonts w:ascii="Calibri" w:hAnsi="Calibri" w:cs="Calibri"/>
        </w:rPr>
      </w:pPr>
      <w:r>
        <w:rPr>
          <w:rFonts w:ascii="Calibri" w:hAnsi="Calibri" w:cs="Calibri"/>
          <w:shd w:val="clear" w:color="auto" w:fill="FFF59D"/>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FRS.CSH.02.03.03, FRS.CSH.02.03.04, FRS.CSH.02.03.06, FRS.CSH.02.05.08.03, FRS.CSH.10.04.02</w:t>
      </w:r>
    </w:p>
    <w:p>
      <w:pPr>
        <w:jc w:val="center"/>
      </w:pPr>
      <w:r>
        <w:drawing>
          <wp:inline>
            <wp:extent cx="5852160" cy="2739416"/>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49"/>
                    <a:stretch>
                      <a:fillRect/>
                    </a:stretch>
                  </pic:blipFill>
                  <pic:spPr>
                    <a:xfrm>
                      <a:off x="0" y="0"/>
                      <a:ext cx="5852160" cy="2739416"/>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E.13: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Series / Branch / Range / Next No. / Used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Prefix with the kind and ATP; gauge with the numbers left;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Authorize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active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7"/>
        </w:numPr>
        <w:rPr>
          <w:rFonts w:ascii="Calibri" w:hAnsi="Calibri" w:cs="Calibri"/>
        </w:rPr>
      </w:pPr>
      <w:r>
        <w:rPr>
          <w:rFonts w:ascii="Calibri" w:hAnsi="Calibri" w:cs="Calibri"/>
          <w:shd w:val="clear" w:color="auto" w:fill="FFF59D"/>
        </w:rPr>
        <w:t xml:space="preserve">Each receipt takes the next number of its series; a depleted series refuses the receipt.</w:t>
      </w:r>
    </w:p>
    <w:p>
      <w:pPr>
        <w:pStyle w:val="ListParagraph"/>
        <w:numPr>
          <w:ilvl w:val="0"/>
          <w:numId w:val="317"/>
        </w:numPr>
        <w:rPr>
          <w:rFonts w:ascii="Calibri" w:hAnsi="Calibri" w:cs="Calibri"/>
        </w:rPr>
      </w:pPr>
      <w:r>
        <w:rPr>
          <w:rFonts w:ascii="Calibri" w:hAnsi="Calibri" w:cs="Calibri"/>
          <w:shd w:val="clear" w:color="auto" w:fill="FFF59D"/>
        </w:rPr>
        <w:t xml:space="preserve">When the numbers left reach the warning level, the Cashiering team is alerted.</w:t>
      </w:r>
    </w:p>
    <w:p>
      <w:pPr>
        <w:pStyle w:val="ListParagraph"/>
        <w:numPr>
          <w:ilvl w:val="0"/>
          <w:numId w:val="317"/>
        </w:numPr>
        <w:rPr>
          <w:rFonts w:ascii="Calibri" w:hAnsi="Calibri" w:cs="Calibri"/>
        </w:rPr>
      </w:pPr>
      <w:r>
        <w:rPr>
          <w:rFonts w:ascii="Calibri" w:hAnsi="Calibri" w:cs="Calibri"/>
          <w:shd w:val="clear" w:color="auto" w:fill="FFF59D"/>
        </w:rPr>
        <w:t xml:space="preserve">ORs are issued only from Head Office series.</w:t>
      </w:r>
    </w:p>
    <w:p>
      <w:pPr>
        <w:pStyle w:val="Heading2"/>
        <w:keepNext/>
        <w:numPr>
          <w:ilvl w:val="0"/>
          <w:numId w:val="0"/>
        </w:numPr>
        <w:rPr>
          <w:rFonts w:ascii="Calibri" w:hAnsi="Calibri" w:cs="Calibri"/>
        </w:rPr>
      </w:pPr>
      <w:r>
        <w:rPr>
          <w:rFonts w:ascii="Calibri" w:hAnsi="Calibri" w:cs="Calibri"/>
          <w:shd w:val="clear" w:color="auto" w:fill="FFF59D"/>
        </w:rPr>
        <w:t xml:space="preserve">E.14 Cashiering Setup</w:t>
      </w:r>
    </w:p>
    <w:p>
      <w:pPr>
        <w:rPr>
          <w:rFonts w:ascii="Calibri" w:hAnsi="Calibri" w:cs="Calibri"/>
        </w:rPr>
      </w:pPr>
      <w:r>
        <w:rPr>
          <w:rFonts w:ascii="Calibri" w:hAnsi="Calibri" w:cs="Calibri"/>
          <w:shd w:val="clear" w:color="auto" w:fill="FFF59D"/>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FRS.CSH.02.05.12, FRS.CSH.05.01.01, FRS.CSH.05.01.04, FRS.CSH.05.01.05, FRS.CSH.05.01.06, FRS.CSH.05.01.10, FRS.CSH.06.01.08</w:t>
      </w:r>
    </w:p>
    <w:p>
      <w:pPr>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0"/>
                    <a:stretch>
                      <a:fillRect/>
                    </a:stretch>
                  </pic:blipFill>
                  <pic:spPr>
                    <a:xfrm>
                      <a:off x="0" y="0"/>
                      <a:ext cx="5852160" cy="3662645"/>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E.14: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Sweep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8"/>
        </w:numPr>
        <w:rPr>
          <w:rFonts w:ascii="Calibri" w:hAnsi="Calibri" w:cs="Calibri"/>
        </w:rPr>
      </w:pPr>
      <w:r>
        <w:rPr>
          <w:rFonts w:ascii="Calibri" w:hAnsi="Calibri" w:cs="Calibri"/>
          <w:shd w:val="clear" w:color="auto" w:fill="FFF59D"/>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18"/>
        </w:numPr>
        <w:rPr>
          <w:rFonts w:ascii="Calibri" w:hAnsi="Calibri" w:cs="Calibri"/>
        </w:rPr>
      </w:pPr>
      <w:r>
        <w:rPr>
          <w:rFonts w:ascii="Calibri" w:hAnsi="Calibri" w:cs="Calibri"/>
          <w:shd w:val="clear" w:color="auto" w:fill="FFF59D"/>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shd w:val="clear" w:color="auto" w:fill="FFF59D"/>
        </w:rPr>
        <w:t xml:space="preserve">E.15 Invoice Search</w:t>
      </w:r>
    </w:p>
    <w:p>
      <w:pPr>
        <w:rPr>
          <w:rFonts w:ascii="Calibri" w:hAnsi="Calibri" w:cs="Calibri"/>
        </w:rPr>
      </w:pPr>
      <w:r>
        <w:rPr>
          <w:rFonts w:ascii="Calibri" w:hAnsi="Calibri" w:cs="Calibri"/>
          <w:shd w:val="clear" w:color="auto" w:fill="FFF59D"/>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shd w:val="clear" w:color="auto" w:fill="FFF59D"/>
        </w:rPr>
        <w:t xml:space="preserve">Access: Operations Home › Find an Invoice; Section workbenches › Search Invoices</w:t>
      </w:r>
    </w:p>
    <w:p>
      <w:pPr>
        <w:rPr>
          <w:rFonts w:ascii="Calibri" w:hAnsi="Calibri" w:cs="Calibri"/>
        </w:rPr>
      </w:pPr>
      <w:r>
        <w:rPr>
          <w:rFonts w:ascii="Calibri" w:hAnsi="Calibri" w:cs="Calibri"/>
          <w:shd w:val="clear" w:color="auto" w:fill="FFF59D"/>
        </w:rPr>
        <w:t xml:space="preserve">FR items: FRS.CSH.08.01.01, FRS.CSH.08.01.03, FRS.CSH.08.02.01</w:t>
      </w:r>
    </w:p>
    <w:p>
      <w:pPr>
        <w:jc w:val="center"/>
      </w:pPr>
      <w:r>
        <w:drawing>
          <wp:inline>
            <wp:extent cx="3754665" cy="4206240"/>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51"/>
                    <a:stretch>
                      <a:fillRect/>
                    </a:stretch>
                  </pic:blipFill>
                  <pic:spPr>
                    <a:xfrm>
                      <a:off x="0" y="0"/>
                      <a:ext cx="3754665"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E.15: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9"/>
        </w:numPr>
        <w:rPr>
          <w:rFonts w:ascii="Calibri" w:hAnsi="Calibri" w:cs="Calibri"/>
        </w:rPr>
      </w:pPr>
      <w:r>
        <w:rPr>
          <w:rFonts w:ascii="Calibri" w:hAnsi="Calibri" w:cs="Calibri"/>
          <w:shd w:val="clear" w:color="auto" w:fill="FFF59D"/>
        </w:rPr>
        <w:t xml:space="preserve">The search is partial and not case-sensitive on the invoice number, ARN, policy number, client and assured.</w:t>
      </w:r>
    </w:p>
    <w:p>
      <w:pPr>
        <w:pStyle w:val="ListParagraph"/>
        <w:numPr>
          <w:ilvl w:val="0"/>
          <w:numId w:val="319"/>
        </w:numPr>
        <w:rPr>
          <w:rFonts w:ascii="Calibri" w:hAnsi="Calibri" w:cs="Calibri"/>
        </w:rPr>
      </w:pPr>
      <w:r>
        <w:rPr>
          <w:rFonts w:ascii="Calibri" w:hAnsi="Calibri" w:cs="Calibri"/>
          <w:shd w:val="clear" w:color="auto" w:fill="FFF59D"/>
        </w:rPr>
        <w:t xml:space="preserve">Payment status is derived from the premium receivable balances: Unpaid, Partially Paid, Paid; Not Applicable for direct payment and return invoices.</w:t>
      </w:r>
    </w:p>
    <w:p>
      <w:pPr>
        <w:pStyle w:val="ListParagraph"/>
        <w:numPr>
          <w:ilvl w:val="0"/>
          <w:numId w:val="319"/>
        </w:numPr>
        <w:rPr>
          <w:rFonts w:ascii="Calibri" w:hAnsi="Calibri" w:cs="Calibri"/>
        </w:rPr>
      </w:pPr>
      <w:r>
        <w:rPr>
          <w:rFonts w:ascii="Calibri" w:hAnsi="Calibri" w:cs="Calibri"/>
          <w:shd w:val="clear" w:color="auto" w:fill="FFF59D"/>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shd w:val="clear" w:color="auto" w:fill="FFF59D"/>
        </w:rPr>
        <w:t xml:space="preserve">E.16 Invoice 360</w:t>
      </w:r>
    </w:p>
    <w:p>
      <w:pPr>
        <w:rPr>
          <w:rFonts w:ascii="Calibri" w:hAnsi="Calibri" w:cs="Calibri"/>
        </w:rPr>
      </w:pPr>
      <w:r>
        <w:rPr>
          <w:rFonts w:ascii="Calibri" w:hAnsi="Calibri" w:cs="Calibri"/>
          <w:shd w:val="clear" w:color="auto" w:fill="FFF59D"/>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shd w:val="clear" w:color="auto" w:fill="FFF59D"/>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shd w:val="clear" w:color="auto" w:fill="FFF59D"/>
        </w:rPr>
        <w:t xml:space="preserve">FR items: FRS.CSH.02.05.16, FRS.CSH.08.01.01, FRS.CSH.08.01.03, FRS.CSH.08.02.01</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52"/>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E.16: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0"/>
        </w:numPr>
        <w:rPr>
          <w:rFonts w:ascii="Calibri" w:hAnsi="Calibri" w:cs="Calibri"/>
        </w:rPr>
      </w:pPr>
      <w:r>
        <w:rPr>
          <w:rFonts w:ascii="Calibri" w:hAnsi="Calibri" w:cs="Calibri"/>
          <w:shd w:val="clear" w:color="auto" w:fill="FFF59D"/>
        </w:rPr>
        <w:t xml:space="preserve">Each team tab lists only the records of that team with their count; an empty tab says so.</w:t>
      </w:r>
    </w:p>
    <w:p>
      <w:pPr>
        <w:pStyle w:val="ListParagraph"/>
        <w:numPr>
          <w:ilvl w:val="0"/>
          <w:numId w:val="320"/>
        </w:numPr>
        <w:rPr>
          <w:rFonts w:ascii="Calibri" w:hAnsi="Calibri" w:cs="Calibri"/>
        </w:rPr>
      </w:pPr>
      <w:r>
        <w:rPr>
          <w:rFonts w:ascii="Calibri" w:hAnsi="Calibri" w:cs="Calibri"/>
          <w:shd w:val="clear" w:color="auto" w:fill="FFF59D"/>
        </w:rPr>
        <w:t xml:space="preserve">The hold and remittance statuses are shown with their history and time stamps.</w:t>
      </w:r>
    </w:p>
    <w:p>
      <w:pPr>
        <w:pStyle w:val="ListParagraph"/>
        <w:numPr>
          <w:ilvl w:val="0"/>
          <w:numId w:val="320"/>
        </w:numPr>
        <w:rPr>
          <w:rFonts w:ascii="Calibri" w:hAnsi="Calibri" w:cs="Calibri"/>
        </w:rPr>
      </w:pPr>
      <w:r>
        <w:rPr>
          <w:rFonts w:ascii="Calibri" w:hAnsi="Calibri" w:cs="Calibri"/>
          <w:shd w:val="clear" w:color="auto" w:fill="FFF59D"/>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0"/>
        </w:numPr>
        <w:rPr>
          <w:rFonts w:ascii="Calibri" w:hAnsi="Calibri" w:cs="Calibri"/>
        </w:rPr>
      </w:pPr>
      <w:r>
        <w:rPr>
          <w:rFonts w:ascii="Calibri" w:hAnsi="Calibri" w:cs="Calibri"/>
          <w:shd w:val="clear" w:color="auto" w:fill="FFF59D"/>
        </w:rPr>
        <w:t xml:space="preserve">A co-insured invoice stays one invoice with its insurer shares.</w:t>
      </w:r>
    </w:p>
    <w:p>
      <w:pPr>
        <w:pStyle w:val="ListParagraph"/>
        <w:numPr>
          <w:ilvl w:val="0"/>
          <w:numId w:val="320"/>
        </w:numPr>
        <w:rPr>
          <w:rFonts w:ascii="Calibri" w:hAnsi="Calibri" w:cs="Calibri"/>
        </w:rPr>
      </w:pPr>
      <w:r>
        <w:rPr>
          <w:rFonts w:ascii="Calibri" w:hAnsi="Calibri" w:cs="Calibri"/>
          <w:shd w:val="clear" w:color="auto" w:fill="FFF59D"/>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shd w:val="clear" w:color="auto" w:fill="FFF59D"/>
        </w:rPr>
        <w:t xml:space="preserve">E.17 Report Archive</w:t>
      </w:r>
    </w:p>
    <w:p>
      <w:pPr>
        <w:rPr>
          <w:rFonts w:ascii="Calibri" w:hAnsi="Calibri" w:cs="Calibri"/>
        </w:rPr>
      </w:pPr>
      <w:r>
        <w:rPr>
          <w:rFonts w:ascii="Calibri" w:hAnsi="Calibri" w:cs="Calibri"/>
          <w:shd w:val="clear" w:color="auto" w:fill="FFF59D"/>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shd w:val="clear" w:color="auto" w:fill="FFF59D"/>
        </w:rPr>
        <w:t xml:space="preserve">Access: Reports › Report Centre › an Operations report (each run is archived)</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5367699" cy="4206240"/>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53"/>
                    <a:stretch>
                      <a:fillRect/>
                    </a:stretch>
                  </pic:blipFill>
                  <pic:spPr>
                    <a:xfrm>
                      <a:off x="0" y="0"/>
                      <a:ext cx="5367699"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E.17: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1"/>
        </w:numPr>
        <w:rPr>
          <w:rFonts w:ascii="Calibri" w:hAnsi="Calibri" w:cs="Calibri"/>
        </w:rPr>
      </w:pPr>
      <w:r>
        <w:rPr>
          <w:rFonts w:ascii="Calibri" w:hAnsi="Calibri" w:cs="Calibri"/>
          <w:shd w:val="clear" w:color="auto" w:fill="FFF59D"/>
        </w:rPr>
        <w:t xml:space="preserve">Viewing a report and exporting it are separate permissions; a view-only user sees the list without Download.</w:t>
      </w:r>
    </w:p>
    <w:p>
      <w:pPr>
        <w:pStyle w:val="ListParagraph"/>
        <w:numPr>
          <w:ilvl w:val="0"/>
          <w:numId w:val="321"/>
        </w:numPr>
        <w:rPr>
          <w:rFonts w:ascii="Calibri" w:hAnsi="Calibri" w:cs="Calibri"/>
        </w:rPr>
      </w:pPr>
      <w:r>
        <w:rPr>
          <w:rFonts w:ascii="Calibri" w:hAnsi="Calibri" w:cs="Calibri"/>
          <w:shd w:val="clear" w:color="auto" w:fill="FFF59D"/>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E.18 Report Centre (Operations reports)</w:t>
      </w:r>
    </w:p>
    <w:p>
      <w:pPr>
        <w:rPr>
          <w:rFonts w:ascii="Calibri" w:hAnsi="Calibri" w:cs="Calibri"/>
        </w:rPr>
      </w:pPr>
      <w:r>
        <w:rPr>
          <w:rFonts w:ascii="Calibri" w:hAnsi="Calibri" w:cs="Calibri"/>
          <w:shd w:val="clear" w:color="auto" w:fill="FFF59D"/>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shd w:val="clear" w:color="auto" w:fill="FFF59D"/>
        </w:rPr>
        <w:t xml:space="preserve">Access: Reports › Report Centre</w:t>
      </w:r>
    </w:p>
    <w:p>
      <w:pPr>
        <w:rPr>
          <w:rFonts w:ascii="Calibri" w:hAnsi="Calibri" w:cs="Calibri"/>
        </w:rPr>
      </w:pPr>
      <w:r>
        <w:rPr>
          <w:rFonts w:ascii="Calibri" w:hAnsi="Calibri" w:cs="Calibri"/>
          <w:shd w:val="clear" w:color="auto" w:fill="FFF59D"/>
        </w:rPr>
        <w:t xml:space="preserve">FR items: FRS.CSH.02.01.16, FRS.CSH.02.06.04, FRS.CSH.09.01.01, FRS.CSH.09.01.02, FRS.CSH.09.01.05, FRS.CSH.09.02, FRS.CSH.09.02.19, FRS.CSH.09.02.20, FRS.CSH.09.02.21, FRS.CSH.09.02.22</w:t>
      </w:r>
    </w:p>
    <w:p>
      <w:pPr>
        <w:jc w:val="center"/>
      </w:pPr>
      <w:r>
        <w:drawing>
          <wp:inline>
            <wp:extent cx="2515071" cy="4206239"/>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54"/>
                    <a:stretch>
                      <a:fillRect/>
                    </a:stretch>
                  </pic:blipFill>
                  <pic:spPr>
                    <a:xfrm>
                      <a:off x="0" y="0"/>
                      <a:ext cx="251507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E.18: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Card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Batch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2"/>
        </w:numPr>
        <w:rPr>
          <w:rFonts w:ascii="Calibri" w:hAnsi="Calibri" w:cs="Calibri"/>
        </w:rPr>
      </w:pPr>
      <w:r>
        <w:rPr>
          <w:rFonts w:ascii="Calibri" w:hAnsi="Calibri" w:cs="Calibri"/>
          <w:shd w:val="clear" w:color="auto" w:fill="FFF59D"/>
        </w:rPr>
        <w:t xml:space="preserve">The Operations reports are in the category Operations; viewing and exporting are separate permissions.</w:t>
      </w:r>
    </w:p>
    <w:p>
      <w:pPr>
        <w:pStyle w:val="ListParagraph"/>
        <w:numPr>
          <w:ilvl w:val="0"/>
          <w:numId w:val="322"/>
        </w:numPr>
        <w:rPr>
          <w:rFonts w:ascii="Calibri" w:hAnsi="Calibri" w:cs="Calibri"/>
        </w:rPr>
      </w:pPr>
      <w:r>
        <w:rPr>
          <w:rFonts w:ascii="Calibri" w:hAnsi="Calibri" w:cs="Calibri"/>
          <w:shd w:val="clear" w:color="auto" w:fill="FFF59D"/>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shd w:val="clear" w:color="auto" w:fill="FFF59D"/>
        </w:rPr>
        <w:t xml:space="preserve">E.19 Report</w:t>
      </w:r>
    </w:p>
    <w:p>
      <w:pPr>
        <w:rPr>
          <w:rFonts w:ascii="Calibri" w:hAnsi="Calibri" w:cs="Calibri"/>
        </w:rPr>
      </w:pPr>
      <w:r>
        <w:rPr>
          <w:rFonts w:ascii="Calibri" w:hAnsi="Calibri" w:cs="Calibri"/>
          <w:shd w:val="clear" w:color="auto" w:fill="FFF59D"/>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shd w:val="clear" w:color="auto" w:fill="FFF59D"/>
        </w:rPr>
        <w:t xml:space="preserve">Access: Report Centre › a report card; Report Archive › a run</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3227154" cy="420624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55"/>
                    <a:stretch>
                      <a:fillRect/>
                    </a:stretch>
                  </pic:blipFill>
                  <pic:spPr>
                    <a:xfrm>
                      <a:off x="0" y="0"/>
                      <a:ext cx="3227154"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E.19: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Per report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3"/>
        </w:numPr>
        <w:rPr>
          <w:rFonts w:ascii="Calibri" w:hAnsi="Calibri" w:cs="Calibri"/>
        </w:rPr>
      </w:pPr>
      <w:r>
        <w:rPr>
          <w:rFonts w:ascii="Calibri" w:hAnsi="Calibri" w:cs="Calibri"/>
          <w:shd w:val="clear" w:color="auto" w:fill="FFF59D"/>
        </w:rPr>
        <w:t xml:space="preserve">A view-only user runs the report on screen; the export and print buttons are not offered.</w:t>
      </w:r>
    </w:p>
    <w:p>
      <w:pPr>
        <w:pStyle w:val="ListParagraph"/>
        <w:numPr>
          <w:ilvl w:val="0"/>
          <w:numId w:val="323"/>
        </w:numPr>
        <w:rPr>
          <w:rFonts w:ascii="Calibri" w:hAnsi="Calibri" w:cs="Calibri"/>
        </w:rPr>
      </w:pPr>
      <w:r>
        <w:rPr>
          <w:rFonts w:ascii="Calibri" w:hAnsi="Calibri" w:cs="Calibri"/>
          <w:shd w:val="clear" w:color="auto" w:fill="FFF59D"/>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E.20 Interfaces</w:t>
      </w:r>
    </w:p>
    <w:p>
      <w:pPr>
        <w:rPr>
          <w:rFonts w:ascii="Calibri" w:hAnsi="Calibri" w:cs="Calibri"/>
        </w:rPr>
      </w:pPr>
      <w:r>
        <w:rPr>
          <w:rFonts w:ascii="Calibri" w:hAnsi="Calibri" w:cs="Calibri"/>
          <w:shd w:val="clear" w:color="auto" w:fill="FFF59D"/>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shd w:val="clear" w:color="auto" w:fill="FFF59D"/>
        </w:rPr>
        <w:t xml:space="preserve">Access: Operations Home › Interfaces › Open</w:t>
      </w:r>
    </w:p>
    <w:p>
      <w:pPr>
        <w:rPr>
          <w:rFonts w:ascii="Calibri" w:hAnsi="Calibri" w:cs="Calibri"/>
        </w:rPr>
      </w:pPr>
      <w:r>
        <w:rPr>
          <w:rFonts w:ascii="Calibri" w:hAnsi="Calibri" w:cs="Calibri"/>
          <w:shd w:val="clear" w:color="auto" w:fill="FFF59D"/>
        </w:rPr>
        <w:t xml:space="preserve">FR items: FRS.CSH.02.02.04, FRS.CSH.05.01.04, FRS.CSH.05.01.05, FRS.CSH.05.01.12, FRS.CSH.05.01.13, FRS.CSH.06.03.01, FRS.CSH.06.03.02, FRS.CSH.08.01.03, FRS.CSH.08.02.01, FRS.CSH.09.02.23, FRS.CSH.10.01.01, FRS.CSH.10.02.01, FRS.CSH.10.03.01</w:t>
      </w:r>
    </w:p>
    <w:p>
      <w:pPr>
        <w:jc w:val="center"/>
      </w:pPr>
      <w:r>
        <w:drawing>
          <wp:inline>
            <wp:extent cx="4235450" cy="420624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56"/>
                    <a:stretch>
                      <a:fillRect/>
                    </a:stretch>
                  </pic:blipFill>
                  <pic:spPr>
                    <a:xfrm>
                      <a:off x="0" y="0"/>
                      <a:ext cx="4235450" cy="4206240"/>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E.20: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File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run]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4"/>
        </w:numPr>
        <w:rPr>
          <w:rFonts w:ascii="Calibri" w:hAnsi="Calibri" w:cs="Calibri"/>
        </w:rPr>
      </w:pPr>
      <w:r>
        <w:rPr>
          <w:rFonts w:ascii="Calibri" w:hAnsi="Calibri" w:cs="Calibri"/>
          <w:shd w:val="clear" w:color="auto" w:fill="FFF59D"/>
        </w:rPr>
        <w:t xml:space="preserve">Each record of a feed is processed on its own and once; a failed record does not stop the run and can be sent again.</w:t>
      </w:r>
    </w:p>
    <w:p>
      <w:pPr>
        <w:pStyle w:val="ListParagraph"/>
        <w:numPr>
          <w:ilvl w:val="0"/>
          <w:numId w:val="324"/>
        </w:numPr>
        <w:rPr>
          <w:rFonts w:ascii="Calibri" w:hAnsi="Calibri" w:cs="Calibri"/>
        </w:rPr>
      </w:pPr>
      <w:r>
        <w:rPr>
          <w:rFonts w:ascii="Calibri" w:hAnsi="Calibri" w:cs="Calibri"/>
          <w:shd w:val="clear" w:color="auto" w:fill="FFF59D"/>
        </w:rPr>
        <w:t xml:space="preserve">A failed or partial run raises the interface alert.</w:t>
      </w:r>
    </w:p>
    <w:p>
      <w:pPr>
        <w:pStyle w:val="ListParagraph"/>
        <w:numPr>
          <w:ilvl w:val="0"/>
          <w:numId w:val="324"/>
        </w:numPr>
        <w:rPr>
          <w:rFonts w:ascii="Calibri" w:hAnsi="Calibri" w:cs="Calibri"/>
        </w:rPr>
      </w:pPr>
      <w:r>
        <w:rPr>
          <w:rFonts w:ascii="Calibri" w:hAnsi="Calibri" w:cs="Calibri"/>
          <w:shd w:val="clear" w:color="auto" w:fill="FFF59D"/>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shd w:val="clear" w:color="auto" w:fill="FFF59D"/>
        </w:rPr>
        <w:t xml:space="preserve">E.21 Menu by persona</w:t>
      </w:r>
    </w:p>
    <w:p>
      <w:pPr>
        <w:rPr>
          <w:rFonts w:ascii="Calibri" w:hAnsi="Calibri" w:cs="Calibri"/>
        </w:rPr>
      </w:pPr>
      <w:r>
        <w:rPr>
          <w:rFonts w:ascii="Calibri" w:hAnsi="Calibri" w:cs="Calibri"/>
          <w:shd w:val="clear" w:color="auto" w:fill="FFF59D"/>
        </w:rPr>
        <w:t xml:space="preserve">The Cashiering entries of the menu of each persona (the menu shows an entry only when one of the user's roles holds its permission).</w:t>
      </w:r>
    </w:p>
    <w:p>
      <w:pPr>
        <w:jc w:val="center"/>
      </w:pPr>
      <w:r>
        <w:drawing>
          <wp:inline>
            <wp:extent cx="6400800" cy="5140265"/>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57"/>
                    <a:stretch>
                      <a:fillRect/>
                    </a:stretch>
                  </pic:blipFill>
                  <pic:spPr>
                    <a:xfrm>
                      <a:off x="0" y="0"/>
                      <a:ext cx="6400800" cy="514026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shd w:val="clear" w:color="auto" w:fill="FFF59D"/>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shd w:val="clear" w:color="auto" w:fill="FFF59D"/>
        </w:rPr>
        <w:t xml:space="preserve">Appendix F – Messages and Validations</w:t>
      </w:r>
    </w:p>
    <w:p>
      <w:pPr>
        <w:rPr>
          <w:rFonts w:ascii="Calibri" w:hAnsi="Calibri" w:cs="Calibri"/>
        </w:rPr>
      </w:pPr>
      <w:r>
        <w:rPr>
          <w:rFonts w:ascii="Calibri" w:hAnsi="Calibri" w:cs="Calibri"/>
          <w:shd w:val="clear" w:color="auto" w:fill="FFF59D"/>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FRS.OPS.002.02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FRS.CSH.02.01.10</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FRS.CSH.02.05.16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G – Notifications and E-mail Texts</w:t>
      </w:r>
    </w:p>
    <w:p>
      <w:pPr>
        <w:rPr>
          <w:rFonts w:ascii="Calibri" w:hAnsi="Calibri" w:cs="Calibri"/>
        </w:rPr>
      </w:pPr>
      <w:r>
        <w:rPr>
          <w:rFonts w:ascii="Calibri" w:hAnsi="Calibri" w:cs="Calibri"/>
          <w:shd w:val="clear" w:color="auto" w:fill="FFF59D"/>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assigned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posting or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version.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H – Business Rules, Roles and Configurable Parameters</w:t>
      </w:r>
    </w:p>
    <w:p>
      <w:pPr>
        <w:rPr>
          <w:rFonts w:ascii="Calibri" w:hAnsi="Calibri" w:cs="Calibri"/>
        </w:rPr>
      </w:pPr>
      <w:r>
        <w:rPr>
          <w:rFonts w:ascii="Calibri" w:hAnsi="Calibri" w:cs="Calibri"/>
          <w:shd w:val="clear" w:color="auto" w:fill="FFF59D"/>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shd w:val="clear" w:color="auto" w:fill="FFF59D"/>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Disbursement</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Auditor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H.2 Proposed role-to-action matrix</w:t>
      </w:r>
    </w:p>
    <w:p>
      <w:pPr>
        <w:rPr>
          <w:rFonts w:ascii="Calibri" w:hAnsi="Calibri" w:cs="Calibri"/>
        </w:rPr>
      </w:pPr>
      <w:r>
        <w:rPr>
          <w:rFonts w:ascii="Calibri" w:hAnsi="Calibri" w:cs="Calibri"/>
          <w:shd w:val="clear" w:color="auto" w:fill="FFF59D"/>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(maker)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(checker)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H.3 Controls</w:t>
      </w:r>
    </w:p>
    <w:p>
      <w:pPr>
        <w:pStyle w:val="ListParagraph"/>
        <w:numPr>
          <w:ilvl w:val="0"/>
          <w:numId w:val="325"/>
        </w:numPr>
        <w:rPr>
          <w:rFonts w:ascii="Calibri" w:hAnsi="Calibri" w:cs="Calibri"/>
        </w:rPr>
      </w:pPr>
      <w:r>
        <w:rPr>
          <w:rFonts w:ascii="Calibri" w:hAnsi="Calibri" w:cs="Calibri"/>
          <w:shd w:val="clear" w:color="auto" w:fill="FFF59D"/>
        </w:rPr>
        <w:t xml:space="preserve">The user who creates a record never posts, approves or authorises it (FRS.OPS.002.05); this cannot be switched off.</w:t>
      </w:r>
    </w:p>
    <w:p>
      <w:pPr>
        <w:pStyle w:val="ListParagraph"/>
        <w:numPr>
          <w:ilvl w:val="0"/>
          <w:numId w:val="325"/>
        </w:numPr>
        <w:rPr>
          <w:rFonts w:ascii="Calibri" w:hAnsi="Calibri" w:cs="Calibri"/>
        </w:rPr>
      </w:pPr>
      <w:r>
        <w:rPr>
          <w:rFonts w:ascii="Calibri" w:hAnsi="Calibri" w:cs="Calibri"/>
          <w:shd w:val="clear" w:color="auto" w:fill="FFF59D"/>
        </w:rPr>
        <w:t xml:space="preserve">OR series and ORs belong to Head Office only (CSHID.006).</w:t>
      </w:r>
    </w:p>
    <w:p>
      <w:pPr>
        <w:pStyle w:val="ListParagraph"/>
        <w:numPr>
          <w:ilvl w:val="0"/>
          <w:numId w:val="325"/>
        </w:numPr>
        <w:rPr>
          <w:rFonts w:ascii="Calibri" w:hAnsi="Calibri" w:cs="Calibri"/>
        </w:rPr>
      </w:pPr>
      <w:r>
        <w:rPr>
          <w:rFonts w:ascii="Calibri" w:hAnsi="Calibri" w:cs="Calibri"/>
          <w:shd w:val="clear" w:color="auto" w:fill="FFF59D"/>
        </w:rPr>
        <w:t xml:space="preserve">A receipt has at most one cancellation or reinstatement record waiting at a time.</w:t>
      </w:r>
    </w:p>
    <w:p>
      <w:pPr>
        <w:pStyle w:val="ListParagraph"/>
        <w:numPr>
          <w:ilvl w:val="0"/>
          <w:numId w:val="325"/>
        </w:numPr>
        <w:rPr>
          <w:rFonts w:ascii="Calibri" w:hAnsi="Calibri" w:cs="Calibri"/>
        </w:rPr>
      </w:pPr>
      <w:r>
        <w:rPr>
          <w:rFonts w:ascii="Calibri" w:hAnsi="Calibri" w:cs="Calibri"/>
          <w:shd w:val="clear" w:color="auto" w:fill="FFF59D"/>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shd w:val="clear" w:color="auto" w:fill="FFF59D"/>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above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98%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1,000,000,000.00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 MB</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 days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Entry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Currency</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2 hours</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08:30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04:00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number</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I – Accounting Entries</w:t>
      </w:r>
    </w:p>
    <w:p>
      <w:pPr>
        <w:rPr>
          <w:rFonts w:ascii="Calibri" w:hAnsi="Calibri" w:cs="Calibri"/>
        </w:rPr>
      </w:pPr>
      <w:r>
        <w:rPr>
          <w:rFonts w:ascii="Calibri" w:hAnsi="Calibri" w:cs="Calibri"/>
          <w:shd w:val="clear" w:color="auto" w:fill="FFF59D"/>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Excess AR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J – Workflow and Approvals</w:t>
      </w:r>
    </w:p>
    <w:p>
      <w:pPr>
        <w:rPr>
          <w:rFonts w:ascii="Calibri" w:hAnsi="Calibri" w:cs="Calibri"/>
        </w:rPr>
      </w:pPr>
      <w:r>
        <w:rPr>
          <w:rFonts w:ascii="Calibri" w:hAnsi="Calibri" w:cs="Calibri"/>
          <w:shd w:val="clear" w:color="auto" w:fill="FFF59D"/>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jc w:val="center"/>
      </w:pPr>
      <w:r>
        <w:drawing>
          <wp:inline>
            <wp:extent cx="6400800" cy="4904935"/>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58"/>
                    <a:stretch>
                      <a:fillRect/>
                    </a:stretch>
                  </pic:blipFill>
                  <pic:spPr>
                    <a:xfrm>
                      <a:off x="0" y="0"/>
                      <a:ext cx="6400800" cy="4904935"/>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 limit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3 AR/OR Issued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(own unit)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shd w:val="clear" w:color="auto" w:fill="FFF59D"/>
        </w:rPr>
        <w:t xml:space="preserve">Appendix K – Process Walkthroughs</w:t>
      </w:r>
    </w:p>
    <w:p>
      <w:pPr>
        <w:rPr>
          <w:rFonts w:ascii="Calibri" w:hAnsi="Calibri" w:cs="Calibri"/>
        </w:rPr>
      </w:pPr>
      <w:r>
        <w:rPr>
          <w:rFonts w:ascii="Calibri" w:hAnsi="Calibri" w:cs="Calibri"/>
          <w:shd w:val="clear" w:color="auto" w:fill="FFF59D"/>
        </w:rPr>
        <w:t xml:space="preserve">The Cashiering steps of the end-to-end walkthroughs of the BIBS release set BRD-02,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shd w:val="clear" w:color="auto" w:fill="FFF59D"/>
        </w:rPr>
        <w:t xml:space="preserve">WT-A A booked invoice from the client's payment to the insurer's official receipt</w:t>
      </w:r>
    </w:p>
    <w:p>
      <w:pPr>
        <w:rPr>
          <w:rFonts w:ascii="Calibri" w:hAnsi="Calibri" w:cs="Calibri"/>
        </w:rPr>
      </w:pPr>
      <w:r>
        <w:rPr>
          <w:rFonts w:ascii="Calibri" w:hAnsi="Calibri" w:cs="Calibri"/>
          <w:shd w:val="clear" w:color="auto" w:fill="FFF59D"/>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Booked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(E.15)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WT-B Cancellation of a paid and remitted policy, from the request to the refund</w:t>
      </w:r>
    </w:p>
    <w:p>
      <w:pPr>
        <w:rPr>
          <w:rFonts w:ascii="Calibri" w:hAnsi="Calibri" w:cs="Calibri"/>
        </w:rPr>
      </w:pPr>
      <w:r>
        <w:rPr>
          <w:rFonts w:ascii="Calibri" w:hAnsi="Calibri" w:cs="Calibri"/>
          <w:shd w:val="clear" w:color="auto" w:fill="FFF59D"/>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WT-D Controls and the messages the user sees</w:t>
      </w:r>
    </w:p>
    <w:p>
      <w:pPr>
        <w:rPr>
          <w:rFonts w:ascii="Calibri" w:hAnsi="Calibri" w:cs="Calibri"/>
        </w:rPr>
      </w:pPr>
      <w:r>
        <w:rPr>
          <w:rFonts w:ascii="Calibri" w:hAnsi="Calibri" w:cs="Calibri"/>
          <w:shd w:val="clear" w:color="auto" w:fill="FFF59D"/>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WT-E A Cashiering day for the Business Unit walkthrough</w:t>
      </w:r>
    </w:p>
    <w:p>
      <w:pPr>
        <w:rPr>
          <w:rFonts w:ascii="Calibri" w:hAnsi="Calibri" w:cs="Calibri"/>
        </w:rPr>
      </w:pPr>
      <w:r>
        <w:rPr>
          <w:rFonts w:ascii="Calibri" w:hAnsi="Calibri" w:cs="Calibri"/>
          <w:shd w:val="clear" w:color="auto" w:fill="FFF59D"/>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shd w:val="clear" w:color="auto" w:fill="FFF59D"/>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(E.13)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(E.8)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(E.10)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Receipts (E.3)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(E.11)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Centre (Operations reports) (E.18)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Auditor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(E.19)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L – Document Prints and Output Formats</w:t>
      </w:r>
    </w:p>
    <w:p>
      <w:pPr>
        <w:rPr>
          <w:rFonts w:ascii="Calibri" w:hAnsi="Calibri" w:cs="Calibri"/>
        </w:rPr>
      </w:pPr>
      <w:r>
        <w:rPr>
          <w:rFonts w:ascii="Calibri" w:hAnsi="Calibri" w:cs="Calibri"/>
          <w:shd w:val="clear" w:color="auto" w:fill="FFF59D"/>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shd w:val="clear" w:color="auto" w:fill="FFF59D"/>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shd w:val="clear" w:color="auto" w:fill="FFF59D"/>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5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0"/>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M – Reports and Schedules</w:t>
      </w:r>
    </w:p>
    <w:p>
      <w:pPr>
        <w:rPr>
          <w:rFonts w:ascii="Calibri" w:hAnsi="Calibri" w:cs="Calibri"/>
        </w:rPr>
      </w:pPr>
      <w:r>
        <w:rPr>
          <w:rFonts w:ascii="Calibri" w:hAnsi="Calibri" w:cs="Calibri"/>
          <w:shd w:val="clear" w:color="auto" w:fill="FFF59D"/>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Criteria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Maturity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client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Run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Files checked and processed as uploads (FRS.CSH.05.01.04)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hour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2 hours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08:30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04:00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E-mail G-14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N – Integrations</w:t>
      </w:r>
    </w:p>
    <w:p>
      <w:pPr>
        <w:rPr>
          <w:rFonts w:ascii="Calibri" w:hAnsi="Calibri" w:cs="Calibri"/>
        </w:rPr>
      </w:pPr>
      <w:r>
        <w:rPr>
          <w:rFonts w:ascii="Calibri" w:hAnsi="Calibri" w:cs="Calibri"/>
          <w:shd w:val="clear" w:color="auto" w:fill="FFF59D"/>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jc w:val="center"/>
      </w:pPr>
      <w:r>
        <w:drawing>
          <wp:inline>
            <wp:extent cx="6400800" cy="3244993"/>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61"/>
                    <a:stretch>
                      <a:fillRect/>
                    </a:stretch>
                  </pic:blipFill>
                  <pic:spPr>
                    <a:xfrm>
                      <a:off x="0" y="0"/>
                      <a:ext cx="6400800" cy="3244993"/>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shd w:val="clear" w:color="auto" w:fill="FFF59D"/>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Bills Payment file BDOIYYYYMMDD.txt (Appendix D.1)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file name)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TFS / CIB (Trade)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 by the Cashier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 OTCYYYYMMDD-&lt;branch&gt;.txt (Appendix D.5)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CLPC file CLPC-MonDDYYYY.xlsx (Appendix D.3)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(sample)</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O – Non-functional Requirements</w:t>
      </w:r>
    </w:p>
    <w:p>
      <w:pPr>
        <w:rPr>
          <w:rFonts w:ascii="Calibri" w:hAnsi="Calibri" w:cs="Calibri"/>
        </w:rPr>
      </w:pPr>
      <w:r>
        <w:rPr>
          <w:rFonts w:ascii="Calibri" w:hAnsi="Calibri" w:cs="Calibri"/>
          <w:shd w:val="clear" w:color="auto" w:fill="FFF59D"/>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Users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Volumes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Response time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FRS.CSH.02.04.16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 size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Peak</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FRS.CSH.10.03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Availability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Recovery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Retention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Devices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Security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Audit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Configuration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FRS.CSH.02.05.12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P – Data Set-up and Migration at Go-live</w:t>
      </w:r>
    </w:p>
    <w:p>
      <w:pPr>
        <w:rPr>
          <w:rFonts w:ascii="Calibri" w:hAnsi="Calibri" w:cs="Calibri"/>
        </w:rPr>
      </w:pPr>
      <w:r>
        <w:rPr>
          <w:rFonts w:ascii="Calibri" w:hAnsi="Calibri" w:cs="Calibri"/>
          <w:shd w:val="clear" w:color="auto" w:fill="FFF59D"/>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Map freeze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Treasury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Q – Requirements Traceability</w:t>
      </w:r>
    </w:p>
    <w:p>
      <w:pPr>
        <w:rPr>
          <w:rFonts w:ascii="Calibri" w:hAnsi="Calibri" w:cs="Calibri"/>
        </w:rPr>
      </w:pPr>
      <w:r>
        <w:rPr>
          <w:rFonts w:ascii="Calibri" w:hAnsi="Calibri" w:cs="Calibri"/>
          <w:shd w:val="clear" w:color="auto" w:fill="FFF59D"/>
        </w:rPr>
        <w:t xml:space="preserve">Q.1 traces every BRD ID of the Cashiering scope of the Operations BRD (v1.01 with the Cashiering annex of May 2026) to the FR items of this FRS, to the reference requirements of the BIBS FRS BRD-2 Operations v2.1 (FR-OP) and to the test conditions of the BIBS test plan BRD-2 (TC-OP-nnn.n; the cases of each condition are in the Test Cases and Traceability workbook). Q.2 lists every reference requirement with the FR items that incorporate it.</w:t>
      </w:r>
    </w:p>
    <w:p>
      <w:pPr>
        <w:pStyle w:val="Heading2"/>
        <w:keepNext/>
        <w:numPr>
          <w:ilvl w:val="0"/>
          <w:numId w:val="0"/>
        </w:numPr>
        <w:rPr>
          <w:rFonts w:ascii="Calibri" w:hAnsi="Calibri" w:cs="Calibri"/>
        </w:rPr>
      </w:pPr>
      <w:r>
        <w:rPr>
          <w:rFonts w:ascii="Calibri" w:hAnsi="Calibri" w:cs="Calibri"/>
          <w:shd w:val="clear" w:color="auto" w:fill="FFF59D"/>
        </w:rPr>
        <w:t xml:space="preserve">Q.1 BRD requirement to FR items, BIBS reference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5760"/>
        <w:gridCol w:w="2015"/>
        <w:gridCol w:w="3456"/>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 (FR-OP)</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FRS.CSH.01.01, FRS.CSH.01.02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FRS.CSH.06.03, FRS.CSH.10.01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FR-OP-130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FRS.CSH.10.02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FR-OP-131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p.82-83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p.86-87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FR-OP-011, FR-OP-013, 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011.3 (5 cases); TC-OP-013.1 to 013.3 (4 cases); 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p.87-88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FR-OP-012, FR-OP-013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p.88-89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FRS.CSH.03.01.06</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p.89-90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p.90-91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FRS.CSH.04.01.06</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p.91-92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p.92-95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FR-OP-015, FR-OP-016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015.3 (4 cases); TC-OP-016.1 to 016.3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p.4-6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p.96-97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FRS.CSH.08.01, FRS.CSH.08.01.04</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p.97-98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FRS.CSH.08.03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FRS.CSH.03.01.09</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FR-OP-013, 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p.98-99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FRS.CSH.04.01.10</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FR-OP-014, 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FRS.CSH.02.05.09</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p.100-101; annex p.4 and 6-7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FRS.CSH.09.01, FRS.CSH.09.01.05</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FRS.CSH.02.04, FRS.CSH.02.04.17</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FR-OP-018, FR-OP-132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 FRS.CSH.06.01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FR-OP-019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 p.314-316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p.106-107</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DBMID.001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FR-OP-120, FR-OP-121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p.107-108</w:t>
            </w:r>
          </w:p>
        </w:tc>
        <w:tc>
          <w:tcPr>
            <w:tcW w:w="5760"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FR-OP-113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Q.2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311"/>
        <w:gridCol w:w="2160"/>
        <w:gridCol w:w="4896"/>
        <w:gridCol w:w="2664"/>
      </w:tblGrid>
      <w:tr>
        <w:trPr>
          <w:tblHeader/>
        </w:trPr>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48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Log in to the system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FRS.OPS.001, FRS.OPS.002.02, FRS.OPS.002.03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Restrict each action to authorised roles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FRS.OPS.002.02, FRS.OPS.002.04, FRS.OPS.002.05, FRS.CSH.02.01.01, FRS.CSH.02.01.10, FRS.CSH.02.02.01, FRS.CSH.02.05.06, FRS.CSH.03.01.01, FRS.CSH.03.01.08, FRS.CSH.04.01.01, FRS.CSH.04.01.09, FRS.CSH.05.01.01, FRS.CSH.06.01.01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Present the Operations home by role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FRS.CSH.01.03.02, FRS.CSH.01.03.04, FRS.CSH.01.03.05, FRS.CSH.10.01.02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invoice ledger of every booked invoice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BRQID.007, MKTID.011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FRS.CSH.08.01.03, FRS.CSH.08.02.01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View an invoice in Invoice 360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RMTID.026, RMTID.032, ADJID.024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FRS.CSH.08.01.01, FRS.CSH.08.01.03, FRS.CSH.08.02.01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TC-OP-005.1 to 005.3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Lock invoices while a team works on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RMTID.040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Continue batch jobs past failed records and report the run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 FRS.CSH.05.01.05, FRS.CSH.05.01.12, FRS.CSH.05.01.13, FRS.CSH.09.02.23, FRS.CSH.10.03.01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Generate, view and export Operations reports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CSHID.017, CSHID.018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FRS.CSH.09.01.01, FRS.CSH.09.01.02, FRS.CSH.09.01.05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Maintain AR and OR series per branch</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CSHID.015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FRS.CSH.02.03.03, FRS.CSH.02.03.04, FRS.CSH.02.03.06, FRS.CSH.02.05.08.03, FRS.CSH.10.04.02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a payment and issue an Acknowledgement Receipt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FRS.CSH.02.01.01, FRS.CSH.02.01.02, FRS.CSH.02.01.08, FRS.CSH.02.01.10, FRS.CSH.02.01.16, FRS.CSH.02.05.06, FRS.CSH.02.06.03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Issue an Official Receipt for BDOI income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FRS.CSH.02.02.01, FRS.CSH.02.02.02, FRS.CSH.02.02.08, FRS.CSH.02.02.10, FRS.CSH.02.06.02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Cancel an AR or 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FRS.CSH.02.01.09, FRS.CSH.02.05.07, FRS.CSH.03.01.01, FRS.CSH.03.01.05 (2nd), FRS.CSH.03.01.06, FRS.CSH.03.01.08, FRS.CSH.03.01.11,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Reinstate a cancelled receipt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CSHID.004, CSHID.005, CSHID.013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FRS.CSH.04.01.01, FRS.CSH.04.01.06, FRS.CSH.04.01.07, FRS.CSH.04.01.09, FRS.CSH.04.01.12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Upload payment files for batch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 FRS.CSH.05.01.01, FRS.CSH.05.01.04, FRS.CSH.05.01.05, FRS.CSH.05.01.06, FRS.CSH.05.01.10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Warehouse post-dated checks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 FRS.CSH.05.02.01, FRS.CSH.05.02.02, FRS.CSH.05.02.03, FRS.CSH.09.02.19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Match payments at acceptance and handle pre-booked payments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FRS.CSH.02.01.03, FRS.CSH.02.05.10, FRS.CSH.02.05.13, FRS.CSH.05.01.08, FRS.CSH.05.02.02, FRS.CSH.05.03.01, FRS.CSH.10.04.02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FR-OP-019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by premium component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FRS.CSH.02.05.10, FRS.CSH.02.05.11.01, FRS.CSH.05.01.12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non-premium payments of insurers (AR Insurance)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Issue commission ORs from commission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 FRS.CSH.02.02.07, FRS.CSH.02.02.09, FRS.CSH.02.05.14, FRS.CSH.07.01.01, FRS.CSH.07.01.04, FRS.CSH.07.01.05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021.2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Manage unapplied payments and their dispositions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CSHID.025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FRS.CSH.02.05.10, FRS.CSH.06.01.01, FRS.CSH.06.01.03, FRS.CSH.06.01.07, FRS.CSH.06.02.01, FRS.CSH.06.02.02, FRS.CSH.06.03.01, FRS.CSH.06.03.02,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022.3 (6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Clear minimal balances when the payment is processed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FRS.CSH.02.05.12, FRS.CSH.06.01.08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Search receipts and keep the receipt audit trail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CSHID.010, CSHID.011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FRS.CSH.02.04.16, FRS.CSH.08.01.01, FRS.CSH.08.01.04, FRS.CSH.08.03.01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024.3 (5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Print ARs and ORs in batch</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 FRS.CSH.02.04.05, FRS.CSH.02.04.07, FRS.CSH.02.04.12, FRS.CSH.02.04.16, FRS.CSH.02.04.17, FRS.CSH.02.05.14, FRS.CSH.02.06.01, FRS.CSH.02.06.02, FRS.CSH.02.06.03, FRS.CSH.05.01.10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Post the accounting entries of Cashiering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CSHID.013, CSHID.014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FRS.CSH.02.02.10, FRS.CSH.02.05.15, FRS.CSH.03.01.09, FRS.CSH.04.01.10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FR-OP-028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Cashiering reports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FRS.CSH.02.06.04, FRS.CSH.09.01.01, FRS.CSH.09.02, FRS.CSH.09.02.19, FRS.CSH.09.02.20, FRS.CSH.09.02.21, FRS.CSH.09.02.22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FR-OP-035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Approve a batch, post the remittance and request payment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RMTID.010, RMTID.019</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FRS.CSH.07.01.01, FRS.CSH.07.01.04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TC-OP-035.1 to 035.3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FR-OP-057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Set up excess payments, re-apply payments and AR Insurer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ADJID.009, ADJID.012, ADJID.013</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TC-OP-057.1 to 057.2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FR-OP-094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Collect DP commission and reverse the premium receivable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CMRID.010, MKTID.012</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FRS.CSH.02.02.08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TC-OP-094.1 to 094.2 (4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Tag, validate and post PR 2307 reversals and route the certificates to Disbursement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MKTID.010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FR-OP-120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Work payment requests in the Disbursement queue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DBMID.001, RMTID.034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FRS.CSH.06.02.01, FRS.CSH.10.01.01, FRS.CSH.10.04.01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FR-OP-121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release BIR 2307 certificates to insurers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DBMID.001</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FRS.CSH.10.01.01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TC-OP-121.1 to 121.2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through ports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FRS.CSH.06.03.01, FRS.CSH.06.03.02, FRS.CSH.10.01.01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Fetch data through flow-in feeds with runs, logs and alerts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 FRS.CSH.10.02.01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FR-OP-132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payments to the New Business payment gate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4896" w:type="dxa"/>
            <w:shd w:val="clear" w:color="auto" w:fill="FFF59D"/>
          </w:tcPr>
          <w:p>
            <w:pPr>
              <w:spacing w:after="0"/>
              <w:rPr>
                <w:rFonts w:ascii="Calibri" w:hAnsi="Calibri" w:cs="Calibri"/>
                <w:sz w:val="14"/>
                <w:szCs w:val="14"/>
              </w:rPr>
            </w:pPr>
            <w:r>
              <w:rPr>
                <w:rFonts w:ascii="Calibri" w:hAnsi="Calibri" w:cs="Calibri"/>
                <w:sz w:val="14"/>
                <w:szCs w:val="14"/>
              </w:rPr>
              <w:t xml:space="preserve">FRS.CSH.05.04.01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TC-OP-132.1 to 132.2 (2 cases)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R – Observations and Points for BDOI Decision</w:t>
      </w:r>
    </w:p>
    <w:p>
      <w:pPr>
        <w:rPr>
          <w:rFonts w:ascii="Calibri" w:hAnsi="Calibri" w:cs="Calibri"/>
        </w:rPr>
      </w:pPr>
      <w:r>
        <w:rPr>
          <w:rFonts w:ascii="Calibri" w:hAnsi="Calibri" w:cs="Calibri"/>
          <w:shd w:val="clear" w:color="auto" w:fill="FFF59D"/>
        </w:rPr>
        <w:t xml:space="preserve">Every point where BDOI's FRS and the BIBS reference FRS differ, the slips noticed in BDOI's text, the changes made to the Business Requirements Mapping and the other observations of this version. BDOI's text is kept in the body of the document; this appendix gives both readings,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shd w:val="clear" w:color="auto" w:fill="FFF59D"/>
        </w:rPr>
        <w:t xml:space="preserve">R.1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R-01 (C1)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(the system reference FRS: “Issue AR and Apply” issues the AR from the branch series, applies the payment and opens the receipt (FR-OP-011); ORs likewise (FR-OP-012).) Available as a setting: Setting of the receipts that need the posting step: AR and OR (BDOI's reading) by default; blank issues the number at save.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R-02 (C2)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(the system reference FRS: Reinstate a cancelled receipt in full or in part; the reinstated amount is applied to the encoded invoice (FR-OP-014). Reversal of an issued receipt's application is the payment reversal of Incoming Requests.) Available as a setting: Setting of what Reinstate does: issued receipts (BDOI's reading), cancelled receipts, or both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R-03 (C3)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(the system reference FRS: Cancellation CAN-yyyy-n and reinstatement RIN-yyyy-n (FR-OP-013, 014).) Available as a setting: Setting of the record number format: prefix, type and sequence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R-04 (C5)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(the system reference FRS: Default 10.00 for premium and excess, configurable (FR-OP-023).) Available as a setting: Setting of the minimal balance threshold: 10.00 by default (BRD).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threshold value for premium and for excess (OQ11).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R-05 (C6)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(the system reference FRS: DST, VAT, LGT, FST, other charges, basic premium; check before cash open (FR-OP-019, OQ09).) Available as a setting: Setting of the order of the payments of one posting run: checks before cash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R-06 (C7)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(the system reference FRS: No check-date validation at receipt; 3 banking days before the payment is remitted (FR-OP-031, RMTID.017).) Available as a setting: Settings of the check date rule (on) and of the holding period (4 working days).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R-07 (C8)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(the system reference FRS: Every Direct Credit row is a new payment with its own AR (FR-OP-015).) Available as a setting: Setting of the reading of the Direct Credit file: identification of payments already received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R-08 (C9)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FR-OP-057). (the system reference FRS: Every application is reversed and the invoices are outstanding again (FR-OP-013).) Available as a setting: Setting of the cancellation of a remitted AR: AR insurer refund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R-09 (C10)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(the system reference FRS: Valid lines are staged and issued; failed lines stay staged with their reason (FR-OP-021).) Available as a setting: Setting of the commission schedule with failed or unmatched lines: valid lines processed (BRD) by default; whole file refused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R-10 (C11)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(the system reference FRS: One OR per insurer, certificate and payment for Collection details; one OR per remittance batch (FR-OP-021, OQ49).)</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R-11 (C12)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(the system reference FRS: The commission OR is issued when the Remittance TL approves the batch (FR-OP-035).) Available as a setting: Setting of the point the settlement OR is issued: at the approval of Disbursement (BDOI's reading) by default; at the remittance approval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R-12 (C13)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(the system reference FRS: The Cashier assigns and the Cashiering TL approves; Collections asks through Incoming Requests (FR-OP-022; BRD-4).) Available as a setting: Setting of what Marketing users see in the unapplied payment list: their marketing unit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R-13 (C14)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(the system reference FRS: AR Insurer is a receivable from the insurer set up by Adjustment; no AP Unapplied Commission.)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R-14 (C15)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(the system reference FRS: Checks are warehoused in the system with a PDCW number and matured by the daily run (FR-OP-016).)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R-15 (C16)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forms. (the system reference FRS: The AR / OR PDF has a Cashier signature line; layout draft (this FRS).)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R-16 (C18)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Set 50 MB. (the system reference FRS: Not stated; the system accepts files up to 25 MB.) Available as a setting: Size limit per payment file type: 50 MB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50 MB.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R-17 (C20)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(the system reference FRS: Comptrollership BOOK rate with 2 decimals at the receipt date; cancellation and reinstatement at the receipt's rate (FR-OP-027).)</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R-18 (C21)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CSHID.003 lists all of ours.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(the system reference FRS: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R-19 (C22)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By account, with the amount per account shown. (the system reference FRS: Partial reinstatement by amount.)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R-20 (C23)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CSHID.005 lists the fields of ours.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them, defaulted from the receipt. (the system reference FRS: Invoice, AR / OR no., assured / payor, amount, Account Officer, Unit Head, Team Leader (premium); not required for a bounced check.)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R-21 (C24)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BIBS reference)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(the system reference FRS: Log-in from a browser; responsive screens.) Available as a setting: Setting of the device restriction: off by default for SIT; on with the company networks and the device header of BDOI IT.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R-22 (C25)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(the system reference FRS: Neither field exists on Receive Payment.) Available as a setting: Setting of the remarks of an AR: mandatory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R-23 (C26)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(the system reference FRS: 2% CWT client flag; 98% of the premium applied (FR-OP-018; OQ10).) Available as a setting: Setting of the base of the PR 2307: the premium amount by default; the basic premium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R-24 (C28)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(the system reference FRS: CSH-APPLIED-PREM lists every applied premium payment.)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R-25 (C29)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(CLR-OP-08). (the system reference FRS: The Cashier uploads (FR-OP-015).)</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R-26 (C4)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 (OQ05).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R-27 (C17)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R-28 (C19)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formats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definitive format of each channel's file (OQ03).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R-29 (C27)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Typing errors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Revision log.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R-41 (BRQID.001)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R-42 (BRQID.002)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R-43 (BRQID.003)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R-44 (BRQID.004)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R-45 (BRQID.005)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R-46 (BRQID.006)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R-47 (BRQID.007)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R-48 (CSHID.001)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R-49 (CSHID.002)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R-50 (CSHID.003)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R-51 (CSHID.005)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R-52 (CSHID.006)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R-53 (CSHID.007)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R-54 (CSHID.008)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R-55 (CSHID.010)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R-56 (CSHID.011)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R-57 (CSHID.012)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R-58 (CSHID.013)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R-59 (CSHID.014)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R-60 (CSHID.015)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R-61 (CSHID.016)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R-62 (CSHID.017)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R-63 (CSHID.019)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R-64 (CSHID.020)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R-65 (CSHID.021)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R-66 (CSHID.022)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R-67 (CSHID.023)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R-68 (CSHID.024)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R-69 (MKTID.013)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R-70 (DBMID.001)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BRD IDs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OR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Marketing Collection and Disbursement FRS (BIBS FRS BRD-2 v2.1 FR-OP-113, FR-OP-121); Cashiering keeps the PR 2307 outstanding at payment (FRS.CSH.02.05.13).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F.</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S – Assumptions, Dependencies and Open Questions</w:t>
      </w:r>
    </w:p>
    <w:p>
      <w:pPr>
        <w:rPr>
          <w:rFonts w:ascii="Calibri" w:hAnsi="Calibri" w:cs="Calibri"/>
        </w:rPr>
      </w:pPr>
      <w:r>
        <w:rPr>
          <w:rFonts w:ascii="Calibri" w:hAnsi="Calibri" w:cs="Calibri"/>
          <w:shd w:val="clear" w:color="auto" w:fill="FFF59D"/>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Our reference numbers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shd w:val="clear" w:color="auto" w:fill="FFF59D"/>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A-OP-09</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D-OP-04</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IQ09; IQ10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shd w:val="clear" w:color="auto" w:fill="FFF59D"/>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shd w:val="clear" w:color="auto" w:fill="FFF59D"/>
        </w:rPr>
        <w:t xml:space="preserve">Appendix T – Change Control after Sign-off</w:t>
      </w:r>
    </w:p>
    <w:p>
      <w:pPr>
        <w:rPr>
          <w:rFonts w:ascii="Calibri" w:hAnsi="Calibri" w:cs="Calibri"/>
        </w:rPr>
      </w:pPr>
      <w:r>
        <w:rPr>
          <w:rFonts w:ascii="Calibri" w:hAnsi="Calibri" w:cs="Calibri"/>
          <w:shd w:val="clear" w:color="auto" w:fill="FFF59D"/>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shd w:val="clear" w:color="auto" w:fill="FFF59D"/>
        </w:rPr>
        <w:t xml:space="preserve">What signing freezes</w:t>
      </w:r>
    </w:p>
    <w:p>
      <w:pPr>
        <w:pStyle w:val="ListParagraph"/>
        <w:numPr>
          <w:ilvl w:val="0"/>
          <w:numId w:val="326"/>
        </w:numPr>
        <w:rPr>
          <w:rFonts w:ascii="Calibri" w:hAnsi="Calibri" w:cs="Calibri"/>
        </w:rPr>
      </w:pPr>
      <w:r>
        <w:rPr>
          <w:rFonts w:ascii="Calibri" w:hAnsi="Calibri" w:cs="Calibri"/>
          <w:shd w:val="clear" w:color="auto" w:fill="FFF59D"/>
        </w:rPr>
        <w:t xml:space="preserve">The functional requirements of section 3 with their acceptance criteria, and the Business Requirements Mapping of section 2.</w:t>
      </w:r>
    </w:p>
    <w:p>
      <w:pPr>
        <w:pStyle w:val="ListParagraph"/>
        <w:numPr>
          <w:ilvl w:val="0"/>
          <w:numId w:val="326"/>
        </w:numPr>
        <w:rPr>
          <w:rFonts w:ascii="Calibri" w:hAnsi="Calibri" w:cs="Calibri"/>
        </w:rPr>
      </w:pPr>
      <w:r>
        <w:rPr>
          <w:rFonts w:ascii="Calibri" w:hAnsi="Calibri" w:cs="Calibri"/>
          <w:shd w:val="clear" w:color="auto" w:fill="FFF59D"/>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26"/>
        </w:numPr>
        <w:rPr>
          <w:rFonts w:ascii="Calibri" w:hAnsi="Calibri" w:cs="Calibri"/>
        </w:rPr>
      </w:pPr>
      <w:r>
        <w:rPr>
          <w:rFonts w:ascii="Calibri" w:hAnsi="Calibri" w:cs="Calibri"/>
          <w:shd w:val="clear" w:color="auto" w:fill="FFF59D"/>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shd w:val="clear" w:color="auto" w:fill="FFF59D"/>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shd w:val="clear" w:color="auto" w:fill="FFF59D"/>
        </w:rPr>
        <w:t xml:space="preserve">Appendix U – Business Unit Review Checklist</w:t>
      </w:r>
    </w:p>
    <w:p>
      <w:pPr>
        <w:rPr>
          <w:rFonts w:ascii="Calibri" w:hAnsi="Calibri" w:cs="Calibri"/>
        </w:rPr>
      </w:pPr>
      <w:r>
        <w:rPr>
          <w:rFonts w:ascii="Calibri" w:hAnsi="Calibri" w:cs="Calibri"/>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1.4;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Posting step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File layouts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D</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F</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M</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O</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V – Glossary</w:t>
      </w:r>
    </w:p>
    <w:p>
      <w:pPr>
        <w:rPr>
          <w:rFonts w:ascii="Calibri" w:hAnsi="Calibri" w:cs="Calibri"/>
        </w:rPr>
      </w:pPr>
      <w:r>
        <w:rPr>
          <w:rFonts w:ascii="Calibri" w:hAnsi="Calibri" w:cs="Calibri"/>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AC No.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ATP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CRU</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Disposition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DTIP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EOPT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FST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HO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LGT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Notice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OBPCS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PDC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PMS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SOA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TFS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VAT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