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126</w:t>
          </w:r>
        </w:p>
        <w:p>
          <w:pPr>
            <w:pStyle w:val="TOC2"/>
            <w:tabs>
              <w:tab w:val="right" w:leader="dot" w:pos="9630"/>
            </w:tabs>
            <w:rPr>
              <w:rStyle w:val="Hyperlink"/>
            </w:rPr>
          </w:pPr>
          <w:r>
            <w:t xml:space="preserve">G.16 Incentive Criteria (SCR-PM-16)</w:t>
          </w:r>
          <w:r>
            <w:tab/>
          </w:r>
          <w:r>
            <w:t xml:space="preserve">128</w:t>
          </w:r>
        </w:p>
        <w:p>
          <w:pPr>
            <w:pStyle w:val="TOC2"/>
            <w:tabs>
              <w:tab w:val="right" w:leader="dot" w:pos="9630"/>
            </w:tabs>
            <w:rPr>
              <w:rStyle w:val="Hyperlink"/>
            </w:rPr>
          </w:pPr>
          <w:r>
            <w:t xml:space="preserve">G.17 Insurers (SCR-PM-17)</w:t>
          </w:r>
          <w:r>
            <w:tab/>
          </w:r>
          <w:r>
            <w:t xml:space="preserve">130</w:t>
          </w:r>
        </w:p>
        <w:p>
          <w:pPr>
            <w:pStyle w:val="TOC2"/>
            <w:tabs>
              <w:tab w:val="right" w:leader="dot" w:pos="9630"/>
            </w:tabs>
            <w:rPr>
              <w:rStyle w:val="Hyperlink"/>
            </w:rPr>
          </w:pPr>
          <w:r>
            <w:t xml:space="preserve">G.18 Insurer record (SCR-PM-18)</w:t>
          </w:r>
          <w:r>
            <w:tab/>
          </w:r>
          <w:r>
            <w:t xml:space="preserve">131</w:t>
          </w:r>
        </w:p>
        <w:p>
          <w:pPr>
            <w:pStyle w:val="TOC2"/>
            <w:tabs>
              <w:tab w:val="right" w:leader="dot" w:pos="9630"/>
            </w:tabs>
            <w:rPr>
              <w:rStyle w:val="Hyperlink"/>
            </w:rPr>
          </w:pPr>
          <w:r>
            <w:t xml:space="preserve">G.19 Rates &amp; Taxes (SCR-PM-19)</w:t>
          </w:r>
          <w:r>
            <w:tab/>
          </w:r>
          <w:r>
            <w:t xml:space="preserve">133</w:t>
          </w:r>
        </w:p>
        <w:p>
          <w:pPr>
            <w:pStyle w:val="TOC2"/>
            <w:tabs>
              <w:tab w:val="right" w:leader="dot" w:pos="9630"/>
            </w:tabs>
            <w:rPr>
              <w:rStyle w:val="Hyperlink"/>
            </w:rPr>
          </w:pPr>
          <w:r>
            <w:t xml:space="preserve">G.20 Sales Organisation (SCR-PM-20)</w:t>
          </w:r>
          <w:r>
            <w:tab/>
          </w:r>
          <w:r>
            <w:t xml:space="preserve">134</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141</w:t>
          </w:r>
        </w:p>
        <w:p>
          <w:pPr>
            <w:pStyle w:val="TOC2"/>
            <w:tabs>
              <w:tab w:val="right" w:leader="dot" w:pos="9630"/>
            </w:tabs>
            <w:rPr>
              <w:rStyle w:val="Hyperlink"/>
            </w:rPr>
          </w:pPr>
          <w:r>
            <w:t xml:space="preserve">G.24 Deactivation Requests (SCR-PM-24)</w:t>
          </w:r>
          <w:r>
            <w:tab/>
          </w:r>
          <w:r>
            <w:t xml:space="preserve">144</w:t>
          </w:r>
        </w:p>
        <w:p>
          <w:pPr>
            <w:pStyle w:val="TOC2"/>
            <w:tabs>
              <w:tab w:val="right" w:leader="dot" w:pos="9630"/>
            </w:tabs>
            <w:rPr>
              <w:rStyle w:val="Hyperlink"/>
            </w:rPr>
          </w:pPr>
          <w:r>
            <w:t xml:space="preserve">G.25 Product Master Transfers (SCR-PM-25)</w:t>
          </w:r>
          <w:r>
            <w:tab/>
          </w:r>
          <w:r>
            <w:t xml:space="preserve">146</w:t>
          </w:r>
        </w:p>
        <w:p>
          <w:pPr>
            <w:pStyle w:val="TOC2"/>
            <w:tabs>
              <w:tab w:val="right" w:leader="dot" w:pos="9630"/>
            </w:tabs>
            <w:rPr>
              <w:rStyle w:val="Hyperlink"/>
            </w:rPr>
          </w:pPr>
          <w:r>
            <w:t xml:space="preserve">G.26 Placement Update Reports (SCR-PM-26)</w:t>
          </w:r>
          <w:r>
            <w:tab/>
          </w:r>
          <w:r>
            <w:t xml:space="preserve">147</w:t>
          </w:r>
        </w:p>
        <w:p>
          <w:pPr>
            <w:pStyle w:val="TOC2"/>
            <w:tabs>
              <w:tab w:val="right" w:leader="dot" w:pos="9630"/>
            </w:tabs>
            <w:rPr>
              <w:rStyle w:val="Hyperlink"/>
            </w:rPr>
          </w:pPr>
          <w:r>
            <w:t xml:space="preserve">G.27 Audit Logs (SCR-PM-27)</w:t>
          </w:r>
          <w:r>
            <w:tab/>
          </w:r>
          <w:r>
            <w:t xml:space="preserve">148</w:t>
          </w:r>
        </w:p>
        <w:p>
          <w:pPr>
            <w:pStyle w:val="TOC2"/>
            <w:tabs>
              <w:tab w:val="right" w:leader="dot" w:pos="9630"/>
            </w:tabs>
            <w:rPr>
              <w:rStyle w:val="Hyperlink"/>
            </w:rPr>
          </w:pPr>
          <w:r>
            <w:t xml:space="preserve">G.28 Proposal request: Comparative Table, proposal slips and client response (SCR-PM-28)</w:t>
          </w:r>
          <w:r>
            <w:tab/>
          </w:r>
          <w:r>
            <w:t xml:space="preserve">149</w:t>
          </w:r>
        </w:p>
        <w:p>
          <w:pPr>
            <w:pStyle w:val="TOC2"/>
            <w:tabs>
              <w:tab w:val="right" w:leader="dot" w:pos="9630"/>
            </w:tabs>
            <w:rPr>
              <w:rStyle w:val="Hyperlink"/>
            </w:rPr>
          </w:pPr>
          <w:r>
            <w:t xml:space="preserve">G.29 Package Request record: Routing &amp; Approvals tab (SCR-PM-29)</w:t>
          </w:r>
          <w:r>
            <w:tab/>
          </w:r>
          <w:r>
            <w:t xml:space="preserve">151</w:t>
          </w:r>
        </w:p>
        <w:p>
          <w:pPr>
            <w:pStyle w:val="TOC2"/>
            <w:tabs>
              <w:tab w:val="right" w:leader="dot" w:pos="9630"/>
            </w:tabs>
            <w:rPr>
              <w:rStyle w:val="Hyperlink"/>
            </w:rPr>
          </w:pPr>
          <w:r>
            <w:t xml:space="preserve">G.30 Navigation: menu by persona</w:t>
          </w:r>
          <w:r>
            <w:tab/>
          </w:r>
          <w:r>
            <w:t xml:space="preserve">154</w:t>
          </w:r>
        </w:p>
        <w:p>
          <w:pPr>
            <w:pStyle w:val="TOC1"/>
            <w:tabs>
              <w:tab w:val="right" w:leader="dot" w:pos="9630"/>
            </w:tabs>
            <w:rPr>
              <w:rStyle w:val="Hyperlink"/>
            </w:rPr>
          </w:pPr>
          <w:r>
            <w:t xml:space="preserve">Annex H – Messages and Validations</w:t>
          </w:r>
          <w:r>
            <w:tab/>
          </w:r>
          <w:r>
            <w:t xml:space="preserve">155</w:t>
          </w:r>
        </w:p>
        <w:p>
          <w:pPr>
            <w:pStyle w:val="TOC1"/>
            <w:tabs>
              <w:tab w:val="right" w:leader="dot" w:pos="9630"/>
            </w:tabs>
            <w:rPr>
              <w:rStyle w:val="Hyperlink"/>
            </w:rPr>
          </w:pPr>
          <w:r>
            <w:t xml:space="preserve">Annex I – Notifications and E-mails</w:t>
          </w:r>
          <w:r>
            <w:tab/>
          </w:r>
          <w:r>
            <w:t xml:space="preserve">170</w:t>
          </w:r>
        </w:p>
        <w:p>
          <w:pPr>
            <w:pStyle w:val="TOC1"/>
            <w:tabs>
              <w:tab w:val="right" w:leader="dot" w:pos="9630"/>
            </w:tabs>
            <w:rPr>
              <w:rStyle w:val="Hyperlink"/>
            </w:rPr>
          </w:pPr>
          <w:r>
            <w:t xml:space="preserve">Annex J – Business Rules and Configurable Parameters</w:t>
          </w:r>
          <w:r>
            <w:tab/>
          </w:r>
          <w:r>
            <w:t xml:space="preserve">172</w:t>
          </w:r>
        </w:p>
        <w:p>
          <w:pPr>
            <w:pStyle w:val="TOC2"/>
            <w:tabs>
              <w:tab w:val="right" w:leader="dot" w:pos="9630"/>
            </w:tabs>
            <w:rPr>
              <w:rStyle w:val="Hyperlink"/>
            </w:rPr>
          </w:pPr>
          <w:r>
            <w:t xml:space="preserve">J.1 Business rules</w:t>
          </w:r>
          <w:r>
            <w:tab/>
          </w:r>
          <w:r>
            <w:t xml:space="preserve">172</w:t>
          </w:r>
        </w:p>
        <w:p>
          <w:pPr>
            <w:pStyle w:val="TOC2"/>
            <w:tabs>
              <w:tab w:val="right" w:leader="dot" w:pos="9630"/>
            </w:tabs>
            <w:rPr>
              <w:rStyle w:val="Hyperlink"/>
            </w:rPr>
          </w:pPr>
          <w:r>
            <w:t xml:space="preserve">J.2 Configurable parameters</w:t>
          </w:r>
          <w:r>
            <w:tab/>
          </w:r>
          <w:r>
            <w:t xml:space="preserve">172</w:t>
          </w:r>
        </w:p>
        <w:p>
          <w:pPr>
            <w:pStyle w:val="TOC2"/>
            <w:tabs>
              <w:tab w:val="right" w:leader="dot" w:pos="9630"/>
            </w:tabs>
            <w:rPr>
              <w:rStyle w:val="Hyperlink"/>
            </w:rPr>
          </w:pPr>
          <w:r>
            <w:t xml:space="preserve">J.3 Lists of values</w:t>
          </w:r>
          <w:r>
            <w:tab/>
          </w:r>
          <w:r>
            <w:t xml:space="preserve">173</w:t>
          </w:r>
        </w:p>
        <w:p>
          <w:pPr>
            <w:pStyle w:val="TOC2"/>
            <w:tabs>
              <w:tab w:val="right" w:leader="dot" w:pos="9630"/>
            </w:tabs>
            <w:rPr>
              <w:rStyle w:val="Hyperlink"/>
            </w:rPr>
          </w:pPr>
          <w:r>
            <w:t xml:space="preserve">J.4 Workflow stages and service levels</w:t>
          </w:r>
          <w:r>
            <w:tab/>
          </w:r>
          <w:r>
            <w:t xml:space="preserve">173</w:t>
          </w:r>
        </w:p>
        <w:p>
          <w:pPr>
            <w:pStyle w:val="TOC2"/>
            <w:tabs>
              <w:tab w:val="right" w:leader="dot" w:pos="9630"/>
            </w:tabs>
            <w:rPr>
              <w:rStyle w:val="Hyperlink"/>
            </w:rPr>
          </w:pPr>
          <w:r>
            <w:t xml:space="preserve">J.5 Proposed role-to-action matrix</w:t>
          </w:r>
          <w:r>
            <w:tab/>
          </w:r>
          <w:r>
            <w:t xml:space="preserve">173</w:t>
          </w:r>
        </w:p>
        <w:p>
          <w:pPr>
            <w:pStyle w:val="TOC2"/>
            <w:tabs>
              <w:tab w:val="right" w:leader="dot" w:pos="9630"/>
            </w:tabs>
            <w:rPr>
              <w:rStyle w:val="Hyperlink"/>
            </w:rPr>
          </w:pPr>
          <w:r>
            <w:t xml:space="preserve">J.6 Masters maintained by the business</w:t>
          </w:r>
          <w:r>
            <w:tab/>
          </w:r>
          <w:r>
            <w:t xml:space="preserve">174</w:t>
          </w:r>
        </w:p>
        <w:p>
          <w:pPr>
            <w:pStyle w:val="TOC2"/>
            <w:tabs>
              <w:tab w:val="right" w:leader="dot" w:pos="9630"/>
            </w:tabs>
            <w:rPr>
              <w:rStyle w:val="Hyperlink"/>
            </w:rPr>
          </w:pPr>
          <w:r>
            <w:t xml:space="preserve">J.7 Settings for the points BDOI decides</w:t>
          </w:r>
          <w:r>
            <w:tab/>
          </w:r>
          <w:r>
            <w:t xml:space="preserve">174</w:t>
          </w:r>
        </w:p>
        <w:p>
          <w:pPr>
            <w:pStyle w:val="TOC1"/>
            <w:tabs>
              <w:tab w:val="right" w:leader="dot" w:pos="9630"/>
            </w:tabs>
            <w:rPr>
              <w:rStyle w:val="Hyperlink"/>
            </w:rPr>
          </w:pPr>
          <w:r>
            <w:t xml:space="preserve">Annex K – Process Walkthroughs</w:t>
          </w:r>
          <w:r>
            <w:tab/>
          </w:r>
          <w:r>
            <w:t xml:space="preserve">176</w:t>
          </w:r>
        </w:p>
        <w:p>
          <w:pPr>
            <w:pStyle w:val="TOC2"/>
            <w:tabs>
              <w:tab w:val="right" w:leader="dot" w:pos="9630"/>
            </w:tabs>
            <w:rPr>
              <w:rStyle w:val="Hyperlink"/>
            </w:rPr>
          </w:pPr>
          <w:r>
            <w:t xml:space="preserve">WT-A A new package from the request to its first New Business quotation</w:t>
          </w:r>
          <w:r>
            <w:tab/>
          </w:r>
          <w:r>
            <w:t xml:space="preserve">176</w:t>
          </w:r>
        </w:p>
        <w:p>
          <w:pPr>
            <w:pStyle w:val="TOC2"/>
            <w:tabs>
              <w:tab w:val="right" w:leader="dot" w:pos="9630"/>
            </w:tabs>
            <w:rPr>
              <w:rStyle w:val="Hyperlink"/>
            </w:rPr>
          </w:pPr>
          <w:r>
            <w:t xml:space="preserve">WT-B Returns and refusals, and the messages the user sees</w:t>
          </w:r>
          <w:r>
            <w:tab/>
          </w:r>
          <w:r>
            <w:t xml:space="preserve">178</w:t>
          </w:r>
        </w:p>
        <w:p>
          <w:pPr>
            <w:pStyle w:val="TOC1"/>
            <w:tabs>
              <w:tab w:val="right" w:leader="dot" w:pos="9630"/>
            </w:tabs>
            <w:rPr>
              <w:rStyle w:val="Hyperlink"/>
            </w:rPr>
          </w:pPr>
          <w:r>
            <w:t xml:space="preserve">Annex L – Requirements Traceability</w:t>
          </w:r>
          <w:r>
            <w:tab/>
          </w:r>
          <w:r>
            <w:t xml:space="preserve">180</w:t>
          </w:r>
        </w:p>
        <w:p>
          <w:pPr>
            <w:pStyle w:val="TOC2"/>
            <w:tabs>
              <w:tab w:val="right" w:leader="dot" w:pos="9630"/>
            </w:tabs>
            <w:rPr>
              <w:rStyle w:val="Hyperlink"/>
            </w:rPr>
          </w:pPr>
          <w:r>
            <w:t xml:space="preserve">L.1 BRD requirement to FRPM and test conditions</w:t>
          </w:r>
          <w:r>
            <w:tab/>
          </w:r>
          <w:r>
            <w:t xml:space="preserve">180</w:t>
          </w:r>
        </w:p>
        <w:p>
          <w:pPr>
            <w:pStyle w:val="TOC2"/>
            <w:tabs>
              <w:tab w:val="right" w:leader="dot" w:pos="9630"/>
            </w:tabs>
            <w:rPr>
              <w:rStyle w:val="Hyperlink"/>
            </w:rPr>
          </w:pPr>
          <w:r>
            <w:t xml:space="preserve">L.2 FRPM item to BRD IDs and test conditions</w:t>
          </w:r>
          <w:r>
            <w:tab/>
          </w:r>
          <w:r>
            <w:t xml:space="preserve">181</w:t>
          </w:r>
        </w:p>
        <w:p>
          <w:pPr>
            <w:pStyle w:val="TOC1"/>
            <w:tabs>
              <w:tab w:val="right" w:leader="dot" w:pos="9630"/>
            </w:tabs>
            <w:rPr>
              <w:rStyle w:val="Hyperlink"/>
            </w:rPr>
          </w:pPr>
          <w:r>
            <w:t xml:space="preserve">Annex M – Observations and Points for BDOI Decision</w:t>
          </w:r>
          <w:r>
            <w:tab/>
          </w:r>
          <w:r>
            <w:t xml:space="preserve">184</w:t>
          </w:r>
        </w:p>
        <w:p>
          <w:pPr>
            <w:pStyle w:val="TOC2"/>
            <w:tabs>
              <w:tab w:val="right" w:leader="dot" w:pos="9630"/>
            </w:tabs>
            <w:rPr>
              <w:rStyle w:val="Hyperlink"/>
            </w:rPr>
          </w:pPr>
          <w:r>
            <w:t xml:space="preserve">M.1 Points where the proposed behaviour differs from the original text of this FRS</w:t>
          </w:r>
          <w:r>
            <w:tab/>
          </w:r>
          <w:r>
            <w:t xml:space="preserve">184</w:t>
          </w:r>
        </w:p>
        <w:p>
          <w:pPr>
            <w:pStyle w:val="TOC2"/>
            <w:tabs>
              <w:tab w:val="right" w:leader="dot" w:pos="9630"/>
            </w:tabs>
            <w:rPr>
              <w:rStyle w:val="Hyperlink"/>
            </w:rPr>
          </w:pPr>
          <w:r>
            <w:t xml:space="preserve">M.2 BDOI's open item and changes to the Business Requirements Mapping</w:t>
          </w:r>
          <w:r>
            <w:tab/>
          </w:r>
          <w:r>
            <w:t xml:space="preserve">189</w:t>
          </w:r>
        </w:p>
        <w:p>
          <w:pPr>
            <w:pStyle w:val="TOC2"/>
            <w:tabs>
              <w:tab w:val="right" w:leader="dot" w:pos="9630"/>
            </w:tabs>
            <w:rPr>
              <w:rStyle w:val="Hyperlink"/>
            </w:rPr>
          </w:pPr>
          <w:r>
            <w:t xml:space="preserve">M.3 Slips noticed in BDOI's FRS (proposed corrections; the text is not changed)</w:t>
          </w:r>
          <w:r>
            <w:tab/>
          </w:r>
          <w:r>
            <w:t xml:space="preserve">194</w:t>
          </w:r>
        </w:p>
        <w:p>
          <w:pPr>
            <w:pStyle w:val="TOC2"/>
            <w:tabs>
              <w:tab w:val="right" w:leader="dot" w:pos="9630"/>
            </w:tabs>
            <w:rPr>
              <w:rStyle w:val="Hyperlink"/>
            </w:rPr>
          </w:pPr>
          <w:r>
            <w:t xml:space="preserve">M.4 Scope, added requirements and added annex rows</w:t>
          </w:r>
          <w:r>
            <w:tab/>
          </w:r>
          <w:r>
            <w:t xml:space="preserve">195</w:t>
          </w:r>
        </w:p>
        <w:p>
          <w:pPr>
            <w:pStyle w:val="TOC2"/>
            <w:tabs>
              <w:tab w:val="right" w:leader="dot" w:pos="9630"/>
            </w:tabs>
            <w:rPr>
              <w:rStyle w:val="Hyperlink"/>
            </w:rPr>
          </w:pPr>
          <w:r>
            <w:t xml:space="preserve">M.5 Observations of version 1.2</w:t>
          </w:r>
          <w:r>
            <w:tab/>
          </w:r>
          <w:r>
            <w:t xml:space="preserve">198</w:t>
          </w:r>
        </w:p>
        <w:p>
          <w:pPr>
            <w:pStyle w:val="TOC1"/>
            <w:tabs>
              <w:tab w:val="right" w:leader="dot" w:pos="9630"/>
            </w:tabs>
            <w:rPr>
              <w:rStyle w:val="Hyperlink"/>
            </w:rPr>
          </w:pPr>
          <w:r>
            <w:t xml:space="preserve">Annex N – Glossary</w:t>
          </w:r>
          <w:r>
            <w:tab/>
          </w:r>
          <w:r>
            <w:t xml:space="preserve">199</w:t>
          </w:r>
        </w:p>
        <w:p>
          <w:pPr>
            <w:pStyle w:val="TOC2"/>
            <w:tabs>
              <w:tab w:val="right" w:leader="dot" w:pos="9630"/>
            </w:tabs>
            <w:rPr>
              <w:rStyle w:val="Hyperlink"/>
            </w:rPr>
          </w:pPr>
          <w:r>
            <w:t xml:space="preserve">N.2 Terms added in version 1.2</w:t>
          </w:r>
          <w:r>
            <w:tab/>
          </w:r>
          <w:r>
            <w:t xml:space="preserve">199</w:t>
          </w:r>
        </w:p>
        <w:p>
          <w:pPr>
            <w:pStyle w:val="TOC1"/>
            <w:tabs>
              <w:tab w:val="right" w:leader="dot" w:pos="9630"/>
            </w:tabs>
            <w:rPr>
              <w:rStyle w:val="Hyperlink"/>
            </w:rPr>
          </w:pPr>
          <w:r>
            <w:t xml:space="preserve">Annex O – Workflow and Approvals</w:t>
          </w:r>
          <w:r>
            <w:tab/>
          </w:r>
          <w:r>
            <w:t xml:space="preserve">201</w:t>
          </w:r>
        </w:p>
        <w:p>
          <w:pPr>
            <w:pStyle w:val="TOC2"/>
            <w:tabs>
              <w:tab w:val="right" w:leader="dot" w:pos="9630"/>
            </w:tabs>
            <w:rPr>
              <w:rStyle w:val="Hyperlink"/>
            </w:rPr>
          </w:pPr>
          <w:r>
            <w:t xml:space="preserve">O.1 Who makes, checks and approves (picture)</w:t>
          </w:r>
          <w:r>
            <w:tab/>
          </w:r>
          <w:r>
            <w:t xml:space="preserve">201</w:t>
          </w:r>
        </w:p>
        <w:p>
          <w:pPr>
            <w:pStyle w:val="TOC2"/>
            <w:tabs>
              <w:tab w:val="right" w:leader="dot" w:pos="9630"/>
            </w:tabs>
            <w:rPr>
              <w:rStyle w:val="Hyperlink"/>
            </w:rPr>
          </w:pPr>
          <w:r>
            <w:t xml:space="preserve">O.2 Stages, approvals and service levels per process</w:t>
          </w:r>
          <w:r>
            <w:tab/>
          </w:r>
          <w:r>
            <w:t xml:space="preserve">202</w:t>
          </w:r>
        </w:p>
        <w:p>
          <w:pPr>
            <w:pStyle w:val="TOC2"/>
            <w:tabs>
              <w:tab w:val="right" w:leader="dot" w:pos="9630"/>
            </w:tabs>
            <w:rPr>
              <w:rStyle w:val="Hyperlink"/>
            </w:rPr>
          </w:pPr>
          <w:r>
            <w:t xml:space="preserve">O.3 Role-to-stage matrix (table)</w:t>
          </w:r>
          <w:r>
            <w:tab/>
          </w:r>
          <w:r>
            <w:t xml:space="preserve">205</w:t>
          </w:r>
        </w:p>
        <w:p>
          <w:pPr>
            <w:pStyle w:val="TOC2"/>
            <w:tabs>
              <w:tab w:val="right" w:leader="dot" w:pos="9630"/>
            </w:tabs>
            <w:rPr>
              <w:rStyle w:val="Hyperlink"/>
            </w:rPr>
          </w:pPr>
          <w:r>
            <w:t xml:space="preserve">O.4 Status names: BDOI's FRS and the screens</w:t>
          </w:r>
          <w:r>
            <w:tab/>
          </w:r>
          <w:r>
            <w:t xml:space="preserve">206</w:t>
          </w:r>
        </w:p>
        <w:p>
          <w:pPr>
            <w:pStyle w:val="TOC1"/>
            <w:tabs>
              <w:tab w:val="right" w:leader="dot" w:pos="9630"/>
            </w:tabs>
            <w:rPr>
              <w:rStyle w:val="Hyperlink"/>
            </w:rPr>
          </w:pPr>
          <w:r>
            <w:t xml:space="preserve">Annex P – E-mail and Notification Texts</w:t>
          </w:r>
          <w:r>
            <w:tab/>
          </w:r>
          <w:r>
            <w:t xml:space="preserve">207</w:t>
          </w:r>
        </w:p>
        <w:p>
          <w:pPr>
            <w:pStyle w:val="TOC2"/>
            <w:tabs>
              <w:tab w:val="right" w:leader="dot" w:pos="9630"/>
            </w:tabs>
            <w:rPr>
              <w:rStyle w:val="Hyperlink"/>
            </w:rPr>
          </w:pPr>
          <w:r>
            <w:t xml:space="preserve">P.1 Overview</w:t>
          </w:r>
          <w:r>
            <w:tab/>
          </w:r>
          <w:r>
            <w:t xml:space="preserve">207</w:t>
          </w:r>
        </w:p>
        <w:p>
          <w:pPr>
            <w:pStyle w:val="TOC2"/>
            <w:tabs>
              <w:tab w:val="right" w:leader="dot" w:pos="9630"/>
            </w:tabs>
            <w:rPr>
              <w:rStyle w:val="Hyperlink"/>
            </w:rPr>
          </w:pPr>
          <w:r>
            <w:t xml:space="preserve">P.2 The texts</w:t>
          </w:r>
          <w:r>
            <w:tab/>
          </w:r>
          <w:r>
            <w:t xml:space="preserve">208</w:t>
          </w:r>
        </w:p>
        <w:p>
          <w:pPr>
            <w:pStyle w:val="TOC1"/>
            <w:tabs>
              <w:tab w:val="right" w:leader="dot" w:pos="9630"/>
            </w:tabs>
            <w:rPr>
              <w:rStyle w:val="Hyperlink"/>
            </w:rPr>
          </w:pPr>
          <w:r>
            <w:t xml:space="preserve">Annex Q – Document Prints and Output Formats</w:t>
          </w:r>
          <w:r>
            <w:tab/>
          </w:r>
          <w:r>
            <w:t xml:space="preserve">216</w:t>
          </w:r>
        </w:p>
        <w:p>
          <w:pPr>
            <w:pStyle w:val="TOC2"/>
            <w:tabs>
              <w:tab w:val="right" w:leader="dot" w:pos="9630"/>
            </w:tabs>
            <w:rPr>
              <w:rStyle w:val="Hyperlink"/>
            </w:rPr>
          </w:pPr>
          <w:r>
            <w:t xml:space="preserve">Q.1 Overview</w:t>
          </w:r>
          <w:r>
            <w:tab/>
          </w:r>
          <w:r>
            <w:t xml:space="preserve">216</w:t>
          </w:r>
        </w:p>
        <w:p>
          <w:pPr>
            <w:pStyle w:val="TOC2"/>
            <w:tabs>
              <w:tab w:val="right" w:leader="dot" w:pos="9630"/>
            </w:tabs>
            <w:rPr>
              <w:rStyle w:val="Hyperlink"/>
            </w:rPr>
          </w:pPr>
          <w:r>
            <w:t xml:space="preserve">Q.2 The documents</w:t>
          </w:r>
          <w:r>
            <w:tab/>
          </w:r>
          <w:r>
            <w:t xml:space="preserve">216</w:t>
          </w:r>
        </w:p>
        <w:p>
          <w:pPr>
            <w:pStyle w:val="TOC1"/>
            <w:tabs>
              <w:tab w:val="right" w:leader="dot" w:pos="9630"/>
            </w:tabs>
            <w:rPr>
              <w:rStyle w:val="Hyperlink"/>
            </w:rPr>
          </w:pPr>
          <w:r>
            <w:t xml:space="preserve">Annex R – Reports and Schedules</w:t>
          </w:r>
          <w:r>
            <w:tab/>
          </w:r>
          <w:r>
            <w:t xml:space="preserve">226</w:t>
          </w:r>
        </w:p>
        <w:p>
          <w:pPr>
            <w:pStyle w:val="TOC2"/>
            <w:tabs>
              <w:tab w:val="right" w:leader="dot" w:pos="9630"/>
            </w:tabs>
            <w:rPr>
              <w:rStyle w:val="Hyperlink"/>
            </w:rPr>
          </w:pPr>
          <w:r>
            <w:t xml:space="preserve">R.1 Reports</w:t>
          </w:r>
          <w:r>
            <w:tab/>
          </w:r>
          <w:r>
            <w:t xml:space="preserve">226</w:t>
          </w:r>
        </w:p>
        <w:p>
          <w:pPr>
            <w:pStyle w:val="TOC2"/>
            <w:tabs>
              <w:tab w:val="right" w:leader="dot" w:pos="9630"/>
            </w:tabs>
            <w:rPr>
              <w:rStyle w:val="Hyperlink"/>
            </w:rPr>
          </w:pPr>
          <w:r>
            <w:t xml:space="preserve">R.2 Scheduled runs</w:t>
          </w:r>
          <w:r>
            <w:tab/>
          </w:r>
          <w:r>
            <w:t xml:space="preserve">226</w:t>
          </w:r>
        </w:p>
        <w:p>
          <w:pPr>
            <w:pStyle w:val="TOC1"/>
            <w:tabs>
              <w:tab w:val="right" w:leader="dot" w:pos="9630"/>
            </w:tabs>
            <w:rPr>
              <w:rStyle w:val="Hyperlink"/>
            </w:rPr>
          </w:pPr>
          <w:r>
            <w:t xml:space="preserve">Annex S – Integrations [Integration scope]</w:t>
          </w:r>
          <w:r>
            <w:tab/>
          </w:r>
          <w:r>
            <w:t xml:space="preserve">228</w:t>
          </w:r>
        </w:p>
        <w:p>
          <w:pPr>
            <w:pStyle w:val="TOC1"/>
            <w:tabs>
              <w:tab w:val="right" w:leader="dot" w:pos="9630"/>
            </w:tabs>
            <w:rPr>
              <w:rStyle w:val="Hyperlink"/>
            </w:rPr>
          </w:pPr>
          <w:r>
            <w:t xml:space="preserve">Annex T – Non-functional Requirements</w:t>
          </w:r>
          <w:r>
            <w:tab/>
          </w:r>
          <w:r>
            <w:t xml:space="preserve">230</w:t>
          </w:r>
        </w:p>
        <w:p>
          <w:pPr>
            <w:pStyle w:val="TOC1"/>
            <w:tabs>
              <w:tab w:val="right" w:leader="dot" w:pos="9630"/>
            </w:tabs>
            <w:rPr>
              <w:rStyle w:val="Hyperlink"/>
            </w:rPr>
          </w:pPr>
          <w:r>
            <w:t xml:space="preserve">Annex U – Data Set-up and Migration at Go-live [Data Migration scope]</w:t>
          </w:r>
          <w:r>
            <w:tab/>
          </w:r>
          <w:r>
            <w:t xml:space="preserve">232</w:t>
          </w:r>
        </w:p>
        <w:p>
          <w:pPr>
            <w:pStyle w:val="TOC1"/>
            <w:tabs>
              <w:tab w:val="right" w:leader="dot" w:pos="9630"/>
            </w:tabs>
            <w:rPr>
              <w:rStyle w:val="Hyperlink"/>
            </w:rPr>
          </w:pPr>
          <w:r>
            <w:t xml:space="preserve">Annex V – Assumptions, Dependencies and Open Questions</w:t>
          </w:r>
          <w:r>
            <w:tab/>
          </w:r>
          <w:r>
            <w:t xml:space="preserve">233</w:t>
          </w:r>
        </w:p>
        <w:p>
          <w:pPr>
            <w:pStyle w:val="TOC2"/>
            <w:tabs>
              <w:tab w:val="right" w:leader="dot" w:pos="9630"/>
            </w:tabs>
            <w:rPr>
              <w:rStyle w:val="Hyperlink"/>
            </w:rPr>
          </w:pPr>
          <w:r>
            <w:t xml:space="preserve">V.1 Assumptions</w:t>
          </w:r>
          <w:r>
            <w:tab/>
          </w:r>
          <w:r>
            <w:t xml:space="preserve">233</w:t>
          </w:r>
        </w:p>
        <w:p>
          <w:pPr>
            <w:pStyle w:val="TOC2"/>
            <w:tabs>
              <w:tab w:val="right" w:leader="dot" w:pos="9630"/>
            </w:tabs>
            <w:rPr>
              <w:rStyle w:val="Hyperlink"/>
            </w:rPr>
          </w:pPr>
          <w:r>
            <w:t xml:space="preserve">V.2 Dependencies</w:t>
          </w:r>
          <w:r>
            <w:tab/>
          </w:r>
          <w:r>
            <w:t xml:space="preserve">233</w:t>
          </w:r>
        </w:p>
        <w:p>
          <w:pPr>
            <w:pStyle w:val="TOC2"/>
            <w:tabs>
              <w:tab w:val="right" w:leader="dot" w:pos="9630"/>
            </w:tabs>
            <w:rPr>
              <w:rStyle w:val="Hyperlink"/>
            </w:rPr>
          </w:pPr>
          <w:r>
            <w:t xml:space="preserve">V.3 Open questions</w:t>
          </w:r>
          <w:r>
            <w:tab/>
          </w:r>
          <w:r>
            <w:t xml:space="preserve">234</w:t>
          </w:r>
        </w:p>
        <w:p>
          <w:pPr>
            <w:pStyle w:val="TOC2"/>
            <w:tabs>
              <w:tab w:val="right" w:leader="dot" w:pos="9630"/>
            </w:tabs>
            <w:rPr>
              <w:rStyle w:val="Hyperlink"/>
            </w:rPr>
          </w:pPr>
          <w:r>
            <w:t xml:space="preserve">V.4 Proposed rules to confirm</w:t>
          </w:r>
          <w:r>
            <w:tab/>
          </w:r>
          <w:r>
            <w:t xml:space="preserve">235</w:t>
          </w:r>
        </w:p>
        <w:p>
          <w:pPr>
            <w:pStyle w:val="TOC1"/>
            <w:tabs>
              <w:tab w:val="right" w:leader="dot" w:pos="9630"/>
            </w:tabs>
            <w:rPr>
              <w:rStyle w:val="Hyperlink"/>
            </w:rPr>
          </w:pPr>
          <w:r>
            <w:t xml:space="preserve">Annex W – Change Control after Sign-off</w:t>
          </w:r>
          <w:r>
            <w:tab/>
          </w:r>
          <w:r>
            <w:t xml:space="preserve">236</w:t>
          </w:r>
        </w:p>
        <w:p>
          <w:pPr>
            <w:pStyle w:val="TOC2"/>
            <w:tabs>
              <w:tab w:val="right" w:leader="dot" w:pos="9630"/>
            </w:tabs>
            <w:rPr>
              <w:rStyle w:val="Hyperlink"/>
            </w:rPr>
          </w:pPr>
          <w:r>
            <w:t xml:space="preserve">W.1 What signing freezes</w:t>
          </w:r>
          <w:r>
            <w:tab/>
          </w:r>
          <w:r>
            <w:t xml:space="preserve">236</w:t>
          </w:r>
        </w:p>
        <w:p>
          <w:pPr>
            <w:pStyle w:val="TOC2"/>
            <w:tabs>
              <w:tab w:val="right" w:leader="dot" w:pos="9630"/>
            </w:tabs>
            <w:rPr>
              <w:rStyle w:val="Hyperlink"/>
            </w:rPr>
          </w:pPr>
          <w:r>
            <w:t xml:space="preserve">W.2 How a change is raised, assessed and approved</w:t>
          </w:r>
          <w:r>
            <w:tab/>
          </w:r>
          <w:r>
            <w:t xml:space="preserve">236</w:t>
          </w:r>
        </w:p>
        <w:p>
          <w:pPr>
            <w:pStyle w:val="TOC1"/>
            <w:tabs>
              <w:tab w:val="right" w:leader="dot" w:pos="9630"/>
            </w:tabs>
            <w:rPr>
              <w:rStyle w:val="Hyperlink"/>
            </w:rPr>
          </w:pPr>
          <w:r>
            <w:t xml:space="preserve">Annex X – Business Unit Review Checklist</w:t>
          </w:r>
          <w:r>
            <w:tab/>
          </w:r>
          <w:r>
            <w:t xml:space="preserve">237</w:t>
          </w:r>
        </w:p>
        <w:p>
          <w:pPr>
            <w:pStyle w:val="TOC1"/>
            <w:tabs>
              <w:tab w:val="right" w:leader="dot" w:pos="9630"/>
            </w:tabs>
            <w:rPr>
              <w:rStyle w:val="Hyperlink"/>
            </w:rPr>
          </w:pPr>
          <w:r>
            <w:t xml:space="preserve">Annex Y – Points beyond the BRD and Change Requests</w:t>
          </w:r>
          <w:r>
            <w:tab/>
          </w:r>
          <w:r>
            <w:t xml:space="preserve">239</w:t>
          </w:r>
        </w:p>
        <w:p>
          <w:pPr>
            <w:pStyle w:val="TOC2"/>
            <w:tabs>
              <w:tab w:val="right" w:leader="dot" w:pos="9630"/>
            </w:tabs>
            <w:rPr>
              <w:rStyle w:val="Hyperlink"/>
            </w:rPr>
          </w:pPr>
          <w:r>
            <w:t xml:space="preserve">Y.1 How the points were classified</w:t>
          </w:r>
          <w:r>
            <w:tab/>
          </w:r>
          <w:r>
            <w:t xml:space="preserve">239</w:t>
          </w:r>
        </w:p>
        <w:p>
          <w:pPr>
            <w:pStyle w:val="TOC2"/>
            <w:tabs>
              <w:tab w:val="right" w:leader="dot" w:pos="9630"/>
            </w:tabs>
            <w:rPr>
              <w:rStyle w:val="Hyperlink"/>
            </w:rPr>
          </w:pPr>
          <w:r>
            <w:t xml:space="preserve">Y.2 Change requests (orange)</w:t>
          </w:r>
          <w:r>
            <w:tab/>
          </w:r>
          <w:r>
            <w:t xml:space="preserve">239</w:t>
          </w:r>
        </w:p>
        <w:p>
          <w:pPr>
            <w:pStyle w:val="TOC2"/>
            <w:tabs>
              <w:tab w:val="right" w:leader="dot" w:pos="9630"/>
            </w:tabs>
            <w:rPr>
              <w:rStyle w:val="Hyperlink"/>
            </w:rPr>
          </w:pPr>
          <w:r>
            <w:t xml:space="preserve">Y.3 Points beyond the BRD available OOTB in iNXT BrokerVerse (green)</w:t>
          </w:r>
          <w:r>
            <w:tab/>
          </w:r>
          <w:r>
            <w:t xml:space="preserve">240</w:t>
          </w:r>
        </w:p>
        <w:p>
          <w:pPr>
            <w:pStyle w:val="TOC2"/>
            <w:tabs>
              <w:tab w:val="right" w:leader="dot" w:pos="9630"/>
            </w:tabs>
            <w:rPr>
              <w:rStyle w:val="Hyperlink"/>
            </w:rPr>
          </w:pPr>
          <w:r>
            <w:t xml:space="preserve">Y.4 Check of the BRD lines outside the requirement table</w:t>
          </w:r>
          <w:r>
            <w:tab/>
          </w:r>
          <w:r>
            <w:t xml:space="preserve">240</w:t>
          </w:r>
        </w:p>
        <w:p>
          <w:pPr>
            <w:pStyle w:val="TOC2"/>
            <w:tabs>
              <w:tab w:val="right" w:leader="dot" w:pos="9630"/>
            </w:tabs>
            <w:rPr>
              <w:rStyle w:val="Hyperlink"/>
            </w:rPr>
          </w:pPr>
          <w:r>
            <w:t xml:space="preserve">Y.5 Covered by the Integration scope and the Data Migration scope</w:t>
          </w:r>
          <w:r>
            <w:tab/>
          </w:r>
          <w:r>
            <w:t xml:space="preserve">241</w:t>
          </w:r>
        </w:p>
        <w:p>
          <w:pPr>
            <w:pStyle w:val="TOC2"/>
            <w:tabs>
              <w:tab w:val="right" w:leader="dot" w:pos="9630"/>
            </w:tabs>
            <w:rPr>
              <w:rStyle w:val="Hyperlink"/>
            </w:rPr>
          </w:pPr>
          <w:r>
            <w:t xml:space="preserve">Y.6 Best-practice recommendations (blue)</w:t>
          </w:r>
          <w:r>
            <w:tab/>
          </w:r>
          <w:r>
            <w:t xml:space="preserve">242</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keepNext/>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192"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sz w:val="24"/>
          <w:szCs w:val="24"/>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As Save Draft</w:t>
            </w:r>
          </w:p>
        </w:tc>
        <w:tc>
          <w:tcPr>
            <w:tcW w:w="1728" w:type="dxa"/>
          </w:tcPr>
          <w:p>
            <w:pPr>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sz w:val="24"/>
          <w:szCs w:val="24"/>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Terms final</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Arial" w:hAnsi="Arial" w:cs="Arial"/>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Send Advisory</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Arial" w:hAnsi="Arial" w:cs="Arial"/>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sz w:val="24"/>
          <w:szCs w:val="24"/>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sz w:val="24"/>
          <w:szCs w:val="24"/>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sz w:val="24"/>
          <w:szCs w:val="24"/>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sz w:val="24"/>
          <w:szCs w:val="24"/>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MBS</w:t>
            </w:r>
          </w:p>
        </w:tc>
        <w:tc>
          <w:tcPr>
            <w:tcW w:w="1944" w:type="dxa"/>
          </w:tcPr>
          <w:p>
            <w:pPr>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spacing w:after="20" w:before="20"/>
              <w:rPr>
                <w:rFonts w:ascii="Arial" w:hAnsi="Arial" w:cs="Arial"/>
                <w:sz w:val="16"/>
                <w:szCs w:val="16"/>
              </w:rPr>
            </w:pPr>
            <w:r>
              <w:rPr>
                <w:rFonts w:ascii="Arial" w:hAnsi="Arial" w:cs="Arial"/>
                <w:sz w:val="16"/>
                <w:szCs w:val="16"/>
              </w:rPr>
              <w:t xml:space="preserve">For validation</w:t>
            </w:r>
          </w:p>
        </w:tc>
        <w:tc>
          <w:tcPr>
            <w:tcW w:w="3600" w:type="dxa"/>
          </w:tcPr>
          <w:p>
            <w:pPr>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sz w:val="24"/>
          <w:szCs w:val="24"/>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sz w:val="24"/>
          <w:szCs w:val="24"/>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sz w:val="24"/>
          <w:szCs w:val="24"/>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sz w:val="24"/>
          <w:szCs w:val="24"/>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sz w:val="24"/>
          <w:szCs w:val="24"/>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Insurers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As on Insurers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sz w:val="24"/>
          <w:szCs w:val="24"/>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sz w:val="24"/>
          <w:szCs w:val="24"/>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Calculate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Reject</w:t>
            </w:r>
          </w:p>
        </w:tc>
        <w:tc>
          <w:tcPr>
            <w:tcW w:w="1944" w:type="dxa"/>
          </w:tcPr>
          <w:p>
            <w:pPr>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Arial" w:hAnsi="Arial" w:cs="Arial"/>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sz w:val="24"/>
          <w:szCs w:val="24"/>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Withdraw</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spacing w:after="20" w:before="20"/>
              <w:rPr>
                <w:rFonts w:ascii="Arial" w:hAnsi="Arial" w:cs="Arial"/>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sz w:val="24"/>
          <w:szCs w:val="24"/>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Send Now</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Arial" w:hAnsi="Arial" w:cs="Arial"/>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sz w:val="24"/>
          <w:szCs w:val="24"/>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CSV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Sent to Client</w:t>
            </w:r>
          </w:p>
        </w:tc>
        <w:tc>
          <w:tcPr>
            <w:tcW w:w="3600" w:type="dxa"/>
          </w:tcPr>
          <w:p>
            <w:pPr>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Arial" w:hAnsi="Arial" w:cs="Arial"/>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20"/>
          <w:szCs w:val="20"/>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WT-A.24</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spacing w:after="20" w:before="20"/>
              <w:rPr>
                <w:rFonts w:ascii="Arial" w:hAnsi="Arial" w:cs="Arial"/>
                <w:sz w:val="15"/>
                <w:szCs w:val="15"/>
              </w:rPr>
            </w:pPr>
            <w:r>
              <w:rPr>
                <w:rFonts w:ascii="Arial" w:hAnsi="Arial" w:cs="Arial"/>
                <w:sz w:val="16"/>
                <w:szCs w:val="16"/>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20"/>
          <w:szCs w:val="20"/>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himself,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PKR-2026-900002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himself,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PKR-2026-900003 and clicks Terms final while Luzon Assurance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PKR-2026-900004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PKR-2026-900005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WT-B.12</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spacing w:after="20" w:before="20"/>
              <w:rPr>
                <w:rFonts w:ascii="Arial" w:hAnsi="Arial" w:cs="Arial"/>
                <w:sz w:val="15"/>
                <w:szCs w:val="15"/>
              </w:rPr>
            </w:pPr>
            <w:r>
              <w:rPr>
                <w:rFonts w:ascii="Arial" w:hAnsi="Arial" w:cs="Arial"/>
                <w:sz w:val="16"/>
                <w:szCs w:val="16"/>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Service level</w:t>
            </w:r>
          </w:p>
        </w:tc>
        <w:tc>
          <w:tcPr>
            <w:tcW w:w="7776" w:type="dxa"/>
          </w:tcPr>
          <w:p>
            <w:pPr>
              <w:keepNext/>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Sign-in ID</w:t>
            </w:r>
          </w:p>
        </w:tc>
        <w:tc>
          <w:tcPr>
            <w:tcW w:w="7776" w:type="dxa"/>
          </w:tcPr>
          <w:p>
            <w:pPr>
              <w:spacing w:after="20" w:before="20"/>
              <w:rPr>
                <w:rFonts w:ascii="Arial" w:hAnsi="Arial" w:cs="Arial"/>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at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D-PM-03</w:t>
            </w:r>
          </w:p>
        </w:tc>
        <w:tc>
          <w:tcPr>
            <w:tcW w:w="2448" w:type="dxa"/>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tcPr>
          <w:p>
            <w:pPr>
              <w:spacing w:after="20" w:before="20"/>
              <w:rPr>
                <w:rFonts w:ascii="Arial" w:hAnsi="Arial" w:cs="Arial"/>
                <w:sz w:val="15"/>
                <w:szCs w:val="15"/>
              </w:rPr>
            </w:pPr>
            <w:r>
              <w:rPr>
                <w:rFonts w:ascii="Arial" w:hAnsi="Arial" w:cs="Arial"/>
                <w:sz w:val="16"/>
                <w:szCs w:val="16"/>
              </w:rPr>
              <w:t xml:space="preserve">FRPM.001.01</w:t>
            </w:r>
          </w:p>
        </w:tc>
        <w:tc>
          <w:tcPr>
            <w:tcW w:w="1007" w:type="dxa"/>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Arial" w:hAnsi="Arial" w:cs="Arial"/>
                <w:sz w:val="15"/>
                <w:szCs w:val="15"/>
              </w:rPr>
            </w:pPr>
            <w:r>
              <w:rPr>
                <w:rFonts w:ascii="Arial" w:hAnsi="Arial" w:cs="Arial"/>
                <w:sz w:val="16"/>
                <w:szCs w:val="16"/>
              </w:rPr>
              <w:t xml:space="preserve">FRPM.002.01</w:t>
            </w:r>
          </w:p>
        </w:tc>
        <w:tc>
          <w:tcPr>
            <w:tcW w:w="1584" w:type="dxa"/>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G-03</w:t>
            </w:r>
          </w:p>
        </w:tc>
        <w:tc>
          <w:tcPr>
            <w:tcW w:w="2160" w:type="dxa"/>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G-04</w:t>
            </w:r>
          </w:p>
        </w:tc>
        <w:tc>
          <w:tcPr>
            <w:tcW w:w="2160" w:type="dxa"/>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160" w:type="dxa"/>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Benefits</w:t>
            </w:r>
          </w:p>
        </w:tc>
        <w:tc>
          <w:tcPr>
            <w:tcW w:w="4176" w:type="dxa"/>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Arial" w:hAnsi="Arial" w:cs="Arial"/>
                <w:sz w:val="16"/>
                <w:szCs w:val="16"/>
              </w:rPr>
            </w:pPr>
            <w:r>
              <w:rPr>
                <w:rFonts w:ascii="Arial" w:hAnsi="Arial" w:cs="Arial"/>
                <w:sz w:val="16"/>
                <w:szCs w:val="16"/>
              </w:rPr>
              <w:t xml:space="preserve">FRPM.001.01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Arial" w:hAnsi="Arial" w:cs="Arial"/>
                <w:sz w:val="16"/>
                <w:szCs w:val="16"/>
              </w:rPr>
            </w:pPr>
            <w:r>
              <w:rPr>
                <w:rFonts w:ascii="Arial" w:hAnsi="Arial" w:cs="Arial"/>
                <w:sz w:val="16"/>
                <w:szCs w:val="16"/>
              </w:rPr>
              <w:t xml:space="preserve">FRPM.027.01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Arial" w:hAnsi="Arial" w:cs="Arial"/>
                <w:sz w:val="16"/>
                <w:szCs w:val="16"/>
              </w:rPr>
            </w:pPr>
            <w:r>
              <w:rPr>
                <w:rFonts w:ascii="Arial" w:hAnsi="Arial" w:cs="Arial"/>
                <w:sz w:val="16"/>
                <w:szCs w:val="16"/>
              </w:rPr>
              <w:t xml:space="preserve">Annex T T-01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tcPr>
          <w:p>
            <w:pPr>
              <w:spacing w:after="20" w:before="20"/>
              <w:rPr>
                <w:rFonts w:ascii="Arial" w:hAnsi="Arial" w:cs="Arial"/>
                <w:sz w:val="16"/>
                <w:szCs w:val="16"/>
              </w:rPr>
            </w:pPr>
            <w:r>
              <w:rPr>
                <w:rFonts w:ascii="Arial" w:hAnsi="Arial" w:cs="Arial"/>
                <w:sz w:val="16"/>
                <w:szCs w:val="16"/>
              </w:rPr>
              <w:t xml:space="preserve">Annex T T-03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Arial" w:hAnsi="Arial" w:cs="Arial"/>
                <w:sz w:val="16"/>
                <w:szCs w:val="16"/>
              </w:rPr>
            </w:pPr>
            <w:r>
              <w:rPr>
                <w:rFonts w:ascii="Arial" w:hAnsi="Arial" w:cs="Arial"/>
                <w:sz w:val="16"/>
                <w:szCs w:val="16"/>
              </w:rPr>
              <w:t xml:space="preserve">Annex T T-06</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tcPr>
          <w:p>
            <w:pPr>
              <w:spacing w:after="20" w:before="20"/>
              <w:rPr>
                <w:rFonts w:ascii="Arial" w:hAnsi="Arial" w:cs="Arial"/>
                <w:sz w:val="16"/>
                <w:szCs w:val="16"/>
              </w:rPr>
            </w:pPr>
            <w:r>
              <w:rPr>
                <w:rFonts w:ascii="Arial" w:hAnsi="Arial" w:cs="Arial"/>
                <w:sz w:val="16"/>
                <w:szCs w:val="16"/>
              </w:rPr>
              <w:t xml:space="preserve">Annex T T-09</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tcPr>
          <w:p>
            <w:pPr>
              <w:spacing w:after="20" w:before="20"/>
              <w:rPr>
                <w:rFonts w:ascii="Arial" w:hAnsi="Arial" w:cs="Arial"/>
                <w:sz w:val="16"/>
                <w:szCs w:val="16"/>
              </w:rPr>
            </w:pPr>
            <w:r>
              <w:rPr>
                <w:rFonts w:ascii="Arial" w:hAnsi="Arial" w:cs="Arial"/>
                <w:sz w:val="16"/>
                <w:szCs w:val="16"/>
              </w:rPr>
              <w:t xml:space="preserve">Annex T T-07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tcPr>
          <w:p>
            <w:pPr>
              <w:spacing w:after="20" w:before="20"/>
              <w:rPr>
                <w:rFonts w:ascii="Arial" w:hAnsi="Arial" w:cs="Arial"/>
                <w:sz w:val="16"/>
                <w:szCs w:val="16"/>
              </w:rPr>
            </w:pPr>
            <w:r>
              <w:rPr>
                <w:rFonts w:ascii="Arial" w:hAnsi="Arial" w:cs="Arial"/>
                <w:sz w:val="16"/>
                <w:szCs w:val="16"/>
              </w:rPr>
              <w:t xml:space="preserve">Annex T T-08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IN-09 Insurers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U-04</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U-05</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U-07</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U-08</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U-09</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U-10</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U-11</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U-12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