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262</w:t>
          </w:r>
        </w:p>
        <w:p>
          <w:pPr>
            <w:pStyle w:val="TOC1"/>
            <w:tabs>
              <w:tab w:val="right" w:leader="dot" w:pos="9630"/>
            </w:tabs>
          </w:pPr>
          <w:r>
            <w:t xml:space="preserve">Annex AC – Business Rules and Configurable Parameters</w:t>
          </w:r>
          <w:r>
            <w:tab/>
          </w:r>
          <w:r>
            <w:t xml:space="preserve">272</w:t>
          </w:r>
        </w:p>
        <w:p>
          <w:pPr>
            <w:pStyle w:val="TOC1"/>
            <w:tabs>
              <w:tab w:val="right" w:leader="dot" w:pos="9630"/>
            </w:tabs>
          </w:pPr>
          <w:r>
            <w:t xml:space="preserve">Annex AD – Workflow and Approvals</w:t>
          </w:r>
          <w:r>
            <w:tab/>
          </w:r>
          <w:r>
            <w:t xml:space="preserve">278</w:t>
          </w:r>
        </w:p>
        <w:p>
          <w:pPr>
            <w:pStyle w:val="TOC1"/>
            <w:tabs>
              <w:tab w:val="right" w:leader="dot" w:pos="9630"/>
            </w:tabs>
          </w:pPr>
          <w:r>
            <w:t xml:space="preserve">Annex AE – E-mail and Notification Texts</w:t>
          </w:r>
          <w:r>
            <w:tab/>
          </w:r>
          <w:r>
            <w:t xml:space="preserve">280</w:t>
          </w:r>
        </w:p>
        <w:p>
          <w:pPr>
            <w:pStyle w:val="TOC1"/>
            <w:tabs>
              <w:tab w:val="right" w:leader="dot" w:pos="9630"/>
            </w:tabs>
          </w:pPr>
          <w:r>
            <w:t xml:space="preserve">Annex AF – Document Prints and Output Formats</w:t>
          </w:r>
          <w:r>
            <w:tab/>
          </w:r>
          <w:r>
            <w:t xml:space="preserve">296</w:t>
          </w:r>
        </w:p>
        <w:p>
          <w:pPr>
            <w:pStyle w:val="TOC1"/>
            <w:tabs>
              <w:tab w:val="right" w:leader="dot" w:pos="9630"/>
            </w:tabs>
          </w:pPr>
          <w:r>
            <w:t xml:space="preserve">Annex AG – Reports and Schedules</w:t>
          </w:r>
          <w:r>
            <w:tab/>
          </w:r>
          <w:r>
            <w:t xml:space="preserve">305</w:t>
          </w:r>
        </w:p>
        <w:p>
          <w:pPr>
            <w:pStyle w:val="TOC1"/>
            <w:tabs>
              <w:tab w:val="right" w:leader="dot" w:pos="9630"/>
            </w:tabs>
          </w:pPr>
          <w:r>
            <w:t xml:space="preserve">Annex AH – Integrations</w:t>
          </w:r>
          <w:r>
            <w:tab/>
          </w:r>
          <w:r>
            <w:t xml:space="preserve">307</w:t>
          </w:r>
        </w:p>
        <w:p>
          <w:pPr>
            <w:pStyle w:val="TOC1"/>
            <w:tabs>
              <w:tab w:val="right" w:leader="dot" w:pos="9630"/>
            </w:tabs>
          </w:pPr>
          <w:r>
            <w:t xml:space="preserve">Annex AJ – Non-functional Requirements</w:t>
          </w:r>
          <w:r>
            <w:tab/>
          </w:r>
          <w:r>
            <w:t xml:space="preserve">309</w:t>
          </w:r>
        </w:p>
        <w:p>
          <w:pPr>
            <w:pStyle w:val="TOC1"/>
            <w:tabs>
              <w:tab w:val="right" w:leader="dot" w:pos="9630"/>
            </w:tabs>
          </w:pPr>
          <w:r>
            <w:t xml:space="preserve">Annex AK – Data Set-up and Migration at Go-live</w:t>
          </w:r>
          <w:r>
            <w:tab/>
          </w:r>
          <w:r>
            <w:t xml:space="preserve">311</w:t>
          </w:r>
        </w:p>
        <w:p>
          <w:pPr>
            <w:pStyle w:val="TOC1"/>
            <w:tabs>
              <w:tab w:val="right" w:leader="dot" w:pos="9630"/>
            </w:tabs>
          </w:pPr>
          <w:r>
            <w:t xml:space="preserve">Annex AL – Process Walkthroughs</w:t>
          </w:r>
          <w:r>
            <w:tab/>
          </w:r>
          <w:r>
            <w:t xml:space="preserve">312</w:t>
          </w:r>
        </w:p>
        <w:p>
          <w:pPr>
            <w:pStyle w:val="TOC1"/>
            <w:tabs>
              <w:tab w:val="right" w:leader="dot" w:pos="9630"/>
            </w:tabs>
          </w:pPr>
          <w:r>
            <w:t xml:space="preserve">Annex AM – Requirements Traceability</w:t>
          </w:r>
          <w:r>
            <w:tab/>
          </w:r>
          <w:r>
            <w:t xml:space="preserve">315</w:t>
          </w:r>
        </w:p>
        <w:p>
          <w:pPr>
            <w:pStyle w:val="TOC1"/>
            <w:tabs>
              <w:tab w:val="right" w:leader="dot" w:pos="9630"/>
            </w:tabs>
          </w:pPr>
          <w:r>
            <w:t xml:space="preserve">Annex AN – Assumptions, Dependencies and Open Questions</w:t>
          </w:r>
          <w:r>
            <w:tab/>
          </w:r>
          <w:r>
            <w:t xml:space="preserve">327</w:t>
          </w:r>
        </w:p>
        <w:p>
          <w:pPr>
            <w:pStyle w:val="TOC1"/>
            <w:tabs>
              <w:tab w:val="right" w:leader="dot" w:pos="9630"/>
            </w:tabs>
          </w:pPr>
          <w:r>
            <w:t xml:space="preserve">Annex AO – Observations and Points for BDOI Decision</w:t>
          </w:r>
          <w:r>
            <w:tab/>
          </w:r>
          <w:r>
            <w:t xml:space="preserve">331</w:t>
          </w:r>
        </w:p>
        <w:p>
          <w:pPr>
            <w:pStyle w:val="TOC1"/>
            <w:tabs>
              <w:tab w:val="right" w:leader="dot" w:pos="9630"/>
            </w:tabs>
          </w:pPr>
          <w:r>
            <w:t xml:space="preserve">Annex AP – Change Control after Sign-off</w:t>
          </w:r>
          <w:r>
            <w:tab/>
          </w:r>
          <w:r>
            <w:t xml:space="preserve">345</w:t>
          </w:r>
        </w:p>
        <w:p>
          <w:pPr>
            <w:pStyle w:val="TOC1"/>
            <w:tabs>
              <w:tab w:val="right" w:leader="dot" w:pos="9630"/>
            </w:tabs>
          </w:pPr>
          <w:r>
            <w:t xml:space="preserve">Annex AQ – Business Unit Review Checklist</w:t>
          </w:r>
          <w:r>
            <w:tab/>
          </w:r>
          <w:r>
            <w:t xml:space="preserve">349</w:t>
          </w:r>
        </w:p>
        <w:p>
          <w:pPr>
            <w:pStyle w:val="TOC1"/>
            <w:tabs>
              <w:tab w:val="right" w:leader="dot" w:pos="9630"/>
            </w:tabs>
          </w:pPr>
          <w:r>
            <w:t xml:space="preserve">Annex AR – Glossary</w:t>
          </w:r>
          <w:r>
            <w:tab/>
          </w:r>
          <w:r>
            <w:t xml:space="preserve">350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rPr>
        <w:t xml:space="preserve"/>
      </w:r>
      <w:r>
        <w:rPr>
          <w:rFonts w:ascii="Arial" w:hAnsi="Arial" w:cs="Arial"/>
          <w:b/>
          <w:bCs/>
          <w:color w:val="014EA9"/>
        </w:rPr>
        <w:t xml:space="preserve">How to read this document</w:t>
      </w:r>
    </w:p>
    <w:p>
      <w:pPr>
        <w:pStyle w:val="BodyText"/>
        <w:keepNext/>
        <w:ind w:left="360" w:right="270"/>
        <w:jc w:val="both"/>
        <w:rPr>
          <w:rFonts w:cs="Arial" w:ascii="Arial" w:hAnsi="Arial"/>
        </w:rPr>
      </w:pPr>
      <w:r>
        <w:rPr>
          <w:rFonts w:cs="Arial" w:ascii="Arial" w:hAnsi="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RN-NFR-18</w:t>
            </w:r>
          </w:p>
        </w:tc>
        <w:tc>
          <w:tcPr>
            <w:tcW w:w="1152" w:type="dxa"/>
          </w:tcPr>
          <w:p>
            <w:pPr>
              <w:spacing w:after="20" w:before="20"/>
              <w:rPr>
                <w:rFonts w:ascii="Arial" w:hAnsi="Arial" w:cs="Arial"/>
                <w:sz w:val="14"/>
                <w:szCs w:val="14"/>
              </w:rPr>
            </w:pPr>
            <w:r>
              <w:rPr>
                <w:rFonts w:ascii="Arial" w:hAnsi="Arial" w:cs="Arial"/>
                <w:sz w:val="16"/>
                <w:szCs w:val="16"/>
              </w:rPr>
              <w:t xml:space="preserve">Audit source</w:t>
            </w:r>
          </w:p>
        </w:tc>
        <w:tc>
          <w:tcPr>
            <w:tcW w:w="3024" w:type="dxa"/>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tcPr>
          <w:p>
            <w:pPr>
              <w:spacing w:after="20" w:before="20"/>
              <w:rPr>
                <w:rFonts w:ascii="Arial" w:hAnsi="Arial" w:cs="Arial"/>
                <w:sz w:val="15"/>
                <w:szCs w:val="15"/>
              </w:rPr>
            </w:pPr>
            <w:r>
              <w:rPr>
                <w:rFonts w:ascii="Arial" w:hAnsi="Arial" w:cs="Arial"/>
                <w:sz w:val="16"/>
                <w:szCs w:val="16"/>
              </w:rPr>
              <w:t xml:space="preserve">FRRN.009.01</w:t>
            </w:r>
          </w:p>
        </w:tc>
        <w:tc>
          <w:tcPr>
            <w:tcW w:w="1786" w:type="dxa"/>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CR-RN-001</w:t>
            </w:r>
          </w:p>
        </w:tc>
        <w:tc>
          <w:tcPr>
            <w:tcW w:w="1004" w:type="dxa"/>
          </w:tcPr>
          <w:p>
            <w:pPr>
              <w:spacing w:after="20" w:before="20"/>
              <w:rPr>
                <w:rFonts w:ascii="Arial" w:hAnsi="Arial" w:cs="Arial"/>
                <w:sz w:val="15"/>
                <w:szCs w:val="15"/>
              </w:rPr>
            </w:pPr>
            <w:r>
              <w:rPr>
                <w:rFonts w:ascii="Arial" w:hAnsi="Arial" w:cs="Arial"/>
                <w:sz w:val="16"/>
                <w:szCs w:val="16"/>
              </w:rPr>
              <w:t xml:space="preserve">FRRN.010.01</w:t>
            </w:r>
          </w:p>
        </w:tc>
        <w:tc>
          <w:tcPr>
            <w:tcW w:w="1786" w:type="dxa"/>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CR-RN-002</w:t>
            </w:r>
          </w:p>
        </w:tc>
        <w:tc>
          <w:tcPr>
            <w:tcW w:w="1004" w:type="dxa"/>
          </w:tcPr>
          <w:p>
            <w:pPr>
              <w:spacing w:after="20" w:before="20"/>
              <w:rPr>
                <w:rFonts w:ascii="Arial" w:hAnsi="Arial" w:cs="Arial"/>
                <w:sz w:val="15"/>
                <w:szCs w:val="15"/>
              </w:rPr>
            </w:pPr>
            <w:r>
              <w:rPr>
                <w:rFonts w:ascii="Arial" w:hAnsi="Arial" w:cs="Arial"/>
                <w:sz w:val="16"/>
                <w:szCs w:val="16"/>
              </w:rPr>
              <w:t xml:space="preserve">FRRN.011.03</w:t>
            </w:r>
          </w:p>
        </w:tc>
        <w:tc>
          <w:tcPr>
            <w:tcW w:w="1786" w:type="dxa"/>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CR-RN-003</w:t>
            </w:r>
          </w:p>
        </w:tc>
        <w:tc>
          <w:tcPr>
            <w:tcW w:w="1004" w:type="dxa"/>
          </w:tcPr>
          <w:p>
            <w:pPr>
              <w:spacing w:after="20" w:before="20"/>
              <w:rPr>
                <w:rFonts w:ascii="Arial" w:hAnsi="Arial" w:cs="Arial"/>
                <w:sz w:val="15"/>
                <w:szCs w:val="15"/>
              </w:rPr>
            </w:pPr>
            <w:r>
              <w:rPr>
                <w:rFonts w:ascii="Arial" w:hAnsi="Arial" w:cs="Arial"/>
                <w:sz w:val="16"/>
                <w:szCs w:val="16"/>
              </w:rPr>
              <w:t xml:space="preserve">FRRN.002.02.01</w:t>
            </w:r>
          </w:p>
        </w:tc>
        <w:tc>
          <w:tcPr>
            <w:tcW w:w="1786" w:type="dxa"/>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CR-RN-004</w:t>
            </w:r>
          </w:p>
        </w:tc>
        <w:tc>
          <w:tcPr>
            <w:tcW w:w="1004" w:type="dxa"/>
          </w:tcPr>
          <w:p>
            <w:pPr>
              <w:spacing w:after="20" w:before="20"/>
              <w:rPr>
                <w:rFonts w:ascii="Arial" w:hAnsi="Arial" w:cs="Arial"/>
                <w:sz w:val="15"/>
                <w:szCs w:val="15"/>
              </w:rPr>
            </w:pPr>
            <w:r>
              <w:rPr>
                <w:rFonts w:ascii="Arial" w:hAnsi="Arial" w:cs="Arial"/>
                <w:sz w:val="16"/>
                <w:szCs w:val="16"/>
              </w:rPr>
              <w:t xml:space="preserve">FRRN.003.02</w:t>
            </w:r>
          </w:p>
        </w:tc>
        <w:tc>
          <w:tcPr>
            <w:tcW w:w="1786" w:type="dxa"/>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CR-RN-006</w:t>
            </w:r>
          </w:p>
        </w:tc>
        <w:tc>
          <w:tcPr>
            <w:tcW w:w="1004" w:type="dxa"/>
          </w:tcPr>
          <w:p>
            <w:pPr>
              <w:spacing w:after="20" w:before="20"/>
              <w:rPr>
                <w:rFonts w:ascii="Arial" w:hAnsi="Arial" w:cs="Arial"/>
                <w:sz w:val="15"/>
                <w:szCs w:val="15"/>
              </w:rPr>
            </w:pPr>
            <w:r>
              <w:rPr>
                <w:rFonts w:ascii="Arial" w:hAnsi="Arial" w:cs="Arial"/>
                <w:sz w:val="16"/>
                <w:szCs w:val="16"/>
              </w:rPr>
              <w:t xml:space="preserve">FRRN.039.02</w:t>
            </w:r>
          </w:p>
        </w:tc>
        <w:tc>
          <w:tcPr>
            <w:tcW w:w="1786" w:type="dxa"/>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CR-RN-010</w:t>
            </w:r>
          </w:p>
        </w:tc>
        <w:tc>
          <w:tcPr>
            <w:tcW w:w="1004" w:type="dxa"/>
          </w:tcPr>
          <w:p>
            <w:pPr>
              <w:spacing w:after="20" w:before="20"/>
              <w:rPr>
                <w:rFonts w:ascii="Arial" w:hAnsi="Arial" w:cs="Arial"/>
                <w:sz w:val="15"/>
                <w:szCs w:val="15"/>
              </w:rPr>
            </w:pPr>
            <w:r>
              <w:rPr>
                <w:rFonts w:ascii="Arial" w:hAnsi="Arial" w:cs="Arial"/>
                <w:sz w:val="16"/>
                <w:szCs w:val="16"/>
              </w:rPr>
              <w:t xml:space="preserve">FRRN.014.05</w:t>
            </w:r>
          </w:p>
        </w:tc>
        <w:tc>
          <w:tcPr>
            <w:tcW w:w="1786" w:type="dxa"/>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CR-RN-011</w:t>
            </w:r>
          </w:p>
        </w:tc>
        <w:tc>
          <w:tcPr>
            <w:tcW w:w="1004" w:type="dxa"/>
          </w:tcPr>
          <w:p>
            <w:pPr>
              <w:spacing w:after="20" w:before="20"/>
              <w:rPr>
                <w:rFonts w:ascii="Arial" w:hAnsi="Arial" w:cs="Arial"/>
                <w:sz w:val="15"/>
                <w:szCs w:val="15"/>
              </w:rPr>
            </w:pPr>
            <w:r>
              <w:rPr>
                <w:rFonts w:ascii="Arial" w:hAnsi="Arial" w:cs="Arial"/>
                <w:sz w:val="16"/>
                <w:szCs w:val="16"/>
              </w:rPr>
              <w:t xml:space="preserve">FRRN.036.03</w:t>
            </w:r>
          </w:p>
        </w:tc>
        <w:tc>
          <w:tcPr>
            <w:tcW w:w="1786" w:type="dxa"/>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CR-RN-014</w:t>
            </w:r>
          </w:p>
        </w:tc>
        <w:tc>
          <w:tcPr>
            <w:tcW w:w="1004" w:type="dxa"/>
          </w:tcPr>
          <w:p>
            <w:pPr>
              <w:spacing w:after="20" w:before="20"/>
              <w:rPr>
                <w:rFonts w:ascii="Arial" w:hAnsi="Arial" w:cs="Arial"/>
                <w:sz w:val="15"/>
                <w:szCs w:val="15"/>
              </w:rPr>
            </w:pPr>
            <w:r>
              <w:rPr>
                <w:rFonts w:ascii="Arial" w:hAnsi="Arial" w:cs="Arial"/>
                <w:sz w:val="16"/>
                <w:szCs w:val="16"/>
              </w:rPr>
              <w:t xml:space="preserve">FRRN.033.01</w:t>
            </w:r>
          </w:p>
        </w:tc>
        <w:tc>
          <w:tcPr>
            <w:tcW w:w="1786" w:type="dxa"/>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CR-RN-016</w:t>
            </w:r>
          </w:p>
        </w:tc>
        <w:tc>
          <w:tcPr>
            <w:tcW w:w="1004" w:type="dxa"/>
          </w:tcPr>
          <w:p>
            <w:pPr>
              <w:spacing w:after="20" w:before="20"/>
              <w:rPr>
                <w:rFonts w:ascii="Arial" w:hAnsi="Arial" w:cs="Arial"/>
                <w:sz w:val="15"/>
                <w:szCs w:val="15"/>
              </w:rPr>
            </w:pPr>
            <w:r>
              <w:rPr>
                <w:rFonts w:ascii="Arial" w:hAnsi="Arial" w:cs="Arial"/>
                <w:sz w:val="16"/>
                <w:szCs w:val="16"/>
              </w:rPr>
              <w:t xml:space="preserve">FRRN.26.01</w:t>
            </w:r>
          </w:p>
        </w:tc>
        <w:tc>
          <w:tcPr>
            <w:tcW w:w="1786"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CR-RN-017</w:t>
            </w:r>
          </w:p>
        </w:tc>
        <w:tc>
          <w:tcPr>
            <w:tcW w:w="1004" w:type="dxa"/>
          </w:tcPr>
          <w:p>
            <w:pPr>
              <w:spacing w:after="20" w:before="20"/>
              <w:rPr>
                <w:rFonts w:ascii="Arial" w:hAnsi="Arial" w:cs="Arial"/>
                <w:sz w:val="15"/>
                <w:szCs w:val="15"/>
              </w:rPr>
            </w:pPr>
            <w:r>
              <w:rPr>
                <w:rFonts w:ascii="Arial" w:hAnsi="Arial" w:cs="Arial"/>
                <w:sz w:val="16"/>
                <w:szCs w:val="16"/>
              </w:rPr>
              <w:t xml:space="preserve">FRRN.013.02</w:t>
            </w:r>
          </w:p>
        </w:tc>
        <w:tc>
          <w:tcPr>
            <w:tcW w:w="1786" w:type="dxa"/>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tcPr>
          <w:p>
            <w:pPr>
              <w:spacing w:after="20" w:before="20"/>
              <w:rPr>
                <w:rFonts w:ascii="Arial" w:hAnsi="Arial" w:cs="Arial"/>
                <w:sz w:val="15"/>
                <w:szCs w:val="15"/>
              </w:rPr>
            </w:pPr>
            <w:r>
              <w:rPr>
                <w:rFonts w:ascii="Arial" w:hAnsi="Arial" w:cs="Arial"/>
                <w:sz w:val="16"/>
                <w:szCs w:val="16"/>
              </w:rPr>
              <w:t xml:space="preserve">CR-RN-022</w:t>
            </w:r>
          </w:p>
        </w:tc>
        <w:tc>
          <w:tcPr>
            <w:tcW w:w="1004" w:type="dxa"/>
          </w:tcPr>
          <w:p>
            <w:pPr>
              <w:spacing w:after="20" w:before="20"/>
              <w:rPr>
                <w:rFonts w:ascii="Arial" w:hAnsi="Arial" w:cs="Arial"/>
                <w:sz w:val="15"/>
                <w:szCs w:val="15"/>
              </w:rPr>
            </w:pPr>
            <w:r>
              <w:rPr>
                <w:rFonts w:ascii="Arial" w:hAnsi="Arial" w:cs="Arial"/>
                <w:sz w:val="16"/>
                <w:szCs w:val="16"/>
              </w:rPr>
              <w:t xml:space="preserve">FRRN.041.01</w:t>
            </w:r>
          </w:p>
        </w:tc>
        <w:tc>
          <w:tcPr>
            <w:tcW w:w="1786" w:type="dxa"/>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rPr>
        <w:t xml:space="preserve">Total planning effort of these BRD items: 107.5 man-days (14 items); not in the change request total.</w:t>
      </w:r>
    </w:p>
    <w:p>
      <w:pPr>
        <w:keepNext/>
        <w:rPr>
          <w:rFonts w:ascii="Arial" w:hAnsi="Arial" w:cs="Arial"/>
        </w:rPr>
      </w:pPr>
      <w:r>
        <w:rPr>
          <w:rFonts w:ascii="Arial" w:hAnsi="Arial" w:cs="Arial"/>
          <w:b/>
          <w:bCs/>
        </w:rPr>
        <w:t xml:space="preserve">Black - BRD requirements offered out of the box (in scope; no effort)</w:t>
      </w:r>
    </w:p>
    <w:p>
      <w:pPr>
        <w:rPr>
          <w:rFonts w:ascii="Arial" w:hAnsi="Arial" w:cs="Arial"/>
          <w:sz w:val="18"/>
          <w:szCs w:val="18"/>
        </w:rPr>
      </w:pPr>
      <w:r>
        <w:rPr>
          <w:rFonts w:ascii="Arial" w:hAnsi="Arial" w:cs="Arial"/>
          <w:sz w:val="20"/>
          <w:szCs w:val="20"/>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G-19</w:t>
            </w:r>
          </w:p>
        </w:tc>
        <w:tc>
          <w:tcPr>
            <w:tcW w:w="1120" w:type="dxa"/>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G-23</w:t>
            </w:r>
          </w:p>
        </w:tc>
        <w:tc>
          <w:tcPr>
            <w:tcW w:w="1120" w:type="dxa"/>
          </w:tcPr>
          <w:p>
            <w:pPr>
              <w:spacing w:after="20" w:before="20"/>
              <w:rPr>
                <w:rFonts w:ascii="Arial" w:hAnsi="Arial" w:cs="Arial"/>
                <w:sz w:val="15"/>
                <w:szCs w:val="15"/>
              </w:rPr>
            </w:pPr>
            <w:r>
              <w:rPr>
                <w:rFonts w:ascii="Arial" w:hAnsi="Arial" w:cs="Arial"/>
                <w:sz w:val="16"/>
                <w:szCs w:val="16"/>
              </w:rPr>
              <w:t xml:space="preserve">FRRN.043.01</w:t>
            </w:r>
          </w:p>
        </w:tc>
        <w:tc>
          <w:tcPr>
            <w:tcW w:w="1992" w:type="dxa"/>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CR-RN-007</w:t>
            </w:r>
          </w:p>
        </w:tc>
        <w:tc>
          <w:tcPr>
            <w:tcW w:w="1213" w:type="dxa"/>
          </w:tcPr>
          <w:p>
            <w:pPr>
              <w:spacing w:after="20" w:before="20"/>
              <w:rPr>
                <w:rFonts w:ascii="Arial" w:hAnsi="Arial" w:cs="Arial"/>
                <w:sz w:val="15"/>
                <w:szCs w:val="15"/>
              </w:rPr>
            </w:pPr>
            <w:r>
              <w:rPr>
                <w:rFonts w:ascii="Arial" w:hAnsi="Arial" w:cs="Arial"/>
                <w:sz w:val="16"/>
                <w:szCs w:val="16"/>
              </w:rPr>
              <w:t xml:space="preserve">FRRN.012.06</w:t>
            </w:r>
          </w:p>
        </w:tc>
        <w:tc>
          <w:tcPr>
            <w:tcW w:w="3155" w:type="dxa"/>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6"/>
                <w:szCs w:val="16"/>
              </w:rPr>
              <w:t xml:space="preserve">CR-RN-021</w:t>
            </w:r>
          </w:p>
        </w:tc>
        <w:tc>
          <w:tcPr>
            <w:tcW w:w="1213" w:type="dxa"/>
          </w:tcPr>
          <w:p>
            <w:pPr>
              <w:spacing w:after="20" w:before="20"/>
              <w:rPr>
                <w:rFonts w:ascii="Arial" w:hAnsi="Arial" w:cs="Arial"/>
                <w:sz w:val="15"/>
                <w:szCs w:val="15"/>
              </w:rPr>
            </w:pPr>
            <w:r>
              <w:rPr>
                <w:rFonts w:ascii="Arial" w:hAnsi="Arial" w:cs="Arial"/>
                <w:sz w:val="16"/>
                <w:szCs w:val="16"/>
              </w:rPr>
              <w:t xml:space="preserve">FRRN.27.01</w:t>
            </w:r>
          </w:p>
        </w:tc>
        <w:tc>
          <w:tcPr>
            <w:tcW w:w="3155" w:type="dxa"/>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