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20"/>
          <w:szCs w:val="20"/>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Introduction: "How to read this document" - black for the BRD; green for BDOI's points offered by the iNXT BrokerVerse platform out of the box (1 points); orange for change requests, only for points in no BRD (4);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Functional Requirements: BDOI's text of the 8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AP.1: the points beyond the BRD - out of the box, change requests with their effort (45.5 man-days; CR Effort Estimate workbook), the BRD requirements that were first listed as change requests and are BRD items to deliver (14 items, 107.5 man-days of planning effort, black) and the Integration scope; Annex AP.2: best-practice recommendations (5 with indicative effort).</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196</w:t>
          </w:r>
        </w:p>
        <w:p>
          <w:pPr>
            <w:pStyle w:val="TOC2"/>
            <w:tabs>
              <w:tab w:val="right" w:leader="dot" w:pos="9630"/>
            </w:tabs>
          </w:pPr>
          <w:r>
            <w:t xml:space="preserve">I. Corporate</w:t>
          </w:r>
          <w:r>
            <w:tab/>
          </w:r>
          <w:r>
            <w:t xml:space="preserve">196</w:t>
          </w:r>
        </w:p>
        <w:p>
          <w:pPr>
            <w:pStyle w:val="TOC2"/>
            <w:tabs>
              <w:tab w:val="right" w:leader="dot" w:pos="9630"/>
            </w:tabs>
          </w:pPr>
          <w:r>
            <w:t xml:space="preserve">II. Retail</w:t>
          </w:r>
          <w:r>
            <w:tab/>
          </w:r>
          <w:r>
            <w:t xml:space="preserve">196</w:t>
          </w:r>
        </w:p>
        <w:p>
          <w:pPr>
            <w:pStyle w:val="TOC2"/>
            <w:tabs>
              <w:tab w:val="right" w:leader="dot" w:pos="9630"/>
            </w:tabs>
          </w:pPr>
          <w:r>
            <w:t xml:space="preserve">III. CBG Motor</w:t>
          </w:r>
          <w:r>
            <w:tab/>
          </w:r>
          <w:r>
            <w:t xml:space="preserve">197</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198</w:t>
          </w:r>
        </w:p>
        <w:p>
          <w:pPr>
            <w:pStyle w:val="TOC2"/>
            <w:tabs>
              <w:tab w:val="right" w:leader="dot" w:pos="9630"/>
            </w:tabs>
          </w:pPr>
          <w:r>
            <w:t xml:space="preserve">I. CBG Loans excluding Personal</w:t>
          </w:r>
          <w:r>
            <w:tab/>
          </w:r>
          <w:r>
            <w:t xml:space="preserve">198</w:t>
          </w:r>
        </w:p>
        <w:p>
          <w:pPr>
            <w:pStyle w:val="TOC2"/>
            <w:tabs>
              <w:tab w:val="right" w:leader="dot" w:pos="9630"/>
            </w:tabs>
          </w:pPr>
          <w:r>
            <w:t xml:space="preserve">II. List of Paid Off Accounts</w:t>
          </w:r>
          <w:r>
            <w:tab/>
          </w:r>
          <w:r>
            <w:t xml:space="preserve">200</w:t>
          </w:r>
        </w:p>
        <w:p>
          <w:pPr>
            <w:pStyle w:val="TOC1"/>
            <w:tabs>
              <w:tab w:val="right" w:leader="dot" w:pos="9630"/>
            </w:tabs>
          </w:pPr>
          <w:r>
            <w:t xml:space="preserve">Annex H – Insurer Disposition Upload Details (CBG)</w:t>
          </w:r>
          <w:r>
            <w:tab/>
          </w:r>
          <w:r>
            <w:t xml:space="preserve">201</w:t>
          </w:r>
        </w:p>
        <w:p>
          <w:pPr>
            <w:pStyle w:val="TOC1"/>
            <w:tabs>
              <w:tab w:val="right" w:leader="dot" w:pos="9630"/>
            </w:tabs>
          </w:pPr>
          <w:r>
            <w:t xml:space="preserve">Annex I – Quick Proposal Template</w:t>
          </w:r>
          <w:r>
            <w:tab/>
          </w:r>
          <w:r>
            <w:t xml:space="preserve">201</w:t>
          </w:r>
        </w:p>
        <w:p>
          <w:pPr>
            <w:pStyle w:val="TOC1"/>
            <w:tabs>
              <w:tab w:val="right" w:leader="dot" w:pos="9630"/>
            </w:tabs>
          </w:pPr>
          <w:r>
            <w:t xml:space="preserve">Annex J – Full Proposal Template</w:t>
          </w:r>
          <w:r>
            <w:tab/>
          </w:r>
          <w:r>
            <w:t xml:space="preserve">201</w:t>
          </w:r>
        </w:p>
        <w:p>
          <w:pPr>
            <w:pStyle w:val="TOC1"/>
            <w:tabs>
              <w:tab w:val="right" w:leader="dot" w:pos="9630"/>
            </w:tabs>
          </w:pPr>
          <w:r>
            <w:t xml:space="preserve">Annex K - Non –Package Quotation Request Details</w:t>
          </w:r>
          <w:r>
            <w:tab/>
          </w:r>
          <w:r>
            <w:t xml:space="preserve">201</w:t>
          </w:r>
        </w:p>
        <w:p>
          <w:pPr>
            <w:pStyle w:val="TOC1"/>
            <w:tabs>
              <w:tab w:val="right" w:leader="dot" w:pos="9630"/>
            </w:tabs>
          </w:pPr>
          <w:r>
            <w:t xml:space="preserve">Annex L – Renewal Advice Template</w:t>
          </w:r>
          <w:r>
            <w:tab/>
          </w:r>
          <w:r>
            <w:t xml:space="preserve">202</w:t>
          </w:r>
        </w:p>
        <w:p>
          <w:pPr>
            <w:pStyle w:val="TOC1"/>
            <w:tabs>
              <w:tab w:val="right" w:leader="dot" w:pos="9630"/>
            </w:tabs>
          </w:pPr>
          <w:r>
            <w:t xml:space="preserve">Annex M - Letter Eligibility Matrix</w:t>
          </w:r>
          <w:r>
            <w:tab/>
          </w:r>
          <w:r>
            <w:t xml:space="preserve">202</w:t>
          </w:r>
        </w:p>
        <w:p>
          <w:pPr>
            <w:pStyle w:val="TOC1"/>
            <w:tabs>
              <w:tab w:val="right" w:leader="dot" w:pos="9630"/>
            </w:tabs>
          </w:pPr>
          <w:r>
            <w:t xml:space="preserve">Annex N – NRNS Reminder Letter Template</w:t>
          </w:r>
          <w:r>
            <w:tab/>
          </w:r>
          <w:r>
            <w:t xml:space="preserve">203</w:t>
          </w:r>
        </w:p>
        <w:p>
          <w:pPr>
            <w:pStyle w:val="TOC1"/>
            <w:tabs>
              <w:tab w:val="right" w:leader="dot" w:pos="9630"/>
            </w:tabs>
          </w:pPr>
          <w:r>
            <w:t xml:space="preserve">Annex O – No Advice Letter Template</w:t>
          </w:r>
          <w:r>
            <w:tab/>
          </w:r>
          <w:r>
            <w:t xml:space="preserve">203</w:t>
          </w:r>
        </w:p>
        <w:p>
          <w:pPr>
            <w:pStyle w:val="TOC1"/>
            <w:tabs>
              <w:tab w:val="right" w:leader="dot" w:pos="9630"/>
            </w:tabs>
          </w:pPr>
          <w:r>
            <w:t xml:space="preserve">Annex P – Non-Renewal Letter Template</w:t>
          </w:r>
          <w:r>
            <w:tab/>
          </w:r>
          <w:r>
            <w:t xml:space="preserve">203</w:t>
          </w:r>
        </w:p>
        <w:p>
          <w:pPr>
            <w:pStyle w:val="TOC1"/>
            <w:tabs>
              <w:tab w:val="right" w:leader="dot" w:pos="9630"/>
            </w:tabs>
          </w:pPr>
          <w:r>
            <w:t xml:space="preserve">Annex Q – SFU Letter Template</w:t>
          </w:r>
          <w:r>
            <w:tab/>
          </w:r>
          <w:r>
            <w:t xml:space="preserve">203</w:t>
          </w:r>
        </w:p>
        <w:p>
          <w:pPr>
            <w:pStyle w:val="TOC1"/>
            <w:tabs>
              <w:tab w:val="right" w:leader="dot" w:pos="9630"/>
            </w:tabs>
          </w:pPr>
          <w:r>
            <w:t xml:space="preserve">Annex R – FFY Reminder Letter Template</w:t>
          </w:r>
          <w:r>
            <w:tab/>
          </w:r>
          <w:r>
            <w:t xml:space="preserve">203</w:t>
          </w:r>
        </w:p>
        <w:p>
          <w:pPr>
            <w:pStyle w:val="TOC1"/>
            <w:tabs>
              <w:tab w:val="right" w:leader="dot" w:pos="9630"/>
            </w:tabs>
          </w:pPr>
          <w:r>
            <w:t xml:space="preserve">Annex S - Billing File Email and Attachment Template</w:t>
          </w:r>
          <w:r>
            <w:tab/>
          </w:r>
          <w:r>
            <w:t xml:space="preserve">203</w:t>
          </w:r>
        </w:p>
        <w:p>
          <w:pPr>
            <w:pStyle w:val="TOC2"/>
            <w:tabs>
              <w:tab w:val="right" w:leader="dot" w:pos="9630"/>
            </w:tabs>
          </w:pPr>
          <w:r>
            <w:t xml:space="preserve">I. Attachment Details</w:t>
          </w:r>
          <w:r>
            <w:tab/>
          </w:r>
          <w:r>
            <w:t xml:space="preserve">203</w:t>
          </w:r>
        </w:p>
        <w:p>
          <w:pPr>
            <w:pStyle w:val="TOC2"/>
            <w:tabs>
              <w:tab w:val="right" w:leader="dot" w:pos="9630"/>
            </w:tabs>
          </w:pPr>
          <w:r>
            <w:t xml:space="preserve">II. Email Template</w:t>
          </w:r>
          <w:r>
            <w:tab/>
          </w:r>
          <w:r>
            <w:t xml:space="preserve">204</w:t>
          </w:r>
        </w:p>
        <w:p>
          <w:pPr>
            <w:pStyle w:val="TOC1"/>
            <w:tabs>
              <w:tab w:val="right" w:leader="dot" w:pos="9630"/>
            </w:tabs>
          </w:pPr>
          <w:r>
            <w:t xml:space="preserve">Annex T - Placement Slip Template</w:t>
          </w:r>
          <w:r>
            <w:tab/>
          </w:r>
          <w:r>
            <w:t xml:space="preserve">205</w:t>
          </w:r>
        </w:p>
        <w:p>
          <w:pPr>
            <w:pStyle w:val="TOC1"/>
            <w:tabs>
              <w:tab w:val="right" w:leader="dot" w:pos="9630"/>
            </w:tabs>
          </w:pPr>
          <w:r>
            <w:t xml:space="preserve">Annex U – Placement File Field Details</w:t>
          </w:r>
          <w:r>
            <w:tab/>
          </w:r>
          <w:r>
            <w:t xml:space="preserve">205</w:t>
          </w:r>
        </w:p>
        <w:p>
          <w:pPr>
            <w:pStyle w:val="TOC2"/>
            <w:tabs>
              <w:tab w:val="right" w:leader="dot" w:pos="9630"/>
            </w:tabs>
          </w:pPr>
          <w:r>
            <w:t xml:space="preserve">I. Package Risk Description</w:t>
          </w:r>
          <w:r>
            <w:tab/>
          </w:r>
          <w:r>
            <w:t xml:space="preserve">206</w:t>
          </w:r>
        </w:p>
        <w:p>
          <w:pPr>
            <w:pStyle w:val="TOC2"/>
            <w:tabs>
              <w:tab w:val="right" w:leader="dot" w:pos="9630"/>
            </w:tabs>
          </w:pPr>
          <w:r>
            <w:t xml:space="preserve">II. Non-Package Risk Description</w:t>
          </w:r>
          <w:r>
            <w:tab/>
          </w:r>
          <w:r>
            <w:t xml:space="preserve">207</w:t>
          </w:r>
        </w:p>
        <w:p>
          <w:pPr>
            <w:pStyle w:val="TOC1"/>
            <w:tabs>
              <w:tab w:val="right" w:leader="dot" w:pos="9630"/>
            </w:tabs>
          </w:pPr>
          <w:r>
            <w:t xml:space="preserve">Annex V – Return Reasons</w:t>
          </w:r>
          <w:r>
            <w:tab/>
          </w:r>
          <w:r>
            <w:t xml:space="preserve">211</w:t>
          </w:r>
        </w:p>
        <w:p>
          <w:pPr>
            <w:pStyle w:val="TOC1"/>
            <w:tabs>
              <w:tab w:val="right" w:leader="dot" w:pos="9630"/>
            </w:tabs>
          </w:pPr>
          <w:r>
            <w:t xml:space="preserve">Annex W – Insurance Advice Template</w:t>
          </w:r>
          <w:r>
            <w:tab/>
          </w:r>
          <w:r>
            <w:t xml:space="preserve">212</w:t>
          </w:r>
        </w:p>
        <w:p>
          <w:pPr>
            <w:pStyle w:val="TOC1"/>
            <w:tabs>
              <w:tab w:val="right" w:leader="dot" w:pos="9630"/>
            </w:tabs>
          </w:pPr>
          <w:r>
            <w:t xml:space="preserve">Annex X – E-Policy Email Template</w:t>
          </w:r>
          <w:r>
            <w:tab/>
          </w:r>
          <w:r>
            <w:t xml:space="preserve">212</w:t>
          </w:r>
        </w:p>
        <w:p>
          <w:pPr>
            <w:pStyle w:val="TOC1"/>
            <w:tabs>
              <w:tab w:val="right" w:leader="dot" w:pos="9630"/>
            </w:tabs>
          </w:pPr>
          <w:r>
            <w:t xml:space="preserve">Annex Y – Service Invoice Template</w:t>
          </w:r>
          <w:r>
            <w:tab/>
          </w:r>
          <w:r>
            <w:t xml:space="preserve">212</w:t>
          </w:r>
        </w:p>
        <w:p>
          <w:pPr>
            <w:pStyle w:val="TOC1"/>
            <w:tabs>
              <w:tab w:val="right" w:leader="dot" w:pos="9630"/>
            </w:tabs>
          </w:pPr>
          <w:r>
            <w:t xml:space="preserve">Annex Z – Hold Cover Template</w:t>
          </w:r>
          <w:r>
            <w:tab/>
          </w:r>
          <w:r>
            <w:t xml:space="preserve">213</w:t>
          </w:r>
        </w:p>
        <w:p>
          <w:pPr>
            <w:pStyle w:val="TOC1"/>
            <w:tabs>
              <w:tab w:val="right" w:leader="dot" w:pos="9630"/>
            </w:tabs>
          </w:pPr>
          <w:r>
            <w:t xml:space="preserve">Annex AA – Screen Specifications</w:t>
          </w:r>
          <w:r>
            <w:tab/>
          </w:r>
          <w:r>
            <w:t xml:space="preserve">214</w:t>
          </w:r>
        </w:p>
        <w:p>
          <w:pPr>
            <w:pStyle w:val="TOC1"/>
            <w:tabs>
              <w:tab w:val="right" w:leader="dot" w:pos="9630"/>
            </w:tabs>
          </w:pPr>
          <w:r>
            <w:t xml:space="preserve">Annex AB – Messages and Validations</w:t>
          </w:r>
          <w:r>
            <w:tab/>
          </w:r>
          <w:r>
            <w:t xml:space="preserve">263</w:t>
          </w:r>
        </w:p>
        <w:p>
          <w:pPr>
            <w:pStyle w:val="TOC1"/>
            <w:tabs>
              <w:tab w:val="right" w:leader="dot" w:pos="9630"/>
            </w:tabs>
          </w:pPr>
          <w:r>
            <w:t xml:space="preserve">Annex AC – Business Rules and Configurable Parameters</w:t>
          </w:r>
          <w:r>
            <w:tab/>
          </w:r>
          <w:r>
            <w:t xml:space="preserve">273</w:t>
          </w:r>
        </w:p>
        <w:p>
          <w:pPr>
            <w:pStyle w:val="TOC1"/>
            <w:tabs>
              <w:tab w:val="right" w:leader="dot" w:pos="9630"/>
            </w:tabs>
          </w:pPr>
          <w:r>
            <w:t xml:space="preserve">Annex AD – Workflow and Approvals</w:t>
          </w:r>
          <w:r>
            <w:tab/>
          </w:r>
          <w:r>
            <w:t xml:space="preserve">279</w:t>
          </w:r>
        </w:p>
        <w:p>
          <w:pPr>
            <w:pStyle w:val="TOC1"/>
            <w:tabs>
              <w:tab w:val="right" w:leader="dot" w:pos="9630"/>
            </w:tabs>
          </w:pPr>
          <w:r>
            <w:t xml:space="preserve">Annex AE – E-mail and Notification Texts</w:t>
          </w:r>
          <w:r>
            <w:tab/>
          </w:r>
          <w:r>
            <w:t xml:space="preserve">281</w:t>
          </w:r>
        </w:p>
        <w:p>
          <w:pPr>
            <w:pStyle w:val="TOC1"/>
            <w:tabs>
              <w:tab w:val="right" w:leader="dot" w:pos="9630"/>
            </w:tabs>
          </w:pPr>
          <w:r>
            <w:t xml:space="preserve">Annex AF – Document Prints and Output Formats</w:t>
          </w:r>
          <w:r>
            <w:tab/>
          </w:r>
          <w:r>
            <w:t xml:space="preserve">297</w:t>
          </w:r>
        </w:p>
        <w:p>
          <w:pPr>
            <w:pStyle w:val="TOC1"/>
            <w:tabs>
              <w:tab w:val="right" w:leader="dot" w:pos="9630"/>
            </w:tabs>
          </w:pPr>
          <w:r>
            <w:t xml:space="preserve">Annex AG – Reports and Schedules</w:t>
          </w:r>
          <w:r>
            <w:tab/>
          </w:r>
          <w:r>
            <w:t xml:space="preserve">306</w:t>
          </w:r>
        </w:p>
        <w:p>
          <w:pPr>
            <w:pStyle w:val="TOC1"/>
            <w:tabs>
              <w:tab w:val="right" w:leader="dot" w:pos="9630"/>
            </w:tabs>
          </w:pPr>
          <w:r>
            <w:t xml:space="preserve">Annex AH – Integrations</w:t>
          </w:r>
          <w:r>
            <w:tab/>
          </w:r>
          <w:r>
            <w:t xml:space="preserve">308</w:t>
          </w:r>
        </w:p>
        <w:p>
          <w:pPr>
            <w:pStyle w:val="TOC1"/>
            <w:tabs>
              <w:tab w:val="right" w:leader="dot" w:pos="9630"/>
            </w:tabs>
          </w:pPr>
          <w:r>
            <w:t xml:space="preserve">Annex AJ – Non-functional Requirements</w:t>
          </w:r>
          <w:r>
            <w:tab/>
          </w:r>
          <w:r>
            <w:t xml:space="preserve">310</w:t>
          </w:r>
        </w:p>
        <w:p>
          <w:pPr>
            <w:pStyle w:val="TOC1"/>
            <w:tabs>
              <w:tab w:val="right" w:leader="dot" w:pos="9630"/>
            </w:tabs>
          </w:pPr>
          <w:r>
            <w:t xml:space="preserve">Annex AK – Data Set-up and Migration at Go-live</w:t>
          </w:r>
          <w:r>
            <w:tab/>
          </w:r>
          <w:r>
            <w:t xml:space="preserve">312</w:t>
          </w:r>
        </w:p>
        <w:p>
          <w:pPr>
            <w:pStyle w:val="TOC1"/>
            <w:tabs>
              <w:tab w:val="right" w:leader="dot" w:pos="9630"/>
            </w:tabs>
          </w:pPr>
          <w:r>
            <w:t xml:space="preserve">Annex AL – Process Walkthroughs</w:t>
          </w:r>
          <w:r>
            <w:tab/>
          </w:r>
          <w:r>
            <w:t xml:space="preserve">313</w:t>
          </w:r>
        </w:p>
        <w:p>
          <w:pPr>
            <w:pStyle w:val="TOC1"/>
            <w:tabs>
              <w:tab w:val="right" w:leader="dot" w:pos="9630"/>
            </w:tabs>
          </w:pPr>
          <w:r>
            <w:t xml:space="preserve">Annex AM – Requirements Traceability</w:t>
          </w:r>
          <w:r>
            <w:tab/>
          </w:r>
          <w:r>
            <w:t xml:space="preserve">316</w:t>
          </w:r>
        </w:p>
        <w:p>
          <w:pPr>
            <w:pStyle w:val="TOC1"/>
            <w:tabs>
              <w:tab w:val="right" w:leader="dot" w:pos="9630"/>
            </w:tabs>
          </w:pPr>
          <w:r>
            <w:t xml:space="preserve">Annex AN – Assumptions, Dependencies and Open Questions</w:t>
          </w:r>
          <w:r>
            <w:tab/>
          </w:r>
          <w:r>
            <w:t xml:space="preserve">328</w:t>
          </w:r>
        </w:p>
        <w:p>
          <w:pPr>
            <w:pStyle w:val="TOC1"/>
            <w:tabs>
              <w:tab w:val="right" w:leader="dot" w:pos="9630"/>
            </w:tabs>
          </w:pPr>
          <w:r>
            <w:t xml:space="preserve">Annex AO – Observations and Points for BDOI Decision</w:t>
          </w:r>
          <w:r>
            <w:tab/>
          </w:r>
          <w:r>
            <w:t xml:space="preserve">332</w:t>
          </w:r>
        </w:p>
        <w:p>
          <w:pPr>
            <w:pStyle w:val="TOC1"/>
            <w:tabs>
              <w:tab w:val="right" w:leader="dot" w:pos="9630"/>
            </w:tabs>
          </w:pPr>
          <w:r>
            <w:t xml:space="preserve">Annex AP – Change Control after Sign-off</w:t>
          </w:r>
          <w:r>
            <w:tab/>
          </w:r>
          <w:r>
            <w:t xml:space="preserve">346</w:t>
          </w:r>
        </w:p>
        <w:p>
          <w:pPr>
            <w:pStyle w:val="TOC1"/>
            <w:tabs>
              <w:tab w:val="right" w:leader="dot" w:pos="9630"/>
            </w:tabs>
          </w:pPr>
          <w:r>
            <w:t xml:space="preserve">Annex AQ – Business Unit Review Checklist</w:t>
          </w:r>
          <w:r>
            <w:tab/>
          </w:r>
          <w:r>
            <w:t xml:space="preserve">350</w:t>
          </w:r>
        </w:p>
        <w:p>
          <w:pPr>
            <w:pStyle w:val="TOC1"/>
            <w:tabs>
              <w:tab w:val="right" w:leader="dot" w:pos="9630"/>
            </w:tabs>
          </w:pPr>
          <w:r>
            <w:t xml:space="preserve">Annex AR – Glossary</w:t>
          </w:r>
          <w:r>
            <w:tab/>
          </w:r>
          <w:r>
            <w:t xml:space="preserve">351</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ascii="Arial" w:hAnsi="Arial"/>
        </w:rPr>
      </w:pPr>
      <w:r>
        <w:rPr>
          <w:rFonts w:cs="Arial" w:ascii="Arial" w:hAnsi="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shd w:val="clear" w:color="auto" w:fill="FFF59D"/>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6"/>
                <w:szCs w:val="16"/>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6"/>
                <w:szCs w:val="16"/>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6"/>
                <w:szCs w:val="16"/>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shd w:val="clear" w:color="auto" w:fill="FFF59D"/>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shd w:val="clear" w:color="auto" w:fill="FFF59D"/>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FRRN.009.01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FRRN.010.01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FRRN.011.03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CR-RN-003</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FRRN.002.02.01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FRRN.039.02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CR-RN-010</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FRRN.014.05</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FRRN.036.03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FRRN.033.01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FRRN.26.01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CR-RN-017</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CR-RN-022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FRRN.041.01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planning effort of these BRD items: 107.5 man-days (14 items); not in the change request total.</w:t>
      </w:r>
    </w:p>
    <w:p>
      <w:pPr>
        <w:keepNext/>
        <w:rPr>
          <w:rFonts w:ascii="Arial" w:hAnsi="Arial" w:cs="Arial"/>
        </w:rPr>
      </w:pPr>
      <w:r>
        <w:rPr>
          <w:rFonts w:ascii="Arial" w:hAnsi="Arial" w:cs="Arial"/>
          <w:b/>
          <w:bCs/>
          <w:shd w:val="clear" w:color="auto" w:fill="FFF59D"/>
        </w:rPr>
        <w:t xml:space="preserve">Black - BRD requirements offered out of the box (in scope; no effort)</w:t>
      </w:r>
    </w:p>
    <w:p>
      <w:pPr>
        <w:rPr>
          <w:rFonts w:ascii="Arial" w:hAnsi="Arial" w:cs="Arial"/>
          <w:sz w:val="18"/>
          <w:szCs w:val="18"/>
        </w:rPr>
      </w:pPr>
      <w:r>
        <w:rPr>
          <w:rFonts w:ascii="Arial" w:hAnsi="Arial" w:cs="Arial"/>
          <w:sz w:val="20"/>
          <w:szCs w:val="20"/>
          <w:shd w:val="clear" w:color="auto" w:fill="FFF59D"/>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G-19</w:t>
            </w:r>
          </w:p>
        </w:tc>
        <w:tc>
          <w:tcPr>
            <w:tcW w:w="112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shd w:val="clear" w:color="auto" w:fill="FFF59D"/>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shd w:val="clear" w:color="auto" w:fill="FFF59D"/>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G-23</w:t>
            </w:r>
          </w:p>
        </w:tc>
        <w:tc>
          <w:tcPr>
            <w:tcW w:w="1120" w:type="dxa"/>
            <w:shd w:val="clear" w:color="auto" w:fill="FFF59D"/>
          </w:tcPr>
          <w:p>
            <w:pPr>
              <w:spacing w:after="20" w:before="20"/>
              <w:rPr>
                <w:rFonts w:ascii="Arial" w:hAnsi="Arial" w:cs="Arial"/>
                <w:sz w:val="15"/>
                <w:szCs w:val="15"/>
              </w:rPr>
            </w:pPr>
            <w:r>
              <w:rPr>
                <w:rFonts w:ascii="Arial" w:hAnsi="Arial" w:cs="Arial"/>
                <w:sz w:val="16"/>
                <w:szCs w:val="16"/>
              </w:rPr>
              <w:t xml:space="preserve">FRRN.043.01</w:t>
            </w:r>
          </w:p>
        </w:tc>
        <w:tc>
          <w:tcPr>
            <w:tcW w:w="1992" w:type="dxa"/>
            <w:shd w:val="clear" w:color="auto" w:fill="FFF59D"/>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shd w:val="clear" w:color="auto" w:fill="FFF59D"/>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shd w:val="clear" w:color="auto" w:fill="FFF59D"/>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