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142</w:t>
          </w:r>
        </w:p>
        <w:p>
          <w:pPr>
            <w:pStyle w:val="TOC1"/>
            <w:tabs>
              <w:tab w:val="right" w:leader="dot" w:pos="9630"/>
            </w:tabs>
          </w:pPr>
          <w:r>
            <w:t xml:space="preserve">Template Revision Log</w:t>
          </w:r>
          <w:r>
            <w:tab/>
          </w:r>
          <w:r>
            <w:t xml:space="preserve">143</w:t>
          </w:r>
        </w:p>
        <w:p>
          <w:pPr>
            <w:pStyle w:val="TOC1"/>
            <w:tabs>
              <w:tab w:val="right" w:leader="dot" w:pos="9630"/>
            </w:tabs>
          </w:pPr>
          <w:r>
            <w:t xml:space="preserve">Appendix A – Templates</w:t>
          </w:r>
          <w:r>
            <w:tab/>
          </w:r>
          <w:r>
            <w:t xml:space="preserve">144</w:t>
          </w:r>
        </w:p>
        <w:p>
          <w:pPr>
            <w:pStyle w:val="TOC1"/>
            <w:tabs>
              <w:tab w:val="right" w:leader="dot" w:pos="9630"/>
            </w:tabs>
          </w:pPr>
          <w:r>
            <w:t xml:space="preserve">Sample AR</w:t>
          </w:r>
          <w:r>
            <w:tab/>
          </w:r>
          <w:r>
            <w:t xml:space="preserve">144</w:t>
          </w:r>
        </w:p>
        <w:p>
          <w:pPr>
            <w:pStyle w:val="TOC1"/>
            <w:tabs>
              <w:tab w:val="right" w:leader="dot" w:pos="9630"/>
            </w:tabs>
          </w:pPr>
          <w:r>
            <w:t xml:space="preserve">Sample Billspayment file</w:t>
          </w:r>
          <w:r>
            <w:tab/>
          </w:r>
          <w:r>
            <w:t xml:space="preserve">144</w:t>
          </w:r>
        </w:p>
        <w:p>
          <w:pPr>
            <w:pStyle w:val="TOC1"/>
            <w:tabs>
              <w:tab w:val="right" w:leader="dot" w:pos="9630"/>
            </w:tabs>
          </w:pPr>
          <w:r>
            <w:t xml:space="preserve">Sample CLPC file</w:t>
          </w:r>
          <w:r>
            <w:tab/>
          </w:r>
          <w:r>
            <w:t xml:space="preserve">144</w:t>
          </w:r>
        </w:p>
        <w:p>
          <w:pPr>
            <w:pStyle w:val="TOC1"/>
            <w:tabs>
              <w:tab w:val="right" w:leader="dot" w:pos="9630"/>
            </w:tabs>
          </w:pPr>
          <w:r>
            <w:t xml:space="preserve">Sample Trade file</w:t>
          </w:r>
          <w:r>
            <w:tab/>
          </w:r>
          <w:r>
            <w:t xml:space="preserve">145</w:t>
          </w:r>
        </w:p>
        <w:p>
          <w:pPr>
            <w:pStyle w:val="TOC1"/>
            <w:tabs>
              <w:tab w:val="right" w:leader="dot" w:pos="9630"/>
            </w:tabs>
          </w:pPr>
          <w:r>
            <w:t xml:space="preserve">Appendix B – References</w:t>
          </w:r>
          <w:r>
            <w:tab/>
          </w:r>
          <w:r>
            <w:t xml:space="preserve">145</w:t>
          </w:r>
        </w:p>
        <w:p>
          <w:pPr>
            <w:pStyle w:val="TOC1"/>
            <w:tabs>
              <w:tab w:val="right" w:leader="dot" w:pos="9630"/>
            </w:tabs>
          </w:pPr>
          <w:r>
            <w:t xml:space="preserve">Appendix C – To-Be Process Flows</w:t>
          </w:r>
          <w:r>
            <w:tab/>
          </w:r>
          <w:r>
            <w:t xml:space="preserve">146</w:t>
          </w:r>
        </w:p>
        <w:p>
          <w:pPr>
            <w:pStyle w:val="TOC2"/>
            <w:tabs>
              <w:tab w:val="right" w:leader="dot" w:pos="9630"/>
            </w:tabs>
          </w:pPr>
          <w:r>
            <w:t xml:space="preserve">C.1 Process flows</w:t>
          </w:r>
          <w:r>
            <w:tab/>
          </w:r>
          <w:r>
            <w:t xml:space="preserve">146</w:t>
          </w:r>
        </w:p>
        <w:p>
          <w:pPr>
            <w:pStyle w:val="TOC2"/>
            <w:tabs>
              <w:tab w:val="right" w:leader="dot" w:pos="9630"/>
            </w:tabs>
          </w:pPr>
          <w:r>
            <w:t xml:space="preserve">C.2 Status life-cycles</w:t>
          </w:r>
          <w:r>
            <w:tab/>
          </w:r>
          <w:r>
            <w:t xml:space="preserve">157</w:t>
          </w:r>
        </w:p>
        <w:p>
          <w:pPr>
            <w:pStyle w:val="TOC1"/>
            <w:tabs>
              <w:tab w:val="right" w:leader="dot" w:pos="9630"/>
            </w:tabs>
          </w:pPr>
          <w:r>
            <w:t xml:space="preserve">Appendix D – Payment and Upload File Layouts</w:t>
          </w:r>
          <w:r>
            <w:tab/>
          </w:r>
          <w:r>
            <w:t xml:space="preserve">159</w:t>
          </w:r>
        </w:p>
        <w:p>
          <w:pPr>
            <w:pStyle w:val="TOC2"/>
            <w:tabs>
              <w:tab w:val="right" w:leader="dot" w:pos="9630"/>
            </w:tabs>
          </w:pPr>
          <w:r>
            <w:t xml:space="preserve">D.1 Bills Payment file (OBPCS, via MFT)</w:t>
          </w:r>
          <w:r>
            <w:tab/>
          </w:r>
          <w:r>
            <w:t xml:space="preserve">159</w:t>
          </w:r>
        </w:p>
        <w:p>
          <w:pPr>
            <w:pStyle w:val="TOC2"/>
            <w:tabs>
              <w:tab w:val="right" w:leader="dot" w:pos="9630"/>
            </w:tabs>
          </w:pPr>
          <w:r>
            <w:t xml:space="preserve">D.2 Post-dated checks file (PMS, via MFT; or Excel upload)</w:t>
          </w:r>
          <w:r>
            <w:tab/>
          </w:r>
          <w:r>
            <w:t xml:space="preserve">159</w:t>
          </w:r>
        </w:p>
        <w:p>
          <w:pPr>
            <w:pStyle w:val="TOC2"/>
            <w:tabs>
              <w:tab w:val="right" w:leader="dot" w:pos="9630"/>
            </w:tabs>
          </w:pPr>
          <w:r>
            <w:t xml:space="preserve">D.3 CLPC file</w:t>
          </w:r>
          <w:r>
            <w:tab/>
          </w:r>
          <w:r>
            <w:t xml:space="preserve">160</w:t>
          </w:r>
        </w:p>
        <w:p>
          <w:pPr>
            <w:pStyle w:val="TOC2"/>
            <w:tabs>
              <w:tab w:val="right" w:leader="dot" w:pos="9630"/>
            </w:tabs>
          </w:pPr>
          <w:r>
            <w:t xml:space="preserve">D.4 Trade file (TFS, from CIB)</w:t>
          </w:r>
          <w:r>
            <w:tab/>
          </w:r>
          <w:r>
            <w:t xml:space="preserve">160</w:t>
          </w:r>
        </w:p>
        <w:p>
          <w:pPr>
            <w:pStyle w:val="TOC2"/>
            <w:tabs>
              <w:tab w:val="right" w:leader="dot" w:pos="9630"/>
            </w:tabs>
          </w:pPr>
          <w:r>
            <w:t xml:space="preserve">D.5 Direct Credit file</w:t>
          </w:r>
          <w:r>
            <w:tab/>
          </w:r>
          <w:r>
            <w:t xml:space="preserve">160</w:t>
          </w:r>
        </w:p>
        <w:p>
          <w:pPr>
            <w:pStyle w:val="TOC2"/>
            <w:tabs>
              <w:tab w:val="right" w:leader="dot" w:pos="9630"/>
            </w:tabs>
          </w:pPr>
          <w:r>
            <w:t xml:space="preserve">D.6 Commission Schedule (FRS.CSH.02.02.03)</w:t>
          </w:r>
          <w:r>
            <w:tab/>
          </w:r>
          <w:r>
            <w:t xml:space="preserve">161</w:t>
          </w:r>
        </w:p>
        <w:p>
          <w:pPr>
            <w:pStyle w:val="TOC1"/>
            <w:tabs>
              <w:tab w:val="right" w:leader="dot" w:pos="9630"/>
            </w:tabs>
          </w:pPr>
          <w:r>
            <w:t xml:space="preserve">Appendix E – Screen Specifications</w:t>
          </w:r>
          <w:r>
            <w:tab/>
          </w:r>
          <w:r>
            <w:t xml:space="preserve">162</w:t>
          </w:r>
        </w:p>
        <w:p>
          <w:pPr>
            <w:pStyle w:val="TOC2"/>
            <w:tabs>
              <w:tab w:val="right" w:leader="dot" w:pos="9630"/>
            </w:tabs>
          </w:pPr>
          <w:r>
            <w:t xml:space="preserve">E.1 Cashiering Dashboard</w:t>
          </w:r>
          <w:r>
            <w:tab/>
          </w:r>
          <w:r>
            <w:t xml:space="preserve">162</w:t>
          </w:r>
        </w:p>
        <w:p>
          <w:pPr>
            <w:pStyle w:val="TOC2"/>
            <w:tabs>
              <w:tab w:val="right" w:leader="dot" w:pos="9630"/>
            </w:tabs>
          </w:pPr>
          <w:r>
            <w:t xml:space="preserve">E.2 Create AR/OR and Edit Record</w:t>
          </w:r>
          <w:r>
            <w:tab/>
          </w:r>
          <w:r>
            <w:t xml:space="preserve">164</w:t>
          </w:r>
        </w:p>
        <w:p>
          <w:pPr>
            <w:pStyle w:val="TOC2"/>
            <w:tabs>
              <w:tab w:val="right" w:leader="dot" w:pos="9630"/>
            </w:tabs>
          </w:pPr>
          <w:r>
            <w:t xml:space="preserve">E.3 Cashiering Record</w:t>
          </w:r>
          <w:r>
            <w:tab/>
          </w:r>
          <w:r>
            <w:t xml:space="preserve">167</w:t>
          </w:r>
        </w:p>
        <w:p>
          <w:pPr>
            <w:pStyle w:val="TOC2"/>
            <w:tabs>
              <w:tab w:val="right" w:leader="dot" w:pos="9630"/>
            </w:tabs>
          </w:pPr>
          <w:r>
            <w:t xml:space="preserve">E.4 Posting</w:t>
          </w:r>
          <w:r>
            <w:tab/>
          </w:r>
          <w:r>
            <w:t xml:space="preserve">169</w:t>
          </w:r>
        </w:p>
        <w:p>
          <w:pPr>
            <w:pStyle w:val="TOC2"/>
            <w:tabs>
              <w:tab w:val="right" w:leader="dot" w:pos="9630"/>
            </w:tabs>
          </w:pPr>
          <w:r>
            <w:t xml:space="preserve">E.5 Receive Payment</w:t>
          </w:r>
          <w:r>
            <w:tab/>
          </w:r>
          <w:r>
            <w:t xml:space="preserve">171</w:t>
          </w:r>
        </w:p>
        <w:p>
          <w:pPr>
            <w:pStyle w:val="TOC2"/>
            <w:tabs>
              <w:tab w:val="right" w:leader="dot" w:pos="9630"/>
            </w:tabs>
          </w:pPr>
          <w:r>
            <w:t xml:space="preserve">E.6 Receipts</w:t>
          </w:r>
          <w:r>
            <w:tab/>
          </w:r>
          <w:r>
            <w:t xml:space="preserve">173</w:t>
          </w:r>
        </w:p>
        <w:p>
          <w:pPr>
            <w:pStyle w:val="TOC2"/>
            <w:tabs>
              <w:tab w:val="right" w:leader="dot" w:pos="9630"/>
            </w:tabs>
          </w:pPr>
          <w:r>
            <w:t xml:space="preserve">E.7 Receipt</w:t>
          </w:r>
          <w:r>
            <w:tab/>
          </w:r>
          <w:r>
            <w:t xml:space="preserve">175</w:t>
          </w:r>
        </w:p>
        <w:p>
          <w:pPr>
            <w:pStyle w:val="TOC2"/>
            <w:tabs>
              <w:tab w:val="right" w:leader="dot" w:pos="9630"/>
            </w:tabs>
          </w:pPr>
          <w:r>
            <w:t xml:space="preserve">E.8 Unapplied Payments</w:t>
          </w:r>
          <w:r>
            <w:tab/>
          </w:r>
          <w:r>
            <w:t xml:space="preserve">177</w:t>
          </w:r>
        </w:p>
        <w:p>
          <w:pPr>
            <w:pStyle w:val="TOC2"/>
            <w:tabs>
              <w:tab w:val="right" w:leader="dot" w:pos="9630"/>
            </w:tabs>
          </w:pPr>
          <w:r>
            <w:t xml:space="preserve">E.9 Unapplied Payment</w:t>
          </w:r>
          <w:r>
            <w:tab/>
          </w:r>
          <w:r>
            <w:t xml:space="preserve">179</w:t>
          </w:r>
        </w:p>
        <w:p>
          <w:pPr>
            <w:pStyle w:val="TOC2"/>
            <w:tabs>
              <w:tab w:val="right" w:leader="dot" w:pos="9630"/>
            </w:tabs>
          </w:pPr>
          <w:r>
            <w:t xml:space="preserve">E.10 Unapplied Payment List</w:t>
          </w:r>
          <w:r>
            <w:tab/>
          </w:r>
          <w:r>
            <w:t xml:space="preserve">181</w:t>
          </w:r>
        </w:p>
        <w:p>
          <w:pPr>
            <w:pStyle w:val="TOC2"/>
            <w:tabs>
              <w:tab w:val="right" w:leader="dot" w:pos="9630"/>
            </w:tabs>
          </w:pPr>
          <w:r>
            <w:t xml:space="preserve">E.11 Incoming Requests</w:t>
          </w:r>
          <w:r>
            <w:tab/>
          </w:r>
          <w:r>
            <w:t xml:space="preserve">182</w:t>
          </w:r>
        </w:p>
        <w:p>
          <w:pPr>
            <w:pStyle w:val="TOC2"/>
            <w:tabs>
              <w:tab w:val="right" w:leader="dot" w:pos="9630"/>
            </w:tabs>
          </w:pPr>
          <w:r>
            <w:t xml:space="preserve">E.12 Pre-booked Payments</w:t>
          </w:r>
          <w:r>
            <w:tab/>
          </w:r>
          <w:r>
            <w:t xml:space="preserve">184</w:t>
          </w:r>
        </w:p>
        <w:p>
          <w:pPr>
            <w:pStyle w:val="TOC2"/>
            <w:tabs>
              <w:tab w:val="right" w:leader="dot" w:pos="9630"/>
            </w:tabs>
          </w:pPr>
          <w:r>
            <w:t xml:space="preserve">E.13 Payment Uploads</w:t>
          </w:r>
          <w:r>
            <w:tab/>
          </w:r>
          <w:r>
            <w:t xml:space="preserve">185</w:t>
          </w:r>
        </w:p>
        <w:p>
          <w:pPr>
            <w:pStyle w:val="TOC2"/>
            <w:tabs>
              <w:tab w:val="right" w:leader="dot" w:pos="9630"/>
            </w:tabs>
          </w:pPr>
          <w:r>
            <w:t xml:space="preserve">E.14 Payment Files</w:t>
          </w:r>
          <w:r>
            <w:tab/>
          </w:r>
          <w:r>
            <w:t xml:space="preserve">186</w:t>
          </w:r>
        </w:p>
        <w:p>
          <w:pPr>
            <w:pStyle w:val="TOC2"/>
            <w:tabs>
              <w:tab w:val="right" w:leader="dot" w:pos="9630"/>
            </w:tabs>
          </w:pPr>
          <w:r>
            <w:t xml:space="preserve">E.15 PDC Warehouse</w:t>
          </w:r>
          <w:r>
            <w:tab/>
          </w:r>
          <w:r>
            <w:t xml:space="preserve">188</w:t>
          </w:r>
        </w:p>
        <w:p>
          <w:pPr>
            <w:pStyle w:val="TOC2"/>
            <w:tabs>
              <w:tab w:val="right" w:leader="dot" w:pos="9630"/>
            </w:tabs>
          </w:pPr>
          <w:r>
            <w:t xml:space="preserve">E.16 Batch Print</w:t>
          </w:r>
          <w:r>
            <w:tab/>
          </w:r>
          <w:r>
            <w:t xml:space="preserve">189</w:t>
          </w:r>
        </w:p>
        <w:p>
          <w:pPr>
            <w:pStyle w:val="TOC2"/>
            <w:tabs>
              <w:tab w:val="right" w:leader="dot" w:pos="9630"/>
            </w:tabs>
          </w:pPr>
          <w:r>
            <w:t xml:space="preserve">E.17 AR and OR Forms</w:t>
          </w:r>
          <w:r>
            <w:tab/>
          </w:r>
          <w:r>
            <w:t xml:space="preserve">192</w:t>
          </w:r>
        </w:p>
        <w:p>
          <w:pPr>
            <w:pStyle w:val="TOC2"/>
            <w:tabs>
              <w:tab w:val="right" w:leader="dot" w:pos="9630"/>
            </w:tabs>
          </w:pPr>
          <w:r>
            <w:t xml:space="preserve">E.18 Commission ORs</w:t>
          </w:r>
          <w:r>
            <w:tab/>
          </w:r>
          <w:r>
            <w:t xml:space="preserve">193</w:t>
          </w:r>
        </w:p>
        <w:p>
          <w:pPr>
            <w:pStyle w:val="TOC2"/>
            <w:tabs>
              <w:tab w:val="right" w:leader="dot" w:pos="9630"/>
            </w:tabs>
          </w:pPr>
          <w:r>
            <w:t xml:space="preserve">E.19 Settlement ORs</w:t>
          </w:r>
          <w:r>
            <w:tab/>
          </w:r>
          <w:r>
            <w:t xml:space="preserve">194</w:t>
          </w:r>
        </w:p>
        <w:p>
          <w:pPr>
            <w:pStyle w:val="TOC2"/>
            <w:tabs>
              <w:tab w:val="right" w:leader="dot" w:pos="9630"/>
            </w:tabs>
          </w:pPr>
          <w:r>
            <w:t xml:space="preserve">E.20 Receipt Series</w:t>
          </w:r>
          <w:r>
            <w:tab/>
          </w:r>
          <w:r>
            <w:t xml:space="preserve">195</w:t>
          </w:r>
        </w:p>
        <w:p>
          <w:pPr>
            <w:pStyle w:val="TOC2"/>
            <w:tabs>
              <w:tab w:val="right" w:leader="dot" w:pos="9630"/>
            </w:tabs>
          </w:pPr>
          <w:r>
            <w:t xml:space="preserve">E.21 Cashiering Setup</w:t>
          </w:r>
          <w:r>
            <w:tab/>
          </w:r>
          <w:r>
            <w:t xml:space="preserve">197</w:t>
          </w:r>
        </w:p>
        <w:p>
          <w:pPr>
            <w:pStyle w:val="TOC2"/>
            <w:tabs>
              <w:tab w:val="right" w:leader="dot" w:pos="9630"/>
            </w:tabs>
          </w:pPr>
          <w:r>
            <w:t xml:space="preserve">E.22 Day-End List</w:t>
          </w:r>
          <w:r>
            <w:tab/>
          </w:r>
          <w:r>
            <w:t xml:space="preserve">198</w:t>
          </w:r>
        </w:p>
        <w:p>
          <w:pPr>
            <w:pStyle w:val="TOC2"/>
            <w:tabs>
              <w:tab w:val="right" w:leader="dot" w:pos="9630"/>
            </w:tabs>
          </w:pPr>
          <w:r>
            <w:t xml:space="preserve">E.23 Search Log</w:t>
          </w:r>
          <w:r>
            <w:tab/>
          </w:r>
          <w:r>
            <w:t xml:space="preserve">199</w:t>
          </w:r>
        </w:p>
        <w:p>
          <w:pPr>
            <w:pStyle w:val="TOC2"/>
            <w:tabs>
              <w:tab w:val="right" w:leader="dot" w:pos="9630"/>
            </w:tabs>
          </w:pPr>
          <w:r>
            <w:t xml:space="preserve">E.24 Invoice Search</w:t>
          </w:r>
          <w:r>
            <w:tab/>
          </w:r>
          <w:r>
            <w:t xml:space="preserve">200</w:t>
          </w:r>
        </w:p>
        <w:p>
          <w:pPr>
            <w:pStyle w:val="TOC2"/>
            <w:tabs>
              <w:tab w:val="right" w:leader="dot" w:pos="9630"/>
            </w:tabs>
          </w:pPr>
          <w:r>
            <w:t xml:space="preserve">E.25 Invoice 360</w:t>
          </w:r>
          <w:r>
            <w:tab/>
          </w:r>
          <w:r>
            <w:t xml:space="preserve">202</w:t>
          </w:r>
        </w:p>
        <w:p>
          <w:pPr>
            <w:pStyle w:val="TOC2"/>
            <w:tabs>
              <w:tab w:val="right" w:leader="dot" w:pos="9630"/>
            </w:tabs>
          </w:pPr>
          <w:r>
            <w:t xml:space="preserve">E.26 Report Archive</w:t>
          </w:r>
          <w:r>
            <w:tab/>
          </w:r>
          <w:r>
            <w:t xml:space="preserve">205</w:t>
          </w:r>
        </w:p>
        <w:p>
          <w:pPr>
            <w:pStyle w:val="TOC2"/>
            <w:tabs>
              <w:tab w:val="right" w:leader="dot" w:pos="9630"/>
            </w:tabs>
          </w:pPr>
          <w:r>
            <w:t xml:space="preserve">E.27 Report Centre (Operations reports)</w:t>
          </w:r>
          <w:r>
            <w:tab/>
          </w:r>
          <w:r>
            <w:t xml:space="preserve">207</w:t>
          </w:r>
        </w:p>
        <w:p>
          <w:pPr>
            <w:pStyle w:val="TOC2"/>
            <w:tabs>
              <w:tab w:val="right" w:leader="dot" w:pos="9630"/>
            </w:tabs>
          </w:pPr>
          <w:r>
            <w:t xml:space="preserve">E.28 Report</w:t>
          </w:r>
          <w:r>
            <w:tab/>
          </w:r>
          <w:r>
            <w:t xml:space="preserve">208</w:t>
          </w:r>
        </w:p>
        <w:p>
          <w:pPr>
            <w:pStyle w:val="TOC2"/>
            <w:tabs>
              <w:tab w:val="right" w:leader="dot" w:pos="9630"/>
            </w:tabs>
          </w:pPr>
          <w:r>
            <w:t xml:space="preserve">E.29 Interfaces</w:t>
          </w:r>
          <w:r>
            <w:tab/>
          </w:r>
          <w:r>
            <w:t xml:space="preserve">210</w:t>
          </w:r>
        </w:p>
        <w:p>
          <w:pPr>
            <w:pStyle w:val="TOC2"/>
            <w:tabs>
              <w:tab w:val="right" w:leader="dot" w:pos="9630"/>
            </w:tabs>
          </w:pPr>
          <w:r>
            <w:t xml:space="preserve">E.30 Menu by persona</w:t>
          </w:r>
          <w:r>
            <w:tab/>
          </w:r>
          <w:r>
            <w:t xml:space="preserve">212</w:t>
          </w:r>
        </w:p>
        <w:p>
          <w:pPr>
            <w:pStyle w:val="TOC1"/>
            <w:tabs>
              <w:tab w:val="right" w:leader="dot" w:pos="9630"/>
            </w:tabs>
          </w:pPr>
          <w:r>
            <w:t xml:space="preserve">Appendix F – Messages and Validations</w:t>
          </w:r>
          <w:r>
            <w:tab/>
          </w:r>
          <w:r>
            <w:t xml:space="preserve">214</w:t>
          </w:r>
        </w:p>
        <w:p>
          <w:pPr>
            <w:pStyle w:val="TOC2"/>
            <w:tabs>
              <w:tab w:val="right" w:leader="dot" w:pos="9630"/>
            </w:tabs>
          </w:pPr>
          <w:r>
            <w:t xml:space="preserve">F.1 Messages of BDOI's FRS</w:t>
          </w:r>
          <w:r>
            <w:tab/>
          </w:r>
          <w:r>
            <w:t xml:space="preserve">214</w:t>
          </w:r>
        </w:p>
        <w:p>
          <w:pPr>
            <w:pStyle w:val="TOC2"/>
            <w:tabs>
              <w:tab w:val="right" w:leader="dot" w:pos="9630"/>
            </w:tabs>
          </w:pPr>
          <w:r>
            <w:t xml:space="preserve">F.2 Messages of the system</w:t>
          </w:r>
          <w:r>
            <w:tab/>
          </w:r>
          <w:r>
            <w:t xml:space="preserve">214</w:t>
          </w:r>
        </w:p>
        <w:p>
          <w:pPr>
            <w:pStyle w:val="TOC1"/>
            <w:tabs>
              <w:tab w:val="right" w:leader="dot" w:pos="9630"/>
            </w:tabs>
          </w:pPr>
          <w:r>
            <w:t xml:space="preserve">Appendix G – Notifications and E-mail Texts</w:t>
          </w:r>
          <w:r>
            <w:tab/>
          </w:r>
          <w:r>
            <w:t xml:space="preserve">220</w:t>
          </w:r>
        </w:p>
        <w:p>
          <w:pPr>
            <w:pStyle w:val="TOC2"/>
            <w:tabs>
              <w:tab w:val="right" w:leader="dot" w:pos="9630"/>
            </w:tabs>
          </w:pPr>
          <w:r>
            <w:t xml:space="preserve">G-01 Cancellation or reinstatement record for approval</w:t>
          </w:r>
          <w:r>
            <w:tab/>
          </w:r>
          <w:r>
            <w:t xml:space="preserve">220</w:t>
          </w:r>
        </w:p>
        <w:p>
          <w:pPr>
            <w:pStyle w:val="TOC2"/>
            <w:tabs>
              <w:tab w:val="right" w:leader="dot" w:pos="9630"/>
            </w:tabs>
          </w:pPr>
          <w:r>
            <w:t xml:space="preserve">G-02 Disposition for approval</w:t>
          </w:r>
          <w:r>
            <w:tab/>
          </w:r>
          <w:r>
            <w:t xml:space="preserve">221</w:t>
          </w:r>
        </w:p>
        <w:p>
          <w:pPr>
            <w:pStyle w:val="TOC2"/>
            <w:tabs>
              <w:tab w:val="right" w:leader="dot" w:pos="9630"/>
            </w:tabs>
          </w:pPr>
          <w:r>
            <w:t xml:space="preserve">G-03 Payment reversal for approval</w:t>
          </w:r>
          <w:r>
            <w:tab/>
          </w:r>
          <w:r>
            <w:t xml:space="preserve">221</w:t>
          </w:r>
        </w:p>
        <w:p>
          <w:pPr>
            <w:pStyle w:val="TOC2"/>
            <w:tabs>
              <w:tab w:val="right" w:leader="dot" w:pos="9630"/>
            </w:tabs>
          </w:pPr>
          <w:r>
            <w:t xml:space="preserve">G-04 Request of a collector</w:t>
          </w:r>
          <w:r>
            <w:tab/>
          </w:r>
          <w:r>
            <w:t xml:space="preserve">221</w:t>
          </w:r>
        </w:p>
        <w:p>
          <w:pPr>
            <w:pStyle w:val="TOC2"/>
            <w:tabs>
              <w:tab w:val="right" w:leader="dot" w:pos="9630"/>
            </w:tabs>
          </w:pPr>
          <w:r>
            <w:t xml:space="preserve">G-05 Refund validation requested</w:t>
          </w:r>
          <w:r>
            <w:tab/>
          </w:r>
          <w:r>
            <w:t xml:space="preserve">222</w:t>
          </w:r>
        </w:p>
        <w:p>
          <w:pPr>
            <w:pStyle w:val="TOC2"/>
            <w:tabs>
              <w:tab w:val="right" w:leader="dot" w:pos="9630"/>
            </w:tabs>
          </w:pPr>
          <w:r>
            <w:t xml:space="preserve">G-06 Record moved to another stage</w:t>
          </w:r>
          <w:r>
            <w:tab/>
          </w:r>
          <w:r>
            <w:t xml:space="preserve">222</w:t>
          </w:r>
        </w:p>
        <w:p>
          <w:pPr>
            <w:pStyle w:val="TOC2"/>
            <w:tabs>
              <w:tab w:val="right" w:leader="dot" w:pos="9630"/>
            </w:tabs>
          </w:pPr>
          <w:r>
            <w:t xml:space="preserve">G-07 Work assigned</w:t>
          </w:r>
          <w:r>
            <w:tab/>
          </w:r>
          <w:r>
            <w:t xml:space="preserve">222</w:t>
          </w:r>
        </w:p>
        <w:p>
          <w:pPr>
            <w:pStyle w:val="TOC2"/>
            <w:tabs>
              <w:tab w:val="right" w:leader="dot" w:pos="9630"/>
            </w:tabs>
          </w:pPr>
          <w:r>
            <w:t xml:space="preserve">G-08 Work handed over</w:t>
          </w:r>
          <w:r>
            <w:tab/>
          </w:r>
          <w:r>
            <w:t xml:space="preserve">223</w:t>
          </w:r>
        </w:p>
        <w:p>
          <w:pPr>
            <w:pStyle w:val="TOC2"/>
            <w:tabs>
              <w:tab w:val="right" w:leader="dot" w:pos="9630"/>
            </w:tabs>
          </w:pPr>
          <w:r>
            <w:t xml:space="preserve">G-09 Refund request to Disbursement</w:t>
          </w:r>
          <w:r>
            <w:tab/>
          </w:r>
          <w:r>
            <w:t xml:space="preserve">223</w:t>
          </w:r>
        </w:p>
        <w:p>
          <w:pPr>
            <w:pStyle w:val="TOC2"/>
            <w:tabs>
              <w:tab w:val="right" w:leader="dot" w:pos="9630"/>
            </w:tabs>
          </w:pPr>
          <w:r>
            <w:t xml:space="preserve">G-10 Status of a refund request</w:t>
          </w:r>
          <w:r>
            <w:tab/>
          </w:r>
          <w:r>
            <w:t xml:space="preserve">223</w:t>
          </w:r>
        </w:p>
        <w:p>
          <w:pPr>
            <w:pStyle w:val="TOC2"/>
            <w:tabs>
              <w:tab w:val="right" w:leader="dot" w:pos="9630"/>
            </w:tabs>
          </w:pPr>
          <w:r>
            <w:t xml:space="preserve">G-11 Receipt series low</w:t>
          </w:r>
          <w:r>
            <w:tab/>
          </w:r>
          <w:r>
            <w:t xml:space="preserve">224</w:t>
          </w:r>
        </w:p>
        <w:p>
          <w:pPr>
            <w:pStyle w:val="TOC2"/>
            <w:tabs>
              <w:tab w:val="right" w:leader="dot" w:pos="9630"/>
            </w:tabs>
          </w:pPr>
          <w:r>
            <w:t xml:space="preserve">G-12 Pre-booked payment waiting</w:t>
          </w:r>
          <w:r>
            <w:tab/>
          </w:r>
          <w:r>
            <w:t xml:space="preserve">224</w:t>
          </w:r>
        </w:p>
        <w:p>
          <w:pPr>
            <w:pStyle w:val="TOC2"/>
            <w:tabs>
              <w:tab w:val="right" w:leader="dot" w:pos="9630"/>
            </w:tabs>
          </w:pPr>
          <w:r>
            <w:t xml:space="preserve">G-13 Interface run failed</w:t>
          </w:r>
          <w:r>
            <w:tab/>
          </w:r>
          <w:r>
            <w:t xml:space="preserve">224</w:t>
          </w:r>
        </w:p>
        <w:p>
          <w:pPr>
            <w:pStyle w:val="TOC2"/>
            <w:tabs>
              <w:tab w:val="right" w:leader="dot" w:pos="9630"/>
            </w:tabs>
          </w:pPr>
          <w:r>
            <w:t xml:space="preserve">G-14 Batch run failed</w:t>
          </w:r>
          <w:r>
            <w:tab/>
          </w:r>
          <w:r>
            <w:t xml:space="preserve">225</w:t>
          </w:r>
        </w:p>
        <w:p>
          <w:pPr>
            <w:pStyle w:val="TOC2"/>
            <w:tabs>
              <w:tab w:val="right" w:leader="dot" w:pos="9630"/>
            </w:tabs>
          </w:pPr>
          <w:r>
            <w:t xml:space="preserve">G-15 AR / OR record for posting</w:t>
          </w:r>
          <w:r>
            <w:tab/>
          </w:r>
          <w:r>
            <w:t xml:space="preserve">225</w:t>
          </w:r>
        </w:p>
        <w:p>
          <w:pPr>
            <w:pStyle w:val="TOC2"/>
            <w:tabs>
              <w:tab w:val="right" w:leader="dot" w:pos="9630"/>
            </w:tabs>
          </w:pPr>
          <w:r>
            <w:t xml:space="preserve">G-16 AR / OR record posted or returned</w:t>
          </w:r>
          <w:r>
            <w:tab/>
          </w:r>
          <w:r>
            <w:t xml:space="preserve">225</w:t>
          </w:r>
        </w:p>
        <w:p>
          <w:pPr>
            <w:pStyle w:val="TOC2"/>
            <w:tabs>
              <w:tab w:val="right" w:leader="dot" w:pos="9630"/>
            </w:tabs>
          </w:pPr>
          <w:r>
            <w:t xml:space="preserve">G-17 File received via MFT refused</w:t>
          </w:r>
          <w:r>
            <w:tab/>
          </w:r>
          <w:r>
            <w:t xml:space="preserve">226</w:t>
          </w:r>
        </w:p>
        <w:p>
          <w:pPr>
            <w:pStyle w:val="TOC2"/>
            <w:tabs>
              <w:tab w:val="right" w:leader="dot" w:pos="9630"/>
            </w:tabs>
          </w:pPr>
          <w:r>
            <w:t xml:space="preserve">G-18 AR or OR form change for approval</w:t>
          </w:r>
          <w:r>
            <w:tab/>
          </w:r>
          <w:r>
            <w:t xml:space="preserve">226</w:t>
          </w:r>
        </w:p>
        <w:p>
          <w:pPr>
            <w:pStyle w:val="TOC1"/>
            <w:tabs>
              <w:tab w:val="right" w:leader="dot" w:pos="9630"/>
            </w:tabs>
          </w:pPr>
          <w:r>
            <w:t xml:space="preserve">Appendix H – Business Rules, Roles and Configurable Parameters</w:t>
          </w:r>
          <w:r>
            <w:tab/>
          </w:r>
          <w:r>
            <w:t xml:space="preserve">227</w:t>
          </w:r>
        </w:p>
        <w:p>
          <w:pPr>
            <w:pStyle w:val="TOC2"/>
            <w:tabs>
              <w:tab w:val="right" w:leader="dot" w:pos="9630"/>
            </w:tabs>
          </w:pPr>
          <w:r>
            <w:t xml:space="preserve">H.1 Personas</w:t>
          </w:r>
          <w:r>
            <w:tab/>
          </w:r>
          <w:r>
            <w:t xml:space="preserve">227</w:t>
          </w:r>
        </w:p>
        <w:p>
          <w:pPr>
            <w:pStyle w:val="TOC2"/>
            <w:tabs>
              <w:tab w:val="right" w:leader="dot" w:pos="9630"/>
            </w:tabs>
          </w:pPr>
          <w:r>
            <w:t xml:space="preserve">H.2 Proposed role-to-action matrix</w:t>
          </w:r>
          <w:r>
            <w:tab/>
          </w:r>
          <w:r>
            <w:t xml:space="preserve">227</w:t>
          </w:r>
        </w:p>
        <w:p>
          <w:pPr>
            <w:pStyle w:val="TOC2"/>
            <w:tabs>
              <w:tab w:val="right" w:leader="dot" w:pos="9630"/>
            </w:tabs>
          </w:pPr>
          <w:r>
            <w:t xml:space="preserve">H.3 Controls</w:t>
          </w:r>
          <w:r>
            <w:tab/>
          </w:r>
          <w:r>
            <w:t xml:space="preserve">228</w:t>
          </w:r>
        </w:p>
        <w:p>
          <w:pPr>
            <w:pStyle w:val="TOC2"/>
            <w:tabs>
              <w:tab w:val="right" w:leader="dot" w:pos="9630"/>
            </w:tabs>
          </w:pPr>
          <w:r>
            <w:t xml:space="preserve">H.4 Configurable parameters</w:t>
          </w:r>
          <w:r>
            <w:tab/>
          </w:r>
          <w:r>
            <w:t xml:space="preserve">228</w:t>
          </w:r>
        </w:p>
        <w:p>
          <w:pPr>
            <w:pStyle w:val="TOC2"/>
            <w:tabs>
              <w:tab w:val="right" w:leader="dot" w:pos="9630"/>
            </w:tabs>
          </w:pPr>
          <w:r>
            <w:t xml:space="preserve">H.5 Lists of values</w:t>
          </w:r>
          <w:r>
            <w:tab/>
          </w:r>
          <w:r>
            <w:t xml:space="preserve">228</w:t>
          </w:r>
        </w:p>
        <w:p>
          <w:pPr>
            <w:pStyle w:val="TOC2"/>
            <w:tabs>
              <w:tab w:val="right" w:leader="dot" w:pos="9630"/>
            </w:tabs>
          </w:pPr>
          <w:r>
            <w:t xml:space="preserve">H.6 Scheduled runs</w:t>
          </w:r>
          <w:r>
            <w:tab/>
          </w:r>
          <w:r>
            <w:t xml:space="preserve">229</w:t>
          </w:r>
        </w:p>
        <w:p>
          <w:pPr>
            <w:pStyle w:val="TOC2"/>
            <w:tabs>
              <w:tab w:val="right" w:leader="dot" w:pos="9630"/>
            </w:tabs>
          </w:pPr>
          <w:r>
            <w:t xml:space="preserve">H.7 Statuses</w:t>
          </w:r>
          <w:r>
            <w:tab/>
          </w:r>
          <w:r>
            <w:t xml:space="preserve">229</w:t>
          </w:r>
        </w:p>
        <w:p>
          <w:pPr>
            <w:pStyle w:val="TOC2"/>
            <w:tabs>
              <w:tab w:val="right" w:leader="dot" w:pos="9630"/>
            </w:tabs>
          </w:pPr>
          <w:r>
            <w:t xml:space="preserve">H.8 Settings for the points BDOI decides</w:t>
          </w:r>
          <w:r>
            <w:tab/>
          </w:r>
          <w:r>
            <w:t xml:space="preserve">229</w:t>
          </w:r>
        </w:p>
        <w:p>
          <w:pPr>
            <w:pStyle w:val="TOC1"/>
            <w:tabs>
              <w:tab w:val="right" w:leader="dot" w:pos="9630"/>
            </w:tabs>
          </w:pPr>
          <w:r>
            <w:t xml:space="preserve">Appendix I – Accounting Entries</w:t>
          </w:r>
          <w:r>
            <w:tab/>
          </w:r>
          <w:r>
            <w:t xml:space="preserve">231</w:t>
          </w:r>
        </w:p>
        <w:p>
          <w:pPr>
            <w:pStyle w:val="TOC1"/>
            <w:tabs>
              <w:tab w:val="right" w:leader="dot" w:pos="9630"/>
            </w:tabs>
          </w:pPr>
          <w:r>
            <w:t xml:space="preserve">Appendix J – Workflow and Approvals</w:t>
          </w:r>
          <w:r>
            <w:tab/>
          </w:r>
          <w:r>
            <w:t xml:space="preserve">232</w:t>
          </w:r>
        </w:p>
        <w:p>
          <w:pPr>
            <w:pStyle w:val="TOC1"/>
            <w:tabs>
              <w:tab w:val="right" w:leader="dot" w:pos="9630"/>
            </w:tabs>
          </w:pPr>
          <w:r>
            <w:t xml:space="preserve">Appendix K – Process Walkthroughs</w:t>
          </w:r>
          <w:r>
            <w:tab/>
          </w:r>
          <w:r>
            <w:t xml:space="preserve">234</w:t>
          </w:r>
        </w:p>
        <w:p>
          <w:pPr>
            <w:pStyle w:val="TOC2"/>
            <w:tabs>
              <w:tab w:val="right" w:leader="dot" w:pos="9630"/>
            </w:tabs>
          </w:pPr>
          <w:r>
            <w:t xml:space="preserve">WT-A A booked invoice from the client's payment to the insurer's official receipt</w:t>
          </w:r>
          <w:r>
            <w:tab/>
          </w:r>
          <w:r>
            <w:t xml:space="preserve">234</w:t>
          </w:r>
        </w:p>
        <w:p>
          <w:pPr>
            <w:pStyle w:val="TOC2"/>
            <w:tabs>
              <w:tab w:val="right" w:leader="dot" w:pos="9630"/>
            </w:tabs>
          </w:pPr>
          <w:r>
            <w:t xml:space="preserve">WT-B Cancellation of a paid and remitted policy, from the request to the refund</w:t>
          </w:r>
          <w:r>
            <w:tab/>
          </w:r>
          <w:r>
            <w:t xml:space="preserve">234</w:t>
          </w:r>
        </w:p>
        <w:p>
          <w:pPr>
            <w:pStyle w:val="TOC2"/>
            <w:tabs>
              <w:tab w:val="right" w:leader="dot" w:pos="9630"/>
            </w:tabs>
          </w:pPr>
          <w:r>
            <w:t xml:space="preserve">WT-D Controls and the messages the user sees</w:t>
          </w:r>
          <w:r>
            <w:tab/>
          </w:r>
          <w:r>
            <w:t xml:space="preserve">234</w:t>
          </w:r>
        </w:p>
        <w:p>
          <w:pPr>
            <w:pStyle w:val="TOC2"/>
            <w:tabs>
              <w:tab w:val="right" w:leader="dot" w:pos="9630"/>
            </w:tabs>
          </w:pPr>
          <w:r>
            <w:t xml:space="preserve">WT-E A Cashiering day for the Business Unit walkthrough</w:t>
          </w:r>
          <w:r>
            <w:tab/>
          </w:r>
          <w:r>
            <w:t xml:space="preserve">235</w:t>
          </w:r>
        </w:p>
        <w:p>
          <w:pPr>
            <w:pStyle w:val="TOC1"/>
            <w:tabs>
              <w:tab w:val="right" w:leader="dot" w:pos="9630"/>
            </w:tabs>
          </w:pPr>
          <w:r>
            <w:t xml:space="preserve">Appendix L – Document Prints and Output Formats</w:t>
          </w:r>
          <w:r>
            <w:tab/>
          </w:r>
          <w:r>
            <w:t xml:space="preserve">236</w:t>
          </w:r>
        </w:p>
        <w:p>
          <w:pPr>
            <w:pStyle w:val="TOC2"/>
            <w:tabs>
              <w:tab w:val="right" w:leader="dot" w:pos="9630"/>
            </w:tabs>
          </w:pPr>
          <w:r>
            <w:t xml:space="preserve">L.1 Acknowledgement Receipt (AR)</w:t>
          </w:r>
          <w:r>
            <w:tab/>
          </w:r>
          <w:r>
            <w:t xml:space="preserve">236</w:t>
          </w:r>
        </w:p>
        <w:p>
          <w:pPr>
            <w:pStyle w:val="TOC2"/>
            <w:tabs>
              <w:tab w:val="right" w:leader="dot" w:pos="9630"/>
            </w:tabs>
          </w:pPr>
          <w:r>
            <w:t xml:space="preserve">L.2 Official Receipt (OR)</w:t>
          </w:r>
          <w:r>
            <w:tab/>
          </w:r>
          <w:r>
            <w:t xml:space="preserve">237</w:t>
          </w:r>
        </w:p>
        <w:p>
          <w:pPr>
            <w:pStyle w:val="TOC2"/>
            <w:tabs>
              <w:tab w:val="right" w:leader="dot" w:pos="9630"/>
            </w:tabs>
          </w:pPr>
          <w:r>
            <w:t xml:space="preserve">L.3 Certification of Payment</w:t>
          </w:r>
          <w:r>
            <w:tab/>
          </w:r>
          <w:r>
            <w:t xml:space="preserve">239</w:t>
          </w:r>
        </w:p>
        <w:p>
          <w:pPr>
            <w:pStyle w:val="TOC2"/>
            <w:tabs>
              <w:tab w:val="right" w:leader="dot" w:pos="9630"/>
            </w:tabs>
          </w:pPr>
          <w:r>
            <w:t xml:space="preserve">L.4 Validation report of an upload</w:t>
          </w:r>
          <w:r>
            <w:tab/>
          </w:r>
          <w:r>
            <w:t xml:space="preserve">239</w:t>
          </w:r>
        </w:p>
        <w:p>
          <w:pPr>
            <w:pStyle w:val="TOC2"/>
            <w:tabs>
              <w:tab w:val="right" w:leader="dot" w:pos="9630"/>
            </w:tabs>
          </w:pPr>
          <w:r>
            <w:t xml:space="preserve">L.5 Run report of automatic payment processing</w:t>
          </w:r>
          <w:r>
            <w:tab/>
          </w:r>
          <w:r>
            <w:t xml:space="preserve">239</w:t>
          </w:r>
        </w:p>
        <w:p>
          <w:pPr>
            <w:pStyle w:val="TOC2"/>
            <w:tabs>
              <w:tab w:val="right" w:leader="dot" w:pos="9630"/>
            </w:tabs>
          </w:pPr>
          <w:r>
            <w:t xml:space="preserve">L.6 Matched and unmatched list of a Commission Schedule</w:t>
          </w:r>
          <w:r>
            <w:tab/>
          </w:r>
          <w:r>
            <w:t xml:space="preserve">239</w:t>
          </w:r>
        </w:p>
        <w:p>
          <w:pPr>
            <w:pStyle w:val="TOC2"/>
            <w:tabs>
              <w:tab w:val="right" w:leader="dot" w:pos="9630"/>
            </w:tabs>
          </w:pPr>
          <w:r>
            <w:t xml:space="preserve">L.7 Print batch download</w:t>
          </w:r>
          <w:r>
            <w:tab/>
          </w:r>
          <w:r>
            <w:t xml:space="preserve">240</w:t>
          </w:r>
        </w:p>
        <w:p>
          <w:pPr>
            <w:pStyle w:val="TOC2"/>
            <w:tabs>
              <w:tab w:val="right" w:leader="dot" w:pos="9630"/>
            </w:tabs>
          </w:pPr>
          <w:r>
            <w:t xml:space="preserve">L.8 Report outputs</w:t>
          </w:r>
          <w:r>
            <w:tab/>
          </w:r>
          <w:r>
            <w:t xml:space="preserve">240</w:t>
          </w:r>
        </w:p>
        <w:p>
          <w:pPr>
            <w:pStyle w:val="TOC1"/>
            <w:tabs>
              <w:tab w:val="right" w:leader="dot" w:pos="9630"/>
            </w:tabs>
          </w:pPr>
          <w:r>
            <w:t xml:space="preserve">Appendix M – Reports and Schedules</w:t>
          </w:r>
          <w:r>
            <w:tab/>
          </w:r>
          <w:r>
            <w:t xml:space="preserve">241</w:t>
          </w:r>
        </w:p>
        <w:p>
          <w:pPr>
            <w:pStyle w:val="TOC1"/>
            <w:tabs>
              <w:tab w:val="right" w:leader="dot" w:pos="9630"/>
            </w:tabs>
          </w:pPr>
          <w:r>
            <w:t xml:space="preserve">Appendix N – Integrations [Integration scope]</w:t>
          </w:r>
          <w:r>
            <w:tab/>
          </w:r>
          <w:r>
            <w:t xml:space="preserve">244</w:t>
          </w:r>
        </w:p>
        <w:p>
          <w:pPr>
            <w:pStyle w:val="TOC1"/>
            <w:tabs>
              <w:tab w:val="right" w:leader="dot" w:pos="9630"/>
            </w:tabs>
          </w:pPr>
          <w:r>
            <w:t xml:space="preserve">Appendix O – Non-functional Requirements</w:t>
          </w:r>
          <w:r>
            <w:tab/>
          </w:r>
          <w:r>
            <w:t xml:space="preserve">247</w:t>
          </w:r>
        </w:p>
        <w:p>
          <w:pPr>
            <w:pStyle w:val="TOC1"/>
            <w:tabs>
              <w:tab w:val="right" w:leader="dot" w:pos="9630"/>
            </w:tabs>
          </w:pPr>
          <w:r>
            <w:t xml:space="preserve">Appendix P – Data Set-up and Migration at Go-live [Data Migration scope]</w:t>
          </w:r>
          <w:r>
            <w:tab/>
          </w:r>
          <w:r>
            <w:t xml:space="preserve">248</w:t>
          </w:r>
        </w:p>
        <w:p>
          <w:pPr>
            <w:pStyle w:val="TOC1"/>
            <w:tabs>
              <w:tab w:val="right" w:leader="dot" w:pos="9630"/>
            </w:tabs>
          </w:pPr>
          <w:r>
            <w:t xml:space="preserve">Appendix Q – Requirements Traceability</w:t>
          </w:r>
          <w:r>
            <w:tab/>
          </w:r>
          <w:r>
            <w:t xml:space="preserve">249</w:t>
          </w:r>
        </w:p>
        <w:p>
          <w:pPr>
            <w:pStyle w:val="TOC2"/>
            <w:tabs>
              <w:tab w:val="right" w:leader="dot" w:pos="9630"/>
            </w:tabs>
          </w:pPr>
          <w:r>
            <w:t xml:space="preserve">Q.1 BRD requirement to FR items and test conditions</w:t>
          </w:r>
          <w:r>
            <w:tab/>
          </w:r>
          <w:r>
            <w:t xml:space="preserve">249</w:t>
          </w:r>
        </w:p>
        <w:p>
          <w:pPr>
            <w:pStyle w:val="TOC2"/>
            <w:tabs>
              <w:tab w:val="right" w:leader="dot" w:pos="9630"/>
            </w:tabs>
          </w:pPr>
          <w:r>
            <w:t xml:space="preserve">Q.2 FR item to BRD IDs and test conditions</w:t>
          </w:r>
          <w:r>
            <w:tab/>
          </w:r>
          <w:r>
            <w:t xml:space="preserve">250</w:t>
          </w:r>
        </w:p>
        <w:p>
          <w:pPr>
            <w:pStyle w:val="TOC1"/>
            <w:tabs>
              <w:tab w:val="right" w:leader="dot" w:pos="9630"/>
            </w:tabs>
          </w:pPr>
          <w:r>
            <w:t xml:space="preserve">Appendix R – Observations and Points for BDOI Decision</w:t>
          </w:r>
          <w:r>
            <w:tab/>
          </w:r>
          <w:r>
            <w:t xml:space="preserve">254</w:t>
          </w:r>
        </w:p>
        <w:p>
          <w:pPr>
            <w:pStyle w:val="TOC2"/>
            <w:tabs>
              <w:tab w:val="right" w:leader="dot" w:pos="9630"/>
            </w:tabs>
          </w:pPr>
          <w:r>
            <w:t xml:space="preserve">R.1 Points where the proposed behaviour differs from the original text of this FRS</w:t>
          </w:r>
          <w:r>
            <w:tab/>
          </w:r>
          <w:r>
            <w:t xml:space="preserve">254</w:t>
          </w:r>
        </w:p>
        <w:p>
          <w:pPr>
            <w:pStyle w:val="TOC2"/>
            <w:tabs>
              <w:tab w:val="right" w:leader="dot" w:pos="9630"/>
            </w:tabs>
          </w:pPr>
          <w:r>
            <w:t xml:space="preserve">R.2 Slips noticed in BDOI's FRS (proposed corrections; BDOI's text is not changed)</w:t>
          </w:r>
          <w:r>
            <w:tab/>
          </w:r>
          <w:r>
            <w:t xml:space="preserve">257</w:t>
          </w:r>
        </w:p>
        <w:p>
          <w:pPr>
            <w:pStyle w:val="TOC2"/>
            <w:tabs>
              <w:tab w:val="right" w:leader="dot" w:pos="9630"/>
            </w:tabs>
          </w:pPr>
          <w:r>
            <w:t xml:space="preserve">R.3 Changes to the Business Requirements Mapping</w:t>
          </w:r>
          <w:r>
            <w:tab/>
          </w:r>
          <w:r>
            <w:t xml:space="preserve">259</w:t>
          </w:r>
        </w:p>
        <w:p>
          <w:pPr>
            <w:pStyle w:val="TOC2"/>
            <w:tabs>
              <w:tab w:val="right" w:leader="dot" w:pos="9630"/>
            </w:tabs>
          </w:pPr>
          <w:r>
            <w:t xml:space="preserve">R.4 Other observations and proposals of version 3.2</w:t>
          </w:r>
          <w:r>
            <w:tab/>
          </w:r>
          <w:r>
            <w:t xml:space="preserve">263</w:t>
          </w:r>
        </w:p>
        <w:p>
          <w:pPr>
            <w:pStyle w:val="TOC1"/>
            <w:tabs>
              <w:tab w:val="right" w:leader="dot" w:pos="9630"/>
            </w:tabs>
          </w:pPr>
          <w:r>
            <w:t xml:space="preserve">Appendix S – Assumptions, Dependencies and Open Questions</w:t>
          </w:r>
          <w:r>
            <w:tab/>
          </w:r>
          <w:r>
            <w:t xml:space="preserve">265</w:t>
          </w:r>
        </w:p>
        <w:p>
          <w:pPr>
            <w:pStyle w:val="TOC2"/>
            <w:tabs>
              <w:tab w:val="right" w:leader="dot" w:pos="9630"/>
            </w:tabs>
          </w:pPr>
          <w:r>
            <w:t xml:space="preserve">S.1 Assumptions</w:t>
          </w:r>
          <w:r>
            <w:tab/>
          </w:r>
          <w:r>
            <w:t xml:space="preserve">265</w:t>
          </w:r>
        </w:p>
        <w:p>
          <w:pPr>
            <w:pStyle w:val="TOC2"/>
            <w:tabs>
              <w:tab w:val="right" w:leader="dot" w:pos="9630"/>
            </w:tabs>
          </w:pPr>
          <w:r>
            <w:t xml:space="preserve">S.2 Dependencies</w:t>
          </w:r>
          <w:r>
            <w:tab/>
          </w:r>
          <w:r>
            <w:t xml:space="preserve">265</w:t>
          </w:r>
        </w:p>
        <w:p>
          <w:pPr>
            <w:pStyle w:val="TOC2"/>
            <w:tabs>
              <w:tab w:val="right" w:leader="dot" w:pos="9630"/>
            </w:tabs>
          </w:pPr>
          <w:r>
            <w:t xml:space="preserve">S.3 Open questions not answered in BDOI's FRS</w:t>
          </w:r>
          <w:r>
            <w:tab/>
          </w:r>
          <w:r>
            <w:t xml:space="preserve">265</w:t>
          </w:r>
        </w:p>
        <w:p>
          <w:pPr>
            <w:pStyle w:val="TOC1"/>
            <w:tabs>
              <w:tab w:val="right" w:leader="dot" w:pos="9630"/>
            </w:tabs>
          </w:pPr>
          <w:r>
            <w:t xml:space="preserve">Appendix T – Change Control after Sign-off</w:t>
          </w:r>
          <w:r>
            <w:tab/>
          </w:r>
          <w:r>
            <w:t xml:space="preserve">267</w:t>
          </w:r>
        </w:p>
        <w:p>
          <w:pPr>
            <w:pStyle w:val="TOC1"/>
            <w:tabs>
              <w:tab w:val="right" w:leader="dot" w:pos="9630"/>
            </w:tabs>
          </w:pPr>
          <w:r>
            <w:t xml:space="preserve">Appendix U – Business Unit Review Checklist</w:t>
          </w:r>
          <w:r>
            <w:tab/>
          </w:r>
          <w:r>
            <w:t xml:space="preserve">268</w:t>
          </w:r>
        </w:p>
        <w:p>
          <w:pPr>
            <w:pStyle w:val="TOC1"/>
            <w:tabs>
              <w:tab w:val="right" w:leader="dot" w:pos="9630"/>
            </w:tabs>
          </w:pPr>
          <w:r>
            <w:t xml:space="preserve">Appendix V – Glossary</w:t>
          </w:r>
          <w:r>
            <w:tab/>
          </w:r>
          <w:r>
            <w:t xml:space="preserve">270</w:t>
          </w:r>
        </w:p>
        <w:p>
          <w:pPr>
            <w:pStyle w:val="TOC1"/>
            <w:tabs>
              <w:tab w:val="right" w:leader="dot" w:pos="9630"/>
            </w:tabs>
          </w:pPr>
          <w:r>
            <w:t xml:space="preserve">Appendix W – Points beyond the BRD and Change Requests</w:t>
          </w:r>
          <w:r>
            <w:tab/>
          </w:r>
          <w:r>
            <w:t xml:space="preserve">272</w:t>
          </w:r>
        </w:p>
        <w:p>
          <w:pPr>
            <w:pStyle w:val="TOC2"/>
            <w:tabs>
              <w:tab w:val="right" w:leader="dot" w:pos="9630"/>
            </w:tabs>
          </w:pPr>
          <w:r>
            <w:t xml:space="preserve">W.1 How the points were classified</w:t>
          </w:r>
          <w:r>
            <w:tab/>
          </w:r>
          <w:r>
            <w:t xml:space="preserve">272</w:t>
          </w:r>
        </w:p>
        <w:p>
          <w:pPr>
            <w:pStyle w:val="TOC2"/>
            <w:tabs>
              <w:tab w:val="right" w:leader="dot" w:pos="9630"/>
            </w:tabs>
          </w:pPr>
          <w:r>
            <w:t xml:space="preserve">W.2 Change requests (orange)</w:t>
          </w:r>
          <w:r>
            <w:tab/>
          </w:r>
          <w:r>
            <w:t xml:space="preserve">272</w:t>
          </w:r>
        </w:p>
        <w:p>
          <w:pPr>
            <w:pStyle w:val="TOC2"/>
            <w:tabs>
              <w:tab w:val="right" w:leader="dot" w:pos="9630"/>
            </w:tabs>
          </w:pPr>
          <w:r>
            <w:t xml:space="preserve">W.3 Points beyond the BRD available OOTB in iNXT BrokerVerse (green)</w:t>
          </w:r>
          <w:r>
            <w:tab/>
          </w:r>
          <w:r>
            <w:t xml:space="preserve">272</w:t>
          </w:r>
        </w:p>
        <w:p>
          <w:pPr>
            <w:pStyle w:val="TOC2"/>
            <w:tabs>
              <w:tab w:val="right" w:leader="dot" w:pos="9630"/>
            </w:tabs>
          </w:pPr>
          <w:r>
            <w:t xml:space="preserve">W.4 Check of the non-functional lines of the BRD</w:t>
          </w:r>
          <w:r>
            <w:tab/>
          </w:r>
          <w:r>
            <w:t xml:space="preserve">273</w:t>
          </w:r>
        </w:p>
        <w:p>
          <w:pPr>
            <w:pStyle w:val="TOC2"/>
            <w:tabs>
              <w:tab w:val="right" w:leader="dot" w:pos="9630"/>
            </w:tabs>
          </w:pPr>
          <w:r>
            <w:t xml:space="preserve">W.5 Covered by the Integration scope and the Data Migration scope</w:t>
          </w:r>
          <w:r>
            <w:tab/>
          </w:r>
          <w:r>
            <w:t xml:space="preserve">273</w:t>
          </w:r>
        </w:p>
        <w:p>
          <w:pPr>
            <w:pStyle w:val="TOC2"/>
            <w:tabs>
              <w:tab w:val="right" w:leader="dot" w:pos="9630"/>
            </w:tabs>
          </w:pPr>
          <w:r>
            <w:t xml:space="preserve">W.6 Best-practice recommendations (blue)</w:t>
          </w:r>
          <w:r>
            <w:tab/>
          </w:r>
          <w:r>
            <w:t xml:space="preserve">274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rPr>
        <w:t xml:space="preserve">How to Read this Document</w:t>
      </w:r>
    </w:p>
    <w:p>
      <w:pPr>
        <w:keepNext/>
        <w:rPr>
          <w:rFonts w:ascii="Calibri" w:hAnsi="Calibri" w:cs="Calibri"/>
        </w:rPr>
      </w:pPr>
      <w:r>
        <w:rPr>
          <w:rFonts w:ascii="Calibri" w:hAnsi="Calibri" w:cs="Calibri"/>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7"/>
                <w:szCs w:val="17"/>
              </w:rPr>
              <w:t xml:space="preserve">Black text</w:t>
            </w:r>
          </w:p>
        </w:tc>
        <w:tc>
          <w:tcPr>
            <w:tcW w:w="6623" w:type="dxa"/>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rPr>
        <w:t xml:space="preserve">In this version: 2 change requests (10 man-days in all) and 2 points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as delivered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(as delivered)</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as delivered);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as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in BIBS (Appendix D); valid lines processed as delivered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Channel simulator (SIT and UAT only)</w:t>
            </w:r>
            <w:r>
              <w:rPr>
                <w:rFonts w:ascii="Calibri" w:hAnsi="Calibri" w:cs="Calibri"/>
                <w:color w:val="616161"/>
              </w:rPr>
              <w:t xml:space="preserve"> [Integration scope]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20" w:before="20"/>
              <w:rPr>
                <w:rFonts w:ascii="Arial" w:hAnsi="Arial" w:cs="Arial"/>
                <w:sz w:val="14"/>
                <w:szCs w:val="14"/>
              </w:rPr>
            </w:pPr>
            <w:r>
              <w:rPr>
                <w:rFonts w:ascii="Arial" w:hAnsi="Arial" w:cs="Arial"/>
                <w:sz w:val="14"/>
                <w:szCs w:val="14"/>
              </w:rPr>
              <w:t xml:space="preserve">On request of the test lead</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iorta TechNXT Project Team</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used in production; it cannot run outside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BIBS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BIBS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W – Points beyond the BRD and Change Requests</w:t>
      </w:r>
    </w:p>
    <w:p>
      <w:pPr>
        <w:rPr>
          <w:rFonts w:ascii="Calibri" w:hAnsi="Calibri" w:cs="Calibri"/>
        </w:rPr>
      </w:pPr>
      <w:r>
        <w:rPr>
          <w:rFonts w:ascii="Calibri" w:hAnsi="Calibri" w:cs="Calibri"/>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spacing w:after="60"/>
        <w:contextualSpacing/>
        <w:rPr>
          <w:rFonts w:ascii="Calibri" w:hAnsi="Calibri" w:cs="Calibri"/>
        </w:rPr>
      </w:pPr>
      <w:r>
        <w:rPr>
          <w:rFonts w:ascii="Calibri" w:hAnsi="Calibri" w:cs="Calibri"/>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579"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5"/>
                <w:szCs w:val="15"/>
              </w:rPr>
              <w:t xml:space="preserve">D-CSH-02</w:t>
            </w:r>
          </w:p>
        </w:tc>
        <w:tc>
          <w:tcPr>
            <w:tcW w:w="2448" w:type="dxa"/>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tcPr>
          <w:p>
            <w:pPr>
              <w:spacing w:after="20" w:before="20"/>
              <w:rPr>
                <w:rFonts w:ascii="Arial" w:hAnsi="Arial" w:cs="Arial"/>
                <w:sz w:val="15"/>
                <w:szCs w:val="15"/>
              </w:rPr>
            </w:pPr>
            <w:r>
              <w:rPr>
                <w:rFonts w:ascii="Arial" w:hAnsi="Arial" w:cs="Arial"/>
                <w:sz w:val="15"/>
                <w:szCs w:val="15"/>
              </w:rPr>
              <w:t xml:space="preserve">FRS.CSH.01.03.04</w:t>
            </w:r>
          </w:p>
        </w:tc>
        <w:tc>
          <w:tcPr>
            <w:tcW w:w="1007" w:type="dxa"/>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720" w:type="dxa"/>
          </w:tcPr>
          <w:p>
            <w:pPr>
              <w:keepNext/>
              <w:spacing w:after="20" w:before="20"/>
              <w:rPr>
                <w:rFonts w:ascii="Arial" w:hAnsi="Arial" w:cs="Arial"/>
                <w:sz w:val="16"/>
                <w:szCs w:val="16"/>
              </w:rPr>
            </w:pPr>
            <w:r>
              <w:rPr>
                <w:rFonts w:ascii="Arial" w:hAnsi="Arial" w:cs="Arial"/>
                <w:color w:val="2E7D32"/>
                <w:sz w:val="16"/>
                <w:szCs w:val="16"/>
              </w:rPr>
              <w:t xml:space="preserve">G-01</w:t>
            </w:r>
          </w:p>
        </w:tc>
        <w:tc>
          <w:tcPr>
            <w:tcW w:w="3744" w:type="dxa"/>
          </w:tcPr>
          <w:p>
            <w:pPr>
              <w:keepNext/>
              <w:spacing w:after="20" w:before="20"/>
              <w:rPr>
                <w:rFonts w:ascii="Arial" w:hAnsi="Arial" w:cs="Arial"/>
                <w:sz w:val="16"/>
                <w:szCs w:val="16"/>
              </w:rPr>
            </w:pPr>
            <w:r>
              <w:rPr>
                <w:rFonts w:ascii="Arial" w:hAnsi="Arial" w:cs="Arial"/>
                <w:color w:val="2E7D32"/>
                <w:sz w:val="16"/>
                <w:szCs w:val="16"/>
              </w:rPr>
              <w:t xml:space="preserve">Scheduled daily run of the Daily Cash Reconciliation Reports</w:t>
            </w:r>
          </w:p>
        </w:tc>
        <w:tc>
          <w:tcPr>
            <w:tcW w:w="1440" w:type="dxa"/>
          </w:tcPr>
          <w:p>
            <w:pPr>
              <w:keepNext/>
              <w:spacing w:after="20" w:before="20"/>
              <w:rPr>
                <w:rFonts w:ascii="Arial" w:hAnsi="Arial" w:cs="Arial"/>
                <w:sz w:val="16"/>
                <w:szCs w:val="16"/>
              </w:rPr>
            </w:pPr>
            <w:r>
              <w:rPr>
                <w:rFonts w:ascii="Arial" w:hAnsi="Arial" w:cs="Arial"/>
                <w:color w:val="2E7D32"/>
                <w:sz w:val="16"/>
                <w:szCs w:val="16"/>
              </w:rPr>
              <w:t xml:space="preserve">FRS.CSH.09.02.10; Appendix M</w:t>
            </w:r>
          </w:p>
        </w:tc>
        <w:tc>
          <w:tcPr>
            <w:tcW w:w="2736" w:type="dxa"/>
          </w:tcPr>
          <w:p>
            <w:pPr>
              <w:keepNext/>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keepNext/>
              <w:spacing w:after="20" w:before="20"/>
              <w:rPr>
                <w:rFonts w:ascii="Arial" w:hAnsi="Arial" w:cs="Arial"/>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W.4 Check of the non-functional lines of the BRD</w:t>
      </w:r>
    </w:p>
    <w:p>
      <w:pPr>
        <w:rPr>
          <w:rFonts w:ascii="Calibri" w:hAnsi="Calibri" w:cs="Calibri"/>
        </w:rPr>
      </w:pPr>
      <w:r>
        <w:rPr>
          <w:rFonts w:ascii="Calibri" w:hAnsi="Calibri" w:cs="Calibri"/>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W.5 Covered by the Integration scope and the Data Migration scope</w:t>
      </w:r>
    </w:p>
    <w:p>
      <w:pPr>
        <w:keepNext/>
        <w:rPr>
          <w:rFonts w:ascii="Calibri" w:hAnsi="Calibri" w:cs="Calibri"/>
        </w:rPr>
      </w:pPr>
      <w:r>
        <w:rPr>
          <w:rFonts w:ascii="Calibri" w:hAnsi="Calibri" w:cs="Calibri"/>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Channel simulator (SIT and UAT only)</w:t>
            </w:r>
            <w:r>
              <w:rPr>
                <w:rFonts w:ascii="Calibri" w:hAnsi="Calibri" w:cs="Calibri"/>
                <w:color w:val="616161"/>
              </w:rPr>
              <w:t xml:space="preserve"> [Integration scope]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rPr>
        <w:t xml:space="preserve">W.6 Best-practice recommendations (blue)</w:t>
      </w:r>
    </w:p>
    <w:p>
      <w:pPr>
        <w:keepNext/>
        <w:rPr>
          <w:rFonts w:ascii="Calibri" w:hAnsi="Calibri" w:cs="Calibri"/>
        </w:rPr>
      </w:pPr>
      <w:r>
        <w:rPr>
          <w:rFonts w:ascii="Calibri" w:hAnsi="Calibri" w:cs="Calibri"/>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