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Renewal Test Plan</w:t>
      </w:r>
    </w:p>
    <w:p>
      <w:pPr>
        <w:spacing w:after="40"/>
      </w:pPr>
      <w:r>
        <w:rPr>
          <w:color w:val="2E2E2E"/>
          <w:sz w:val="28"/>
        </w:rPr>
        <w:t>BRD-6 Renewal (RMEL Phase 2 Online Dispositioning, Addendum 1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BRD-6 v1.1 and the Renewal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FRS BRD-6 v1.1: cases for the go-live extraction and the RAs already sent (FR-RN-016) and the package remapping at sanitation (FR-RN-028); test data TD-RN-15, TD-RN-16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Renewal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and Corporate Marketing (Team Leaders, AOs)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assignment, disposition, review, letters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 (Team Leaders, Processing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Processing, insurer round-trip, RAs, acceptance</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Lists of values, templates, rules and parameters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LAMD and Contact Center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 Unibank / BDOI</w:t>
            </w:r>
          </w:p>
        </w:tc>
        <w:tc>
          <w:tcPr>
            <w:tcW w:type="dxa" w:w="2833"/>
            <w:tcMar>
              <w:top w:w="50" w:type="dxa"/>
              <w:bottom w:w="50" w:type="dxa"/>
              <w:left w:w="90" w:type="dxa"/>
              <w:right w:w="90" w:type="dxa"/>
            </w:tcMar>
            <w:shd w:val="clear" w:color="auto" w:fill="E5F5FF"/>
          </w:tcPr>
          <w:p>
            <w:pPr>
              <w:pStyle w:val="BDOITable"/>
            </w:pPr>
            <w:r>
              <w:rPr>
                <w:sz w:val="18"/>
              </w:rPr>
              <w:t>LAMD reports, follow-ups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6 Defect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16</w:t>
        </w:r>
      </w:hyperlink>
    </w:p>
    <w:p>
      <w:pPr>
        <w:pStyle w:val="toc2"/>
      </w:pPr>
      <w:hyperlink w:anchor="_Toc000124" w:history="1">
        <w:r>
          <w:t xml:space="preserve">7.4 Scenarios</w:t>
        </w:r>
        <w:r>
          <w:t xml:space="preserve">	</w:t>
        </w:r>
        <w:r>
          <w:t xml:space="preserve">17</w:t>
        </w:r>
      </w:hyperlink>
    </w:p>
    <w:p>
      <w:pPr>
        <w:pStyle w:val="toc2"/>
      </w:pPr>
      <w:hyperlink w:anchor="_Toc000125" w:history="1">
        <w:r>
          <w:t xml:space="preserve">7.5 Roles and access</w:t>
        </w:r>
        <w:r>
          <w:t xml:space="preserve">	</w:t>
        </w:r>
        <w:r>
          <w:t xml:space="preserve">18</w:t>
        </w:r>
      </w:hyperlink>
    </w:p>
    <w:p>
      <w:pPr>
        <w:pStyle w:val="toc2"/>
      </w:pPr>
      <w:hyperlink w:anchor="_Toc000126" w:history="1">
        <w:r>
          <w:t xml:space="preserve">7.6 Automated tests</w:t>
        </w:r>
        <w:r>
          <w:t xml:space="preserve">	</w:t>
        </w:r>
        <w:r>
          <w:t xml:space="preserve">19</w:t>
        </w:r>
      </w:hyperlink>
    </w:p>
    <w:p>
      <w:pPr>
        <w:pStyle w:val="toc1"/>
      </w:pPr>
      <w:hyperlink w:anchor="_Toc000127" w:history="1">
        <w:r>
          <w:t xml:space="preserve">8 Risks</w:t>
        </w:r>
        <w:r>
          <w:t xml:space="preserve">	</w:t>
        </w:r>
        <w:r>
          <w:t xml:space="preserve">19</w:t>
        </w:r>
      </w:hyperlink>
    </w:p>
    <w:p>
      <w:pPr>
        <w:pStyle w:val="toc1"/>
      </w:pPr>
      <w:hyperlink w:anchor="_Toc000128" w:history="1">
        <w:r>
          <w:t xml:space="preserve">9 FRS findings</w:t>
        </w:r>
        <w:r>
          <w:t xml:space="preserve">	</w:t>
        </w:r>
        <w:r>
          <w:t xml:space="preserve">19</w:t>
        </w:r>
      </w:hyperlink>
    </w:p>
    <w:p>
      <w:pPr>
        <w:pStyle w:val="toc1"/>
      </w:pPr>
      <w:hyperlink w:anchor="_Toc000129" w:history="1">
        <w:r>
          <w:t xml:space="preserve">10 Sign-off</w:t>
        </w:r>
        <w:r>
          <w:t xml:space="preserve">	</w:t>
        </w:r>
        <w:r>
          <w:t xml:space="preserve">21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BRD-6 Renewal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BIBS_TestPlan_BRD-06_Renewal_v1.1.xlsx</w:t>
      </w:r>
      <w:r>
        <w:rPr/>
        <w:t>, which the testers use during execution.</w:t>
      </w:r>
    </w:p>
    <w:p>
      <w:r>
        <w:rPr/>
        <w:t xml:space="preserve">Every case traces to a functional requirement (FR) of FRS BRD-6 v1.1 and to the BRD requirement IDs (BRRN.nnn and the persona line IDs 1.001 to 6.002) that the FR meets. Renewal is </w:t>
      </w:r>
      <w:r>
        <w:rPr>
          <w:b/>
        </w:rPr>
        <w:t>designed and not yet built</w:t>
      </w:r>
      <w:r>
        <w:rPr/>
        <w:t>. The expected results therefore quote the message texts of the FRS without codes, the screen paths are those of the build design, and no case names an automated test yet. Where a Renewal check reuses a message that the platform already shows (log-in, bulk upload, account completeness), the case quotes the text BIBS shows today and a finding records the difference from the FRS (section 9).</w:t>
      </w:r>
    </w:p>
    <w:p>
      <w:pPr>
        <w:pStyle w:val="Heading2"/>
      </w:pPr>
      <w:bookmarkStart w:id="103" w:name="_Toc000103"/>
      <w:r>
        <w:rPr/>
        <w:t>1.2 Scope</w:t>
      </w:r>
      <w:bookmarkEnd w:id="103"/>
    </w:p>
    <w:p>
      <w:r>
        <w:rPr/>
        <w:t>In scope are all 56 FRs of FRS BRD-6 v1.1 and every BRD ID they trace to:</w:t>
      </w:r>
    </w:p>
    <w:p>
      <w:pPr>
        <w:tabs>
          <w:tab w:pos="312" w:val="left"/>
        </w:tabs>
        <w:spacing w:after="40"/>
        <w:ind w:left="312" w:hanging="283"/>
      </w:pPr>
      <w:r>
        <w:rPr>
          <w:color w:val="004EA8"/>
        </w:rPr>
        <w:t>•</w:t>
        <w:tab/>
      </w:r>
      <w:r>
        <w:rPr/>
        <w:t>log-in, sessions, tabs, roles, data scope, profiles and the audit trail (FR-RN-001 to 004);</w:t>
      </w:r>
    </w:p>
    <w:p>
      <w:pPr>
        <w:tabs>
          <w:tab w:pos="312" w:val="left"/>
        </w:tabs>
        <w:spacing w:after="40"/>
        <w:ind w:left="312" w:hanging="283"/>
      </w:pPr>
      <w:r>
        <w:rPr>
          <w:color w:val="004EA8"/>
        </w:rPr>
        <w:t>•</w:t>
        <w:tab/>
      </w:r>
      <w:r>
        <w:rPr/>
        <w:t>extraction at the lead days and for any range, filters, the scrollable list, export, print and initiation (FR-RN-010 to 015);</w:t>
      </w:r>
    </w:p>
    <w:p>
      <w:pPr>
        <w:tabs>
          <w:tab w:pos="312" w:val="left"/>
        </w:tabs>
        <w:spacing w:after="40"/>
        <w:ind w:left="312" w:hanging="283"/>
      </w:pPr>
      <w:r>
        <w:rPr>
          <w:color w:val="004EA8"/>
        </w:rPr>
        <w:t>•</w:t>
        <w:tab/>
      </w:r>
      <w:r>
        <w:rPr/>
        <w:t>checks, the renewal reference, buckets, the decision matrix, non-renewable risk codes, LAMD reports, the KYC flag and endorsements on the mother policy (FR-RN-020 to 027);</w:t>
      </w:r>
    </w:p>
    <w:p>
      <w:pPr>
        <w:tabs>
          <w:tab w:pos="312" w:val="left"/>
        </w:tabs>
        <w:spacing w:after="40"/>
        <w:ind w:left="312" w:hanging="283"/>
      </w:pPr>
      <w:r>
        <w:rPr>
          <w:color w:val="004EA8"/>
        </w:rPr>
        <w:t>•</w:t>
        <w:tab/>
      </w:r>
      <w:r>
        <w:rPr/>
        <w:t>assignment, re-assignment and transfers between Marketing units (FR-RN-030 to 032);</w:t>
      </w:r>
    </w:p>
    <w:p>
      <w:pPr>
        <w:tabs>
          <w:tab w:pos="312" w:val="left"/>
        </w:tabs>
        <w:spacing w:after="40"/>
        <w:ind w:left="312" w:hanging="283"/>
      </w:pPr>
      <w:r>
        <w:rPr>
          <w:color w:val="004EA8"/>
        </w:rPr>
        <w:t>•</w:t>
        <w:tab/>
      </w:r>
      <w:r>
        <w:rPr/>
        <w:t>the AO's list, the record page, the account history, dispositions, remarks, returned accounts, re-open and the New Business path (FR-RN-040 to 048);</w:t>
      </w:r>
    </w:p>
    <w:p>
      <w:pPr>
        <w:tabs>
          <w:tab w:pos="312" w:val="left"/>
        </w:tabs>
        <w:spacing w:after="40"/>
        <w:ind w:left="312" w:hanging="283"/>
      </w:pPr>
      <w:r>
        <w:rPr>
          <w:color w:val="004EA8"/>
        </w:rPr>
        <w:t>•</w:t>
        <w:tab/>
      </w:r>
      <w:r>
        <w:rPr/>
        <w:t>TL review, return, post and the controlled overrides (FR-RN-050, 051);</w:t>
      </w:r>
    </w:p>
    <w:p>
      <w:pPr>
        <w:tabs>
          <w:tab w:pos="312" w:val="left"/>
        </w:tabs>
        <w:spacing w:after="40"/>
        <w:ind w:left="312" w:hanging="283"/>
      </w:pPr>
      <w:r>
        <w:rPr>
          <w:color w:val="004EA8"/>
        </w:rPr>
        <w:t>•</w:t>
        <w:tab/>
      </w:r>
      <w:r>
        <w:rPr/>
        <w:t>dispositioned-file upload, assignment to Processing Officers, the renewal account, computations and returns (FR-RN-060 to 065);</w:t>
      </w:r>
    </w:p>
    <w:p>
      <w:pPr>
        <w:tabs>
          <w:tab w:pos="312" w:val="left"/>
        </w:tabs>
        <w:spacing w:after="40"/>
        <w:ind w:left="312" w:hanging="283"/>
      </w:pPr>
      <w:r>
        <w:rPr>
          <w:color w:val="004EA8"/>
        </w:rPr>
        <w:t>•</w:t>
        <w:tab/>
      </w:r>
      <w:r>
        <w:rPr/>
        <w:t>the extract per insurer and the insurer responses (FR-RN-070, 071);</w:t>
      </w:r>
    </w:p>
    <w:p>
      <w:pPr>
        <w:tabs>
          <w:tab w:pos="312" w:val="left"/>
        </w:tabs>
        <w:spacing w:after="40"/>
        <w:ind w:left="312" w:hanging="283"/>
      </w:pPr>
      <w:r>
        <w:rPr>
          <w:color w:val="004EA8"/>
        </w:rPr>
        <w:t>•</w:t>
        <w:tab/>
      </w:r>
      <w:r>
        <w:rPr/>
        <w:t>Renewal Advices, NAL, NFR, NRNS reminders, non-acceptance letters, acceptance to booking and Contact Center follow-ups (FR-RN-080 to 085);</w:t>
      </w:r>
    </w:p>
    <w:p>
      <w:pPr>
        <w:tabs>
          <w:tab w:pos="312" w:val="left"/>
        </w:tabs>
        <w:spacing w:after="40"/>
        <w:ind w:left="312" w:hanging="283"/>
      </w:pPr>
      <w:r>
        <w:rPr>
          <w:color w:val="004EA8"/>
        </w:rPr>
        <w:t>•</w:t>
        <w:tab/>
      </w:r>
      <w:r>
        <w:rPr/>
        <w:t>the Submitted Policies hand-off (FR-RN-090);</w:t>
      </w:r>
    </w:p>
    <w:p>
      <w:pPr>
        <w:tabs>
          <w:tab w:pos="312" w:val="left"/>
        </w:tabs>
        <w:spacing w:after="40"/>
        <w:ind w:left="312" w:hanging="283"/>
      </w:pPr>
      <w:r>
        <w:rPr>
          <w:color w:val="004EA8"/>
        </w:rPr>
        <w:t>•</w:t>
        <w:tab/>
      </w:r>
      <w:r>
        <w:rPr/>
        <w:t>Renewal Home, the status report with its 34 counters, listings with escalation and the operational reports (FR-RN-100 to 103);</w:t>
      </w:r>
    </w:p>
    <w:p>
      <w:pPr>
        <w:tabs>
          <w:tab w:pos="312" w:val="left"/>
        </w:tabs>
        <w:spacing w:after="120"/>
        <w:ind w:left="312" w:hanging="283"/>
      </w:pPr>
      <w:r>
        <w:rPr>
          <w:color w:val="004EA8"/>
        </w:rPr>
        <w:t>•</w:t>
        <w:tab/>
      </w:r>
      <w:r>
        <w:rPr/>
        <w:t>lists of values, templates, rules and parameters (FR-RN-110 to 112).</w:t>
      </w:r>
    </w:p>
    <w:p>
      <w:r>
        <w:rPr/>
        <w:t>The main BRD repeats most capabilities once per persona. The FRS traces its 1,032 line IDs in ranges (for example "1.009.2.1-40"); section 7.3 shows how every range is covered. The roles-and-access sheet checks each Renewal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nine BRD IDs that reference BDOIsys, EBIX or QPS (Addendum 1, p.34; FRS section 11.3). Negative cases confirm that no EBIX or QPS search or column is offered.</w:t>
      </w:r>
    </w:p>
    <w:p>
      <w:pPr>
        <w:tabs>
          <w:tab w:pos="312" w:val="left"/>
        </w:tabs>
        <w:spacing w:after="40"/>
        <w:ind w:left="312" w:hanging="283"/>
      </w:pPr>
      <w:r>
        <w:rPr>
          <w:color w:val="004EA8"/>
        </w:rPr>
        <w:t>•</w:t>
        <w:tab/>
      </w:r>
      <w:r>
        <w:rPr/>
        <w:t>Renewal of Employee Benefits programmes (BRD-8, decision D3). A case confirms that HMO lines are not extracted.</w:t>
      </w:r>
    </w:p>
    <w:p>
      <w:pPr>
        <w:tabs>
          <w:tab w:pos="312" w:val="left"/>
        </w:tabs>
        <w:spacing w:after="40"/>
        <w:ind w:left="312" w:hanging="283"/>
      </w:pPr>
      <w:r>
        <w:rPr>
          <w:color w:val="004EA8"/>
        </w:rPr>
        <w:t>•</w:t>
        <w:tab/>
      </w:r>
      <w:r>
        <w:rPr/>
        <w:t>Renewal of package products (BRD-3). Placement, issuance and booking of the renewal account are BRD-1 functions; the cases stop at the booked invoice of business type RENEWAL.</w:t>
      </w:r>
    </w:p>
    <w:p>
      <w:pPr>
        <w:tabs>
          <w:tab w:pos="312" w:val="left"/>
        </w:tabs>
        <w:spacing w:after="40"/>
        <w:ind w:left="312" w:hanging="283"/>
      </w:pPr>
      <w:r>
        <w:rPr>
          <w:color w:val="004EA8"/>
        </w:rPr>
        <w:t>•</w:t>
        <w:tab/>
      </w:r>
      <w:r>
        <w:rPr/>
        <w:t>Performance and volume testing beyond the two timing cases (20,000-row list, 30,000-row report). The NFRs of FRS section 8 are tested in the BIBS-wide performance test plan (deliverable 28).</w:t>
      </w:r>
    </w:p>
    <w:p>
      <w:pPr>
        <w:tabs>
          <w:tab w:pos="312" w:val="left"/>
        </w:tabs>
        <w:spacing w:after="120"/>
        <w:ind w:left="312" w:hanging="283"/>
      </w:pPr>
      <w:r>
        <w:rPr>
          <w:color w:val="004EA8"/>
        </w:rPr>
        <w:t>•</w:t>
        <w:tab/>
      </w:r>
      <w:r>
        <w:rPr/>
        <w:t>BDOI's own letter layouts, file layouts and password convention (RQ15, RQ20, RQ26, Q07). The cases use the draft layouts delivered with the build and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BRD-6 Renewal (</w:t>
            </w:r>
            <w:r>
              <w:rPr>
                <w:rFonts w:ascii="Courier New" w:hAnsi="Courier New" w:cs="Courier New" w:eastAsia="Courier New"/>
                <w:color w:val="2E2E2E"/>
                <w:sz w:val="16"/>
              </w:rPr>
              <w:t>BIBS_FRS_BRD-06_Renewal_v1.1.docx</w:t>
            </w:r>
            <w:r>
              <w:rPr>
                <w:sz w:val="18"/>
              </w:rPr>
              <w:t>)</w:t>
            </w:r>
          </w:p>
        </w:tc>
        <w:tc>
          <w:tcPr>
            <w:tcW w:type="dxa" w:w="2992"/>
            <w:tcMar>
              <w:top w:w="50" w:type="dxa"/>
              <w:bottom w:w="50" w:type="dxa"/>
              <w:left w:w="90" w:type="dxa"/>
              <w:right w:w="90" w:type="dxa"/>
            </w:tcMar>
          </w:tcPr>
          <w:p>
            <w:pPr>
              <w:pStyle w:val="BDOITable"/>
            </w:pPr>
            <w:r>
              <w:rPr>
                <w:sz w:val="18"/>
              </w:rPr>
              <w:t>1.1, 26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Renewal BRD pack: Workshop addendum, Addendum 1 and RMEL Phase 2 BRD (</w:t>
            </w:r>
            <w:r>
              <w:rPr>
                <w:rFonts w:ascii="Courier New" w:hAnsi="Courier New" w:cs="Courier New" w:eastAsia="Courier New"/>
                <w:color w:val="2E2E2E"/>
                <w:sz w:val="16"/>
              </w:rPr>
              <w:t>docs/source-documents/Renewal (RN)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9-May-2025; addenda 18-Nov-2025 and 8-Apr-2026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BRD-6 (</w:t>
            </w:r>
            <w:r>
              <w:rPr>
                <w:rFonts w:ascii="Courier New" w:hAnsi="Courier New" w:cs="Courier New" w:eastAsia="Courier New"/>
                <w:color w:val="2E2E2E"/>
                <w:sz w:val="16"/>
              </w:rPr>
              <w:t>BIBS_TestPlan_BRD-06_Renewal_v1.1.xlsx</w:t>
            </w:r>
            <w:r>
              <w:rPr>
                <w:sz w:val="18"/>
              </w:rPr>
              <w:t>)</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Renewal build design (</w:t>
            </w:r>
            <w:r>
              <w:rPr>
                <w:rFonts w:ascii="Courier New" w:hAnsi="Courier New" w:cs="Courier New" w:eastAsia="Courier New"/>
                <w:color w:val="2E2E2E"/>
                <w:sz w:val="16"/>
              </w:rPr>
              <w:t>docs/architecture/RENEWAL_DESIGN.md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Cross-BRD decisions (</w:t>
            </w:r>
            <w:r>
              <w:rPr>
                <w:rFonts w:ascii="Courier New" w:hAnsi="Courier New" w:cs="Courier New" w:eastAsia="Courier New"/>
                <w:color w:val="2E2E2E"/>
                <w:sz w:val="16"/>
              </w:rPr>
              <w:t>docs/requirements/BDOI_CROSS_BRD_DECISIONS.md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Checks, bucket and matrix rules, workflow transitions, permissions, uploads and letters of each FR,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with the build;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named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twelve scenarios run from start to finish by the persona that owns each step, with notifications and e-mails checked in the test mailboxes</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Marketing, Processing, MBS, LAMD and Contact Center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The automation reference column is blank in this version. When the module is built, the developers name in the workbook the integration test that asserts each case, as was done for BRD-1 to BRD-3; a case with an automation reference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failed check never gives Clean, by rule or by override".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of the design), the preconditions and data set, numbered steps and the expected result. Where BIBS shows a message, the expected result quotes the text; values filled in at run time (reference, row, check)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case and one </w:t>
      </w:r>
      <w:r>
        <w:rPr>
          <w:b/>
        </w:rPr>
        <w:t>negative</w:t>
      </w:r>
      <w:r>
        <w:rPr/>
        <w:t xml:space="preserve"> case. Boundary cases test the values at and next to a limit: 200 and 201 characters of remarks, the third failed log-in, 30 and 20 days before expiry for the RA, 30 and 31 days after expiry for a re-open, 59 and 61 days for the at-risk alert, the financial-impact tolerance.</w:t>
      </w:r>
    </w:p>
    <w:p>
      <w:pPr>
        <w:tabs>
          <w:tab w:pos="312" w:val="left"/>
        </w:tabs>
        <w:spacing w:after="40"/>
        <w:ind w:left="312" w:hanging="283"/>
      </w:pPr>
      <w:r>
        <w:rPr>
          <w:color w:val="004EA8"/>
        </w:rPr>
        <w:t>•</w:t>
        <w:tab/>
      </w:r>
      <w:r>
        <w:rPr/>
        <w:t>Where the BRD asks for the same capability per persona (log-in, list, view, report, RA), the case is repeated for each persona and carries that persona's BRD IDs.</w:t>
      </w:r>
    </w:p>
    <w:p>
      <w:pPr>
        <w:tabs>
          <w:tab w:pos="312" w:val="left"/>
        </w:tabs>
        <w:spacing w:after="40"/>
        <w:ind w:left="312" w:hanging="283"/>
      </w:pPr>
      <w:r>
        <w:rPr>
          <w:color w:val="004EA8"/>
        </w:rPr>
        <w:t>•</w:t>
        <w:tab/>
      </w:r>
      <w:r>
        <w:rPr>
          <w:b/>
        </w:rPr>
        <w:t>Scenarios</w:t>
      </w:r>
      <w:r>
        <w:rPr/>
        <w:t xml:space="preserve"> group the cases into business threads by persona, so a tester can follow a renewal from extraction to booking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API calls are open only to the roles and data scope that allow them;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RNW_CASE, an insurer batch or a letter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Lists, reports, exports, print previews and summary counters;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Dispositioned files, insurer and LAMD files, letters and documents sent or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TC-RN-043.2-01 is the first case of condition 2 of FR-RN-043.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Renewal module is deployed on SIT with its jobs (RNW_EXTRACTION, RNW_REEVALUATE, RNW_NRNS_LETTERS, RNW_EXPIRY_SWEEP); the shared change BT0 (business type on the account) is deployed; CI is green on the deployed commit; the data sets of section 4.2 are loaded; the test mailboxes of clients and insurers receive mail; the developers have added the automation references to the workbook.</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notifications and the e-mail relay work on SIT; the Submitted Policies hand-off (BRD-12) is deployed for SC-RN-10.</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BRD-6 v1.1 is signed off or its open comments are agreed; the open questions that change expected results (RQ01, RQ08, RQ10, RQ15, RQ24)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notifications, letters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mail relay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Data sets of section 4.2, booked through BRD-1 on SIT; test mailboxes for clients and insurers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data sets; no real client names, TINs, PNs, addresses or e-mail addresses</w:t>
            </w:r>
          </w:p>
        </w:tc>
      </w:tr>
    </w:tbl>
    <w:p>
      <w:pPr>
        <w:pStyle w:val="BDOISpacer"/>
      </w:pPr>
    </w:p>
    <w:p>
      <w:r>
        <w:rPr/>
        <w:t>Non-production data is always masked. Client names, TINs, PN numbers, addresses, e-mail addresses and phone numbers are replaced before data is loaded into SIT or UAT, and insurer and client e-mail addresses point to test mailboxes, so no RA, NFR or insurer extract can reach a real client or insurer.</w:t>
      </w:r>
    </w:p>
    <w:p>
      <w:pPr>
        <w:pStyle w:val="Heading2"/>
      </w:pPr>
      <w:bookmarkStart w:id="115" w:name="_Toc000115"/>
      <w:r>
        <w:rPr/>
        <w:t>4.2 Named data sets</w:t>
      </w:r>
      <w:bookmarkEnd w:id="115"/>
    </w:p>
    <w:p>
      <w:r>
        <w:rPr/>
        <w:t>Renewal is not built, so no demo seed provides the data yet. The test lead prepares each set on SIT as its source column says, mostly by booking policies through BRD-1 with expiry dates relative to the business date. When the module is built, the sets become a demo seed and this column names it.</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TD-RN-01</w:t>
            </w:r>
          </w:p>
        </w:tc>
        <w:tc>
          <w:tcPr>
            <w:tcW w:type="dxa" w:w="3520"/>
            <w:tcMar>
              <w:top w:w="50" w:type="dxa"/>
              <w:bottom w:w="50" w:type="dxa"/>
              <w:left w:w="90" w:type="dxa"/>
              <w:right w:w="90" w:type="dxa"/>
            </w:tcMar>
          </w:tcPr>
          <w:p>
            <w:pPr>
              <w:pStyle w:val="BDOITable"/>
            </w:pPr>
            <w:r>
              <w:rPr>
                <w:sz w:val="17"/>
              </w:rPr>
              <w:t>Test users per Renewal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roles and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TD-RN-02</w:t>
            </w:r>
          </w:p>
        </w:tc>
        <w:tc>
          <w:tcPr>
            <w:tcW w:type="dxa" w:w="3520"/>
            <w:tcMar>
              <w:top w:w="50" w:type="dxa"/>
              <w:bottom w:w="50" w:type="dxa"/>
              <w:left w:w="90" w:type="dxa"/>
              <w:right w:w="90" w:type="dxa"/>
            </w:tcMar>
            <w:shd w:val="clear" w:color="auto" w:fill="E5F5FF"/>
          </w:tcPr>
          <w:p>
            <w:pPr>
              <w:pStyle w:val="BDOITable"/>
            </w:pPr>
            <w:r>
              <w:rPr>
                <w:sz w:val="17"/>
              </w:rPr>
              <w:t>Non-CBG expiring invoices</w:t>
            </w:r>
          </w:p>
        </w:tc>
        <w:tc>
          <w:tcPr>
            <w:tcW w:type="dxa" w:w="5279"/>
            <w:tcMar>
              <w:top w:w="50" w:type="dxa"/>
              <w:bottom w:w="50" w:type="dxa"/>
              <w:left w:w="90" w:type="dxa"/>
              <w:right w:w="90" w:type="dxa"/>
            </w:tcMar>
            <w:shd w:val="clear" w:color="auto" w:fill="E5F5FF"/>
          </w:tcPr>
          <w:p>
            <w:pPr>
              <w:pStyle w:val="BDOITable"/>
            </w:pPr>
            <w:r>
              <w:rPr>
                <w:sz w:val="17"/>
              </w:rPr>
              <w:t>Booked through the BRD-1 booking on SIT by the test lead; masked client names</w:t>
            </w:r>
          </w:p>
        </w:tc>
      </w:tr>
      <w:tr>
        <w:trPr>
          <w:cantSplit w:val="true"/>
        </w:trPr>
        <w:tc>
          <w:tcPr>
            <w:tcW w:type="dxa" w:w="1173"/>
            <w:tcMar>
              <w:top w:w="50" w:type="dxa"/>
              <w:bottom w:w="50" w:type="dxa"/>
              <w:left w:w="90" w:type="dxa"/>
              <w:right w:w="90" w:type="dxa"/>
            </w:tcMar>
          </w:tcPr>
          <w:p>
            <w:pPr>
              <w:pStyle w:val="BDOITable"/>
            </w:pPr>
            <w:r>
              <w:rPr>
                <w:sz w:val="17"/>
              </w:rPr>
              <w:t>TD-RN-03</w:t>
            </w:r>
          </w:p>
        </w:tc>
        <w:tc>
          <w:tcPr>
            <w:tcW w:type="dxa" w:w="3520"/>
            <w:tcMar>
              <w:top w:w="50" w:type="dxa"/>
              <w:bottom w:w="50" w:type="dxa"/>
              <w:left w:w="90" w:type="dxa"/>
              <w:right w:w="90" w:type="dxa"/>
            </w:tcMar>
          </w:tcPr>
          <w:p>
            <w:pPr>
              <w:pStyle w:val="BDOITable"/>
            </w:pPr>
            <w:r>
              <w:rPr>
                <w:sz w:val="17"/>
              </w:rPr>
              <w:t>CBG mortgaged accounts</w:t>
            </w:r>
          </w:p>
        </w:tc>
        <w:tc>
          <w:tcPr>
            <w:tcW w:type="dxa" w:w="5279"/>
            <w:tcMar>
              <w:top w:w="50" w:type="dxa"/>
              <w:bottom w:w="50" w:type="dxa"/>
              <w:left w:w="90" w:type="dxa"/>
              <w:right w:w="90" w:type="dxa"/>
            </w:tcMar>
          </w:tcPr>
          <w:p>
            <w:pPr>
              <w:pStyle w:val="BDOITable"/>
            </w:pPr>
            <w:r>
              <w:rPr>
                <w:sz w:val="17"/>
              </w:rPr>
              <w:t>Booked on SIT with mortgagee BDO Unibank; PN values agreed with the LAMD test file TD-RN-05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TD-RN-04</w:t>
            </w:r>
          </w:p>
        </w:tc>
        <w:tc>
          <w:tcPr>
            <w:tcW w:type="dxa" w:w="3520"/>
            <w:tcMar>
              <w:top w:w="50" w:type="dxa"/>
              <w:bottom w:w="50" w:type="dxa"/>
              <w:left w:w="90" w:type="dxa"/>
              <w:right w:w="90" w:type="dxa"/>
            </w:tcMar>
            <w:shd w:val="clear" w:color="auto" w:fill="E5F5FF"/>
          </w:tcPr>
          <w:p>
            <w:pPr>
              <w:pStyle w:val="BDOITable"/>
            </w:pPr>
            <w:r>
              <w:rPr>
                <w:sz w:val="17"/>
              </w:rPr>
              <w:t>Candidates with blocking conditions</w:t>
            </w:r>
          </w:p>
        </w:tc>
        <w:tc>
          <w:tcPr>
            <w:tcW w:type="dxa" w:w="5279"/>
            <w:tcMar>
              <w:top w:w="50" w:type="dxa"/>
              <w:bottom w:w="50" w:type="dxa"/>
              <w:left w:w="90" w:type="dxa"/>
              <w:right w:w="90" w:type="dxa"/>
            </w:tcMar>
            <w:shd w:val="clear" w:color="auto" w:fill="E5F5FF"/>
          </w:tcPr>
          <w:p>
            <w:pPr>
              <w:pStyle w:val="BDOITable"/>
            </w:pPr>
            <w:r>
              <w:rPr>
                <w:sz w:val="17"/>
              </w:rPr>
              <w:t>Prepared on SIT (claim in Claims or the claims stub, endorsement request in Operations, unpaid invoice left open)</w:t>
            </w:r>
          </w:p>
        </w:tc>
      </w:tr>
      <w:tr>
        <w:trPr>
          <w:cantSplit w:val="true"/>
        </w:trPr>
        <w:tc>
          <w:tcPr>
            <w:tcW w:type="dxa" w:w="1173"/>
            <w:tcMar>
              <w:top w:w="50" w:type="dxa"/>
              <w:bottom w:w="50" w:type="dxa"/>
              <w:left w:w="90" w:type="dxa"/>
              <w:right w:w="90" w:type="dxa"/>
            </w:tcMar>
          </w:tcPr>
          <w:p>
            <w:pPr>
              <w:pStyle w:val="BDOITable"/>
            </w:pPr>
            <w:r>
              <w:rPr>
                <w:sz w:val="17"/>
              </w:rPr>
              <w:t>TD-RN-05</w:t>
            </w:r>
          </w:p>
        </w:tc>
        <w:tc>
          <w:tcPr>
            <w:tcW w:type="dxa" w:w="3520"/>
            <w:tcMar>
              <w:top w:w="50" w:type="dxa"/>
              <w:bottom w:w="50" w:type="dxa"/>
              <w:left w:w="90" w:type="dxa"/>
              <w:right w:w="90" w:type="dxa"/>
            </w:tcMar>
          </w:tcPr>
          <w:p>
            <w:pPr>
              <w:pStyle w:val="BDOITable"/>
            </w:pPr>
            <w:r>
              <w:rPr>
                <w:sz w:val="17"/>
              </w:rPr>
              <w:t>LAMD report files</w:t>
            </w:r>
          </w:p>
        </w:tc>
        <w:tc>
          <w:tcPr>
            <w:tcW w:type="dxa" w:w="5279"/>
            <w:tcMar>
              <w:top w:w="50" w:type="dxa"/>
              <w:bottom w:w="50" w:type="dxa"/>
              <w:left w:w="90" w:type="dxa"/>
              <w:right w:w="90" w:type="dxa"/>
            </w:tcMar>
          </w:tcPr>
          <w:p>
            <w:pPr>
              <w:pStyle w:val="BDOITable"/>
            </w:pPr>
            <w:r>
              <w:rPr>
                <w:sz w:val="17"/>
              </w:rPr>
              <w:t>Test document folder of the test lead; layout of bulk template RNW_LAMD_REPORT (draft until RQ20)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TD-RN-06</w:t>
            </w:r>
          </w:p>
        </w:tc>
        <w:tc>
          <w:tcPr>
            <w:tcW w:type="dxa" w:w="3520"/>
            <w:tcMar>
              <w:top w:w="50" w:type="dxa"/>
              <w:bottom w:w="50" w:type="dxa"/>
              <w:left w:w="90" w:type="dxa"/>
              <w:right w:w="90" w:type="dxa"/>
            </w:tcMar>
            <w:shd w:val="clear" w:color="auto" w:fill="E5F5FF"/>
          </w:tcPr>
          <w:p>
            <w:pPr>
              <w:pStyle w:val="BDOITable"/>
            </w:pPr>
            <w:r>
              <w:rPr>
                <w:sz w:val="17"/>
              </w:rPr>
              <w:t>Dispositioned files</w:t>
            </w:r>
          </w:p>
        </w:tc>
        <w:tc>
          <w:tcPr>
            <w:tcW w:type="dxa" w:w="5279"/>
            <w:tcMar>
              <w:top w:w="50" w:type="dxa"/>
              <w:bottom w:w="50" w:type="dxa"/>
              <w:left w:w="90" w:type="dxa"/>
              <w:right w:w="90" w:type="dxa"/>
            </w:tcMar>
            <w:shd w:val="clear" w:color="auto" w:fill="E5F5FF"/>
          </w:tcPr>
          <w:p>
            <w:pPr>
              <w:pStyle w:val="BDOITable"/>
            </w:pPr>
            <w:r>
              <w:rPr>
                <w:sz w:val="17"/>
              </w:rPr>
              <w:t>Prepared from template RNW_DISPOSITION_UPLOAD by the test lead</w:t>
            </w:r>
          </w:p>
        </w:tc>
      </w:tr>
      <w:tr>
        <w:trPr>
          <w:cantSplit w:val="true"/>
        </w:trPr>
        <w:tc>
          <w:tcPr>
            <w:tcW w:type="dxa" w:w="1173"/>
            <w:tcMar>
              <w:top w:w="50" w:type="dxa"/>
              <w:bottom w:w="50" w:type="dxa"/>
              <w:left w:w="90" w:type="dxa"/>
              <w:right w:w="90" w:type="dxa"/>
            </w:tcMar>
          </w:tcPr>
          <w:p>
            <w:pPr>
              <w:pStyle w:val="BDOITable"/>
            </w:pPr>
            <w:r>
              <w:rPr>
                <w:sz w:val="17"/>
              </w:rPr>
              <w:t>TD-RN-07</w:t>
            </w:r>
          </w:p>
        </w:tc>
        <w:tc>
          <w:tcPr>
            <w:tcW w:type="dxa" w:w="3520"/>
            <w:tcMar>
              <w:top w:w="50" w:type="dxa"/>
              <w:bottom w:w="50" w:type="dxa"/>
              <w:left w:w="90" w:type="dxa"/>
              <w:right w:w="90" w:type="dxa"/>
            </w:tcMar>
          </w:tcPr>
          <w:p>
            <w:pPr>
              <w:pStyle w:val="BDOITable"/>
            </w:pPr>
            <w:r>
              <w:rPr>
                <w:sz w:val="17"/>
              </w:rPr>
              <w:t>Insurer response files</w:t>
            </w:r>
          </w:p>
        </w:tc>
        <w:tc>
          <w:tcPr>
            <w:tcW w:type="dxa" w:w="5279"/>
            <w:tcMar>
              <w:top w:w="50" w:type="dxa"/>
              <w:bottom w:w="50" w:type="dxa"/>
              <w:left w:w="90" w:type="dxa"/>
              <w:right w:w="90" w:type="dxa"/>
            </w:tcMar>
          </w:tcPr>
          <w:p>
            <w:pPr>
              <w:pStyle w:val="BDOITable"/>
            </w:pPr>
            <w:r>
              <w:rPr>
                <w:sz w:val="17"/>
              </w:rPr>
              <w:t>Prepared from bulk template RNW_INSURER_RESPONSE (layout draft until RQ15)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TD-RN-08</w:t>
            </w:r>
          </w:p>
        </w:tc>
        <w:tc>
          <w:tcPr>
            <w:tcW w:type="dxa" w:w="3520"/>
            <w:tcMar>
              <w:top w:w="50" w:type="dxa"/>
              <w:bottom w:w="50" w:type="dxa"/>
              <w:left w:w="90" w:type="dxa"/>
              <w:right w:w="90" w:type="dxa"/>
            </w:tcMar>
            <w:shd w:val="clear" w:color="auto" w:fill="E5F5FF"/>
          </w:tcPr>
          <w:p>
            <w:pPr>
              <w:pStyle w:val="BDOITable"/>
            </w:pPr>
            <w:r>
              <w:rPr>
                <w:sz w:val="17"/>
              </w:rPr>
              <w:t>Decision matrix and bucket rules</w:t>
            </w:r>
          </w:p>
        </w:tc>
        <w:tc>
          <w:tcPr>
            <w:tcW w:type="dxa" w:w="5279"/>
            <w:tcMar>
              <w:top w:w="50" w:type="dxa"/>
              <w:bottom w:w="50" w:type="dxa"/>
              <w:left w:w="90" w:type="dxa"/>
              <w:right w:w="90" w:type="dxa"/>
            </w:tcMar>
            <w:shd w:val="clear" w:color="auto" w:fill="E5F5FF"/>
          </w:tcPr>
          <w:p>
            <w:pPr>
              <w:pStyle w:val="BDOITable"/>
            </w:pPr>
            <w:r>
              <w:rPr>
                <w:sz w:val="17"/>
              </w:rPr>
              <w:t>Keyed in Renewal Setup by rn.badmin and activated by rn.checker (content RQ24 still open; test values only)</w:t>
            </w:r>
          </w:p>
        </w:tc>
      </w:tr>
      <w:tr>
        <w:trPr>
          <w:cantSplit w:val="true"/>
        </w:trPr>
        <w:tc>
          <w:tcPr>
            <w:tcW w:type="dxa" w:w="1173"/>
            <w:tcMar>
              <w:top w:w="50" w:type="dxa"/>
              <w:bottom w:w="50" w:type="dxa"/>
              <w:left w:w="90" w:type="dxa"/>
              <w:right w:w="90" w:type="dxa"/>
            </w:tcMar>
          </w:tcPr>
          <w:p>
            <w:pPr>
              <w:pStyle w:val="BDOITable"/>
            </w:pPr>
            <w:r>
              <w:rPr>
                <w:sz w:val="17"/>
              </w:rPr>
              <w:t>TD-RN-09</w:t>
            </w:r>
          </w:p>
        </w:tc>
        <w:tc>
          <w:tcPr>
            <w:tcW w:type="dxa" w:w="3520"/>
            <w:tcMar>
              <w:top w:w="50" w:type="dxa"/>
              <w:bottom w:w="50" w:type="dxa"/>
              <w:left w:w="90" w:type="dxa"/>
              <w:right w:w="90" w:type="dxa"/>
            </w:tcMar>
          </w:tcPr>
          <w:p>
            <w:pPr>
              <w:pStyle w:val="BDOITable"/>
            </w:pPr>
            <w:r>
              <w:rPr>
                <w:sz w:val="17"/>
              </w:rPr>
              <w:t>Insurers and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TD-RN-10</w:t>
            </w:r>
          </w:p>
        </w:tc>
        <w:tc>
          <w:tcPr>
            <w:tcW w:type="dxa" w:w="3520"/>
            <w:tcMar>
              <w:top w:w="50" w:type="dxa"/>
              <w:bottom w:w="50" w:type="dxa"/>
              <w:left w:w="90" w:type="dxa"/>
              <w:right w:w="90" w:type="dxa"/>
            </w:tcMar>
            <w:shd w:val="clear" w:color="auto" w:fill="E5F5FF"/>
          </w:tcPr>
          <w:p>
            <w:pPr>
              <w:pStyle w:val="BDOITable"/>
            </w:pPr>
            <w:r>
              <w:rPr>
                <w:sz w:val="17"/>
              </w:rPr>
              <w:t>Clients and letters</w:t>
            </w:r>
          </w:p>
        </w:tc>
        <w:tc>
          <w:tcPr>
            <w:tcW w:type="dxa" w:w="5279"/>
            <w:tcMar>
              <w:top w:w="50" w:type="dxa"/>
              <w:bottom w:w="50" w:type="dxa"/>
              <w:left w:w="90" w:type="dxa"/>
              <w:right w:w="90" w:type="dxa"/>
            </w:tcMar>
            <w:shd w:val="clear" w:color="auto" w:fill="E5F5FF"/>
          </w:tcPr>
          <w:p>
            <w:pPr>
              <w:pStyle w:val="BDOITable"/>
            </w:pPr>
            <w:r>
              <w:rPr>
                <w:sz w:val="17"/>
              </w:rPr>
              <w:t>Client master on SIT (masked)</w:t>
            </w:r>
          </w:p>
        </w:tc>
      </w:tr>
      <w:tr>
        <w:trPr>
          <w:cantSplit w:val="true"/>
        </w:trPr>
        <w:tc>
          <w:tcPr>
            <w:tcW w:type="dxa" w:w="1173"/>
            <w:tcMar>
              <w:top w:w="50" w:type="dxa"/>
              <w:bottom w:w="50" w:type="dxa"/>
              <w:left w:w="90" w:type="dxa"/>
              <w:right w:w="90" w:type="dxa"/>
            </w:tcMar>
          </w:tcPr>
          <w:p>
            <w:pPr>
              <w:pStyle w:val="BDOITable"/>
            </w:pPr>
            <w:r>
              <w:rPr>
                <w:sz w:val="17"/>
              </w:rPr>
              <w:t>TD-RN-11</w:t>
            </w:r>
          </w:p>
        </w:tc>
        <w:tc>
          <w:tcPr>
            <w:tcW w:type="dxa" w:w="3520"/>
            <w:tcMar>
              <w:top w:w="50" w:type="dxa"/>
              <w:bottom w:w="50" w:type="dxa"/>
              <w:left w:w="90" w:type="dxa"/>
              <w:right w:w="90" w:type="dxa"/>
            </w:tcMar>
          </w:tcPr>
          <w:p>
            <w:pPr>
              <w:pStyle w:val="BDOITable"/>
            </w:pPr>
            <w:r>
              <w:rPr>
                <w:sz w:val="17"/>
              </w:rPr>
              <w:t>Submitted policy hand-off</w:t>
            </w:r>
          </w:p>
        </w:tc>
        <w:tc>
          <w:tcPr>
            <w:tcW w:type="dxa" w:w="5279"/>
            <w:tcMar>
              <w:top w:w="50" w:type="dxa"/>
              <w:bottom w:w="50" w:type="dxa"/>
              <w:left w:w="90" w:type="dxa"/>
              <w:right w:w="90" w:type="dxa"/>
            </w:tcMar>
          </w:tcPr>
          <w:p>
            <w:pPr>
              <w:pStyle w:val="BDOITable"/>
            </w:pPr>
            <w:r>
              <w:rPr>
                <w:sz w:val="17"/>
              </w:rPr>
              <w:t>Submitted Policies masterlist on SIT (BRD-12); hand-off by the expiry scan or "Renew with BDOI"</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TD-RN-12</w:t>
            </w:r>
          </w:p>
        </w:tc>
        <w:tc>
          <w:tcPr>
            <w:tcW w:type="dxa" w:w="3520"/>
            <w:tcMar>
              <w:top w:w="50" w:type="dxa"/>
              <w:bottom w:w="50" w:type="dxa"/>
              <w:left w:w="90" w:type="dxa"/>
              <w:right w:w="90" w:type="dxa"/>
            </w:tcMar>
            <w:shd w:val="clear" w:color="auto" w:fill="E5F5FF"/>
          </w:tcPr>
          <w:p>
            <w:pPr>
              <w:pStyle w:val="BDOITable"/>
            </w:pPr>
            <w:r>
              <w:rPr>
                <w:sz w:val="17"/>
              </w:rPr>
              <w:t>Volume list</w:t>
            </w:r>
          </w:p>
        </w:tc>
        <w:tc>
          <w:tcPr>
            <w:tcW w:type="dxa" w:w="5279"/>
            <w:tcMar>
              <w:top w:w="50" w:type="dxa"/>
              <w:bottom w:w="50" w:type="dxa"/>
              <w:left w:w="90" w:type="dxa"/>
              <w:right w:w="90" w:type="dxa"/>
            </w:tcMar>
            <w:shd w:val="clear" w:color="auto" w:fill="E5F5FF"/>
          </w:tcPr>
          <w:p>
            <w:pPr>
              <w:pStyle w:val="BDOITable"/>
            </w:pPr>
            <w:r>
              <w:rPr>
                <w:sz w:val="17"/>
              </w:rPr>
              <w:t>Generated on the performance copy of SIT by the test lead's load script</w:t>
            </w:r>
          </w:p>
        </w:tc>
      </w:tr>
      <w:tr>
        <w:trPr>
          <w:cantSplit w:val="true"/>
        </w:trPr>
        <w:tc>
          <w:tcPr>
            <w:tcW w:type="dxa" w:w="1173"/>
            <w:tcMar>
              <w:top w:w="50" w:type="dxa"/>
              <w:bottom w:w="50" w:type="dxa"/>
              <w:left w:w="90" w:type="dxa"/>
              <w:right w:w="90" w:type="dxa"/>
            </w:tcMar>
          </w:tcPr>
          <w:p>
            <w:pPr>
              <w:pStyle w:val="BDOITable"/>
            </w:pPr>
            <w:r>
              <w:rPr>
                <w:sz w:val="17"/>
              </w:rPr>
              <w:t>TD-RN-13</w:t>
            </w:r>
          </w:p>
        </w:tc>
        <w:tc>
          <w:tcPr>
            <w:tcW w:type="dxa" w:w="3520"/>
            <w:tcMar>
              <w:top w:w="50" w:type="dxa"/>
              <w:bottom w:w="50" w:type="dxa"/>
              <w:left w:w="90" w:type="dxa"/>
              <w:right w:w="90" w:type="dxa"/>
            </w:tcMar>
          </w:tcPr>
          <w:p>
            <w:pPr>
              <w:pStyle w:val="BDOITable"/>
            </w:pPr>
            <w:r>
              <w:rPr>
                <w:sz w:val="17"/>
              </w:rPr>
              <w:t>Acceptance evidence</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TD-RN-14</w:t>
            </w:r>
          </w:p>
        </w:tc>
        <w:tc>
          <w:tcPr>
            <w:tcW w:type="dxa" w:w="3520"/>
            <w:tcMar>
              <w:top w:w="50" w:type="dxa"/>
              <w:bottom w:w="50" w:type="dxa"/>
              <w:left w:w="90" w:type="dxa"/>
              <w:right w:w="90" w:type="dxa"/>
            </w:tcMar>
            <w:shd w:val="clear" w:color="auto" w:fill="E5F5FF"/>
          </w:tcPr>
          <w:p>
            <w:pPr>
              <w:pStyle w:val="BDOITable"/>
            </w:pPr>
            <w:r>
              <w:rPr>
                <w:sz w:val="17"/>
              </w:rPr>
              <w:t>Letter templates</w:t>
            </w:r>
          </w:p>
        </w:tc>
        <w:tc>
          <w:tcPr>
            <w:tcW w:type="dxa" w:w="5279"/>
            <w:tcMar>
              <w:top w:w="50" w:type="dxa"/>
              <w:bottom w:w="50" w:type="dxa"/>
              <w:left w:w="90" w:type="dxa"/>
              <w:right w:w="90" w:type="dxa"/>
            </w:tcMar>
            <w:shd w:val="clear" w:color="auto" w:fill="E5F5FF"/>
          </w:tcPr>
          <w:p>
            <w:pPr>
              <w:pStyle w:val="BDOITable"/>
            </w:pPr>
            <w:r>
              <w:rPr>
                <w:sz w:val="17"/>
              </w:rPr>
              <w:t>Draft layouts delivered with the build until BDOI provides its own (RQ26)</w:t>
            </w:r>
          </w:p>
        </w:tc>
      </w:tr>
      <w:tr>
        <w:trPr>
          <w:cantSplit w:val="true"/>
        </w:trPr>
        <w:tc>
          <w:tcPr>
            <w:tcW w:type="dxa" w:w="1173"/>
            <w:tcMar>
              <w:top w:w="50" w:type="dxa"/>
              <w:bottom w:w="50" w:type="dxa"/>
              <w:left w:w="90" w:type="dxa"/>
              <w:right w:w="90" w:type="dxa"/>
            </w:tcMar>
          </w:tcPr>
          <w:p>
            <w:pPr>
              <w:pStyle w:val="BDOITable"/>
            </w:pPr>
            <w:r>
              <w:rPr>
                <w:sz w:val="17"/>
              </w:rPr>
              <w:t>TD-RN-15</w:t>
            </w:r>
          </w:p>
        </w:tc>
        <w:tc>
          <w:tcPr>
            <w:tcW w:type="dxa" w:w="3520"/>
            <w:tcMar>
              <w:top w:w="50" w:type="dxa"/>
              <w:bottom w:w="50" w:type="dxa"/>
              <w:left w:w="90" w:type="dxa"/>
              <w:right w:w="90" w:type="dxa"/>
            </w:tcMar>
          </w:tcPr>
          <w:p>
            <w:pPr>
              <w:pStyle w:val="BDOITable"/>
            </w:pPr>
            <w:r>
              <w:rPr>
                <w:sz w:val="17"/>
              </w:rPr>
              <w:t>Migrated policies of the go-live window and the RA tracker</w:t>
            </w:r>
          </w:p>
        </w:tc>
        <w:tc>
          <w:tcPr>
            <w:tcW w:type="dxa" w:w="5279"/>
            <w:tcMar>
              <w:top w:w="50" w:type="dxa"/>
              <w:bottom w:w="50" w:type="dxa"/>
              <w:left w:w="90" w:type="dxa"/>
              <w:right w:w="90" w:type="dxa"/>
            </w:tcMar>
          </w:tcPr>
          <w:p>
            <w:pPr>
              <w:pStyle w:val="BDOITable"/>
            </w:pPr>
            <w:r>
              <w:rPr>
                <w:sz w:val="17"/>
              </w:rPr>
              <w:t>Loaded by the migration mock on SIT (BRD-13 objects P01, R06); tracker prepared by the test lead from template RNW_RA_ALREADY_SENT (masked)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TD-RN-16</w:t>
            </w:r>
          </w:p>
        </w:tc>
        <w:tc>
          <w:tcPr>
            <w:tcW w:type="dxa" w:w="3520"/>
            <w:tcMar>
              <w:top w:w="50" w:type="dxa"/>
              <w:bottom w:w="50" w:type="dxa"/>
              <w:left w:w="90" w:type="dxa"/>
              <w:right w:w="90" w:type="dxa"/>
            </w:tcMar>
            <w:shd w:val="clear" w:color="auto" w:fill="E5F5FF"/>
          </w:tcPr>
          <w:p>
            <w:pPr>
              <w:pStyle w:val="BDOITable"/>
            </w:pPr>
            <w:r>
              <w:rPr>
                <w:sz w:val="17"/>
              </w:rPr>
              <w:t>Package code map and legacy packages</w:t>
            </w:r>
          </w:p>
        </w:tc>
        <w:tc>
          <w:tcPr>
            <w:tcW w:type="dxa" w:w="5279"/>
            <w:tcMar>
              <w:top w:w="50" w:type="dxa"/>
              <w:bottom w:w="50" w:type="dxa"/>
              <w:left w:w="90" w:type="dxa"/>
              <w:right w:w="90" w:type="dxa"/>
            </w:tcMar>
            <w:shd w:val="clear" w:color="auto" w:fill="E5F5FF"/>
          </w:tcPr>
          <w:p>
            <w:pPr>
              <w:pStyle w:val="BDOITable"/>
            </w:pPr>
            <w:r>
              <w:rPr>
                <w:sz w:val="17"/>
              </w:rPr>
              <w:t>Code map of the migration mock (maintained by MBS / TSU); package versions of the BRD-3 catalogue on SIT</w:t>
            </w:r>
          </w:p>
        </w:tc>
      </w:tr>
    </w:tbl>
    <w:p>
      <w:pPr>
        <w:pStyle w:val="BDOISpacer"/>
      </w:pPr>
    </w:p>
    <w:p>
      <w:r>
        <w:rPr/>
        <w:t>Many cases move a candidate to a later stage (post, send, accept). The test lead keeps a copy of TD-RN-02 per cycle, or re-books the invoices with the same values, so that each scenario starts from the stage its preconditions state. Extraction, the NRNS checkpoint, the RA notice days, the re-open limit, the escalation days and the expiry sweep depend on dates: the test lead sets the business date or books policies with expiry dates relative to it, and runs the jobs from Administration &gt; Scheduled Jobs instead of waiting for the schedule.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add the automation references;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Processing, MBS; BDO LAMD; Contact Center</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Renewal</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department tests the steps it owns: Marketing the extraction, assignment, transfer, disposition, review and letters (SC-RN-02, 04, 05, 06, 09); Processing the upload, processing, insurer round-trip and RAs (SC-RN-07, 08, 09); MBS the administration and rules (SC-RN-03, 12); LAMD and the Contact Center their uploads and follow-ups.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Marketing Team Leader</w:t>
            </w:r>
          </w:p>
        </w:tc>
        <w:tc>
          <w:tcPr>
            <w:tcW w:type="dxa" w:w="1023"/>
            <w:tcMar>
              <w:top w:w="50" w:type="dxa"/>
              <w:bottom w:w="50" w:type="dxa"/>
              <w:left w:w="90" w:type="dxa"/>
              <w:right w:w="90" w:type="dxa"/>
            </w:tcMar>
          </w:tcPr>
          <w:p>
            <w:pPr>
              <w:pStyle w:val="BDOITable"/>
            </w:pPr>
            <w:r>
              <w:rPr>
                <w:sz w:val="17"/>
              </w:rPr>
              <w:t>112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 / Admin (Account Broker)</w:t>
            </w:r>
          </w:p>
        </w:tc>
        <w:tc>
          <w:tcPr>
            <w:tcW w:type="dxa" w:w="1023"/>
            <w:tcMar>
              <w:top w:w="50" w:type="dxa"/>
              <w:bottom w:w="50" w:type="dxa"/>
              <w:left w:w="90" w:type="dxa"/>
              <w:right w:w="90" w:type="dxa"/>
            </w:tcMar>
            <w:shd w:val="clear" w:color="auto" w:fill="E5F5FF"/>
          </w:tcPr>
          <w:p>
            <w:pPr>
              <w:pStyle w:val="BDOITable"/>
            </w:pPr>
            <w:r>
              <w:rPr>
                <w:sz w:val="17"/>
              </w:rPr>
              <w:t>80</w:t>
            </w:r>
          </w:p>
        </w:tc>
      </w:tr>
      <w:tr>
        <w:trPr>
          <w:cantSplit w:val="true"/>
        </w:trPr>
        <w:tc>
          <w:tcPr>
            <w:tcW w:type="dxa" w:w="2301"/>
            <w:tcMar>
              <w:top w:w="50" w:type="dxa"/>
              <w:bottom w:w="50" w:type="dxa"/>
              <w:left w:w="90" w:type="dxa"/>
              <w:right w:w="90" w:type="dxa"/>
            </w:tcMar>
          </w:tcPr>
          <w:p>
            <w:pPr>
              <w:pStyle w:val="BDOITable"/>
            </w:pPr>
            <w:r>
              <w:rPr>
                <w:sz w:val="17"/>
              </w:rPr>
              <w:t>PROCESSING_TL</w:t>
            </w:r>
          </w:p>
        </w:tc>
        <w:tc>
          <w:tcPr>
            <w:tcW w:type="dxa" w:w="6648"/>
            <w:tcMar>
              <w:top w:w="50" w:type="dxa"/>
              <w:bottom w:w="50" w:type="dxa"/>
              <w:left w:w="90" w:type="dxa"/>
              <w:right w:w="90" w:type="dxa"/>
            </w:tcMar>
          </w:tcPr>
          <w:p>
            <w:pPr>
              <w:pStyle w:val="BDOITable"/>
            </w:pPr>
            <w:r>
              <w:rPr>
                <w:sz w:val="17"/>
              </w:rPr>
              <w:t>Processing Team Leader</w:t>
            </w:r>
          </w:p>
        </w:tc>
        <w:tc>
          <w:tcPr>
            <w:tcW w:type="dxa" w:w="1023"/>
            <w:tcMar>
              <w:top w:w="50" w:type="dxa"/>
              <w:bottom w:w="50" w:type="dxa"/>
              <w:left w:w="90" w:type="dxa"/>
              <w:right w:w="90" w:type="dxa"/>
            </w:tcMar>
          </w:tcPr>
          <w:p>
            <w:pPr>
              <w:pStyle w:val="BDOITable"/>
            </w:pPr>
            <w:r>
              <w:rPr>
                <w:sz w:val="17"/>
              </w:rPr>
              <w:t>45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PROCESSOR</w:t>
            </w:r>
          </w:p>
        </w:tc>
        <w:tc>
          <w:tcPr>
            <w:tcW w:type="dxa" w:w="6648"/>
            <w:tcMar>
              <w:top w:w="50" w:type="dxa"/>
              <w:bottom w:w="50" w:type="dxa"/>
              <w:left w:w="90" w:type="dxa"/>
              <w:right w:w="90" w:type="dxa"/>
            </w:tcMar>
            <w:shd w:val="clear" w:color="auto" w:fill="E5F5FF"/>
          </w:tcPr>
          <w:p>
            <w:pPr>
              <w:pStyle w:val="BDOITable"/>
            </w:pPr>
            <w:r>
              <w:rPr>
                <w:sz w:val="17"/>
              </w:rPr>
              <w:t>Processing Officer / Broker</w:t>
            </w:r>
          </w:p>
        </w:tc>
        <w:tc>
          <w:tcPr>
            <w:tcW w:type="dxa" w:w="1023"/>
            <w:tcMar>
              <w:top w:w="50" w:type="dxa"/>
              <w:bottom w:w="50" w:type="dxa"/>
              <w:left w:w="90" w:type="dxa"/>
              <w:right w:w="90" w:type="dxa"/>
            </w:tcMar>
            <w:shd w:val="clear" w:color="auto" w:fill="E5F5FF"/>
          </w:tcPr>
          <w:p>
            <w:pPr>
              <w:pStyle w:val="BDOITable"/>
            </w:pPr>
            <w:r>
              <w:rPr>
                <w:sz w:val="17"/>
              </w:rPr>
              <w:t>38</w:t>
            </w:r>
          </w:p>
        </w:tc>
      </w:tr>
      <w:tr>
        <w:trPr>
          <w:cantSplit w:val="true"/>
        </w:trPr>
        <w:tc>
          <w:tcPr>
            <w:tcW w:type="dxa" w:w="2301"/>
            <w:tcMar>
              <w:top w:w="50" w:type="dxa"/>
              <w:bottom w:w="50" w:type="dxa"/>
              <w:left w:w="90" w:type="dxa"/>
              <w:right w:w="90" w:type="dxa"/>
            </w:tcMar>
          </w:tcPr>
          <w:p>
            <w:pPr>
              <w:pStyle w:val="BDOITable"/>
            </w:pPr>
            <w:r>
              <w:rPr>
                <w:sz w:val="17"/>
              </w:rPr>
              <w:t>BUSINESS_ADMIN</w:t>
            </w:r>
          </w:p>
        </w:tc>
        <w:tc>
          <w:tcPr>
            <w:tcW w:type="dxa" w:w="6648"/>
            <w:tcMar>
              <w:top w:w="50" w:type="dxa"/>
              <w:bottom w:w="50" w:type="dxa"/>
              <w:left w:w="90" w:type="dxa"/>
              <w:right w:w="90" w:type="dxa"/>
            </w:tcMar>
          </w:tcPr>
          <w:p>
            <w:pPr>
              <w:pStyle w:val="BDOITable"/>
            </w:pPr>
            <w:r>
              <w:rPr>
                <w:sz w:val="17"/>
              </w:rPr>
              <w:t>Business Administrator</w:t>
            </w:r>
          </w:p>
        </w:tc>
        <w:tc>
          <w:tcPr>
            <w:tcW w:type="dxa" w:w="1023"/>
            <w:tcMar>
              <w:top w:w="50" w:type="dxa"/>
              <w:bottom w:w="50" w:type="dxa"/>
              <w:left w:w="90" w:type="dxa"/>
              <w:right w:w="90" w:type="dxa"/>
            </w:tcMar>
          </w:tcPr>
          <w:p>
            <w:pPr>
              <w:pStyle w:val="BDOITable"/>
            </w:pPr>
            <w:r>
              <w:rPr>
                <w:sz w:val="17"/>
              </w:rPr>
              <w:t>19</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CHECKER</w:t>
            </w:r>
          </w:p>
        </w:tc>
        <w:tc>
          <w:tcPr>
            <w:tcW w:type="dxa" w:w="6648"/>
            <w:tcMar>
              <w:top w:w="50" w:type="dxa"/>
              <w:bottom w:w="50" w:type="dxa"/>
              <w:left w:w="90" w:type="dxa"/>
              <w:right w:w="90" w:type="dxa"/>
            </w:tcMar>
            <w:shd w:val="clear" w:color="auto" w:fill="E5F5FF"/>
          </w:tcPr>
          <w:p>
            <w:pPr>
              <w:pStyle w:val="BDOITable"/>
            </w:pPr>
            <w:r>
              <w:rPr>
                <w:sz w:val="17"/>
              </w:rPr>
              <w:t>Authoriser holding MASTER_AUTHORIZE (second Business Administrator)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LAMD</w:t>
            </w:r>
          </w:p>
        </w:tc>
        <w:tc>
          <w:tcPr>
            <w:tcW w:type="dxa" w:w="6648"/>
            <w:tcMar>
              <w:top w:w="50" w:type="dxa"/>
              <w:bottom w:w="50" w:type="dxa"/>
              <w:left w:w="90" w:type="dxa"/>
              <w:right w:w="90" w:type="dxa"/>
            </w:tcMar>
            <w:shd w:val="clear" w:color="auto" w:fill="E5F5FF"/>
          </w:tcPr>
          <w:p>
            <w:pPr>
              <w:pStyle w:val="BDOITable"/>
            </w:pPr>
            <w:r>
              <w:rPr>
                <w:sz w:val="17"/>
              </w:rPr>
              <w:t>LAMD user</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301"/>
            <w:tcMar>
              <w:top w:w="50" w:type="dxa"/>
              <w:bottom w:w="50" w:type="dxa"/>
              <w:left w:w="90" w:type="dxa"/>
              <w:right w:w="90" w:type="dxa"/>
            </w:tcMar>
          </w:tcPr>
          <w:p>
            <w:pPr>
              <w:pStyle w:val="BDOITable"/>
            </w:pPr>
            <w:r>
              <w:rPr>
                <w:sz w:val="17"/>
              </w:rPr>
              <w:t>CONTACT_CENTER</w:t>
            </w:r>
          </w:p>
        </w:tc>
        <w:tc>
          <w:tcPr>
            <w:tcW w:type="dxa" w:w="6648"/>
            <w:tcMar>
              <w:top w:w="50" w:type="dxa"/>
              <w:bottom w:w="50" w:type="dxa"/>
              <w:left w:w="90" w:type="dxa"/>
              <w:right w:w="90" w:type="dxa"/>
            </w:tcMar>
          </w:tcPr>
          <w:p>
            <w:pPr>
              <w:pStyle w:val="BDOITable"/>
            </w:pPr>
            <w:r>
              <w:rPr>
                <w:sz w:val="17"/>
              </w:rPr>
              <w:t>Contact Center user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NB_BOOKING</w:t>
            </w:r>
          </w:p>
        </w:tc>
        <w:tc>
          <w:tcPr>
            <w:tcW w:type="dxa" w:w="6648"/>
            <w:tcMar>
              <w:top w:w="50" w:type="dxa"/>
              <w:bottom w:w="50" w:type="dxa"/>
              <w:left w:w="90" w:type="dxa"/>
              <w:right w:w="90" w:type="dxa"/>
            </w:tcMar>
            <w:shd w:val="clear" w:color="auto" w:fill="E5F5FF"/>
          </w:tcPr>
          <w:p>
            <w:pPr>
              <w:pStyle w:val="BDOITable"/>
            </w:pPr>
            <w:r>
              <w:rPr>
                <w:sz w:val="17"/>
              </w:rPr>
              <w:t>New Business placement and booking user (BRD-1)</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18</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Renewal</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An RA or insurer extract is e-mailed unprotected; a TL sees another unit's accounts; a failed check gives Clean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Extraction misses or duplicates an expiring policy; post is allowed with an open endorsement</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summary counter is wrong; a message names the wrong check</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renewal reference.</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56 of 56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299 of 299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343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214 / 129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85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104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71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32</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84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16</w:t>
            </w:r>
          </w:p>
        </w:tc>
      </w:tr>
    </w:tbl>
    <w:p>
      <w:pPr>
        <w:pStyle w:val="BDOISpacer"/>
      </w:pPr>
    </w:p>
    <w:p>
      <w:r>
        <w:rPr/>
        <w:t>Every FR has at least one positive and one negative case, and every BRD ID of the FRS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FR-RN-001</w:t>
            </w:r>
          </w:p>
        </w:tc>
        <w:tc>
          <w:tcPr>
            <w:tcW w:type="dxa" w:w="3307"/>
            <w:tcMar>
              <w:top w:w="50" w:type="dxa"/>
              <w:bottom w:w="50" w:type="dxa"/>
              <w:left w:w="90" w:type="dxa"/>
              <w:right w:w="90" w:type="dxa"/>
            </w:tcMar>
          </w:tcPr>
          <w:p>
            <w:pPr>
              <w:pStyle w:val="BDOITable"/>
            </w:pPr>
            <w:r>
              <w:rPr>
                <w:sz w:val="15"/>
              </w:rPr>
              <w:t>Log in, session warnings and multiple tabs</w:t>
            </w:r>
          </w:p>
        </w:tc>
        <w:tc>
          <w:tcPr>
            <w:tcW w:type="dxa" w:w="1653"/>
            <w:tcMar>
              <w:top w:w="50" w:type="dxa"/>
              <w:bottom w:w="50" w:type="dxa"/>
              <w:left w:w="90" w:type="dxa"/>
              <w:right w:w="90" w:type="dxa"/>
            </w:tcMar>
          </w:tcPr>
          <w:p>
            <w:pPr>
              <w:pStyle w:val="BDOITable"/>
            </w:pPr>
            <w:r>
              <w:rPr>
                <w:sz w:val="15"/>
              </w:rPr>
              <w:t>BRD 1.001.1-1.001.3.1, 2.001.1-2.001.1.3, 3.001.1-3.001.1.3, 4.001.1-4.001.1.3, 5.001.1-5.001.1.3, 6.001.1-6.001.1.1, BRD 1.002.1, 2.002.1, 3.002.1, 4.002.1, 5.002.1</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11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13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FR-RN-002</w:t>
            </w:r>
          </w:p>
        </w:tc>
        <w:tc>
          <w:tcPr>
            <w:tcW w:type="dxa" w:w="3307"/>
            <w:tcMar>
              <w:top w:w="50" w:type="dxa"/>
              <w:bottom w:w="50" w:type="dxa"/>
              <w:left w:w="90" w:type="dxa"/>
              <w:right w:w="90" w:type="dxa"/>
            </w:tcMar>
            <w:shd w:val="clear" w:color="auto" w:fill="E5F5FF"/>
          </w:tcPr>
          <w:p>
            <w:pPr>
              <w:pStyle w:val="BDOITable"/>
            </w:pPr>
            <w:r>
              <w:rPr>
                <w:sz w:val="15"/>
              </w:rPr>
              <w:t>Restrict each function and each record to authorised users</w:t>
            </w:r>
          </w:p>
        </w:tc>
        <w:tc>
          <w:tcPr>
            <w:tcW w:type="dxa" w:w="1653"/>
            <w:tcMar>
              <w:top w:w="50" w:type="dxa"/>
              <w:bottom w:w="50" w:type="dxa"/>
              <w:left w:w="90" w:type="dxa"/>
              <w:right w:w="90" w:type="dxa"/>
            </w:tcMar>
            <w:shd w:val="clear" w:color="auto" w:fill="E5F5FF"/>
          </w:tcPr>
          <w:p>
            <w:pPr>
              <w:pStyle w:val="BDOITable"/>
            </w:pPr>
            <w:r>
              <w:rPr>
                <w:sz w:val="15"/>
              </w:rPr>
              <w:t>BRD 6.002.2.1-6.002.2.24, BRRN.024, BRD p.43 key capability</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FR-RN-003</w:t>
            </w:r>
          </w:p>
        </w:tc>
        <w:tc>
          <w:tcPr>
            <w:tcW w:type="dxa" w:w="3307"/>
            <w:tcMar>
              <w:top w:w="50" w:type="dxa"/>
              <w:bottom w:w="50" w:type="dxa"/>
              <w:left w:w="90" w:type="dxa"/>
              <w:right w:w="90" w:type="dxa"/>
            </w:tcMar>
          </w:tcPr>
          <w:p>
            <w:pPr>
              <w:pStyle w:val="BDOITable"/>
            </w:pPr>
            <w:r>
              <w:rPr>
                <w:sz w:val="15"/>
              </w:rPr>
              <w:t>Define profiles and assign Renewal functions</w:t>
            </w:r>
          </w:p>
        </w:tc>
        <w:tc>
          <w:tcPr>
            <w:tcW w:type="dxa" w:w="1653"/>
            <w:tcMar>
              <w:top w:w="50" w:type="dxa"/>
              <w:bottom w:w="50" w:type="dxa"/>
              <w:left w:w="90" w:type="dxa"/>
              <w:right w:w="90" w:type="dxa"/>
            </w:tcMar>
          </w:tcPr>
          <w:p>
            <w:pPr>
              <w:pStyle w:val="BDOITable"/>
            </w:pPr>
            <w:r>
              <w:rPr>
                <w:sz w:val="15"/>
              </w:rPr>
              <w:t>BRD 6.002.1, 6.002.1.2-6.002.1.6, BRD 6.002.2, 6.002.2.1-6.002.2.25, BRD 5.004.1</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FR-RN-004</w:t>
            </w:r>
          </w:p>
        </w:tc>
        <w:tc>
          <w:tcPr>
            <w:tcW w:type="dxa" w:w="3307"/>
            <w:tcMar>
              <w:top w:w="50" w:type="dxa"/>
              <w:bottom w:w="50" w:type="dxa"/>
              <w:left w:w="90" w:type="dxa"/>
              <w:right w:w="90" w:type="dxa"/>
            </w:tcMar>
            <w:shd w:val="clear" w:color="auto" w:fill="E5F5FF"/>
          </w:tcPr>
          <w:p>
            <w:pPr>
              <w:pStyle w:val="BDOITable"/>
            </w:pPr>
            <w:r>
              <w:rPr>
                <w:sz w:val="15"/>
              </w:rPr>
              <w:t>Keep a complete audit trail of renewal actions</w:t>
            </w:r>
          </w:p>
        </w:tc>
        <w:tc>
          <w:tcPr>
            <w:tcW w:type="dxa" w:w="1653"/>
            <w:tcMar>
              <w:top w:w="50" w:type="dxa"/>
              <w:bottom w:w="50" w:type="dxa"/>
              <w:left w:w="90" w:type="dxa"/>
              <w:right w:w="90" w:type="dxa"/>
            </w:tcMar>
            <w:shd w:val="clear" w:color="auto" w:fill="E5F5FF"/>
          </w:tcPr>
          <w:p>
            <w:pPr>
              <w:pStyle w:val="BDOITable"/>
            </w:pPr>
            <w:r>
              <w:rPr>
                <w:sz w:val="15"/>
              </w:rPr>
              <w:t>BRRN.021, BRRN.022, BRRN.023, BRRN.031, BRRN.035, BRRN.040</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FR-RN-010</w:t>
            </w:r>
          </w:p>
        </w:tc>
        <w:tc>
          <w:tcPr>
            <w:tcW w:type="dxa" w:w="3307"/>
            <w:tcMar>
              <w:top w:w="50" w:type="dxa"/>
              <w:bottom w:w="50" w:type="dxa"/>
              <w:left w:w="90" w:type="dxa"/>
              <w:right w:w="90" w:type="dxa"/>
            </w:tcMar>
          </w:tcPr>
          <w:p>
            <w:pPr>
              <w:pStyle w:val="BDOITable"/>
            </w:pPr>
            <w:r>
              <w:rPr>
                <w:sz w:val="15"/>
              </w:rPr>
              <w:t>Extract renewal candidates automatically at the lead days</w:t>
            </w:r>
          </w:p>
        </w:tc>
        <w:tc>
          <w:tcPr>
            <w:tcW w:type="dxa" w:w="1653"/>
            <w:tcMar>
              <w:top w:w="50" w:type="dxa"/>
              <w:bottom w:w="50" w:type="dxa"/>
              <w:left w:w="90" w:type="dxa"/>
              <w:right w:w="90" w:type="dxa"/>
            </w:tcMar>
          </w:tcPr>
          <w:p>
            <w:pPr>
              <w:pStyle w:val="BDOITable"/>
            </w:pPr>
            <w:r>
              <w:rPr>
                <w:sz w:val="15"/>
              </w:rPr>
              <w:t>BRRN.030, BRRN.005, restating BRD 1.003.4.1.2, 3.003.4.2</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FR-RN-011</w:t>
            </w:r>
          </w:p>
        </w:tc>
        <w:tc>
          <w:tcPr>
            <w:tcW w:type="dxa" w:w="3307"/>
            <w:tcMar>
              <w:top w:w="50" w:type="dxa"/>
              <w:bottom w:w="50" w:type="dxa"/>
              <w:left w:w="90" w:type="dxa"/>
              <w:right w:w="90" w:type="dxa"/>
            </w:tcMar>
            <w:shd w:val="clear" w:color="auto" w:fill="E5F5FF"/>
          </w:tcPr>
          <w:p>
            <w:pPr>
              <w:pStyle w:val="BDOITable"/>
            </w:pPr>
            <w:r>
              <w:rPr>
                <w:sz w:val="15"/>
              </w:rPr>
              <w:t>Generate the list of expiring accounts for a date range</w:t>
            </w:r>
          </w:p>
        </w:tc>
        <w:tc>
          <w:tcPr>
            <w:tcW w:type="dxa" w:w="1653"/>
            <w:tcMar>
              <w:top w:w="50" w:type="dxa"/>
              <w:bottom w:w="50" w:type="dxa"/>
              <w:left w:w="90" w:type="dxa"/>
              <w:right w:w="90" w:type="dxa"/>
            </w:tcMar>
            <w:shd w:val="clear" w:color="auto" w:fill="E5F5FF"/>
          </w:tcPr>
          <w:p>
            <w:pPr>
              <w:pStyle w:val="BDOITable"/>
            </w:pPr>
            <w:r>
              <w:rPr>
                <w:sz w:val="15"/>
              </w:rPr>
              <w:t>BRRN.002, restating BRD 1.003.1, 1.003.1.1, 1.003.2, 3.003.1, 3.003.1.1, 3.003.2, BRD 3.003.4, 3.003.4.1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FR-RN-012</w:t>
            </w:r>
          </w:p>
        </w:tc>
        <w:tc>
          <w:tcPr>
            <w:tcW w:type="dxa" w:w="3307"/>
            <w:tcMar>
              <w:top w:w="50" w:type="dxa"/>
              <w:bottom w:w="50" w:type="dxa"/>
              <w:left w:w="90" w:type="dxa"/>
              <w:right w:w="90" w:type="dxa"/>
            </w:tcMar>
          </w:tcPr>
          <w:p>
            <w:pPr>
              <w:pStyle w:val="BDOITable"/>
            </w:pPr>
            <w:r>
              <w:rPr>
                <w:sz w:val="15"/>
              </w:rPr>
              <w:t>Filter the expiring list with multi-select criteria</w:t>
            </w:r>
          </w:p>
        </w:tc>
        <w:tc>
          <w:tcPr>
            <w:tcW w:type="dxa" w:w="1653"/>
            <w:tcMar>
              <w:top w:w="50" w:type="dxa"/>
              <w:bottom w:w="50" w:type="dxa"/>
              <w:left w:w="90" w:type="dxa"/>
              <w:right w:w="90" w:type="dxa"/>
            </w:tcMar>
          </w:tcPr>
          <w:p>
            <w:pPr>
              <w:pStyle w:val="BDOITable"/>
            </w:pPr>
            <w:r>
              <w:rPr>
                <w:sz w:val="15"/>
              </w:rPr>
              <w:t>BRRN.003, restating BRD 1.003.3, 1.003.3.1-1.003.3.1.13, 3.003.3, 3.003.3.1-3.003.3.13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FR-RN-013</w:t>
            </w:r>
          </w:p>
        </w:tc>
        <w:tc>
          <w:tcPr>
            <w:tcW w:type="dxa" w:w="3307"/>
            <w:tcMar>
              <w:top w:w="50" w:type="dxa"/>
              <w:bottom w:w="50" w:type="dxa"/>
              <w:left w:w="90" w:type="dxa"/>
              <w:right w:w="90" w:type="dxa"/>
            </w:tcMar>
            <w:shd w:val="clear" w:color="auto" w:fill="E5F5FF"/>
          </w:tcPr>
          <w:p>
            <w:pPr>
              <w:pStyle w:val="BDOITable"/>
            </w:pPr>
            <w:r>
              <w:rPr>
                <w:sz w:val="15"/>
              </w:rPr>
              <w:t>Show the expiring list in one scrollable grid with column filters and search</w:t>
            </w:r>
          </w:p>
        </w:tc>
        <w:tc>
          <w:tcPr>
            <w:tcW w:type="dxa" w:w="1653"/>
            <w:tcMar>
              <w:top w:w="50" w:type="dxa"/>
              <w:bottom w:w="50" w:type="dxa"/>
              <w:left w:w="90" w:type="dxa"/>
              <w:right w:w="90" w:type="dxa"/>
            </w:tcMar>
            <w:shd w:val="clear" w:color="auto" w:fill="E5F5FF"/>
          </w:tcPr>
          <w:p>
            <w:pPr>
              <w:pStyle w:val="BDOITable"/>
            </w:pPr>
            <w:r>
              <w:rPr>
                <w:sz w:val="15"/>
              </w:rPr>
              <w:t>BRRN.004, restating BRD 1.003.4.1, 1.003.4.1.1, 1.003.4.1.1.2-1.003.4.1.1.24, 3.003.4.1, 3.003.4.1.2-3.003.4.1.21, BRRN.006, restating BRD 1.003.4.1.3, 1.003.4.1.4, 3.003.4.3, 3.003.4.4, 3.006.1.5, 4.003.1.5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8</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FR-RN-014</w:t>
            </w:r>
          </w:p>
        </w:tc>
        <w:tc>
          <w:tcPr>
            <w:tcW w:type="dxa" w:w="3307"/>
            <w:tcMar>
              <w:top w:w="50" w:type="dxa"/>
              <w:bottom w:w="50" w:type="dxa"/>
              <w:left w:w="90" w:type="dxa"/>
              <w:right w:w="90" w:type="dxa"/>
            </w:tcMar>
          </w:tcPr>
          <w:p>
            <w:pPr>
              <w:pStyle w:val="BDOITable"/>
            </w:pPr>
            <w:r>
              <w:rPr>
                <w:sz w:val="15"/>
              </w:rPr>
              <w:t>Export and print the expiring list</w:t>
            </w:r>
          </w:p>
        </w:tc>
        <w:tc>
          <w:tcPr>
            <w:tcW w:type="dxa" w:w="1653"/>
            <w:tcMar>
              <w:top w:w="50" w:type="dxa"/>
              <w:bottom w:w="50" w:type="dxa"/>
              <w:left w:w="90" w:type="dxa"/>
              <w:right w:w="90" w:type="dxa"/>
            </w:tcMar>
          </w:tcPr>
          <w:p>
            <w:pPr>
              <w:pStyle w:val="BDOITable"/>
            </w:pPr>
            <w:r>
              <w:rPr>
                <w:sz w:val="15"/>
              </w:rPr>
              <w:t>BRRN.007, restating BRD 1.003.5, 1.003.6, 1.003.7, 3.003.5, 3.003.6, 3.003.7, BRRN.008, restating BRD 1.003.7.1, 1.003.7.2, 3.003.7.1, 3.003.7.2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FR-RN-015</w:t>
            </w:r>
          </w:p>
        </w:tc>
        <w:tc>
          <w:tcPr>
            <w:tcW w:type="dxa" w:w="3307"/>
            <w:tcMar>
              <w:top w:w="50" w:type="dxa"/>
              <w:bottom w:w="50" w:type="dxa"/>
              <w:left w:w="90" w:type="dxa"/>
              <w:right w:w="90" w:type="dxa"/>
            </w:tcMar>
            <w:shd w:val="clear" w:color="auto" w:fill="E5F5FF"/>
          </w:tcPr>
          <w:p>
            <w:pPr>
              <w:pStyle w:val="BDOITable"/>
            </w:pPr>
            <w:r>
              <w:rPr>
                <w:sz w:val="15"/>
              </w:rPr>
              <w:t>Initiate renewal processing explicitly</w:t>
            </w:r>
          </w:p>
        </w:tc>
        <w:tc>
          <w:tcPr>
            <w:tcW w:type="dxa" w:w="1653"/>
            <w:tcMar>
              <w:top w:w="50" w:type="dxa"/>
              <w:bottom w:w="50" w:type="dxa"/>
              <w:left w:w="90" w:type="dxa"/>
              <w:right w:w="90" w:type="dxa"/>
            </w:tcMar>
            <w:shd w:val="clear" w:color="auto" w:fill="E5F5FF"/>
          </w:tcPr>
          <w:p>
            <w:pPr>
              <w:pStyle w:val="BDOITable"/>
            </w:pPr>
            <w:r>
              <w:rPr>
                <w:sz w:val="15"/>
              </w:rPr>
              <w:t>BRRN.021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FR-RN-016</w:t>
            </w:r>
          </w:p>
        </w:tc>
        <w:tc>
          <w:tcPr>
            <w:tcW w:type="dxa" w:w="3307"/>
            <w:tcMar>
              <w:top w:w="50" w:type="dxa"/>
              <w:bottom w:w="50" w:type="dxa"/>
              <w:left w:w="90" w:type="dxa"/>
              <w:right w:w="90" w:type="dxa"/>
            </w:tcMar>
          </w:tcPr>
          <w:p>
            <w:pPr>
              <w:pStyle w:val="BDOITable"/>
            </w:pPr>
            <w:r>
              <w:rPr>
                <w:sz w:val="15"/>
              </w:rPr>
              <w:t>Take over the expiries of the go-live window</w:t>
            </w:r>
          </w:p>
        </w:tc>
        <w:tc>
          <w:tcPr>
            <w:tcW w:type="dxa" w:w="1653"/>
            <w:tcMar>
              <w:top w:w="50" w:type="dxa"/>
              <w:bottom w:w="50" w:type="dxa"/>
              <w:left w:w="90" w:type="dxa"/>
              <w:right w:w="90" w:type="dxa"/>
            </w:tcMar>
          </w:tcPr>
          <w:p>
            <w:pPr>
              <w:pStyle w:val="BDOITable"/>
            </w:pPr>
            <w:r>
              <w:rPr>
                <w:sz w:val="15"/>
              </w:rPr>
              <w:t>BRRN.005, BRRN.030</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FR-RN-020</w:t>
            </w:r>
          </w:p>
        </w:tc>
        <w:tc>
          <w:tcPr>
            <w:tcW w:type="dxa" w:w="3307"/>
            <w:tcMar>
              <w:top w:w="50" w:type="dxa"/>
              <w:bottom w:w="50" w:type="dxa"/>
              <w:left w:w="90" w:type="dxa"/>
              <w:right w:w="90" w:type="dxa"/>
            </w:tcMar>
            <w:shd w:val="clear" w:color="auto" w:fill="E5F5FF"/>
          </w:tcPr>
          <w:p>
            <w:pPr>
              <w:pStyle w:val="BDOITable"/>
            </w:pPr>
            <w:r>
              <w:rPr>
                <w:sz w:val="15"/>
              </w:rPr>
              <w:t>Run the sanitation, matching and eligibility checks</w:t>
            </w:r>
          </w:p>
        </w:tc>
        <w:tc>
          <w:tcPr>
            <w:tcW w:type="dxa" w:w="1653"/>
            <w:tcMar>
              <w:top w:w="50" w:type="dxa"/>
              <w:bottom w:w="50" w:type="dxa"/>
              <w:left w:w="90" w:type="dxa"/>
              <w:right w:w="90" w:type="dxa"/>
            </w:tcMar>
            <w:shd w:val="clear" w:color="auto" w:fill="E5F5FF"/>
          </w:tcPr>
          <w:p>
            <w:pPr>
              <w:pStyle w:val="BDOITable"/>
            </w:pPr>
            <w:r>
              <w:rPr>
                <w:sz w:val="15"/>
              </w:rPr>
              <w:t>BRRN.020, BRRN.022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FR-RN-021</w:t>
            </w:r>
          </w:p>
        </w:tc>
        <w:tc>
          <w:tcPr>
            <w:tcW w:type="dxa" w:w="3307"/>
            <w:tcMar>
              <w:top w:w="50" w:type="dxa"/>
              <w:bottom w:w="50" w:type="dxa"/>
              <w:left w:w="90" w:type="dxa"/>
              <w:right w:w="90" w:type="dxa"/>
            </w:tcMar>
          </w:tcPr>
          <w:p>
            <w:pPr>
              <w:pStyle w:val="BDOITable"/>
            </w:pPr>
            <w:r>
              <w:rPr>
                <w:sz w:val="15"/>
              </w:rPr>
              <w:t>Use a unique renewal reference as the matching key</w:t>
            </w:r>
          </w:p>
        </w:tc>
        <w:tc>
          <w:tcPr>
            <w:tcW w:type="dxa" w:w="1653"/>
            <w:tcMar>
              <w:top w:w="50" w:type="dxa"/>
              <w:bottom w:w="50" w:type="dxa"/>
              <w:left w:w="90" w:type="dxa"/>
              <w:right w:w="90" w:type="dxa"/>
            </w:tcMar>
          </w:tcPr>
          <w:p>
            <w:pPr>
              <w:pStyle w:val="BDOITable"/>
            </w:pPr>
            <w:r>
              <w:rPr>
                <w:sz w:val="15"/>
              </w:rPr>
              <w:t>BRRN.022, BRD 1.003.4.1.1.2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FR-RN-022</w:t>
            </w:r>
          </w:p>
        </w:tc>
        <w:tc>
          <w:tcPr>
            <w:tcW w:type="dxa" w:w="3307"/>
            <w:tcMar>
              <w:top w:w="50" w:type="dxa"/>
              <w:bottom w:w="50" w:type="dxa"/>
              <w:left w:w="90" w:type="dxa"/>
              <w:right w:w="90" w:type="dxa"/>
            </w:tcMar>
            <w:shd w:val="clear" w:color="auto" w:fill="E5F5FF"/>
          </w:tcPr>
          <w:p>
            <w:pPr>
              <w:pStyle w:val="BDOITable"/>
            </w:pPr>
            <w:r>
              <w:rPr>
                <w:sz w:val="15"/>
              </w:rPr>
              <w:t>Classify candidates into Clean, Review and Exception buckets</w:t>
            </w:r>
          </w:p>
        </w:tc>
        <w:tc>
          <w:tcPr>
            <w:tcW w:type="dxa" w:w="1653"/>
            <w:tcMar>
              <w:top w:w="50" w:type="dxa"/>
              <w:bottom w:w="50" w:type="dxa"/>
              <w:left w:w="90" w:type="dxa"/>
              <w:right w:w="90" w:type="dxa"/>
            </w:tcMar>
            <w:shd w:val="clear" w:color="auto" w:fill="E5F5FF"/>
          </w:tcPr>
          <w:p>
            <w:pPr>
              <w:pStyle w:val="BDOITable"/>
            </w:pPr>
            <w:r>
              <w:rPr>
                <w:sz w:val="15"/>
              </w:rPr>
              <w:t>BRRN.023</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FR-RN-023</w:t>
            </w:r>
          </w:p>
        </w:tc>
        <w:tc>
          <w:tcPr>
            <w:tcW w:type="dxa" w:w="3307"/>
            <w:tcMar>
              <w:top w:w="50" w:type="dxa"/>
              <w:bottom w:w="50" w:type="dxa"/>
              <w:left w:w="90" w:type="dxa"/>
              <w:right w:w="90" w:type="dxa"/>
            </w:tcMar>
          </w:tcPr>
          <w:p>
            <w:pPr>
              <w:pStyle w:val="BDOITable"/>
            </w:pPr>
            <w:r>
              <w:rPr>
                <w:sz w:val="15"/>
              </w:rPr>
              <w:t>Apply the decision matrix and rule-based disposition</w:t>
            </w:r>
          </w:p>
        </w:tc>
        <w:tc>
          <w:tcPr>
            <w:tcW w:type="dxa" w:w="1653"/>
            <w:tcMar>
              <w:top w:w="50" w:type="dxa"/>
              <w:bottom w:w="50" w:type="dxa"/>
              <w:left w:w="90" w:type="dxa"/>
              <w:right w:w="90" w:type="dxa"/>
            </w:tcMar>
          </w:tcPr>
          <w:p>
            <w:pPr>
              <w:pStyle w:val="BDOITable"/>
            </w:pPr>
            <w:r>
              <w:rPr>
                <w:sz w:val="15"/>
              </w:rPr>
              <w:t>BRRN.031, BRRN.034</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FR-RN-024</w:t>
            </w:r>
          </w:p>
        </w:tc>
        <w:tc>
          <w:tcPr>
            <w:tcW w:type="dxa" w:w="3307"/>
            <w:tcMar>
              <w:top w:w="50" w:type="dxa"/>
              <w:bottom w:w="50" w:type="dxa"/>
              <w:left w:w="90" w:type="dxa"/>
              <w:right w:w="90" w:type="dxa"/>
            </w:tcMar>
            <w:shd w:val="clear" w:color="auto" w:fill="E5F5FF"/>
          </w:tcPr>
          <w:p>
            <w:pPr>
              <w:pStyle w:val="BDOITable"/>
            </w:pPr>
            <w:r>
              <w:rPr>
                <w:sz w:val="15"/>
              </w:rPr>
              <w:t>Tag non-renewable risk codes and send the NFR</w:t>
            </w:r>
          </w:p>
        </w:tc>
        <w:tc>
          <w:tcPr>
            <w:tcW w:type="dxa" w:w="1653"/>
            <w:tcMar>
              <w:top w:w="50" w:type="dxa"/>
              <w:bottom w:w="50" w:type="dxa"/>
              <w:left w:w="90" w:type="dxa"/>
              <w:right w:w="90" w:type="dxa"/>
            </w:tcMar>
            <w:shd w:val="clear" w:color="auto" w:fill="E5F5FF"/>
          </w:tcPr>
          <w:p>
            <w:pPr>
              <w:pStyle w:val="BDOITable"/>
            </w:pPr>
            <w:r>
              <w:rPr>
                <w:sz w:val="15"/>
              </w:rPr>
              <w:t>BRRN.009, restating BRD 1.003.7.3, 1.003.7.3.1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FR-RN-025</w:t>
            </w:r>
          </w:p>
        </w:tc>
        <w:tc>
          <w:tcPr>
            <w:tcW w:type="dxa" w:w="3307"/>
            <w:tcMar>
              <w:top w:w="50" w:type="dxa"/>
              <w:bottom w:w="50" w:type="dxa"/>
              <w:left w:w="90" w:type="dxa"/>
              <w:right w:w="90" w:type="dxa"/>
            </w:tcMar>
          </w:tcPr>
          <w:p>
            <w:pPr>
              <w:pStyle w:val="BDOITable"/>
            </w:pPr>
            <w:r>
              <w:rPr>
                <w:sz w:val="15"/>
              </w:rPr>
              <w:t>Ingest LAMD reports and route paid-off and RMU accounts</w:t>
            </w:r>
          </w:p>
        </w:tc>
        <w:tc>
          <w:tcPr>
            <w:tcW w:type="dxa" w:w="1653"/>
            <w:tcMar>
              <w:top w:w="50" w:type="dxa"/>
              <w:bottom w:w="50" w:type="dxa"/>
              <w:left w:w="90" w:type="dxa"/>
              <w:right w:w="90" w:type="dxa"/>
            </w:tcMar>
          </w:tcPr>
          <w:p>
            <w:pPr>
              <w:pStyle w:val="BDOITable"/>
            </w:pPr>
            <w:r>
              <w:rPr>
                <w:sz w:val="15"/>
              </w:rPr>
              <w:t>BRRN.029, BRRN.039, BRRN.024</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FR-RN-026</w:t>
            </w:r>
          </w:p>
        </w:tc>
        <w:tc>
          <w:tcPr>
            <w:tcW w:type="dxa" w:w="3307"/>
            <w:tcMar>
              <w:top w:w="50" w:type="dxa"/>
              <w:bottom w:w="50" w:type="dxa"/>
              <w:left w:w="90" w:type="dxa"/>
              <w:right w:w="90" w:type="dxa"/>
            </w:tcMar>
            <w:shd w:val="clear" w:color="auto" w:fill="E5F5FF"/>
          </w:tcPr>
          <w:p>
            <w:pPr>
              <w:pStyle w:val="BDOITable"/>
            </w:pPr>
            <w:r>
              <w:rPr>
                <w:sz w:val="15"/>
              </w:rPr>
              <w:t>Flag accounts due for KYC review</w:t>
            </w:r>
          </w:p>
        </w:tc>
        <w:tc>
          <w:tcPr>
            <w:tcW w:type="dxa" w:w="1653"/>
            <w:tcMar>
              <w:top w:w="50" w:type="dxa"/>
              <w:bottom w:w="50" w:type="dxa"/>
              <w:left w:w="90" w:type="dxa"/>
              <w:right w:w="90" w:type="dxa"/>
            </w:tcMar>
            <w:shd w:val="clear" w:color="auto" w:fill="E5F5FF"/>
          </w:tcPr>
          <w:p>
            <w:pPr>
              <w:pStyle w:val="BDOITable"/>
            </w:pPr>
            <w:r>
              <w:rPr>
                <w:sz w:val="15"/>
              </w:rPr>
              <w:t>BRRN.028</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FR-RN-027</w:t>
            </w:r>
          </w:p>
        </w:tc>
        <w:tc>
          <w:tcPr>
            <w:tcW w:type="dxa" w:w="3307"/>
            <w:tcMar>
              <w:top w:w="50" w:type="dxa"/>
              <w:bottom w:w="50" w:type="dxa"/>
              <w:left w:w="90" w:type="dxa"/>
              <w:right w:w="90" w:type="dxa"/>
            </w:tcMar>
          </w:tcPr>
          <w:p>
            <w:pPr>
              <w:pStyle w:val="BDOITable"/>
            </w:pPr>
            <w:r>
              <w:rPr>
                <w:sz w:val="15"/>
              </w:rPr>
              <w:t>Reflect endorsements on the mother policy before approval</w:t>
            </w:r>
          </w:p>
        </w:tc>
        <w:tc>
          <w:tcPr>
            <w:tcW w:type="dxa" w:w="1653"/>
            <w:tcMar>
              <w:top w:w="50" w:type="dxa"/>
              <w:bottom w:w="50" w:type="dxa"/>
              <w:left w:w="90" w:type="dxa"/>
              <w:right w:w="90" w:type="dxa"/>
            </w:tcMar>
          </w:tcPr>
          <w:p>
            <w:pPr>
              <w:pStyle w:val="BDOITable"/>
            </w:pPr>
            <w:r>
              <w:rPr>
                <w:sz w:val="15"/>
              </w:rPr>
              <w:t>BRRN.032, BRD 1.008.1.4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FR-RN-028</w:t>
            </w:r>
          </w:p>
        </w:tc>
        <w:tc>
          <w:tcPr>
            <w:tcW w:type="dxa" w:w="3307"/>
            <w:tcMar>
              <w:top w:w="50" w:type="dxa"/>
              <w:bottom w:w="50" w:type="dxa"/>
              <w:left w:w="90" w:type="dxa"/>
              <w:right w:w="90" w:type="dxa"/>
            </w:tcMar>
            <w:shd w:val="clear" w:color="auto" w:fill="E5F5FF"/>
          </w:tcPr>
          <w:p>
            <w:pPr>
              <w:pStyle w:val="BDOITable"/>
            </w:pPr>
            <w:r>
              <w:rPr>
                <w:sz w:val="15"/>
              </w:rPr>
              <w:t>Resolve the package of a migrated policy at sanitation</w:t>
            </w:r>
          </w:p>
        </w:tc>
        <w:tc>
          <w:tcPr>
            <w:tcW w:type="dxa" w:w="1653"/>
            <w:tcMar>
              <w:top w:w="50" w:type="dxa"/>
              <w:bottom w:w="50" w:type="dxa"/>
              <w:left w:w="90" w:type="dxa"/>
              <w:right w:w="90" w:type="dxa"/>
            </w:tcMar>
            <w:shd w:val="clear" w:color="auto" w:fill="E5F5FF"/>
          </w:tcPr>
          <w:p>
            <w:pPr>
              <w:pStyle w:val="BDOITable"/>
            </w:pPr>
            <w:r>
              <w:rPr>
                <w:sz w:val="15"/>
              </w:rPr>
              <w:t>BRRN.020</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FR-RN-030</w:t>
            </w:r>
          </w:p>
        </w:tc>
        <w:tc>
          <w:tcPr>
            <w:tcW w:type="dxa" w:w="3307"/>
            <w:tcMar>
              <w:top w:w="50" w:type="dxa"/>
              <w:bottom w:w="50" w:type="dxa"/>
              <w:left w:w="90" w:type="dxa"/>
              <w:right w:w="90" w:type="dxa"/>
            </w:tcMar>
          </w:tcPr>
          <w:p>
            <w:pPr>
              <w:pStyle w:val="BDOITable"/>
            </w:pPr>
            <w:r>
              <w:rPr>
                <w:sz w:val="15"/>
              </w:rPr>
              <w:t>Assign and re-assign accounts to Marketing AOs</w:t>
            </w:r>
          </w:p>
        </w:tc>
        <w:tc>
          <w:tcPr>
            <w:tcW w:type="dxa" w:w="1653"/>
            <w:tcMar>
              <w:top w:w="50" w:type="dxa"/>
              <w:bottom w:w="50" w:type="dxa"/>
              <w:left w:w="90" w:type="dxa"/>
              <w:right w:w="90" w:type="dxa"/>
            </w:tcMar>
          </w:tcPr>
          <w:p>
            <w:pPr>
              <w:pStyle w:val="BDOITable"/>
            </w:pPr>
            <w:r>
              <w:rPr>
                <w:sz w:val="15"/>
              </w:rPr>
              <w:t>BRD 1.005.1, 1.005.1.1, 1.005.1.1.1, 1.005.1.1.2, 1.005.1.2, 1.005.1.2.1-1.005.1.2.4, BRD 1.005.2</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FR-RN-031</w:t>
            </w:r>
          </w:p>
        </w:tc>
        <w:tc>
          <w:tcPr>
            <w:tcW w:type="dxa" w:w="3307"/>
            <w:tcMar>
              <w:top w:w="50" w:type="dxa"/>
              <w:bottom w:w="50" w:type="dxa"/>
              <w:left w:w="90" w:type="dxa"/>
              <w:right w:w="90" w:type="dxa"/>
            </w:tcMar>
            <w:shd w:val="clear" w:color="auto" w:fill="E5F5FF"/>
          </w:tcPr>
          <w:p>
            <w:pPr>
              <w:pStyle w:val="BDOITable"/>
            </w:pPr>
            <w:r>
              <w:rPr>
                <w:sz w:val="15"/>
              </w:rPr>
              <w:t>Transfer an account to another Marketing unit</w:t>
            </w:r>
          </w:p>
        </w:tc>
        <w:tc>
          <w:tcPr>
            <w:tcW w:type="dxa" w:w="1653"/>
            <w:tcMar>
              <w:top w:w="50" w:type="dxa"/>
              <w:bottom w:w="50" w:type="dxa"/>
              <w:left w:w="90" w:type="dxa"/>
              <w:right w:w="90" w:type="dxa"/>
            </w:tcMar>
            <w:shd w:val="clear" w:color="auto" w:fill="E5F5FF"/>
          </w:tcPr>
          <w:p>
            <w:pPr>
              <w:pStyle w:val="BDOITable"/>
            </w:pPr>
            <w:r>
              <w:rPr>
                <w:sz w:val="15"/>
              </w:rPr>
              <w:t>BRD 1.006.1-1.006.5, BRD 2.005.1, 2.005.2, 2.005.3, 2.005.3.1, 2.005.3.2, 2.005.4, 2.005.5, BRD 2.004.4.8</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FR-RN-032</w:t>
            </w:r>
          </w:p>
        </w:tc>
        <w:tc>
          <w:tcPr>
            <w:tcW w:type="dxa" w:w="3307"/>
            <w:tcMar>
              <w:top w:w="50" w:type="dxa"/>
              <w:bottom w:w="50" w:type="dxa"/>
              <w:left w:w="90" w:type="dxa"/>
              <w:right w:w="90" w:type="dxa"/>
            </w:tcMar>
          </w:tcPr>
          <w:p>
            <w:pPr>
              <w:pStyle w:val="BDOITable"/>
            </w:pPr>
            <w:r>
              <w:rPr>
                <w:sz w:val="15"/>
              </w:rPr>
              <w:t>Receive, accept or decline transferred accounts</w:t>
            </w:r>
          </w:p>
        </w:tc>
        <w:tc>
          <w:tcPr>
            <w:tcW w:type="dxa" w:w="1653"/>
            <w:tcMar>
              <w:top w:w="50" w:type="dxa"/>
              <w:bottom w:w="50" w:type="dxa"/>
              <w:left w:w="90" w:type="dxa"/>
              <w:right w:w="90" w:type="dxa"/>
            </w:tcMar>
          </w:tcPr>
          <w:p>
            <w:pPr>
              <w:pStyle w:val="BDOITable"/>
            </w:pPr>
            <w:r>
              <w:rPr>
                <w:sz w:val="15"/>
              </w:rPr>
              <w:t>BRD 1.007.1, 1.007.2, 1.007.3, 1.007.3.1, 1.007.4, 1.007.4.1, 1.007.4.2, 1.007.5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FR-RN-040</w:t>
            </w:r>
          </w:p>
        </w:tc>
        <w:tc>
          <w:tcPr>
            <w:tcW w:type="dxa" w:w="3307"/>
            <w:tcMar>
              <w:top w:w="50" w:type="dxa"/>
              <w:bottom w:w="50" w:type="dxa"/>
              <w:left w:w="90" w:type="dxa"/>
              <w:right w:w="90" w:type="dxa"/>
            </w:tcMar>
            <w:shd w:val="clear" w:color="auto" w:fill="E5F5FF"/>
          </w:tcPr>
          <w:p>
            <w:pPr>
              <w:pStyle w:val="BDOITable"/>
            </w:pPr>
            <w:r>
              <w:rPr>
                <w:sz w:val="15"/>
              </w:rPr>
              <w:t>View all my accounts in one scrollable list</w:t>
            </w:r>
          </w:p>
        </w:tc>
        <w:tc>
          <w:tcPr>
            <w:tcW w:type="dxa" w:w="1653"/>
            <w:tcMar>
              <w:top w:w="50" w:type="dxa"/>
              <w:bottom w:w="50" w:type="dxa"/>
              <w:left w:w="90" w:type="dxa"/>
              <w:right w:w="90" w:type="dxa"/>
            </w:tcMar>
            <w:shd w:val="clear" w:color="auto" w:fill="E5F5FF"/>
          </w:tcPr>
          <w:p>
            <w:pPr>
              <w:pStyle w:val="BDOITable"/>
            </w:pPr>
            <w:r>
              <w:rPr>
                <w:sz w:val="15"/>
              </w:rPr>
              <w:t>BRRN.011, restating BRD 2.003.1, BRRN.012, restating BRD 2.003.1.1, BRRN.014, restating BRD 2.003.1.3, BRRN.015, restating BRD 2.003.1.4, BRRN.016, restating BRD 2.003.1.5, BRRN.017, restating BRD 2.003.1.6 without the QPS / EBIX references</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FR-RN-041</w:t>
            </w:r>
          </w:p>
        </w:tc>
        <w:tc>
          <w:tcPr>
            <w:tcW w:type="dxa" w:w="3307"/>
            <w:tcMar>
              <w:top w:w="50" w:type="dxa"/>
              <w:bottom w:w="50" w:type="dxa"/>
              <w:left w:w="90" w:type="dxa"/>
              <w:right w:w="90" w:type="dxa"/>
            </w:tcMar>
          </w:tcPr>
          <w:p>
            <w:pPr>
              <w:pStyle w:val="BDOITable"/>
            </w:pPr>
            <w:r>
              <w:rPr>
                <w:sz w:val="15"/>
              </w:rPr>
              <w:t>View a renewal account and download its details</w:t>
            </w:r>
          </w:p>
        </w:tc>
        <w:tc>
          <w:tcPr>
            <w:tcW w:type="dxa" w:w="1653"/>
            <w:tcMar>
              <w:top w:w="50" w:type="dxa"/>
              <w:bottom w:w="50" w:type="dxa"/>
              <w:left w:w="90" w:type="dxa"/>
              <w:right w:w="90" w:type="dxa"/>
            </w:tcMar>
          </w:tcPr>
          <w:p>
            <w:pPr>
              <w:pStyle w:val="BDOITable"/>
            </w:pPr>
            <w:r>
              <w:rPr>
                <w:sz w:val="15"/>
              </w:rPr>
              <w:t>BRRN.013, restating BRD 2.003.1.2, BRD 1.004.1, 1.004.1.1, 1.004.1.2, 1.008.1.2, 1.008.1.3, 3.006.1.1, 3.006.1.2, 4.003.1.1, 4.003.1.2, BRD 1.004.1.3-1.004.1.5.2, 2.003.2, 2.003.3, 2.003.3.1, 2.003.3.2, 3.006.2, 3.006.3, 3.006.3.1, 3.006.3.2, 4.003.2, 4.003.3, 4.003.3.1, 4.003.3.2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FR-RN-042</w:t>
            </w:r>
          </w:p>
        </w:tc>
        <w:tc>
          <w:tcPr>
            <w:tcW w:type="dxa" w:w="3307"/>
            <w:tcMar>
              <w:top w:w="50" w:type="dxa"/>
              <w:bottom w:w="50" w:type="dxa"/>
              <w:left w:w="90" w:type="dxa"/>
              <w:right w:w="90" w:type="dxa"/>
            </w:tcMar>
            <w:shd w:val="clear" w:color="auto" w:fill="E5F5FF"/>
          </w:tcPr>
          <w:p>
            <w:pPr>
              <w:pStyle w:val="BDOITable"/>
            </w:pPr>
            <w:r>
              <w:rPr>
                <w:sz w:val="15"/>
              </w:rPr>
              <w:t>View the full account history before the disposition</w:t>
            </w:r>
          </w:p>
        </w:tc>
        <w:tc>
          <w:tcPr>
            <w:tcW w:type="dxa" w:w="1653"/>
            <w:tcMar>
              <w:top w:w="50" w:type="dxa"/>
              <w:bottom w:w="50" w:type="dxa"/>
              <w:left w:w="90" w:type="dxa"/>
              <w:right w:w="90" w:type="dxa"/>
            </w:tcMar>
            <w:shd w:val="clear" w:color="auto" w:fill="E5F5FF"/>
          </w:tcPr>
          <w:p>
            <w:pPr>
              <w:pStyle w:val="BDOITable"/>
            </w:pPr>
            <w:r>
              <w:rPr>
                <w:sz w:val="15"/>
              </w:rPr>
              <w:t>BRRN.027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FR-RN-043</w:t>
            </w:r>
          </w:p>
        </w:tc>
        <w:tc>
          <w:tcPr>
            <w:tcW w:type="dxa" w:w="3307"/>
            <w:tcMar>
              <w:top w:w="50" w:type="dxa"/>
              <w:bottom w:w="50" w:type="dxa"/>
              <w:left w:w="90" w:type="dxa"/>
              <w:right w:w="90" w:type="dxa"/>
            </w:tcMar>
          </w:tcPr>
          <w:p>
            <w:pPr>
              <w:pStyle w:val="BDOITable"/>
            </w:pPr>
            <w:r>
              <w:rPr>
                <w:sz w:val="15"/>
              </w:rPr>
              <w:t>Give the disposition of an account</w:t>
            </w:r>
          </w:p>
        </w:tc>
        <w:tc>
          <w:tcPr>
            <w:tcW w:type="dxa" w:w="1653"/>
            <w:tcMar>
              <w:top w:w="50" w:type="dxa"/>
              <w:bottom w:w="50" w:type="dxa"/>
              <w:left w:w="90" w:type="dxa"/>
              <w:right w:w="90" w:type="dxa"/>
            </w:tcMar>
          </w:tcPr>
          <w:p>
            <w:pPr>
              <w:pStyle w:val="BDOITable"/>
            </w:pPr>
            <w:r>
              <w:rPr>
                <w:sz w:val="15"/>
              </w:rPr>
              <w:t>BRD 2.004.1, 2.004.2, 2.004.3, 2.004.3.1-2.004.3.5, BRD 2.004.4, 2.004.4.1-2.004.4.10, BRD 2.004.5, 2.004.5.1, 2.004.5.2, 2.004.5.3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10</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FR-RN-044</w:t>
            </w:r>
          </w:p>
        </w:tc>
        <w:tc>
          <w:tcPr>
            <w:tcW w:type="dxa" w:w="3307"/>
            <w:tcMar>
              <w:top w:w="50" w:type="dxa"/>
              <w:bottom w:w="50" w:type="dxa"/>
              <w:left w:w="90" w:type="dxa"/>
              <w:right w:w="90" w:type="dxa"/>
            </w:tcMar>
            <w:shd w:val="clear" w:color="auto" w:fill="E5F5FF"/>
          </w:tcPr>
          <w:p>
            <w:pPr>
              <w:pStyle w:val="BDOITable"/>
            </w:pPr>
            <w:r>
              <w:rPr>
                <w:sz w:val="15"/>
              </w:rPr>
              <w:t>Add remarks to an account</w:t>
            </w:r>
          </w:p>
        </w:tc>
        <w:tc>
          <w:tcPr>
            <w:tcW w:type="dxa" w:w="1653"/>
            <w:tcMar>
              <w:top w:w="50" w:type="dxa"/>
              <w:bottom w:w="50" w:type="dxa"/>
              <w:left w:w="90" w:type="dxa"/>
              <w:right w:w="90" w:type="dxa"/>
            </w:tcMar>
            <w:shd w:val="clear" w:color="auto" w:fill="E5F5FF"/>
          </w:tcPr>
          <w:p>
            <w:pPr>
              <w:pStyle w:val="BDOITable"/>
            </w:pPr>
            <w:r>
              <w:rPr>
                <w:sz w:val="15"/>
              </w:rPr>
              <w:t>BRD 2.004.6, 2.004.7, 2.004.8, BRD 2.006.1.5, 2.006.1.5.1, 2.006.1.5.2, 2.006.1.6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FR-RN-045</w:t>
            </w:r>
          </w:p>
        </w:tc>
        <w:tc>
          <w:tcPr>
            <w:tcW w:type="dxa" w:w="3307"/>
            <w:tcMar>
              <w:top w:w="50" w:type="dxa"/>
              <w:bottom w:w="50" w:type="dxa"/>
              <w:left w:w="90" w:type="dxa"/>
              <w:right w:w="90" w:type="dxa"/>
            </w:tcMar>
          </w:tcPr>
          <w:p>
            <w:pPr>
              <w:pStyle w:val="BDOITable"/>
            </w:pPr>
            <w:r>
              <w:rPr>
                <w:sz w:val="15"/>
              </w:rPr>
              <w:t>List my dispositioned accounts with status, flags and lock</w:t>
            </w:r>
          </w:p>
        </w:tc>
        <w:tc>
          <w:tcPr>
            <w:tcW w:type="dxa" w:w="1653"/>
            <w:tcMar>
              <w:top w:w="50" w:type="dxa"/>
              <w:bottom w:w="50" w:type="dxa"/>
              <w:left w:w="90" w:type="dxa"/>
              <w:right w:w="90" w:type="dxa"/>
            </w:tcMar>
          </w:tcPr>
          <w:p>
            <w:pPr>
              <w:pStyle w:val="BDOITable"/>
            </w:pPr>
            <w:r>
              <w:rPr>
                <w:sz w:val="15"/>
              </w:rPr>
              <w:t>BRD 2.006.1, 2.006.1.1, 2.006.1.1.1, 2.006.1.1.2, 2.006.1.3, 2.006.1.4, 2.006.1.5.3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FR-RN-046</w:t>
            </w:r>
          </w:p>
        </w:tc>
        <w:tc>
          <w:tcPr>
            <w:tcW w:type="dxa" w:w="3307"/>
            <w:tcMar>
              <w:top w:w="50" w:type="dxa"/>
              <w:bottom w:w="50" w:type="dxa"/>
              <w:left w:w="90" w:type="dxa"/>
              <w:right w:w="90" w:type="dxa"/>
            </w:tcMar>
            <w:shd w:val="clear" w:color="auto" w:fill="E5F5FF"/>
          </w:tcPr>
          <w:p>
            <w:pPr>
              <w:pStyle w:val="BDOITable"/>
            </w:pPr>
            <w:r>
              <w:rPr>
                <w:sz w:val="15"/>
              </w:rPr>
              <w:t>Update returned accounts</w:t>
            </w:r>
          </w:p>
        </w:tc>
        <w:tc>
          <w:tcPr>
            <w:tcW w:type="dxa" w:w="1653"/>
            <w:tcMar>
              <w:top w:w="50" w:type="dxa"/>
              <w:bottom w:w="50" w:type="dxa"/>
              <w:left w:w="90" w:type="dxa"/>
              <w:right w:w="90" w:type="dxa"/>
            </w:tcMar>
            <w:shd w:val="clear" w:color="auto" w:fill="E5F5FF"/>
          </w:tcPr>
          <w:p>
            <w:pPr>
              <w:pStyle w:val="BDOITable"/>
            </w:pPr>
            <w:r>
              <w:rPr>
                <w:sz w:val="15"/>
              </w:rPr>
              <w:t>BRD 2.007.1, 2.007.2, 2.007.3, 2.007.4, 2.007.4.2-2.007.4.7, 2.007.5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FR-RN-047</w:t>
            </w:r>
          </w:p>
        </w:tc>
        <w:tc>
          <w:tcPr>
            <w:tcW w:type="dxa" w:w="3307"/>
            <w:tcMar>
              <w:top w:w="50" w:type="dxa"/>
              <w:bottom w:w="50" w:type="dxa"/>
              <w:left w:w="90" w:type="dxa"/>
              <w:right w:w="90" w:type="dxa"/>
            </w:tcMar>
          </w:tcPr>
          <w:p>
            <w:pPr>
              <w:pStyle w:val="BDOITable"/>
            </w:pPr>
            <w:r>
              <w:rPr>
                <w:sz w:val="15"/>
              </w:rPr>
              <w:t>Re-open accounts tagged Not for Renewal</w:t>
            </w:r>
          </w:p>
        </w:tc>
        <w:tc>
          <w:tcPr>
            <w:tcW w:type="dxa" w:w="1653"/>
            <w:tcMar>
              <w:top w:w="50" w:type="dxa"/>
              <w:bottom w:w="50" w:type="dxa"/>
              <w:left w:w="90" w:type="dxa"/>
              <w:right w:w="90" w:type="dxa"/>
            </w:tcMar>
          </w:tcPr>
          <w:p>
            <w:pPr>
              <w:pStyle w:val="BDOITable"/>
            </w:pPr>
            <w:r>
              <w:rPr>
                <w:sz w:val="15"/>
              </w:rPr>
              <w:t>BRD 2.004.10, BRD 3.004.5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FR-RN-048</w:t>
            </w:r>
          </w:p>
        </w:tc>
        <w:tc>
          <w:tcPr>
            <w:tcW w:type="dxa" w:w="3307"/>
            <w:tcMar>
              <w:top w:w="50" w:type="dxa"/>
              <w:bottom w:w="50" w:type="dxa"/>
              <w:left w:w="90" w:type="dxa"/>
              <w:right w:w="90" w:type="dxa"/>
            </w:tcMar>
            <w:shd w:val="clear" w:color="auto" w:fill="E5F5FF"/>
          </w:tcPr>
          <w:p>
            <w:pPr>
              <w:pStyle w:val="BDOITable"/>
            </w:pPr>
            <w:r>
              <w:rPr>
                <w:sz w:val="15"/>
              </w:rPr>
              <w:t>Route renewals with financial or structural changes to the New Business path</w:t>
            </w:r>
          </w:p>
        </w:tc>
        <w:tc>
          <w:tcPr>
            <w:tcW w:type="dxa" w:w="1653"/>
            <w:tcMar>
              <w:top w:w="50" w:type="dxa"/>
              <w:bottom w:w="50" w:type="dxa"/>
              <w:left w:w="90" w:type="dxa"/>
              <w:right w:w="90" w:type="dxa"/>
            </w:tcMar>
            <w:shd w:val="clear" w:color="auto" w:fill="E5F5FF"/>
          </w:tcPr>
          <w:p>
            <w:pPr>
              <w:pStyle w:val="BDOITable"/>
            </w:pPr>
            <w:r>
              <w:rPr>
                <w:sz w:val="15"/>
              </w:rPr>
              <w:t>BRRN.033, BRRN.038</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FR-RN-050</w:t>
            </w:r>
          </w:p>
        </w:tc>
        <w:tc>
          <w:tcPr>
            <w:tcW w:type="dxa" w:w="3307"/>
            <w:tcMar>
              <w:top w:w="50" w:type="dxa"/>
              <w:bottom w:w="50" w:type="dxa"/>
              <w:left w:w="90" w:type="dxa"/>
              <w:right w:w="90" w:type="dxa"/>
            </w:tcMar>
          </w:tcPr>
          <w:p>
            <w:pPr>
              <w:pStyle w:val="BDOITable"/>
            </w:pPr>
            <w:r>
              <w:rPr>
                <w:sz w:val="15"/>
              </w:rPr>
              <w:t>Review, return and post dispositioned accounts</w:t>
            </w:r>
          </w:p>
        </w:tc>
        <w:tc>
          <w:tcPr>
            <w:tcW w:type="dxa" w:w="1653"/>
            <w:tcMar>
              <w:top w:w="50" w:type="dxa"/>
              <w:bottom w:w="50" w:type="dxa"/>
              <w:left w:w="90" w:type="dxa"/>
              <w:right w:w="90" w:type="dxa"/>
            </w:tcMar>
          </w:tcPr>
          <w:p>
            <w:pPr>
              <w:pStyle w:val="BDOITable"/>
            </w:pPr>
            <w:r>
              <w:rPr>
                <w:sz w:val="15"/>
              </w:rPr>
              <w:t>BRD 1.008.1, 1.008.1.1, 1.008.1.4, BRD 1.008.2, 1.008.2.1-1.008.2.7, BRD 1.008.3, 1.008.3.1-1.008.3.4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FR-RN-051</w:t>
            </w:r>
          </w:p>
        </w:tc>
        <w:tc>
          <w:tcPr>
            <w:tcW w:type="dxa" w:w="3307"/>
            <w:tcMar>
              <w:top w:w="50" w:type="dxa"/>
              <w:bottom w:w="50" w:type="dxa"/>
              <w:left w:w="90" w:type="dxa"/>
              <w:right w:w="90" w:type="dxa"/>
            </w:tcMar>
            <w:shd w:val="clear" w:color="auto" w:fill="E5F5FF"/>
          </w:tcPr>
          <w:p>
            <w:pPr>
              <w:pStyle w:val="BDOITable"/>
            </w:pPr>
            <w:r>
              <w:rPr>
                <w:sz w:val="15"/>
              </w:rPr>
              <w:t>Override the outstanding-balance flag and other controlled overrides</w:t>
            </w:r>
          </w:p>
        </w:tc>
        <w:tc>
          <w:tcPr>
            <w:tcW w:type="dxa" w:w="1653"/>
            <w:tcMar>
              <w:top w:w="50" w:type="dxa"/>
              <w:bottom w:w="50" w:type="dxa"/>
              <w:left w:w="90" w:type="dxa"/>
              <w:right w:w="90" w:type="dxa"/>
            </w:tcMar>
            <w:shd w:val="clear" w:color="auto" w:fill="E5F5FF"/>
          </w:tcPr>
          <w:p>
            <w:pPr>
              <w:pStyle w:val="BDOITable"/>
            </w:pPr>
            <w:r>
              <w:rPr>
                <w:sz w:val="15"/>
              </w:rPr>
              <w:t>BRD 1.011.1, 1.011.1.1, 1.011.1.2, 1.011.1.3, BRRN.023 AC5, BRRN.031 AC4, BRRN.035 negative scenario 2d</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FR-RN-060</w:t>
            </w:r>
          </w:p>
        </w:tc>
        <w:tc>
          <w:tcPr>
            <w:tcW w:type="dxa" w:w="3307"/>
            <w:tcMar>
              <w:top w:w="50" w:type="dxa"/>
              <w:bottom w:w="50" w:type="dxa"/>
              <w:left w:w="90" w:type="dxa"/>
              <w:right w:w="90" w:type="dxa"/>
            </w:tcMar>
          </w:tcPr>
          <w:p>
            <w:pPr>
              <w:pStyle w:val="BDOITable"/>
            </w:pPr>
            <w:r>
              <w:rPr>
                <w:sz w:val="15"/>
              </w:rPr>
              <w:t>Upload dispositioned files</w:t>
            </w:r>
          </w:p>
        </w:tc>
        <w:tc>
          <w:tcPr>
            <w:tcW w:type="dxa" w:w="1653"/>
            <w:tcMar>
              <w:top w:w="50" w:type="dxa"/>
              <w:bottom w:w="50" w:type="dxa"/>
              <w:left w:w="90" w:type="dxa"/>
              <w:right w:w="90" w:type="dxa"/>
            </w:tcMar>
          </w:tcPr>
          <w:p>
            <w:pPr>
              <w:pStyle w:val="BDOITable"/>
            </w:pPr>
            <w:r>
              <w:rPr>
                <w:sz w:val="15"/>
              </w:rPr>
              <w:t>BRRN.018, restating BRD 3.004.1, 3.004.1.1, 3.004.1.2, 4.004.1, 4.004.1.1, 4.004.1.2, BRD 3.004.2, 3.004.3, 3.004.3.1, 4.004.2, 4.004.3, 4.004.3.1, BRD 3.004.4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FR-RN-061</w:t>
            </w:r>
          </w:p>
        </w:tc>
        <w:tc>
          <w:tcPr>
            <w:tcW w:type="dxa" w:w="3307"/>
            <w:tcMar>
              <w:top w:w="50" w:type="dxa"/>
              <w:bottom w:w="50" w:type="dxa"/>
              <w:left w:w="90" w:type="dxa"/>
              <w:right w:w="90" w:type="dxa"/>
            </w:tcMar>
            <w:shd w:val="clear" w:color="auto" w:fill="E5F5FF"/>
          </w:tcPr>
          <w:p>
            <w:pPr>
              <w:pStyle w:val="BDOITable"/>
            </w:pPr>
            <w:r>
              <w:rPr>
                <w:sz w:val="15"/>
              </w:rPr>
              <w:t>Assign accounts to Processing Officers</w:t>
            </w:r>
          </w:p>
        </w:tc>
        <w:tc>
          <w:tcPr>
            <w:tcW w:type="dxa" w:w="1653"/>
            <w:tcMar>
              <w:top w:w="50" w:type="dxa"/>
              <w:bottom w:w="50" w:type="dxa"/>
              <w:left w:w="90" w:type="dxa"/>
              <w:right w:w="90" w:type="dxa"/>
            </w:tcMar>
            <w:shd w:val="clear" w:color="auto" w:fill="E5F5FF"/>
          </w:tcPr>
          <w:p>
            <w:pPr>
              <w:pStyle w:val="BDOITable"/>
            </w:pPr>
            <w:r>
              <w:rPr>
                <w:sz w:val="15"/>
              </w:rPr>
              <w:t>BRD 3.005.1, 3.005.1.1, 3.005.1.1.1, 3.005.1.1.2, 3.005.1.2, 3.005.1.2.1, 3.005.1.2.2, 3.005.1.3, 3.005.1.4, 3.005.1.5, 3.005.1.6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FR-RN-062</w:t>
            </w:r>
          </w:p>
        </w:tc>
        <w:tc>
          <w:tcPr>
            <w:tcW w:type="dxa" w:w="3307"/>
            <w:tcMar>
              <w:top w:w="50" w:type="dxa"/>
              <w:bottom w:w="50" w:type="dxa"/>
              <w:left w:w="90" w:type="dxa"/>
              <w:right w:w="90" w:type="dxa"/>
            </w:tcMar>
          </w:tcPr>
          <w:p>
            <w:pPr>
              <w:pStyle w:val="BDOITable"/>
            </w:pPr>
            <w:r>
              <w:rPr>
                <w:sz w:val="15"/>
              </w:rPr>
              <w:t>Work the processing list</w:t>
            </w:r>
          </w:p>
        </w:tc>
        <w:tc>
          <w:tcPr>
            <w:tcW w:type="dxa" w:w="1653"/>
            <w:tcMar>
              <w:top w:w="50" w:type="dxa"/>
              <w:bottom w:w="50" w:type="dxa"/>
              <w:left w:w="90" w:type="dxa"/>
              <w:right w:w="90" w:type="dxa"/>
            </w:tcMar>
          </w:tcPr>
          <w:p>
            <w:pPr>
              <w:pStyle w:val="BDOITable"/>
            </w:pPr>
            <w:r>
              <w:rPr>
                <w:sz w:val="15"/>
              </w:rPr>
              <w:t>BRD 3.006.1, 3.006.1.3, 3.006.1.4, BRD 4.003.1, 4.003.1.3, 4.003.1.4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FR-RN-063</w:t>
            </w:r>
          </w:p>
        </w:tc>
        <w:tc>
          <w:tcPr>
            <w:tcW w:type="dxa" w:w="3307"/>
            <w:tcMar>
              <w:top w:w="50" w:type="dxa"/>
              <w:bottom w:w="50" w:type="dxa"/>
              <w:left w:w="90" w:type="dxa"/>
              <w:right w:w="90" w:type="dxa"/>
            </w:tcMar>
            <w:shd w:val="clear" w:color="auto" w:fill="E5F5FF"/>
          </w:tcPr>
          <w:p>
            <w:pPr>
              <w:pStyle w:val="BDOITable"/>
            </w:pPr>
            <w:r>
              <w:rPr>
                <w:sz w:val="15"/>
              </w:rPr>
              <w:t>Update data on the renewal account</w:t>
            </w:r>
          </w:p>
        </w:tc>
        <w:tc>
          <w:tcPr>
            <w:tcW w:type="dxa" w:w="1653"/>
            <w:tcMar>
              <w:top w:w="50" w:type="dxa"/>
              <w:bottom w:w="50" w:type="dxa"/>
              <w:left w:w="90" w:type="dxa"/>
              <w:right w:w="90" w:type="dxa"/>
            </w:tcMar>
            <w:shd w:val="clear" w:color="auto" w:fill="E5F5FF"/>
          </w:tcPr>
          <w:p>
            <w:pPr>
              <w:pStyle w:val="BDOITable"/>
            </w:pPr>
            <w:r>
              <w:rPr>
                <w:sz w:val="15"/>
              </w:rPr>
              <w:t>BRD 3.007.1, 3.007.2, 3.007.3, 3.007.3.1-3.007.3.4, BRD 4.005.1, 4.005.2, 4.005.3, 4.005.3.1-4.005.3.4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FR-RN-064</w:t>
            </w:r>
          </w:p>
        </w:tc>
        <w:tc>
          <w:tcPr>
            <w:tcW w:type="dxa" w:w="3307"/>
            <w:tcMar>
              <w:top w:w="50" w:type="dxa"/>
              <w:bottom w:w="50" w:type="dxa"/>
              <w:left w:w="90" w:type="dxa"/>
              <w:right w:w="90" w:type="dxa"/>
            </w:tcMar>
          </w:tcPr>
          <w:p>
            <w:pPr>
              <w:pStyle w:val="BDOITable"/>
            </w:pPr>
            <w:r>
              <w:rPr>
                <w:sz w:val="15"/>
              </w:rPr>
              <w:t>Review computations and the financial impact</w:t>
            </w:r>
          </w:p>
        </w:tc>
        <w:tc>
          <w:tcPr>
            <w:tcW w:type="dxa" w:w="1653"/>
            <w:tcMar>
              <w:top w:w="50" w:type="dxa"/>
              <w:bottom w:w="50" w:type="dxa"/>
              <w:left w:w="90" w:type="dxa"/>
              <w:right w:w="90" w:type="dxa"/>
            </w:tcMar>
          </w:tcPr>
          <w:p>
            <w:pPr>
              <w:pStyle w:val="BDOITable"/>
            </w:pPr>
            <w:r>
              <w:rPr>
                <w:sz w:val="15"/>
              </w:rPr>
              <w:t>BRD 3.008.1, 3.008.1.1, BRD 4.006.1, 4.006.1.1, BRRN.038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FR-RN-065</w:t>
            </w:r>
          </w:p>
        </w:tc>
        <w:tc>
          <w:tcPr>
            <w:tcW w:type="dxa" w:w="3307"/>
            <w:tcMar>
              <w:top w:w="50" w:type="dxa"/>
              <w:bottom w:w="50" w:type="dxa"/>
              <w:left w:w="90" w:type="dxa"/>
              <w:right w:w="90" w:type="dxa"/>
            </w:tcMar>
            <w:shd w:val="clear" w:color="auto" w:fill="E5F5FF"/>
          </w:tcPr>
          <w:p>
            <w:pPr>
              <w:pStyle w:val="BDOITable"/>
            </w:pPr>
            <w:r>
              <w:rPr>
                <w:sz w:val="15"/>
              </w:rPr>
              <w:t>Return accounts to Marketing</w:t>
            </w:r>
          </w:p>
        </w:tc>
        <w:tc>
          <w:tcPr>
            <w:tcW w:type="dxa" w:w="1653"/>
            <w:tcMar>
              <w:top w:w="50" w:type="dxa"/>
              <w:bottom w:w="50" w:type="dxa"/>
              <w:left w:w="90" w:type="dxa"/>
              <w:right w:w="90" w:type="dxa"/>
            </w:tcMar>
            <w:shd w:val="clear" w:color="auto" w:fill="E5F5FF"/>
          </w:tcPr>
          <w:p>
            <w:pPr>
              <w:pStyle w:val="BDOITable"/>
            </w:pPr>
            <w:r>
              <w:rPr>
                <w:sz w:val="15"/>
              </w:rPr>
              <w:t>BRD 3.008.2, 3.008.2.1-3.008.2.7, BRD 4.006.2, 4.006.2.1-4.006.2.7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FR-RN-070</w:t>
            </w:r>
          </w:p>
        </w:tc>
        <w:tc>
          <w:tcPr>
            <w:tcW w:type="dxa" w:w="3307"/>
            <w:tcMar>
              <w:top w:w="50" w:type="dxa"/>
              <w:bottom w:w="50" w:type="dxa"/>
              <w:left w:w="90" w:type="dxa"/>
              <w:right w:w="90" w:type="dxa"/>
            </w:tcMar>
          </w:tcPr>
          <w:p>
            <w:pPr>
              <w:pStyle w:val="BDOITable"/>
            </w:pPr>
            <w:r>
              <w:rPr>
                <w:sz w:val="15"/>
              </w:rPr>
              <w:t>Extract For Renewal accounts per insurer and send them</w:t>
            </w:r>
          </w:p>
        </w:tc>
        <w:tc>
          <w:tcPr>
            <w:tcW w:type="dxa" w:w="1653"/>
            <w:tcMar>
              <w:top w:w="50" w:type="dxa"/>
              <w:bottom w:w="50" w:type="dxa"/>
              <w:left w:w="90" w:type="dxa"/>
              <w:right w:w="90" w:type="dxa"/>
            </w:tcMar>
          </w:tcPr>
          <w:p>
            <w:pPr>
              <w:pStyle w:val="BDOITable"/>
            </w:pPr>
            <w:r>
              <w:rPr>
                <w:sz w:val="15"/>
              </w:rPr>
              <w:t>BRD 3.009.1, 3.009.1.1-3.009.1.4, 3.009.1.4.1-3.009.1.4.28, BRD 4.007.1, 4.007.1.1-4.007.1.4, 4.007.1.4.1-4.007.1.4.28, BRD 3.009.2-3.009.5.1, 4.007.2-4.007.5.1</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FR-RN-071</w:t>
            </w:r>
          </w:p>
        </w:tc>
        <w:tc>
          <w:tcPr>
            <w:tcW w:type="dxa" w:w="3307"/>
            <w:tcMar>
              <w:top w:w="50" w:type="dxa"/>
              <w:bottom w:w="50" w:type="dxa"/>
              <w:left w:w="90" w:type="dxa"/>
              <w:right w:w="90" w:type="dxa"/>
            </w:tcMar>
            <w:shd w:val="clear" w:color="auto" w:fill="E5F5FF"/>
          </w:tcPr>
          <w:p>
            <w:pPr>
              <w:pStyle w:val="BDOITable"/>
            </w:pPr>
            <w:r>
              <w:rPr>
                <w:sz w:val="15"/>
              </w:rPr>
              <w:t>Receive and apply insurer responses</w:t>
            </w:r>
          </w:p>
        </w:tc>
        <w:tc>
          <w:tcPr>
            <w:tcW w:type="dxa" w:w="1653"/>
            <w:tcMar>
              <w:top w:w="50" w:type="dxa"/>
              <w:bottom w:w="50" w:type="dxa"/>
              <w:left w:w="90" w:type="dxa"/>
              <w:right w:w="90" w:type="dxa"/>
            </w:tcMar>
            <w:shd w:val="clear" w:color="auto" w:fill="E5F5FF"/>
          </w:tcPr>
          <w:p>
            <w:pPr>
              <w:pStyle w:val="BDOITable"/>
            </w:pPr>
            <w:r>
              <w:rPr>
                <w:sz w:val="15"/>
              </w:rPr>
              <w:t>BRD 3.009.6, 3.009.6.1, 3.009.6.2, BRD 4.007.6, 4.007.6.1, 4.007.6.2, BRRN.035</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FR-RN-080</w:t>
            </w:r>
          </w:p>
        </w:tc>
        <w:tc>
          <w:tcPr>
            <w:tcW w:type="dxa" w:w="3307"/>
            <w:tcMar>
              <w:top w:w="50" w:type="dxa"/>
              <w:bottom w:w="50" w:type="dxa"/>
              <w:left w:w="90" w:type="dxa"/>
              <w:right w:w="90" w:type="dxa"/>
            </w:tcMar>
          </w:tcPr>
          <w:p>
            <w:pPr>
              <w:pStyle w:val="BDOITable"/>
            </w:pPr>
            <w:r>
              <w:rPr>
                <w:sz w:val="15"/>
              </w:rPr>
              <w:t>Generate the Renewal Advice</w:t>
            </w:r>
          </w:p>
        </w:tc>
        <w:tc>
          <w:tcPr>
            <w:tcW w:type="dxa" w:w="1653"/>
            <w:tcMar>
              <w:top w:w="50" w:type="dxa"/>
              <w:bottom w:w="50" w:type="dxa"/>
              <w:left w:w="90" w:type="dxa"/>
              <w:right w:w="90" w:type="dxa"/>
            </w:tcMar>
          </w:tcPr>
          <w:p>
            <w:pPr>
              <w:pStyle w:val="BDOITable"/>
            </w:pPr>
            <w:r>
              <w:rPr>
                <w:sz w:val="15"/>
              </w:rPr>
              <w:t>BRRN.010, restating BRD 1.010.1-1.010.7, 2.009.1-2.009.7.1, 3.011.1-3.011.7.1, 4.09.1-4.09.7, BRD 2.004.9</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8</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12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FR-RN-081</w:t>
            </w:r>
          </w:p>
        </w:tc>
        <w:tc>
          <w:tcPr>
            <w:tcW w:type="dxa" w:w="3307"/>
            <w:tcMar>
              <w:top w:w="50" w:type="dxa"/>
              <w:bottom w:w="50" w:type="dxa"/>
              <w:left w:w="90" w:type="dxa"/>
              <w:right w:w="90" w:type="dxa"/>
            </w:tcMar>
            <w:shd w:val="clear" w:color="auto" w:fill="E5F5FF"/>
          </w:tcPr>
          <w:p>
            <w:pPr>
              <w:pStyle w:val="BDOITable"/>
            </w:pPr>
            <w:r>
              <w:rPr>
                <w:sz w:val="15"/>
              </w:rPr>
              <w:t>Send Renewal Advices in batch, encrypted and password-protected</w:t>
            </w:r>
          </w:p>
        </w:tc>
        <w:tc>
          <w:tcPr>
            <w:tcW w:type="dxa" w:w="1653"/>
            <w:tcMar>
              <w:top w:w="50" w:type="dxa"/>
              <w:bottom w:w="50" w:type="dxa"/>
              <w:left w:w="90" w:type="dxa"/>
              <w:right w:w="90" w:type="dxa"/>
            </w:tcMar>
            <w:shd w:val="clear" w:color="auto" w:fill="E5F5FF"/>
          </w:tcPr>
          <w:p>
            <w:pPr>
              <w:pStyle w:val="BDOITable"/>
            </w:pPr>
            <w:r>
              <w:rPr>
                <w:sz w:val="15"/>
              </w:rPr>
              <w:t>BRRN.010, restating BRD 1.010.6, 1.010.7, 2.009.6, 2.009.7, 2.009.7.1, 3.011.6, 3.011.7, 3.011.7.1, 4.09.6, 4.09.7</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FR-RN-082</w:t>
            </w:r>
          </w:p>
        </w:tc>
        <w:tc>
          <w:tcPr>
            <w:tcW w:type="dxa" w:w="3307"/>
            <w:tcMar>
              <w:top w:w="50" w:type="dxa"/>
              <w:bottom w:w="50" w:type="dxa"/>
              <w:left w:w="90" w:type="dxa"/>
              <w:right w:w="90" w:type="dxa"/>
            </w:tcMar>
          </w:tcPr>
          <w:p>
            <w:pPr>
              <w:pStyle w:val="BDOITable"/>
            </w:pPr>
            <w:r>
              <w:rPr>
                <w:sz w:val="15"/>
              </w:rPr>
              <w:t>Generate and send the No Advice Letter</w:t>
            </w:r>
          </w:p>
        </w:tc>
        <w:tc>
          <w:tcPr>
            <w:tcW w:type="dxa" w:w="1653"/>
            <w:tcMar>
              <w:top w:w="50" w:type="dxa"/>
              <w:bottom w:w="50" w:type="dxa"/>
              <w:left w:w="90" w:type="dxa"/>
              <w:right w:w="90" w:type="dxa"/>
            </w:tcMar>
          </w:tcPr>
          <w:p>
            <w:pPr>
              <w:pStyle w:val="BDOITable"/>
            </w:pPr>
            <w:r>
              <w:rPr>
                <w:sz w:val="15"/>
              </w:rPr>
              <w:t>BRRN.001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FR-RN-083</w:t>
            </w:r>
          </w:p>
        </w:tc>
        <w:tc>
          <w:tcPr>
            <w:tcW w:type="dxa" w:w="3307"/>
            <w:tcMar>
              <w:top w:w="50" w:type="dxa"/>
              <w:bottom w:w="50" w:type="dxa"/>
              <w:left w:w="90" w:type="dxa"/>
              <w:right w:w="90" w:type="dxa"/>
            </w:tcMar>
            <w:shd w:val="clear" w:color="auto" w:fill="E5F5FF"/>
          </w:tcPr>
          <w:p>
            <w:pPr>
              <w:pStyle w:val="BDOITable"/>
            </w:pPr>
            <w:r>
              <w:rPr>
                <w:sz w:val="15"/>
              </w:rPr>
              <w:t>NRNS reminders and non-acceptance letters</w:t>
            </w:r>
          </w:p>
        </w:tc>
        <w:tc>
          <w:tcPr>
            <w:tcW w:type="dxa" w:w="1653"/>
            <w:tcMar>
              <w:top w:w="50" w:type="dxa"/>
              <w:bottom w:w="50" w:type="dxa"/>
              <w:left w:w="90" w:type="dxa"/>
              <w:right w:w="90" w:type="dxa"/>
            </w:tcMar>
            <w:shd w:val="clear" w:color="auto" w:fill="E5F5FF"/>
          </w:tcPr>
          <w:p>
            <w:pPr>
              <w:pStyle w:val="BDOITable"/>
            </w:pPr>
            <w:r>
              <w:rPr>
                <w:sz w:val="15"/>
              </w:rPr>
              <w:t>BRRN.025, BRRN.037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FR-RN-084</w:t>
            </w:r>
          </w:p>
        </w:tc>
        <w:tc>
          <w:tcPr>
            <w:tcW w:type="dxa" w:w="3307"/>
            <w:tcMar>
              <w:top w:w="50" w:type="dxa"/>
              <w:bottom w:w="50" w:type="dxa"/>
              <w:left w:w="90" w:type="dxa"/>
              <w:right w:w="90" w:type="dxa"/>
            </w:tcMar>
          </w:tcPr>
          <w:p>
            <w:pPr>
              <w:pStyle w:val="BDOITable"/>
            </w:pPr>
            <w:r>
              <w:rPr>
                <w:sz w:val="15"/>
              </w:rPr>
              <w:t>Record client acceptance and proceed to placement and booking</w:t>
            </w:r>
          </w:p>
        </w:tc>
        <w:tc>
          <w:tcPr>
            <w:tcW w:type="dxa" w:w="1653"/>
            <w:tcMar>
              <w:top w:w="50" w:type="dxa"/>
              <w:bottom w:w="50" w:type="dxa"/>
              <w:left w:w="90" w:type="dxa"/>
              <w:right w:w="90" w:type="dxa"/>
            </w:tcMar>
          </w:tcPr>
          <w:p>
            <w:pPr>
              <w:pStyle w:val="BDOITable"/>
            </w:pPr>
            <w:r>
              <w:rPr>
                <w:sz w:val="15"/>
              </w:rPr>
              <w:t>BRRN.040, BRRN.038 AC3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FR-RN-085</w:t>
            </w:r>
          </w:p>
        </w:tc>
        <w:tc>
          <w:tcPr>
            <w:tcW w:type="dxa" w:w="3307"/>
            <w:tcMar>
              <w:top w:w="50" w:type="dxa"/>
              <w:bottom w:w="50" w:type="dxa"/>
              <w:left w:w="90" w:type="dxa"/>
              <w:right w:w="90" w:type="dxa"/>
            </w:tcMar>
            <w:shd w:val="clear" w:color="auto" w:fill="E5F5FF"/>
          </w:tcPr>
          <w:p>
            <w:pPr>
              <w:pStyle w:val="BDOITable"/>
            </w:pPr>
            <w:r>
              <w:rPr>
                <w:sz w:val="15"/>
              </w:rPr>
              <w:t>Contact Center follow-up</w:t>
            </w:r>
          </w:p>
        </w:tc>
        <w:tc>
          <w:tcPr>
            <w:tcW w:type="dxa" w:w="1653"/>
            <w:tcMar>
              <w:top w:w="50" w:type="dxa"/>
              <w:bottom w:w="50" w:type="dxa"/>
              <w:left w:w="90" w:type="dxa"/>
              <w:right w:w="90" w:type="dxa"/>
            </w:tcMar>
            <w:shd w:val="clear" w:color="auto" w:fill="E5F5FF"/>
          </w:tcPr>
          <w:p>
            <w:pPr>
              <w:pStyle w:val="BDOITable"/>
            </w:pPr>
            <w:r>
              <w:rPr>
                <w:sz w:val="15"/>
              </w:rPr>
              <w:t>BRRN.026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FR-RN-090</w:t>
            </w:r>
          </w:p>
        </w:tc>
        <w:tc>
          <w:tcPr>
            <w:tcW w:type="dxa" w:w="3307"/>
            <w:tcMar>
              <w:top w:w="50" w:type="dxa"/>
              <w:bottom w:w="50" w:type="dxa"/>
              <w:left w:w="90" w:type="dxa"/>
              <w:right w:w="90" w:type="dxa"/>
            </w:tcMar>
          </w:tcPr>
          <w:p>
            <w:pPr>
              <w:pStyle w:val="BDOITable"/>
            </w:pPr>
            <w:r>
              <w:rPr>
                <w:sz w:val="15"/>
              </w:rPr>
              <w:t>Renew submitted policies handed over by Submitted Policies</w:t>
            </w:r>
          </w:p>
        </w:tc>
        <w:tc>
          <w:tcPr>
            <w:tcW w:type="dxa" w:w="1653"/>
            <w:tcMar>
              <w:top w:w="50" w:type="dxa"/>
              <w:bottom w:w="50" w:type="dxa"/>
              <w:left w:w="90" w:type="dxa"/>
              <w:right w:w="90" w:type="dxa"/>
            </w:tcMar>
          </w:tcPr>
          <w:p>
            <w:pPr>
              <w:pStyle w:val="BDOITable"/>
            </w:pPr>
            <w:r>
              <w:rPr>
                <w:sz w:val="15"/>
              </w:rPr>
              <w:t>Cross-BRD decision D2, BRD-12 BRIDSP-22, 23, 25, 26, BRRN.021, BRRN.010</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FR-RN-100</w:t>
            </w:r>
          </w:p>
        </w:tc>
        <w:tc>
          <w:tcPr>
            <w:tcW w:type="dxa" w:w="3307"/>
            <w:tcMar>
              <w:top w:w="50" w:type="dxa"/>
              <w:bottom w:w="50" w:type="dxa"/>
              <w:left w:w="90" w:type="dxa"/>
              <w:right w:w="90" w:type="dxa"/>
            </w:tcMar>
            <w:shd w:val="clear" w:color="auto" w:fill="E5F5FF"/>
          </w:tcPr>
          <w:p>
            <w:pPr>
              <w:pStyle w:val="BDOITable"/>
            </w:pPr>
            <w:r>
              <w:rPr>
                <w:sz w:val="15"/>
              </w:rPr>
              <w:t>Renewal home and officer dashboards</w:t>
            </w:r>
          </w:p>
        </w:tc>
        <w:tc>
          <w:tcPr>
            <w:tcW w:type="dxa" w:w="1653"/>
            <w:tcMar>
              <w:top w:w="50" w:type="dxa"/>
              <w:bottom w:w="50" w:type="dxa"/>
              <w:left w:w="90" w:type="dxa"/>
              <w:right w:w="90" w:type="dxa"/>
            </w:tcMar>
            <w:shd w:val="clear" w:color="auto" w:fill="E5F5FF"/>
          </w:tcPr>
          <w:p>
            <w:pPr>
              <w:pStyle w:val="BDOITable"/>
            </w:pPr>
            <w:r>
              <w:rPr>
                <w:sz w:val="15"/>
              </w:rPr>
              <w:t>BRD 1.009.7, BRD 3.010.7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FR-RN-101</w:t>
            </w:r>
          </w:p>
        </w:tc>
        <w:tc>
          <w:tcPr>
            <w:tcW w:type="dxa" w:w="3307"/>
            <w:tcMar>
              <w:top w:w="50" w:type="dxa"/>
              <w:bottom w:w="50" w:type="dxa"/>
              <w:left w:w="90" w:type="dxa"/>
              <w:right w:w="90" w:type="dxa"/>
            </w:tcMar>
          </w:tcPr>
          <w:p>
            <w:pPr>
              <w:pStyle w:val="BDOITable"/>
            </w:pPr>
            <w:r>
              <w:rPr>
                <w:sz w:val="15"/>
              </w:rPr>
              <w:t>Renewal status report with summary</w:t>
            </w:r>
          </w:p>
        </w:tc>
        <w:tc>
          <w:tcPr>
            <w:tcW w:type="dxa" w:w="1653"/>
            <w:tcMar>
              <w:top w:w="50" w:type="dxa"/>
              <w:bottom w:w="50" w:type="dxa"/>
              <w:left w:w="90" w:type="dxa"/>
              <w:right w:w="90" w:type="dxa"/>
            </w:tcMar>
          </w:tcPr>
          <w:p>
            <w:pPr>
              <w:pStyle w:val="BDOITable"/>
            </w:pPr>
            <w:r>
              <w:rPr>
                <w:sz w:val="15"/>
              </w:rPr>
              <w:t>BRRN.019, restating BRD 1.009.3.1.6, 2.008.3.1.6, 3.010.3.1.6, 4.008.3.1.6, BRD 1.009.1-1.009.6, 2.008.1-2.008.6, 3.010.1-3.010.6, 4.008.1-4.008.6 with their sub-IDs</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FR-RN-102</w:t>
            </w:r>
          </w:p>
        </w:tc>
        <w:tc>
          <w:tcPr>
            <w:tcW w:type="dxa" w:w="3307"/>
            <w:tcMar>
              <w:top w:w="50" w:type="dxa"/>
              <w:bottom w:w="50" w:type="dxa"/>
              <w:left w:w="90" w:type="dxa"/>
              <w:right w:w="90" w:type="dxa"/>
            </w:tcMar>
            <w:shd w:val="clear" w:color="auto" w:fill="E5F5FF"/>
          </w:tcPr>
          <w:p>
            <w:pPr>
              <w:pStyle w:val="BDOITable"/>
            </w:pPr>
            <w:r>
              <w:rPr>
                <w:sz w:val="15"/>
              </w:rPr>
              <w:t>Centralised renewal listings with escalation</w:t>
            </w:r>
          </w:p>
        </w:tc>
        <w:tc>
          <w:tcPr>
            <w:tcW w:type="dxa" w:w="1653"/>
            <w:tcMar>
              <w:top w:w="50" w:type="dxa"/>
              <w:bottom w:w="50" w:type="dxa"/>
              <w:left w:w="90" w:type="dxa"/>
              <w:right w:w="90" w:type="dxa"/>
            </w:tcMar>
            <w:shd w:val="clear" w:color="auto" w:fill="E5F5FF"/>
          </w:tcPr>
          <w:p>
            <w:pPr>
              <w:pStyle w:val="BDOITable"/>
            </w:pPr>
            <w:r>
              <w:rPr>
                <w:sz w:val="15"/>
              </w:rPr>
              <w:t>BRRN.036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FR-RN-103</w:t>
            </w:r>
          </w:p>
        </w:tc>
        <w:tc>
          <w:tcPr>
            <w:tcW w:type="dxa" w:w="3307"/>
            <w:tcMar>
              <w:top w:w="50" w:type="dxa"/>
              <w:bottom w:w="50" w:type="dxa"/>
              <w:left w:w="90" w:type="dxa"/>
              <w:right w:w="90" w:type="dxa"/>
            </w:tcMar>
          </w:tcPr>
          <w:p>
            <w:pPr>
              <w:pStyle w:val="BDOITable"/>
            </w:pPr>
            <w:r>
              <w:rPr>
                <w:sz w:val="15"/>
              </w:rPr>
              <w:t>Operational renewal reports</w:t>
            </w:r>
          </w:p>
        </w:tc>
        <w:tc>
          <w:tcPr>
            <w:tcW w:type="dxa" w:w="1653"/>
            <w:tcMar>
              <w:top w:w="50" w:type="dxa"/>
              <w:bottom w:w="50" w:type="dxa"/>
              <w:left w:w="90" w:type="dxa"/>
              <w:right w:w="90" w:type="dxa"/>
            </w:tcMar>
          </w:tcPr>
          <w:p>
            <w:pPr>
              <w:pStyle w:val="BDOITable"/>
            </w:pPr>
            <w:r>
              <w:rPr>
                <w:sz w:val="15"/>
              </w:rPr>
              <w:t>BRRN.020, BRRN.023, BRRN.029, BRRN.031, BRRN.034, BRD 3.009.2-3.009.4.2, 4.007.2-4.007.4.2, BRRN.001, 010, 025, 037</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FR-RN-110</w:t>
            </w:r>
          </w:p>
        </w:tc>
        <w:tc>
          <w:tcPr>
            <w:tcW w:type="dxa" w:w="3307"/>
            <w:tcMar>
              <w:top w:w="50" w:type="dxa"/>
              <w:bottom w:w="50" w:type="dxa"/>
              <w:left w:w="90" w:type="dxa"/>
              <w:right w:w="90" w:type="dxa"/>
            </w:tcMar>
            <w:shd w:val="clear" w:color="auto" w:fill="E5F5FF"/>
          </w:tcPr>
          <w:p>
            <w:pPr>
              <w:pStyle w:val="BDOITable"/>
            </w:pPr>
            <w:r>
              <w:rPr>
                <w:sz w:val="15"/>
              </w:rPr>
              <w:t>Maintain the renewal lists of values</w:t>
            </w:r>
          </w:p>
        </w:tc>
        <w:tc>
          <w:tcPr>
            <w:tcW w:type="dxa" w:w="1653"/>
            <w:tcMar>
              <w:top w:w="50" w:type="dxa"/>
              <w:bottom w:w="50" w:type="dxa"/>
              <w:left w:w="90" w:type="dxa"/>
              <w:right w:w="90" w:type="dxa"/>
            </w:tcMar>
            <w:shd w:val="clear" w:color="auto" w:fill="E5F5FF"/>
          </w:tcPr>
          <w:p>
            <w:pPr>
              <w:pStyle w:val="BDOITable"/>
            </w:pPr>
            <w:r>
              <w:rPr>
                <w:sz w:val="15"/>
              </w:rPr>
              <w:t>BRD 5.003.1, 5.003.2, 5.003.3, 5.003.4, 5.003.5, BRD 6.002.2.23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FR-RN-111</w:t>
            </w:r>
          </w:p>
        </w:tc>
        <w:tc>
          <w:tcPr>
            <w:tcW w:type="dxa" w:w="3307"/>
            <w:tcMar>
              <w:top w:w="50" w:type="dxa"/>
              <w:bottom w:w="50" w:type="dxa"/>
              <w:left w:w="90" w:type="dxa"/>
              <w:right w:w="90" w:type="dxa"/>
            </w:tcMar>
          </w:tcPr>
          <w:p>
            <w:pPr>
              <w:pStyle w:val="BDOITable"/>
            </w:pPr>
            <w:r>
              <w:rPr>
                <w:sz w:val="15"/>
              </w:rPr>
              <w:t>Update the Renewal Advice and letter templates</w:t>
            </w:r>
          </w:p>
        </w:tc>
        <w:tc>
          <w:tcPr>
            <w:tcW w:type="dxa" w:w="1653"/>
            <w:tcMar>
              <w:top w:w="50" w:type="dxa"/>
              <w:bottom w:w="50" w:type="dxa"/>
              <w:left w:w="90" w:type="dxa"/>
              <w:right w:w="90" w:type="dxa"/>
            </w:tcMar>
          </w:tcPr>
          <w:p>
            <w:pPr>
              <w:pStyle w:val="BDOITable"/>
            </w:pPr>
            <w:r>
              <w:rPr>
                <w:sz w:val="15"/>
              </w:rPr>
              <w:t>BRD 5.005.1, BRD 6.002.2.25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FR-RN-112</w:t>
            </w:r>
          </w:p>
        </w:tc>
        <w:tc>
          <w:tcPr>
            <w:tcW w:type="dxa" w:w="3307"/>
            <w:tcMar>
              <w:top w:w="50" w:type="dxa"/>
              <w:bottom w:w="50" w:type="dxa"/>
              <w:left w:w="90" w:type="dxa"/>
              <w:right w:w="90" w:type="dxa"/>
            </w:tcMar>
            <w:shd w:val="clear" w:color="auto" w:fill="E5F5FF"/>
          </w:tcPr>
          <w:p>
            <w:pPr>
              <w:pStyle w:val="BDOITable"/>
            </w:pPr>
            <w:r>
              <w:rPr>
                <w:sz w:val="15"/>
              </w:rPr>
              <w:t>Maintain renewal rules and parameters</w:t>
            </w:r>
          </w:p>
        </w:tc>
        <w:tc>
          <w:tcPr>
            <w:tcW w:type="dxa" w:w="1653"/>
            <w:tcMar>
              <w:top w:w="50" w:type="dxa"/>
              <w:bottom w:w="50" w:type="dxa"/>
              <w:left w:w="90" w:type="dxa"/>
              <w:right w:w="90" w:type="dxa"/>
            </w:tcMar>
            <w:shd w:val="clear" w:color="auto" w:fill="E5F5FF"/>
          </w:tcPr>
          <w:p>
            <w:pPr>
              <w:pStyle w:val="BDOITable"/>
            </w:pPr>
            <w:r>
              <w:rPr>
                <w:sz w:val="15"/>
              </w:rPr>
              <w:t>BRRN.023, BRRN.030, BRRN.034, BRRN.009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bl>
    <w:p>
      <w:pPr>
        <w:pStyle w:val="BDOISpacer"/>
      </w:pPr>
    </w:p>
    <w:p>
      <w:pPr>
        <w:pStyle w:val="Heading2"/>
      </w:pPr>
      <w:bookmarkStart w:id="123" w:name="_Toc000123"/>
      <w:r>
        <w:rPr/>
        <w:t>7.3 Coverage by BRD ID</w:t>
      </w:r>
      <w:bookmarkEnd w:id="123"/>
    </w:p>
    <w:p>
      <w:r>
        <w:rPr/>
        <w:t>The FRs trace 299 BRD references: the 40 BRRN IDs of the addenda, the persona line IDs and line-ID ranges of the main BRD as the FRS writes them (a range such as "1.009.2.1-40" stands for every line ID in it), and the cross-BRD references of FR-RN-090. The Coverage sheet of the workbook lists each of them with its positive and negative cases; every one has at least one case.</w:t>
      </w:r>
    </w:p>
    <w:p>
      <w:r>
        <w:rPr/>
        <w:t>FRS section 11.2 maps each of the 1,032 line IDs of the main BRD to an FR, of which nine are out of scope. The table below groups them by BRD function and gives the number of cases of the FRs that meet them. Every in-scope line ID belongs to a reference that has at least one case; the report criteria (1.009.2.1-40 and its copies), the status columns (1.009.3.1.1-40), the 34 summary counters (1.009.3.2.1-34), the 28 insurer extract columns (3.009.1.4.1-28) and the ten non-renewal reasons (2.004.4.1-10) are each checked item by item in one case.</w:t>
      </w:r>
    </w:p>
    <w:p>
      <w:pPr>
        <w:pStyle w:val="Caption"/>
        <w:keepNext/>
        <w:spacing w:after="60"/>
      </w:pPr>
      <w:r>
        <w:rPr>
          <w:b/>
          <w:i w:val="0"/>
        </w:rPr>
        <w:t xml:space="preserve">Table 13: </w:t>
      </w:r>
      <w:r>
        <w:rPr/>
        <w:t>Main BRD line IDs by function (FRS section 11.2)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19"/>
        <w:gridCol w:w="1150"/>
        <w:gridCol w:w="895"/>
        <w:gridCol w:w="2685"/>
        <w:gridCol w:w="1022"/>
      </w:tblGrid>
      <w:tr>
        <w:trPr>
          <w:tblHeader w:val="true"/>
          <w:cantSplit w:val="true"/>
        </w:trPr>
        <w:tc>
          <w:tcPr>
            <w:tcW w:type="dxa" w:w="4219"/>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1151"/>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895"/>
            <w:shd w:val="clear" w:color="auto" w:fill="004EA8"/>
            <w:tcMar>
              <w:top w:w="50" w:type="dxa"/>
              <w:bottom w:w="50" w:type="dxa"/>
              <w:left w:w="90" w:type="dxa"/>
              <w:right w:w="90" w:type="dxa"/>
            </w:tcMar>
            <w:vAlign w:val="center"/>
          </w:tcPr>
          <w:p>
            <w:pPr>
              <w:pStyle w:val="BDOITableHeader"/>
            </w:pPr>
            <w:r>
              <w:rPr>
                <w:b/>
                <w:color w:val="FFFFFF"/>
                <w:sz w:val="15"/>
              </w:rPr>
              <w:t>Out of scope</w:t>
            </w:r>
          </w:p>
        </w:tc>
        <w:tc>
          <w:tcPr>
            <w:tcW w:type="dxa" w:w="2685"/>
            <w:shd w:val="clear" w:color="auto" w:fill="004EA8"/>
            <w:tcMar>
              <w:top w:w="50" w:type="dxa"/>
              <w:bottom w:w="50" w:type="dxa"/>
              <w:left w:w="90" w:type="dxa"/>
              <w:right w:w="90" w:type="dxa"/>
            </w:tcMar>
            <w:vAlign w:val="center"/>
          </w:tcPr>
          <w:p>
            <w:pPr>
              <w:pStyle w:val="BDOITableHeader"/>
            </w:pPr>
            <w:r>
              <w:rPr>
                <w:b/>
                <w:color w:val="FFFFFF"/>
                <w:sz w:val="15"/>
              </w:rPr>
              <w:t>FRs (FR-RN-)</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5"/>
              </w:rPr>
              <w:t>Cases</w:t>
            </w:r>
          </w:p>
        </w:tc>
      </w:tr>
      <w:tr>
        <w:trPr>
          <w:cantSplit w:val="true"/>
        </w:trPr>
        <w:tc>
          <w:tcPr>
            <w:tcW w:type="dxa" w:w="4219"/>
            <w:tcMar>
              <w:top w:w="50" w:type="dxa"/>
              <w:bottom w:w="50" w:type="dxa"/>
              <w:left w:w="90" w:type="dxa"/>
              <w:right w:w="90" w:type="dxa"/>
            </w:tcMar>
          </w:tcPr>
          <w:p>
            <w:pPr>
              <w:pStyle w:val="BDOITable"/>
            </w:pPr>
            <w:r>
              <w:rPr>
                <w:sz w:val="15"/>
              </w:rPr>
              <w:t>1.001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1.003 Generate the list of expiring accounts</w:t>
            </w:r>
          </w:p>
        </w:tc>
        <w:tc>
          <w:tcPr>
            <w:tcW w:type="dxa" w:w="1151"/>
            <w:tcMar>
              <w:top w:w="50" w:type="dxa"/>
              <w:bottom w:w="50" w:type="dxa"/>
              <w:left w:w="90" w:type="dxa"/>
              <w:right w:w="90" w:type="dxa"/>
            </w:tcMar>
          </w:tcPr>
          <w:p>
            <w:pPr>
              <w:pStyle w:val="BDOITable"/>
            </w:pPr>
            <w:r>
              <w:rPr>
                <w:sz w:val="15"/>
              </w:rPr>
              <w:t>51</w:t>
            </w:r>
          </w:p>
        </w:tc>
        <w:tc>
          <w:tcPr>
            <w:tcW w:type="dxa" w:w="895"/>
            <w:tcMar>
              <w:top w:w="50" w:type="dxa"/>
              <w:bottom w:w="50" w:type="dxa"/>
              <w:left w:w="90" w:type="dxa"/>
              <w:right w:w="90" w:type="dxa"/>
            </w:tcMar>
          </w:tcPr>
          <w:p>
            <w:pPr>
              <w:pStyle w:val="BDOITable"/>
            </w:pPr>
            <w:r>
              <w:rPr>
                <w:sz w:val="15"/>
              </w:rPr>
              <w:t>2</w:t>
            </w:r>
          </w:p>
        </w:tc>
        <w:tc>
          <w:tcPr>
            <w:tcW w:type="dxa" w:w="2685"/>
            <w:tcMar>
              <w:top w:w="50" w:type="dxa"/>
              <w:bottom w:w="50" w:type="dxa"/>
              <w:left w:w="90" w:type="dxa"/>
              <w:right w:w="90" w:type="dxa"/>
            </w:tcMar>
          </w:tcPr>
          <w:p>
            <w:pPr>
              <w:pStyle w:val="BDOITable"/>
            </w:pPr>
            <w:r>
              <w:rPr>
                <w:sz w:val="15"/>
              </w:rPr>
              <w:t>010, 011, 012, 013, 014, 024</w:t>
            </w:r>
          </w:p>
        </w:tc>
        <w:tc>
          <w:tcPr>
            <w:tcW w:type="dxa" w:w="1023"/>
            <w:tcMar>
              <w:top w:w="50" w:type="dxa"/>
              <w:bottom w:w="50" w:type="dxa"/>
              <w:left w:w="90" w:type="dxa"/>
              <w:right w:w="90" w:type="dxa"/>
            </w:tcMar>
          </w:tcPr>
          <w:p>
            <w:pPr>
              <w:pStyle w:val="BDOITable"/>
            </w:pPr>
            <w:r>
              <w:rPr>
                <w:sz w:val="15"/>
              </w:rPr>
              <w:t>41</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1.004 View account</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041</w:t>
            </w:r>
          </w:p>
        </w:tc>
        <w:tc>
          <w:tcPr>
            <w:tcW w:type="dxa" w:w="1023"/>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4219"/>
            <w:tcMar>
              <w:top w:w="50" w:type="dxa"/>
              <w:bottom w:w="50" w:type="dxa"/>
              <w:left w:w="90" w:type="dxa"/>
              <w:right w:w="90" w:type="dxa"/>
            </w:tcMar>
          </w:tcPr>
          <w:p>
            <w:pPr>
              <w:pStyle w:val="BDOITable"/>
            </w:pPr>
            <w:r>
              <w:rPr>
                <w:sz w:val="15"/>
              </w:rPr>
              <w:t>1.005 Assign accounts</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030</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1.006 Transfer account to other units</w:t>
            </w:r>
          </w:p>
        </w:tc>
        <w:tc>
          <w:tcPr>
            <w:tcW w:type="dxa" w:w="1151"/>
            <w:tcMar>
              <w:top w:w="50" w:type="dxa"/>
              <w:bottom w:w="50" w:type="dxa"/>
              <w:left w:w="90" w:type="dxa"/>
              <w:right w:w="90" w:type="dxa"/>
            </w:tcMar>
            <w:shd w:val="clear" w:color="auto" w:fill="E5F5FF"/>
          </w:tcPr>
          <w:p>
            <w:pPr>
              <w:pStyle w:val="BDOITable"/>
            </w:pPr>
            <w:r>
              <w:rPr>
                <w:sz w:val="15"/>
              </w:rPr>
              <w:t>5</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1.007 Receive account transfer</w:t>
            </w:r>
          </w:p>
        </w:tc>
        <w:tc>
          <w:tcPr>
            <w:tcW w:type="dxa" w:w="1151"/>
            <w:tcMar>
              <w:top w:w="50" w:type="dxa"/>
              <w:bottom w:w="50" w:type="dxa"/>
              <w:left w:w="90" w:type="dxa"/>
              <w:right w:w="90" w:type="dxa"/>
            </w:tcMar>
          </w:tcPr>
          <w:p>
            <w:pPr>
              <w:pStyle w:val="BDOITable"/>
            </w:pPr>
            <w:r>
              <w:rPr>
                <w:sz w:val="15"/>
              </w:rPr>
              <w:t>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032</w:t>
            </w:r>
          </w:p>
        </w:tc>
        <w:tc>
          <w:tcPr>
            <w:tcW w:type="dxa" w:w="1023"/>
            <w:tcMar>
              <w:top w:w="50" w:type="dxa"/>
              <w:bottom w:w="50" w:type="dxa"/>
              <w:left w:w="90" w:type="dxa"/>
              <w:right w:w="90" w:type="dxa"/>
            </w:tcMar>
          </w:tcPr>
          <w:p>
            <w:pPr>
              <w:pStyle w:val="BDOITable"/>
            </w:pPr>
            <w:r>
              <w:rPr>
                <w:sz w:val="15"/>
              </w:rPr>
              <w:t>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1.008 Review and post</w:t>
            </w:r>
          </w:p>
        </w:tc>
        <w:tc>
          <w:tcPr>
            <w:tcW w:type="dxa" w:w="1151"/>
            <w:tcMar>
              <w:top w:w="50" w:type="dxa"/>
              <w:bottom w:w="50" w:type="dxa"/>
              <w:left w:w="90" w:type="dxa"/>
              <w:right w:w="90" w:type="dxa"/>
            </w:tcMar>
            <w:shd w:val="clear" w:color="auto" w:fill="E5F5FF"/>
          </w:tcPr>
          <w:p>
            <w:pPr>
              <w:pStyle w:val="BDOITable"/>
            </w:pPr>
            <w:r>
              <w:rPr>
                <w:sz w:val="15"/>
              </w:rPr>
              <w:t>18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027, 041, 050</w:t>
            </w:r>
          </w:p>
        </w:tc>
        <w:tc>
          <w:tcPr>
            <w:tcW w:type="dxa" w:w="1023"/>
            <w:tcMar>
              <w:top w:w="50" w:type="dxa"/>
              <w:bottom w:w="50" w:type="dxa"/>
              <w:left w:w="90" w:type="dxa"/>
              <w:right w:w="90" w:type="dxa"/>
            </w:tcMar>
            <w:shd w:val="clear" w:color="auto" w:fill="E5F5FF"/>
          </w:tcPr>
          <w:p>
            <w:pPr>
              <w:pStyle w:val="BDOITable"/>
            </w:pPr>
            <w:r>
              <w:rPr>
                <w:sz w:val="15"/>
              </w:rPr>
              <w:t>18</w:t>
            </w:r>
          </w:p>
        </w:tc>
      </w:tr>
      <w:tr>
        <w:trPr>
          <w:cantSplit w:val="true"/>
        </w:trPr>
        <w:tc>
          <w:tcPr>
            <w:tcW w:type="dxa" w:w="4219"/>
            <w:tcMar>
              <w:top w:w="50" w:type="dxa"/>
              <w:bottom w:w="50" w:type="dxa"/>
              <w:left w:w="90" w:type="dxa"/>
              <w:right w:w="90" w:type="dxa"/>
            </w:tcMar>
          </w:tcPr>
          <w:p>
            <w:pPr>
              <w:pStyle w:val="BDOITable"/>
            </w:pPr>
            <w:r>
              <w:rPr>
                <w:sz w:val="15"/>
              </w:rPr>
              <w:t>1.009 Generate report</w:t>
            </w:r>
          </w:p>
        </w:tc>
        <w:tc>
          <w:tcPr>
            <w:tcW w:type="dxa" w:w="1151"/>
            <w:tcMar>
              <w:top w:w="50" w:type="dxa"/>
              <w:bottom w:w="50" w:type="dxa"/>
              <w:left w:w="90" w:type="dxa"/>
              <w:right w:w="90" w:type="dxa"/>
            </w:tcMar>
          </w:tcPr>
          <w:p>
            <w:pPr>
              <w:pStyle w:val="BDOITable"/>
            </w:pPr>
            <w:r>
              <w:rPr>
                <w:sz w:val="15"/>
              </w:rPr>
              <w:t>126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100, 101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1.010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1.011 Override accounts</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051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2.002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2.003 View accounts for disposition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040, 041</w:t>
            </w:r>
          </w:p>
        </w:tc>
        <w:tc>
          <w:tcPr>
            <w:tcW w:type="dxa" w:w="1023"/>
            <w:tcMar>
              <w:top w:w="50" w:type="dxa"/>
              <w:bottom w:w="50" w:type="dxa"/>
              <w:left w:w="90" w:type="dxa"/>
              <w:right w:w="90" w:type="dxa"/>
            </w:tcMar>
            <w:shd w:val="clear" w:color="auto" w:fill="E5F5FF"/>
          </w:tcPr>
          <w:p>
            <w:pPr>
              <w:pStyle w:val="BDOITable"/>
            </w:pPr>
            <w:r>
              <w:rPr>
                <w:sz w:val="15"/>
              </w:rPr>
              <w:t>15</w:t>
            </w:r>
          </w:p>
        </w:tc>
      </w:tr>
      <w:tr>
        <w:trPr>
          <w:cantSplit w:val="true"/>
        </w:trPr>
        <w:tc>
          <w:tcPr>
            <w:tcW w:type="dxa" w:w="4219"/>
            <w:tcMar>
              <w:top w:w="50" w:type="dxa"/>
              <w:bottom w:w="50" w:type="dxa"/>
              <w:left w:w="90" w:type="dxa"/>
              <w:right w:w="90" w:type="dxa"/>
            </w:tcMar>
          </w:tcPr>
          <w:p>
            <w:pPr>
              <w:pStyle w:val="BDOITable"/>
            </w:pPr>
            <w:r>
              <w:rPr>
                <w:sz w:val="15"/>
              </w:rPr>
              <w:t>2.004 Provide disposition</w:t>
            </w:r>
          </w:p>
        </w:tc>
        <w:tc>
          <w:tcPr>
            <w:tcW w:type="dxa" w:w="1151"/>
            <w:tcMar>
              <w:top w:w="50" w:type="dxa"/>
              <w:bottom w:w="50" w:type="dxa"/>
              <w:left w:w="90" w:type="dxa"/>
              <w:right w:w="90" w:type="dxa"/>
            </w:tcMar>
          </w:tcPr>
          <w:p>
            <w:pPr>
              <w:pStyle w:val="BDOITable"/>
            </w:pPr>
            <w:r>
              <w:rPr>
                <w:sz w:val="15"/>
              </w:rPr>
              <w:t>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031, 043, 044, 047, 080</w:t>
            </w:r>
          </w:p>
        </w:tc>
        <w:tc>
          <w:tcPr>
            <w:tcW w:type="dxa" w:w="1023"/>
            <w:tcMar>
              <w:top w:w="50" w:type="dxa"/>
              <w:bottom w:w="50" w:type="dxa"/>
              <w:left w:w="90" w:type="dxa"/>
              <w:right w:w="90" w:type="dxa"/>
            </w:tcMar>
          </w:tcPr>
          <w:p>
            <w:pPr>
              <w:pStyle w:val="BDOITable"/>
            </w:pPr>
            <w:r>
              <w:rPr>
                <w:sz w:val="15"/>
              </w:rPr>
              <w:t>40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2.005 Transfer account to other units</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2.006 View the list of dispositioned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1</w:t>
            </w:r>
          </w:p>
        </w:tc>
        <w:tc>
          <w:tcPr>
            <w:tcW w:type="dxa" w:w="2685"/>
            <w:tcMar>
              <w:top w:w="50" w:type="dxa"/>
              <w:bottom w:w="50" w:type="dxa"/>
              <w:left w:w="90" w:type="dxa"/>
              <w:right w:w="90" w:type="dxa"/>
            </w:tcMar>
          </w:tcPr>
          <w:p>
            <w:pPr>
              <w:pStyle w:val="BDOITable"/>
            </w:pPr>
            <w:r>
              <w:rPr>
                <w:sz w:val="15"/>
              </w:rPr>
              <w:t>044, 045</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2.007 Update the returned accounts</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046</w:t>
            </w:r>
          </w:p>
        </w:tc>
        <w:tc>
          <w:tcPr>
            <w:tcW w:type="dxa" w:w="1023"/>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4219"/>
            <w:tcMar>
              <w:top w:w="50" w:type="dxa"/>
              <w:bottom w:w="50" w:type="dxa"/>
              <w:left w:w="90" w:type="dxa"/>
              <w:right w:w="90" w:type="dxa"/>
            </w:tcMar>
          </w:tcPr>
          <w:p>
            <w:pPr>
              <w:pStyle w:val="BDOITable"/>
            </w:pPr>
            <w:r>
              <w:rPr>
                <w:sz w:val="15"/>
              </w:rPr>
              <w:t>2.008 Generate report</w:t>
            </w:r>
          </w:p>
        </w:tc>
        <w:tc>
          <w:tcPr>
            <w:tcW w:type="dxa" w:w="1151"/>
            <w:tcMar>
              <w:top w:w="50" w:type="dxa"/>
              <w:bottom w:w="50" w:type="dxa"/>
              <w:left w:w="90" w:type="dxa"/>
              <w:right w:w="90" w:type="dxa"/>
            </w:tcMar>
          </w:tcPr>
          <w:p>
            <w:pPr>
              <w:pStyle w:val="BDOITable"/>
            </w:pPr>
            <w:r>
              <w:rPr>
                <w:sz w:val="15"/>
              </w:rPr>
              <w:t>125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2.009 Generate Renewal Advice</w:t>
            </w:r>
          </w:p>
        </w:tc>
        <w:tc>
          <w:tcPr>
            <w:tcW w:type="dxa" w:w="1151"/>
            <w:tcMar>
              <w:top w:w="50" w:type="dxa"/>
              <w:bottom w:w="50" w:type="dxa"/>
              <w:left w:w="90" w:type="dxa"/>
              <w:right w:w="90" w:type="dxa"/>
            </w:tcMar>
            <w:shd w:val="clear" w:color="auto" w:fill="E5F5FF"/>
          </w:tcPr>
          <w:p>
            <w:pPr>
              <w:pStyle w:val="BDOITable"/>
            </w:pPr>
            <w:r>
              <w:rPr>
                <w:sz w:val="15"/>
              </w:rPr>
              <w:t>17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3.003 Generate list of accounts for processing</w:t>
            </w:r>
          </w:p>
        </w:tc>
        <w:tc>
          <w:tcPr>
            <w:tcW w:type="dxa" w:w="1151"/>
            <w:tcMar>
              <w:top w:w="50" w:type="dxa"/>
              <w:bottom w:w="50" w:type="dxa"/>
              <w:left w:w="90" w:type="dxa"/>
              <w:right w:w="90" w:type="dxa"/>
            </w:tcMar>
          </w:tcPr>
          <w:p>
            <w:pPr>
              <w:pStyle w:val="BDOITable"/>
            </w:pPr>
            <w:r>
              <w:rPr>
                <w:sz w:val="15"/>
              </w:rPr>
              <w:t>46</w:t>
            </w:r>
          </w:p>
        </w:tc>
        <w:tc>
          <w:tcPr>
            <w:tcW w:type="dxa" w:w="895"/>
            <w:tcMar>
              <w:top w:w="50" w:type="dxa"/>
              <w:bottom w:w="50" w:type="dxa"/>
              <w:left w:w="90" w:type="dxa"/>
              <w:right w:w="90" w:type="dxa"/>
            </w:tcMar>
          </w:tcPr>
          <w:p>
            <w:pPr>
              <w:pStyle w:val="BDOITable"/>
            </w:pPr>
            <w:r>
              <w:rPr>
                <w:sz w:val="15"/>
              </w:rPr>
              <w:t>3</w:t>
            </w:r>
          </w:p>
        </w:tc>
        <w:tc>
          <w:tcPr>
            <w:tcW w:type="dxa" w:w="2685"/>
            <w:tcMar>
              <w:top w:w="50" w:type="dxa"/>
              <w:bottom w:w="50" w:type="dxa"/>
              <w:left w:w="90" w:type="dxa"/>
              <w:right w:w="90" w:type="dxa"/>
            </w:tcMar>
          </w:tcPr>
          <w:p>
            <w:pPr>
              <w:pStyle w:val="BDOITable"/>
            </w:pPr>
            <w:r>
              <w:rPr>
                <w:sz w:val="15"/>
              </w:rPr>
              <w:t>010, 011, 012, 013, 014</w:t>
            </w:r>
          </w:p>
        </w:tc>
        <w:tc>
          <w:tcPr>
            <w:tcW w:type="dxa" w:w="1023"/>
            <w:tcMar>
              <w:top w:w="50" w:type="dxa"/>
              <w:bottom w:w="50" w:type="dxa"/>
              <w:left w:w="90" w:type="dxa"/>
              <w:right w:w="90" w:type="dxa"/>
            </w:tcMar>
          </w:tcPr>
          <w:p>
            <w:pPr>
              <w:pStyle w:val="BDOITable"/>
            </w:pPr>
            <w:r>
              <w:rPr>
                <w:sz w:val="15"/>
              </w:rPr>
              <w:t>35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3.004 Upload dispositioned file</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047, 060</w:t>
            </w:r>
          </w:p>
        </w:tc>
        <w:tc>
          <w:tcPr>
            <w:tcW w:type="dxa" w:w="1023"/>
            <w:tcMar>
              <w:top w:w="50" w:type="dxa"/>
              <w:bottom w:w="50" w:type="dxa"/>
              <w:left w:w="90" w:type="dxa"/>
              <w:right w:w="90" w:type="dxa"/>
            </w:tcMar>
            <w:shd w:val="clear" w:color="auto" w:fill="E5F5FF"/>
          </w:tcPr>
          <w:p>
            <w:pPr>
              <w:pStyle w:val="BDOITable"/>
            </w:pPr>
            <w:r>
              <w:rPr>
                <w:sz w:val="15"/>
              </w:rPr>
              <w:t>14</w:t>
            </w:r>
          </w:p>
        </w:tc>
      </w:tr>
      <w:tr>
        <w:trPr>
          <w:cantSplit w:val="true"/>
        </w:trPr>
        <w:tc>
          <w:tcPr>
            <w:tcW w:type="dxa" w:w="4219"/>
            <w:tcMar>
              <w:top w:w="50" w:type="dxa"/>
              <w:bottom w:w="50" w:type="dxa"/>
              <w:left w:w="90" w:type="dxa"/>
              <w:right w:w="90" w:type="dxa"/>
            </w:tcMar>
          </w:tcPr>
          <w:p>
            <w:pPr>
              <w:pStyle w:val="BDOITable"/>
            </w:pPr>
            <w:r>
              <w:rPr>
                <w:sz w:val="15"/>
              </w:rPr>
              <w:t>3.005 Assign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061</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3.006 View accounts for processing</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3.007 Update data on an account</w:t>
            </w:r>
          </w:p>
        </w:tc>
        <w:tc>
          <w:tcPr>
            <w:tcW w:type="dxa" w:w="1151"/>
            <w:tcMar>
              <w:top w:w="50" w:type="dxa"/>
              <w:bottom w:w="50" w:type="dxa"/>
              <w:left w:w="90" w:type="dxa"/>
              <w:right w:w="90" w:type="dxa"/>
            </w:tcMar>
          </w:tcPr>
          <w:p>
            <w:pPr>
              <w:pStyle w:val="BDOITable"/>
            </w:pPr>
            <w:r>
              <w:rPr>
                <w:sz w:val="15"/>
              </w:rPr>
              <w:t>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063</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3.008 Review computations; return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064, 065</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3.009 Extract accounts per insurer</w:t>
            </w:r>
          </w:p>
        </w:tc>
        <w:tc>
          <w:tcPr>
            <w:tcW w:type="dxa" w:w="1151"/>
            <w:tcMar>
              <w:top w:w="50" w:type="dxa"/>
              <w:bottom w:w="50" w:type="dxa"/>
              <w:left w:w="90" w:type="dxa"/>
              <w:right w:w="90" w:type="dxa"/>
            </w:tcMar>
          </w:tcPr>
          <w:p>
            <w:pPr>
              <w:pStyle w:val="BDOITable"/>
            </w:pPr>
            <w:r>
              <w:rPr>
                <w:sz w:val="15"/>
              </w:rPr>
              <w:t>43</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070, 071, 103</w:t>
            </w:r>
          </w:p>
        </w:tc>
        <w:tc>
          <w:tcPr>
            <w:tcW w:type="dxa" w:w="1023"/>
            <w:tcMar>
              <w:top w:w="50" w:type="dxa"/>
              <w:bottom w:w="50" w:type="dxa"/>
              <w:left w:w="90" w:type="dxa"/>
              <w:right w:w="90" w:type="dxa"/>
            </w:tcMar>
          </w:tcPr>
          <w:p>
            <w:pPr>
              <w:pStyle w:val="BDOITable"/>
            </w:pPr>
            <w:r>
              <w:rPr>
                <w:sz w:val="15"/>
              </w:rPr>
              <w:t>26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3.010 Generate report</w:t>
            </w:r>
          </w:p>
        </w:tc>
        <w:tc>
          <w:tcPr>
            <w:tcW w:type="dxa" w:w="1151"/>
            <w:tcMar>
              <w:top w:w="50" w:type="dxa"/>
              <w:bottom w:w="50" w:type="dxa"/>
              <w:left w:w="90" w:type="dxa"/>
              <w:right w:w="90" w:type="dxa"/>
            </w:tcMar>
            <w:shd w:val="clear" w:color="auto" w:fill="E5F5FF"/>
          </w:tcPr>
          <w:p>
            <w:pPr>
              <w:pStyle w:val="BDOITable"/>
            </w:pPr>
            <w:r>
              <w:rPr>
                <w:sz w:val="15"/>
              </w:rPr>
              <w:t>129</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100, 101</w:t>
            </w:r>
          </w:p>
        </w:tc>
        <w:tc>
          <w:tcPr>
            <w:tcW w:type="dxa" w:w="1023"/>
            <w:tcMar>
              <w:top w:w="50" w:type="dxa"/>
              <w:bottom w:w="50" w:type="dxa"/>
              <w:left w:w="90" w:type="dxa"/>
              <w:right w:w="90" w:type="dxa"/>
            </w:tcMar>
            <w:shd w:val="clear" w:color="auto" w:fill="E5F5FF"/>
          </w:tcPr>
          <w:p>
            <w:pPr>
              <w:pStyle w:val="BDOITable"/>
            </w:pPr>
            <w:r>
              <w:rPr>
                <w:sz w:val="15"/>
              </w:rPr>
              <w:t>12</w:t>
            </w:r>
          </w:p>
        </w:tc>
      </w:tr>
      <w:tr>
        <w:trPr>
          <w:cantSplit w:val="true"/>
        </w:trPr>
        <w:tc>
          <w:tcPr>
            <w:tcW w:type="dxa" w:w="4219"/>
            <w:tcMar>
              <w:top w:w="50" w:type="dxa"/>
              <w:bottom w:w="50" w:type="dxa"/>
              <w:left w:w="90" w:type="dxa"/>
              <w:right w:w="90" w:type="dxa"/>
            </w:tcMar>
          </w:tcPr>
          <w:p>
            <w:pPr>
              <w:pStyle w:val="BDOITable"/>
            </w:pPr>
            <w:r>
              <w:rPr>
                <w:sz w:val="15"/>
              </w:rPr>
              <w:t>3.011 Generate Renewal Advice</w:t>
            </w:r>
          </w:p>
        </w:tc>
        <w:tc>
          <w:tcPr>
            <w:tcW w:type="dxa" w:w="1151"/>
            <w:tcMar>
              <w:top w:w="50" w:type="dxa"/>
              <w:bottom w:w="50" w:type="dxa"/>
              <w:left w:w="90" w:type="dxa"/>
              <w:right w:w="90" w:type="dxa"/>
            </w:tcMar>
          </w:tcPr>
          <w:p>
            <w:pPr>
              <w:pStyle w:val="BDOITable"/>
            </w:pPr>
            <w:r>
              <w:rPr>
                <w:sz w:val="15"/>
              </w:rPr>
              <w:t>17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080, 081</w:t>
            </w:r>
          </w:p>
        </w:tc>
        <w:tc>
          <w:tcPr>
            <w:tcW w:type="dxa" w:w="1023"/>
            <w:tcMar>
              <w:top w:w="50" w:type="dxa"/>
              <w:bottom w:w="50" w:type="dxa"/>
              <w:left w:w="90" w:type="dxa"/>
              <w:right w:w="90" w:type="dxa"/>
            </w:tcMar>
          </w:tcPr>
          <w:p>
            <w:pPr>
              <w:pStyle w:val="BDOITable"/>
            </w:pPr>
            <w:r>
              <w:rPr>
                <w:sz w:val="15"/>
              </w:rPr>
              <w:t>20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4.002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4.003 View accounts for processing</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4.004 Upload dispositioned file</w:t>
            </w:r>
          </w:p>
        </w:tc>
        <w:tc>
          <w:tcPr>
            <w:tcW w:type="dxa" w:w="1151"/>
            <w:tcMar>
              <w:top w:w="50" w:type="dxa"/>
              <w:bottom w:w="50" w:type="dxa"/>
              <w:left w:w="90" w:type="dxa"/>
              <w:right w:w="90" w:type="dxa"/>
            </w:tcMar>
          </w:tcPr>
          <w:p>
            <w:pPr>
              <w:pStyle w:val="BDOITable"/>
            </w:pPr>
            <w:r>
              <w:rPr>
                <w:sz w:val="15"/>
              </w:rPr>
              <w:t>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060</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4.005 Update data on an account</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063</w:t>
            </w:r>
          </w:p>
        </w:tc>
        <w:tc>
          <w:tcPr>
            <w:tcW w:type="dxa" w:w="1023"/>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4219"/>
            <w:tcMar>
              <w:top w:w="50" w:type="dxa"/>
              <w:bottom w:w="50" w:type="dxa"/>
              <w:left w:w="90" w:type="dxa"/>
              <w:right w:w="90" w:type="dxa"/>
            </w:tcMar>
          </w:tcPr>
          <w:p>
            <w:pPr>
              <w:pStyle w:val="BDOITable"/>
            </w:pPr>
            <w:r>
              <w:rPr>
                <w:sz w:val="15"/>
              </w:rPr>
              <w:t>4.006 Review computations; return</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064, 065</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4.007 Extract accounts per insurer</w:t>
            </w:r>
          </w:p>
        </w:tc>
        <w:tc>
          <w:tcPr>
            <w:tcW w:type="dxa" w:w="1151"/>
            <w:tcMar>
              <w:top w:w="50" w:type="dxa"/>
              <w:bottom w:w="50" w:type="dxa"/>
              <w:left w:w="90" w:type="dxa"/>
              <w:right w:w="90" w:type="dxa"/>
            </w:tcMar>
            <w:shd w:val="clear" w:color="auto" w:fill="E5F5FF"/>
          </w:tcPr>
          <w:p>
            <w:pPr>
              <w:pStyle w:val="BDOITable"/>
            </w:pPr>
            <w:r>
              <w:rPr>
                <w:sz w:val="15"/>
              </w:rPr>
              <w:t>43</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070, 071, 103</w:t>
            </w:r>
          </w:p>
        </w:tc>
        <w:tc>
          <w:tcPr>
            <w:tcW w:type="dxa" w:w="1023"/>
            <w:tcMar>
              <w:top w:w="50" w:type="dxa"/>
              <w:bottom w:w="50" w:type="dxa"/>
              <w:left w:w="90" w:type="dxa"/>
              <w:right w:w="90" w:type="dxa"/>
            </w:tcMar>
            <w:shd w:val="clear" w:color="auto" w:fill="E5F5FF"/>
          </w:tcPr>
          <w:p>
            <w:pPr>
              <w:pStyle w:val="BDOITable"/>
            </w:pPr>
            <w:r>
              <w:rPr>
                <w:sz w:val="15"/>
              </w:rPr>
              <w:t>26</w:t>
            </w:r>
          </w:p>
        </w:tc>
      </w:tr>
      <w:tr>
        <w:trPr>
          <w:cantSplit w:val="true"/>
        </w:trPr>
        <w:tc>
          <w:tcPr>
            <w:tcW w:type="dxa" w:w="4219"/>
            <w:tcMar>
              <w:top w:w="50" w:type="dxa"/>
              <w:bottom w:w="50" w:type="dxa"/>
              <w:left w:w="90" w:type="dxa"/>
              <w:right w:w="90" w:type="dxa"/>
            </w:tcMar>
          </w:tcPr>
          <w:p>
            <w:pPr>
              <w:pStyle w:val="BDOITable"/>
            </w:pPr>
            <w:r>
              <w:rPr>
                <w:sz w:val="15"/>
              </w:rPr>
              <w:t>4.008 Generate report</w:t>
            </w:r>
          </w:p>
        </w:tc>
        <w:tc>
          <w:tcPr>
            <w:tcW w:type="dxa" w:w="1151"/>
            <w:tcMar>
              <w:top w:w="50" w:type="dxa"/>
              <w:bottom w:w="50" w:type="dxa"/>
              <w:left w:w="90" w:type="dxa"/>
              <w:right w:w="90" w:type="dxa"/>
            </w:tcMar>
          </w:tcPr>
          <w:p>
            <w:pPr>
              <w:pStyle w:val="BDOITable"/>
            </w:pPr>
            <w:r>
              <w:rPr>
                <w:sz w:val="15"/>
              </w:rPr>
              <w:t>128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4.09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5.001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5.003 Maintain lists of values</w:t>
            </w:r>
          </w:p>
        </w:tc>
        <w:tc>
          <w:tcPr>
            <w:tcW w:type="dxa" w:w="1151"/>
            <w:tcMar>
              <w:top w:w="50" w:type="dxa"/>
              <w:bottom w:w="50" w:type="dxa"/>
              <w:left w:w="90" w:type="dxa"/>
              <w:right w:w="90" w:type="dxa"/>
            </w:tcMar>
          </w:tcPr>
          <w:p>
            <w:pPr>
              <w:pStyle w:val="BDOITable"/>
            </w:pPr>
            <w:r>
              <w:rPr>
                <w:sz w:val="15"/>
              </w:rPr>
              <w:t>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110</w:t>
            </w:r>
          </w:p>
        </w:tc>
        <w:tc>
          <w:tcPr>
            <w:tcW w:type="dxa" w:w="1023"/>
            <w:tcMar>
              <w:top w:w="50" w:type="dxa"/>
              <w:bottom w:w="50" w:type="dxa"/>
              <w:left w:w="90" w:type="dxa"/>
              <w:right w:w="90" w:type="dxa"/>
            </w:tcMar>
          </w:tcPr>
          <w:p>
            <w:pPr>
              <w:pStyle w:val="BDOITable"/>
            </w:pPr>
            <w:r>
              <w:rPr>
                <w:sz w:val="15"/>
              </w:rPr>
              <w:t>4</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5.004 Maintain users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003</w:t>
            </w:r>
          </w:p>
        </w:tc>
        <w:tc>
          <w:tcPr>
            <w:tcW w:type="dxa" w:w="1023"/>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4219"/>
            <w:tcMar>
              <w:top w:w="50" w:type="dxa"/>
              <w:bottom w:w="50" w:type="dxa"/>
              <w:left w:w="90" w:type="dxa"/>
              <w:right w:w="90" w:type="dxa"/>
            </w:tcMar>
          </w:tcPr>
          <w:p>
            <w:pPr>
              <w:pStyle w:val="BDOITable"/>
            </w:pPr>
            <w:r>
              <w:rPr>
                <w:sz w:val="15"/>
              </w:rPr>
              <w:t>5.005 Update the RA template</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111</w:t>
            </w:r>
          </w:p>
        </w:tc>
        <w:tc>
          <w:tcPr>
            <w:tcW w:type="dxa" w:w="1023"/>
            <w:tcMar>
              <w:top w:w="50" w:type="dxa"/>
              <w:bottom w:w="50" w:type="dxa"/>
              <w:left w:w="90" w:type="dxa"/>
              <w:right w:w="90" w:type="dxa"/>
            </w:tcMar>
          </w:tcPr>
          <w:p>
            <w:pPr>
              <w:pStyle w:val="BDOITable"/>
            </w:pPr>
            <w:r>
              <w:rPr>
                <w:sz w:val="15"/>
              </w:rPr>
              <w:t>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6.001 Access the application</w:t>
            </w:r>
          </w:p>
        </w:tc>
        <w:tc>
          <w:tcPr>
            <w:tcW w:type="dxa" w:w="1151"/>
            <w:tcMar>
              <w:top w:w="50" w:type="dxa"/>
              <w:bottom w:w="50" w:type="dxa"/>
              <w:left w:w="90" w:type="dxa"/>
              <w:right w:w="90" w:type="dxa"/>
            </w:tcMar>
            <w:shd w:val="clear" w:color="auto" w:fill="E5F5FF"/>
          </w:tcPr>
          <w:p>
            <w:pPr>
              <w:pStyle w:val="BDOITable"/>
            </w:pPr>
            <w:r>
              <w:rPr>
                <w:sz w:val="15"/>
              </w:rPr>
              <w:t>2</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6.002 Manage users, profiles and functions</w:t>
            </w:r>
          </w:p>
        </w:tc>
        <w:tc>
          <w:tcPr>
            <w:tcW w:type="dxa" w:w="1151"/>
            <w:tcMar>
              <w:top w:w="50" w:type="dxa"/>
              <w:bottom w:w="50" w:type="dxa"/>
              <w:left w:w="90" w:type="dxa"/>
              <w:right w:w="90" w:type="dxa"/>
            </w:tcMar>
          </w:tcPr>
          <w:p>
            <w:pPr>
              <w:pStyle w:val="BDOITable"/>
            </w:pPr>
            <w:r>
              <w:rPr>
                <w:sz w:val="15"/>
              </w:rPr>
              <w:t>32</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003, 110, 111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b/>
                <w:sz w:val="15"/>
              </w:rPr>
              <w:t>Total</w:t>
            </w:r>
          </w:p>
        </w:tc>
        <w:tc>
          <w:tcPr>
            <w:tcW w:type="dxa" w:w="1151"/>
            <w:tcMar>
              <w:top w:w="50" w:type="dxa"/>
              <w:bottom w:w="50" w:type="dxa"/>
              <w:left w:w="90" w:type="dxa"/>
              <w:right w:w="90" w:type="dxa"/>
            </w:tcMar>
            <w:shd w:val="clear" w:color="auto" w:fill="E5F5FF"/>
          </w:tcPr>
          <w:p>
            <w:pPr>
              <w:pStyle w:val="BDOITable"/>
            </w:pPr>
            <w:r>
              <w:rPr>
                <w:b/>
                <w:sz w:val="15"/>
              </w:rPr>
              <w:t>1,023</w:t>
            </w:r>
          </w:p>
        </w:tc>
        <w:tc>
          <w:tcPr>
            <w:tcW w:type="dxa" w:w="895"/>
            <w:tcMar>
              <w:top w:w="50" w:type="dxa"/>
              <w:bottom w:w="50" w:type="dxa"/>
              <w:left w:w="90" w:type="dxa"/>
              <w:right w:w="90" w:type="dxa"/>
            </w:tcMar>
            <w:shd w:val="clear" w:color="auto" w:fill="E5F5FF"/>
          </w:tcPr>
          <w:p>
            <w:pPr>
              <w:pStyle w:val="BDOITable"/>
            </w:pPr>
            <w:r>
              <w:rPr>
                <w:b/>
                <w:sz w:val="15"/>
              </w:rPr>
              <w:t>9</w:t>
            </w:r>
          </w:p>
        </w:tc>
        <w:tc>
          <w:tcPr>
            <w:tcW w:type="dxa" w:w="2685"/>
            <w:tcMar>
              <w:top w:w="50" w:type="dxa"/>
              <w:bottom w:w="50" w:type="dxa"/>
              <w:left w:w="90" w:type="dxa"/>
              <w:right w:w="90" w:type="dxa"/>
            </w:tcMar>
            <w:shd w:val="clear" w:color="auto" w:fill="E5F5FF"/>
          </w:tcPr>
          <w:p>
            <w:pPr>
              <w:pStyle w:val="BDOITable"/>
            </w:pPr>
          </w:p>
        </w:tc>
        <w:tc>
          <w:tcPr>
            <w:tcW w:type="dxa" w:w="1023"/>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SC-RN-01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Each Renewal persona logs in, sees only its own screens and records, profiles and function grants change only through approved access requests, and every renewal action is in the audit trail.</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SC-RN-02</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Extraction and the expiring list. The daily job and on-demand ranges extract the expiring accounts; the TL filters, searches, exports and prints the list and initiates the candidates.</w:t>
            </w:r>
          </w:p>
        </w:tc>
        <w:tc>
          <w:tcPr>
            <w:tcW w:type="dxa" w:w="821"/>
            <w:tcMar>
              <w:top w:w="50" w:type="dxa"/>
              <w:bottom w:w="50" w:type="dxa"/>
              <w:left w:w="90" w:type="dxa"/>
              <w:right w:w="90" w:type="dxa"/>
            </w:tcMar>
            <w:shd w:val="clear" w:color="auto" w:fill="E5F5FF"/>
          </w:tcPr>
          <w:p>
            <w:pPr>
              <w:pStyle w:val="BDOITable"/>
            </w:pPr>
            <w:r>
              <w:rPr>
                <w:sz w:val="17"/>
              </w:rPr>
              <w:t>48</w:t>
            </w:r>
          </w:p>
        </w:tc>
      </w:tr>
      <w:tr>
        <w:trPr>
          <w:cantSplit w:val="true"/>
        </w:trPr>
        <w:tc>
          <w:tcPr>
            <w:tcW w:type="dxa" w:w="1056"/>
            <w:tcMar>
              <w:top w:w="50" w:type="dxa"/>
              <w:bottom w:w="50" w:type="dxa"/>
              <w:left w:w="90" w:type="dxa"/>
              <w:right w:w="90" w:type="dxa"/>
            </w:tcMar>
          </w:tcPr>
          <w:p>
            <w:pPr>
              <w:pStyle w:val="BDOITable"/>
            </w:pPr>
            <w:r>
              <w:rPr>
                <w:sz w:val="17"/>
              </w:rPr>
              <w:t>SC-RN-03</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Governance rules. The checks, buckets and decision matrix classify each candidate; non-renewable risk codes, LAMD reports, KYC and endorsements are applied without manual pre-cleaning.</w:t>
            </w:r>
          </w:p>
        </w:tc>
        <w:tc>
          <w:tcPr>
            <w:tcW w:type="dxa" w:w="821"/>
            <w:tcMar>
              <w:top w:w="50" w:type="dxa"/>
              <w:bottom w:w="50" w:type="dxa"/>
              <w:left w:w="90" w:type="dxa"/>
              <w:right w:w="90" w:type="dxa"/>
            </w:tcMar>
          </w:tcPr>
          <w:p>
            <w:pPr>
              <w:pStyle w:val="BDOITable"/>
            </w:pPr>
            <w:r>
              <w:rPr>
                <w:sz w:val="17"/>
              </w:rPr>
              <w:t>53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SC-RN-04</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Assignment and transfer. The Marketing TL assigns and re-assigns accounts to AOs and transfers accounts to another Marketing unit, whose TL accepts or declines them.</w:t>
            </w:r>
          </w:p>
        </w:tc>
        <w:tc>
          <w:tcPr>
            <w:tcW w:type="dxa" w:w="821"/>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1056"/>
            <w:tcMar>
              <w:top w:w="50" w:type="dxa"/>
              <w:bottom w:w="50" w:type="dxa"/>
              <w:left w:w="90" w:type="dxa"/>
              <w:right w:w="90" w:type="dxa"/>
            </w:tcMar>
          </w:tcPr>
          <w:p>
            <w:pPr>
              <w:pStyle w:val="BDOITable"/>
            </w:pPr>
            <w:r>
              <w:rPr>
                <w:sz w:val="17"/>
              </w:rPr>
              <w:t>SC-RN-05</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Disposition. The AO views his accounts and their history, gives the disposition with reason and remarks, updates returned accounts, re-opens Not for Renewal and starts the New Business path.</w:t>
            </w:r>
          </w:p>
        </w:tc>
        <w:tc>
          <w:tcPr>
            <w:tcW w:type="dxa" w:w="821"/>
            <w:tcMar>
              <w:top w:w="50" w:type="dxa"/>
              <w:bottom w:w="50" w:type="dxa"/>
              <w:left w:w="90" w:type="dxa"/>
              <w:right w:w="90" w:type="dxa"/>
            </w:tcMar>
          </w:tcPr>
          <w:p>
            <w:pPr>
              <w:pStyle w:val="BDOITable"/>
            </w:pPr>
            <w:r>
              <w:rPr>
                <w:sz w:val="17"/>
              </w:rPr>
              <w:t>53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SC-RN-06</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TL review and overrides. The TL reviews, returns and posts the dispositioned accounts and overrides the outstanding-balance flag and other controlled blocks.</w:t>
            </w:r>
          </w:p>
        </w:tc>
        <w:tc>
          <w:tcPr>
            <w:tcW w:type="dxa" w:w="821"/>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1056"/>
            <w:tcMar>
              <w:top w:w="50" w:type="dxa"/>
              <w:bottom w:w="50" w:type="dxa"/>
              <w:left w:w="90" w:type="dxa"/>
              <w:right w:w="90" w:type="dxa"/>
            </w:tcMar>
          </w:tcPr>
          <w:p>
            <w:pPr>
              <w:pStyle w:val="BDOITable"/>
            </w:pPr>
            <w:r>
              <w:rPr>
                <w:sz w:val="17"/>
              </w:rPr>
              <w:t>SC-RN-07</w:t>
            </w:r>
          </w:p>
        </w:tc>
        <w:tc>
          <w:tcPr>
            <w:tcW w:type="dxa" w:w="2464"/>
            <w:tcMar>
              <w:top w:w="50" w:type="dxa"/>
              <w:bottom w:w="50" w:type="dxa"/>
              <w:left w:w="90" w:type="dxa"/>
              <w:right w:w="90" w:type="dxa"/>
            </w:tcMar>
          </w:tcPr>
          <w:p>
            <w:pPr>
              <w:pStyle w:val="BDOITable"/>
            </w:pPr>
            <w:r>
              <w:rPr>
                <w:sz w:val="17"/>
              </w:rPr>
              <w:t>PROCESSOR – Processing Officer / Broker</w:t>
            </w:r>
          </w:p>
        </w:tc>
        <w:tc>
          <w:tcPr>
            <w:tcW w:type="dxa" w:w="5631"/>
            <w:tcMar>
              <w:top w:w="50" w:type="dxa"/>
              <w:bottom w:w="50" w:type="dxa"/>
              <w:left w:w="90" w:type="dxa"/>
              <w:right w:w="90" w:type="dxa"/>
            </w:tcMar>
          </w:tcPr>
          <w:p>
            <w:pPr>
              <w:pStyle w:val="BDOITable"/>
            </w:pPr>
            <w:r>
              <w:rPr>
                <w:sz w:val="17"/>
              </w:rPr>
              <w:t>Processing. Processing uploads dispositioned files, assigns officers, updates the renewal account, reviews the computations and returns accounts to Marketing.</w:t>
            </w:r>
          </w:p>
        </w:tc>
        <w:tc>
          <w:tcPr>
            <w:tcW w:type="dxa" w:w="821"/>
            <w:tcMar>
              <w:top w:w="50" w:type="dxa"/>
              <w:bottom w:w="50" w:type="dxa"/>
              <w:left w:w="90" w:type="dxa"/>
              <w:right w:w="90" w:type="dxa"/>
            </w:tcMar>
          </w:tcPr>
          <w:p>
            <w:pPr>
              <w:pStyle w:val="BDOITable"/>
            </w:pPr>
            <w:r>
              <w:rPr>
                <w:sz w:val="17"/>
              </w:rPr>
              <w:t>28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SC-RN-08</w:t>
            </w:r>
          </w:p>
        </w:tc>
        <w:tc>
          <w:tcPr>
            <w:tcW w:type="dxa" w:w="2464"/>
            <w:tcMar>
              <w:top w:w="50" w:type="dxa"/>
              <w:bottom w:w="50" w:type="dxa"/>
              <w:left w:w="90" w:type="dxa"/>
              <w:right w:w="90" w:type="dxa"/>
            </w:tcMar>
            <w:shd w:val="clear" w:color="auto" w:fill="E5F5FF"/>
          </w:tcPr>
          <w:p>
            <w:pPr>
              <w:pStyle w:val="BDOITable"/>
            </w:pPr>
            <w:r>
              <w:rPr>
                <w:sz w:val="17"/>
              </w:rPr>
              <w:t>PROCESSING_TL – Processing Team Leader</w:t>
            </w:r>
          </w:p>
        </w:tc>
        <w:tc>
          <w:tcPr>
            <w:tcW w:type="dxa" w:w="5631"/>
            <w:tcMar>
              <w:top w:w="50" w:type="dxa"/>
              <w:bottom w:w="50" w:type="dxa"/>
              <w:left w:w="90" w:type="dxa"/>
              <w:right w:w="90" w:type="dxa"/>
            </w:tcMar>
            <w:shd w:val="clear" w:color="auto" w:fill="E5F5FF"/>
          </w:tcPr>
          <w:p>
            <w:pPr>
              <w:pStyle w:val="BDOITable"/>
            </w:pPr>
            <w:r>
              <w:rPr>
                <w:sz w:val="17"/>
              </w:rPr>
              <w:t>Insurer round-trip. Processing builds the extract per insurer, sends it protected and applies the insurer's response file.</w:t>
            </w:r>
          </w:p>
        </w:tc>
        <w:tc>
          <w:tcPr>
            <w:tcW w:type="dxa" w:w="821"/>
            <w:tcMar>
              <w:top w:w="50" w:type="dxa"/>
              <w:bottom w:w="50" w:type="dxa"/>
              <w:left w:w="90" w:type="dxa"/>
              <w:right w:w="90" w:type="dxa"/>
            </w:tcMar>
            <w:shd w:val="clear" w:color="auto" w:fill="E5F5FF"/>
          </w:tcPr>
          <w:p>
            <w:pPr>
              <w:pStyle w:val="BDOITable"/>
            </w:pPr>
            <w:r>
              <w:rPr>
                <w:sz w:val="17"/>
              </w:rPr>
              <w:t>18</w:t>
            </w:r>
          </w:p>
        </w:tc>
      </w:tr>
      <w:tr>
        <w:trPr>
          <w:cantSplit w:val="true"/>
        </w:trPr>
        <w:tc>
          <w:tcPr>
            <w:tcW w:type="dxa" w:w="1056"/>
            <w:tcMar>
              <w:top w:w="50" w:type="dxa"/>
              <w:bottom w:w="50" w:type="dxa"/>
              <w:left w:w="90" w:type="dxa"/>
              <w:right w:w="90" w:type="dxa"/>
            </w:tcMar>
          </w:tcPr>
          <w:p>
            <w:pPr>
              <w:pStyle w:val="BDOITable"/>
            </w:pPr>
            <w:r>
              <w:rPr>
                <w:sz w:val="17"/>
              </w:rPr>
              <w:t>SC-RN-09</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Letters, acceptance and booking. Users generate and send RAs, NALs and NFRs; the jobs send NRNS reminders and non-acceptance letters; the Contact Center follows up; acceptance moves the renewal account to placement and booking without re-keying.</w:t>
            </w:r>
          </w:p>
        </w:tc>
        <w:tc>
          <w:tcPr>
            <w:tcW w:type="dxa" w:w="821"/>
            <w:tcMar>
              <w:top w:w="50" w:type="dxa"/>
              <w:bottom w:w="50" w:type="dxa"/>
              <w:left w:w="90" w:type="dxa"/>
              <w:right w:w="90" w:type="dxa"/>
            </w:tcMar>
          </w:tcPr>
          <w:p>
            <w:pPr>
              <w:pStyle w:val="BDOITable"/>
            </w:pPr>
            <w:r>
              <w:rPr>
                <w:sz w:val="17"/>
              </w:rPr>
              <w:t>38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SC-RN-10</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Submitted policies. The Submitted Policies hand-off creates, initiates and renews a candidate once per SBM number and reports its status back to the masterlist.</w:t>
            </w:r>
          </w:p>
        </w:tc>
        <w:tc>
          <w:tcPr>
            <w:tcW w:type="dxa" w:w="821"/>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1056"/>
            <w:tcMar>
              <w:top w:w="50" w:type="dxa"/>
              <w:bottom w:w="50" w:type="dxa"/>
              <w:left w:w="90" w:type="dxa"/>
              <w:right w:w="90" w:type="dxa"/>
            </w:tcMar>
          </w:tcPr>
          <w:p>
            <w:pPr>
              <w:pStyle w:val="BDOITable"/>
            </w:pPr>
            <w:r>
              <w:rPr>
                <w:sz w:val="17"/>
              </w:rPr>
              <w:t>SC-RN-11</w:t>
            </w:r>
          </w:p>
        </w:tc>
        <w:tc>
          <w:tcPr>
            <w:tcW w:type="dxa" w:w="2464"/>
            <w:tcMar>
              <w:top w:w="50" w:type="dxa"/>
              <w:bottom w:w="50" w:type="dxa"/>
              <w:left w:w="90" w:type="dxa"/>
              <w:right w:w="90" w:type="dxa"/>
            </w:tcMar>
          </w:tcPr>
          <w:p>
            <w:pPr>
              <w:pStyle w:val="BDOITable"/>
            </w:pPr>
            <w:r>
              <w:rPr>
                <w:sz w:val="17"/>
              </w:rPr>
              <w:t>MKT_TL – Marketing Team Leader</w:t>
            </w:r>
          </w:p>
        </w:tc>
        <w:tc>
          <w:tcPr>
            <w:tcW w:type="dxa" w:w="5631"/>
            <w:tcMar>
              <w:top w:w="50" w:type="dxa"/>
              <w:bottom w:w="50" w:type="dxa"/>
              <w:left w:w="90" w:type="dxa"/>
              <w:right w:w="90" w:type="dxa"/>
            </w:tcMar>
          </w:tcPr>
          <w:p>
            <w:pPr>
              <w:pStyle w:val="BDOITable"/>
            </w:pPr>
            <w:r>
              <w:rPr>
                <w:sz w:val="17"/>
              </w:rPr>
              <w:t>Monitoring and reports. Renewal Home, the renewal status report with its summary, the listings with escalation and the operational reports show the state of every renewal within the user's scope.</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Administration. The Business Administrator maintains the renewal lists of values, templates, rules and parameters under maker-checker, without a release.</w:t>
            </w:r>
          </w:p>
        </w:tc>
        <w:tc>
          <w:tcPr>
            <w:tcW w:type="dxa" w:w="821"/>
            <w:tcMar>
              <w:top w:w="50" w:type="dxa"/>
              <w:bottom w:w="50" w:type="dxa"/>
              <w:left w:w="90" w:type="dxa"/>
              <w:right w:w="90" w:type="dxa"/>
            </w:tcMar>
            <w:shd w:val="clear" w:color="auto" w:fill="E5F5FF"/>
          </w:tcPr>
          <w:p>
            <w:pPr>
              <w:pStyle w:val="BDOITable"/>
            </w:pPr>
            <w:r>
              <w:rPr>
                <w:sz w:val="17"/>
              </w:rPr>
              <w:t>10</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Off.</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LAMD</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Contact Ctr</w:t>
            </w:r>
          </w:p>
        </w:tc>
      </w:tr>
      <w:tr>
        <w:trPr>
          <w:cantSplit w:val="true"/>
        </w:trPr>
        <w:tc>
          <w:tcPr>
            <w:tcW w:type="dxa" w:w="2514"/>
            <w:tcMar>
              <w:top w:w="50" w:type="dxa"/>
              <w:bottom w:w="50" w:type="dxa"/>
              <w:left w:w="90" w:type="dxa"/>
              <w:right w:w="90" w:type="dxa"/>
            </w:tcMar>
          </w:tcPr>
          <w:p>
            <w:pPr>
              <w:pStyle w:val="BDOITable"/>
            </w:pPr>
            <w:r>
              <w:rPr>
                <w:sz w:val="15"/>
              </w:rPr>
              <w:t>Choose the package of a migrated policy (PACKAGE_REMAP)</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Generate the expiry list and initiate candidates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Assign, re-assign and receive transfers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Give the disposition and push</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Review, return and post</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Controlled overrides (outstanding balance, bucket, disposition, insurer mismatch, RA unlock)</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Assign accounts to Processing Officers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Update the renewal account, computations and return to Marketing</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Upload dispositioned files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Build, send and apply insurer batches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Generate and send RAs, NALs and NFRs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Record client acceptance</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Record Contact Center follow-ups</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Upload LAMD reports and view match results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Run renewal reports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Export lists and reports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Maintain checks, bucket rules, matrix and non-renewable risk codes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Activate rule sets, matrices and risk codes (checker)</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Maintain renewal lists of values and templates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Change role-permission grants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7.6 Automated tests</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Renewal is not built; screen names, labels and messages may change at build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design's screens and the FRS texts; the test lead updates the workbook from the build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(RQ01 checks, RQ08 CBG, RQ10 counters, RQ15 insurer file, RQ24 matrix content)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rules are configuration; the cases use the test values of TD-RN-08 and are re-run with BDOI's values without a new build</w:t>
            </w:r>
          </w:p>
        </w:tc>
      </w:tr>
      <w:tr>
        <w:trPr>
          <w:cantSplit w:val="true"/>
        </w:trPr>
        <w:tc>
          <w:tcPr>
            <w:tcW w:type="dxa" w:w="3688"/>
            <w:tcMar>
              <w:top w:w="50" w:type="dxa"/>
              <w:bottom w:w="50" w:type="dxa"/>
              <w:left w:w="90" w:type="dxa"/>
              <w:right w:w="90" w:type="dxa"/>
            </w:tcMar>
          </w:tcPr>
          <w:p>
            <w:pPr>
              <w:pStyle w:val="BDOITable"/>
            </w:pPr>
            <w:r>
              <w:rPr>
                <w:sz w:val="18"/>
              </w:rPr>
              <w:t>The Claims module is not connected (decision D4)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Claims cases expect "claims not connected"; the claim-driven cases (open claim gives Review) use a claims stub until Claims is built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Letter, LAMD and insurer file layouts are drafts (RQ15, RQ20, RQ26)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Upload-download and letter cases run on the draft layouts and are re-run when BDOI's layouts are loaded</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letter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Date-driven cases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business date and runs the jobs on demand (section 4.2)</w:t>
            </w:r>
          </w:p>
        </w:tc>
      </w:tr>
      <w:tr>
        <w:trPr>
          <w:cantSplit w:val="true"/>
        </w:trPr>
        <w:tc>
          <w:tcPr>
            <w:tcW w:type="dxa" w:w="3688"/>
            <w:tcMar>
              <w:top w:w="50" w:type="dxa"/>
              <w:bottom w:w="50" w:type="dxa"/>
              <w:left w:w="90" w:type="dxa"/>
              <w:right w:w="90" w:type="dxa"/>
            </w:tcMar>
          </w:tcPr>
          <w:p>
            <w:pPr>
              <w:pStyle w:val="BDOITable"/>
            </w:pPr>
            <w:r>
              <w:rPr>
                <w:sz w:val="18"/>
              </w:rPr>
              <w:t>Candidates are moved on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Keep one copy of the data per cycle; cases state the stage they start from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from Marketing, Processing, LAMD and the Contact Center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what the platform shows today. The cases follow the proposed resolution;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TF-RN-01</w:t>
            </w:r>
          </w:p>
        </w:tc>
        <w:tc>
          <w:tcPr>
            <w:tcW w:type="dxa" w:w="1290"/>
            <w:tcMar>
              <w:top w:w="50" w:type="dxa"/>
              <w:bottom w:w="50" w:type="dxa"/>
              <w:left w:w="90" w:type="dxa"/>
              <w:right w:w="90" w:type="dxa"/>
            </w:tcMar>
          </w:tcPr>
          <w:p>
            <w:pPr>
              <w:pStyle w:val="BDOITable"/>
            </w:pPr>
            <w:r>
              <w:rPr>
                <w:sz w:val="17"/>
              </w:rPr>
              <w:t>FR-RN-001</w:t>
            </w:r>
          </w:p>
        </w:tc>
        <w:tc>
          <w:tcPr>
            <w:tcW w:type="dxa" w:w="4223"/>
            <w:tcMar>
              <w:top w:w="50" w:type="dxa"/>
              <w:bottom w:w="50" w:type="dxa"/>
              <w:left w:w="90" w:type="dxa"/>
              <w:right w:w="90" w:type="dxa"/>
            </w:tcMar>
          </w:tcPr>
          <w:p>
            <w:pPr>
              <w:pStyle w:val="BDOITable"/>
            </w:pPr>
            <w:r>
              <w:rPr>
                <w:sz w:val="17"/>
              </w:rPr>
              <w:t>The FRS gives "Invalid user ID or password" for a wrong log-in. Renewal uses the platform log-in, which shows "Invalid user name or password" and, for a locked account, "Account is locked. Contact your administrator." (AuthService). The FRS gives no text for the lock.</w:t>
            </w:r>
          </w:p>
        </w:tc>
        <w:tc>
          <w:tcPr>
            <w:tcW w:type="dxa" w:w="3402"/>
            <w:tcMar>
              <w:top w:w="50" w:type="dxa"/>
              <w:bottom w:w="50" w:type="dxa"/>
              <w:left w:w="90" w:type="dxa"/>
              <w:right w:w="90" w:type="dxa"/>
            </w:tcMar>
          </w:tcPr>
          <w:p>
            <w:pPr>
              <w:pStyle w:val="BDOITable"/>
            </w:pPr>
            <w:r>
              <w:rPr>
                <w:sz w:val="17"/>
              </w:rPr>
              <w:t>Quote the platform texts in FRS v1.1; the cases use them.</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TF-RN-02</w:t>
            </w:r>
          </w:p>
        </w:tc>
        <w:tc>
          <w:tcPr>
            <w:tcW w:type="dxa" w:w="1290"/>
            <w:tcMar>
              <w:top w:w="50" w:type="dxa"/>
              <w:bottom w:w="50" w:type="dxa"/>
              <w:left w:w="90" w:type="dxa"/>
              <w:right w:w="90" w:type="dxa"/>
            </w:tcMar>
            <w:shd w:val="clear" w:color="auto" w:fill="E5F5FF"/>
          </w:tcPr>
          <w:p>
            <w:pPr>
              <w:pStyle w:val="BDOITable"/>
            </w:pPr>
            <w:r>
              <w:rPr>
                <w:sz w:val="17"/>
              </w:rPr>
              <w:t>FR-RN-002</w:t>
            </w:r>
          </w:p>
        </w:tc>
        <w:tc>
          <w:tcPr>
            <w:tcW w:type="dxa" w:w="4223"/>
            <w:tcMar>
              <w:top w:w="50" w:type="dxa"/>
              <w:bottom w:w="50" w:type="dxa"/>
              <w:left w:w="90" w:type="dxa"/>
              <w:right w:w="90" w:type="dxa"/>
            </w:tcMar>
            <w:shd w:val="clear" w:color="auto" w:fill="E5F5FF"/>
          </w:tcPr>
          <w:p>
            <w:pPr>
              <w:pStyle w:val="BDOITable"/>
            </w:pPr>
            <w:r>
              <w:rPr>
                <w:sz w:val="17"/>
              </w:rPr>
              <w:t>The FRS no-access text "You do not have access to this page" differs from the platform screen "You do not have access to this screen. Contact your administrator if you need it." (frontend/src/auth/RequireAuth.tsx).</w:t>
            </w:r>
          </w:p>
        </w:tc>
        <w:tc>
          <w:tcPr>
            <w:tcW w:type="dxa" w:w="3402"/>
            <w:tcMar>
              <w:top w:w="50" w:type="dxa"/>
              <w:bottom w:w="50" w:type="dxa"/>
              <w:left w:w="90" w:type="dxa"/>
              <w:right w:w="90" w:type="dxa"/>
            </w:tcMar>
            <w:shd w:val="clear" w:color="auto" w:fill="E5F5FF"/>
          </w:tcPr>
          <w:p>
            <w:pPr>
              <w:pStyle w:val="BDOITable"/>
            </w:pPr>
            <w:r>
              <w:rPr>
                <w:sz w:val="17"/>
              </w:rPr>
              <w:t>Use the platform wording in FRS v1.1.</w:t>
            </w:r>
          </w:p>
        </w:tc>
      </w:tr>
      <w:tr>
        <w:trPr>
          <w:cantSplit w:val="true"/>
        </w:trPr>
        <w:tc>
          <w:tcPr>
            <w:tcW w:type="dxa" w:w="1056"/>
            <w:tcMar>
              <w:top w:w="50" w:type="dxa"/>
              <w:bottom w:w="50" w:type="dxa"/>
              <w:left w:w="90" w:type="dxa"/>
              <w:right w:w="90" w:type="dxa"/>
            </w:tcMar>
          </w:tcPr>
          <w:p>
            <w:pPr>
              <w:pStyle w:val="BDOITable"/>
            </w:pPr>
            <w:r>
              <w:rPr>
                <w:sz w:val="17"/>
              </w:rPr>
              <w:t>TF-RN-03</w:t>
            </w:r>
          </w:p>
        </w:tc>
        <w:tc>
          <w:tcPr>
            <w:tcW w:type="dxa" w:w="1290"/>
            <w:tcMar>
              <w:top w:w="50" w:type="dxa"/>
              <w:bottom w:w="50" w:type="dxa"/>
              <w:left w:w="90" w:type="dxa"/>
              <w:right w:w="90" w:type="dxa"/>
            </w:tcMar>
          </w:tcPr>
          <w:p>
            <w:pPr>
              <w:pStyle w:val="BDOITable"/>
            </w:pPr>
            <w:r>
              <w:rPr>
                <w:sz w:val="17"/>
              </w:rPr>
              <w:t>FR-RN-025</w:t>
            </w:r>
          </w:p>
        </w:tc>
        <w:tc>
          <w:tcPr>
            <w:tcW w:type="dxa" w:w="4223"/>
            <w:tcMar>
              <w:top w:w="50" w:type="dxa"/>
              <w:bottom w:w="50" w:type="dxa"/>
              <w:left w:w="90" w:type="dxa"/>
              <w:right w:w="90" w:type="dxa"/>
            </w:tcMar>
          </w:tcPr>
          <w:p>
            <w:pPr>
              <w:pStyle w:val="BDOITable"/>
            </w:pPr>
            <w:r>
              <w:rPr>
                <w:sz w:val="17"/>
              </w:rPr>
              <w:t>For a wrong file type the FRS gives "The file type is not allowed" (FR-RN-025, 060, 085). The platform shows "Upload an Excel (.xlsx), OpenDocument (.ods), CSV (.csv) or text (.txt) file" for bulk uploads and "Only these file types are allowed - &lt;list&gt;" for attachments.</w:t>
            </w:r>
          </w:p>
        </w:tc>
        <w:tc>
          <w:tcPr>
            <w:tcW w:type="dxa" w:w="3402"/>
            <w:tcMar>
              <w:top w:w="50" w:type="dxa"/>
              <w:bottom w:w="50" w:type="dxa"/>
              <w:left w:w="90" w:type="dxa"/>
              <w:right w:w="90" w:type="dxa"/>
            </w:tcMar>
          </w:tcPr>
          <w:p>
            <w:pPr>
              <w:pStyle w:val="BDOITable"/>
            </w:pPr>
            <w:r>
              <w:rPr>
                <w:sz w:val="17"/>
              </w:rPr>
              <w:t>Quote the platform texts, or state that Renewal replaces them; the cases use the platform texts.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TF-RN-04</w:t>
            </w:r>
          </w:p>
        </w:tc>
        <w:tc>
          <w:tcPr>
            <w:tcW w:type="dxa" w:w="1290"/>
            <w:tcMar>
              <w:top w:w="50" w:type="dxa"/>
              <w:bottom w:w="50" w:type="dxa"/>
              <w:left w:w="90" w:type="dxa"/>
              <w:right w:w="90" w:type="dxa"/>
            </w:tcMar>
            <w:shd w:val="clear" w:color="auto" w:fill="E5F5FF"/>
          </w:tcPr>
          <w:p>
            <w:pPr>
              <w:pStyle w:val="BDOITable"/>
            </w:pPr>
            <w:r>
              <w:rPr>
                <w:sz w:val="17"/>
              </w:rPr>
              <w:t>FR-RN-080</w:t>
            </w:r>
          </w:p>
        </w:tc>
        <w:tc>
          <w:tcPr>
            <w:tcW w:type="dxa" w:w="4223"/>
            <w:tcMar>
              <w:top w:w="50" w:type="dxa"/>
              <w:bottom w:w="50" w:type="dxa"/>
              <w:left w:w="90" w:type="dxa"/>
              <w:right w:w="90" w:type="dxa"/>
            </w:tcMar>
            <w:shd w:val="clear" w:color="auto" w:fill="E5F5FF"/>
          </w:tcPr>
          <w:p>
            <w:pPr>
              <w:pStyle w:val="BDOITable"/>
            </w:pPr>
            <w:r>
              <w:rPr>
                <w:sz w:val="17"/>
              </w:rPr>
              <w:t>Rule R2 and the field rule say "less than 30 days" before expiry; whether exactly 30 days needs a confirmation is not stated. TC-RN-080.3-02 assumes it does not.</w:t>
            </w:r>
          </w:p>
        </w:tc>
        <w:tc>
          <w:tcPr>
            <w:tcW w:type="dxa" w:w="3402"/>
            <w:tcMar>
              <w:top w:w="50" w:type="dxa"/>
              <w:bottom w:w="50" w:type="dxa"/>
              <w:left w:w="90" w:type="dxa"/>
              <w:right w:w="90" w:type="dxa"/>
            </w:tcMar>
            <w:shd w:val="clear" w:color="auto" w:fill="E5F5FF"/>
          </w:tcPr>
          <w:p>
            <w:pPr>
              <w:pStyle w:val="BDOITable"/>
            </w:pPr>
            <w:r>
              <w:rPr>
                <w:sz w:val="17"/>
              </w:rPr>
              <w:t>State the boundary ("fewer than RNW_RA_MIN_NOTICE_DAYS days") in R2 and in the field rule.</w:t>
            </w:r>
          </w:p>
        </w:tc>
      </w:tr>
      <w:tr>
        <w:trPr>
          <w:cantSplit w:val="true"/>
        </w:trPr>
        <w:tc>
          <w:tcPr>
            <w:tcW w:type="dxa" w:w="1056"/>
            <w:tcMar>
              <w:top w:w="50" w:type="dxa"/>
              <w:bottom w:w="50" w:type="dxa"/>
              <w:left w:w="90" w:type="dxa"/>
              <w:right w:w="90" w:type="dxa"/>
            </w:tcMar>
          </w:tcPr>
          <w:p>
            <w:pPr>
              <w:pStyle w:val="BDOITable"/>
            </w:pPr>
            <w:r>
              <w:rPr>
                <w:sz w:val="17"/>
              </w:rPr>
              <w:t>TF-RN-05</w:t>
            </w:r>
          </w:p>
        </w:tc>
        <w:tc>
          <w:tcPr>
            <w:tcW w:type="dxa" w:w="1290"/>
            <w:tcMar>
              <w:top w:w="50" w:type="dxa"/>
              <w:bottom w:w="50" w:type="dxa"/>
              <w:left w:w="90" w:type="dxa"/>
              <w:right w:w="90" w:type="dxa"/>
            </w:tcMar>
          </w:tcPr>
          <w:p>
            <w:pPr>
              <w:pStyle w:val="BDOITable"/>
            </w:pPr>
            <w:r>
              <w:rPr>
                <w:sz w:val="17"/>
              </w:rPr>
              <w:t>FR-RN-013</w:t>
            </w:r>
          </w:p>
        </w:tc>
        <w:tc>
          <w:tcPr>
            <w:tcW w:type="dxa" w:w="4223"/>
            <w:tcMar>
              <w:top w:w="50" w:type="dxa"/>
              <w:bottom w:w="50" w:type="dxa"/>
              <w:left w:w="90" w:type="dxa"/>
              <w:right w:w="90" w:type="dxa"/>
            </w:tcMar>
          </w:tcPr>
          <w:p>
            <w:pPr>
              <w:pStyle w:val="BDOITable"/>
            </w:pPr>
            <w:r>
              <w:rPr>
                <w:sz w:val="17"/>
              </w:rPr>
              <w:t>Rule R1 asks for one scrollable view without pagination, which conflicts with the UX pager rule (UX-6, RQ05 open). Acceptance criterion 1 (20,000 rows without a pager) cannot be signed off until RQ05 is answered.</w:t>
            </w:r>
          </w:p>
        </w:tc>
        <w:tc>
          <w:tcPr>
            <w:tcW w:type="dxa" w:w="3402"/>
            <w:tcMar>
              <w:top w:w="50" w:type="dxa"/>
              <w:bottom w:w="50" w:type="dxa"/>
              <w:left w:w="90" w:type="dxa"/>
              <w:right w:w="90" w:type="dxa"/>
            </w:tcMar>
          </w:tcPr>
          <w:p>
            <w:pPr>
              <w:pStyle w:val="BDOITable"/>
            </w:pPr>
            <w:r>
              <w:rPr>
                <w:sz w:val="17"/>
              </w:rPr>
              <w:t>Close RQ05 before UAT; the case TC-RN-013.1-01 follows the FRS.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TF-RN-06</w:t>
            </w:r>
          </w:p>
        </w:tc>
        <w:tc>
          <w:tcPr>
            <w:tcW w:type="dxa" w:w="1290"/>
            <w:tcMar>
              <w:top w:w="50" w:type="dxa"/>
              <w:bottom w:w="50" w:type="dxa"/>
              <w:left w:w="90" w:type="dxa"/>
              <w:right w:w="90" w:type="dxa"/>
            </w:tcMar>
            <w:shd w:val="clear" w:color="auto" w:fill="E5F5FF"/>
          </w:tcPr>
          <w:p>
            <w:pPr>
              <w:pStyle w:val="BDOITable"/>
            </w:pPr>
            <w:r>
              <w:rPr>
                <w:sz w:val="17"/>
              </w:rPr>
              <w:t>FR-RN-101</w:t>
            </w:r>
          </w:p>
        </w:tc>
        <w:tc>
          <w:tcPr>
            <w:tcW w:type="dxa" w:w="4223"/>
            <w:tcMar>
              <w:top w:w="50" w:type="dxa"/>
              <w:bottom w:w="50" w:type="dxa"/>
              <w:left w:w="90" w:type="dxa"/>
              <w:right w:w="90" w:type="dxa"/>
            </w:tcMar>
            <w:shd w:val="clear" w:color="auto" w:fill="E5F5FF"/>
          </w:tcPr>
          <w:p>
            <w:pPr>
              <w:pStyle w:val="BDOITable"/>
            </w:pPr>
            <w:r>
              <w:rPr>
                <w:sz w:val="17"/>
              </w:rPr>
              <w:t>Four of the 34 summary counters have no source in the BRD and show 0 with "pending definition" (RQ10), so they cannot be tested against a business rule. The report range check is a report-engine check whose message today reads "&lt;to&gt; must not be before &lt;from&gt;", not "The end date must be on or after the start date".</w:t>
            </w:r>
          </w:p>
        </w:tc>
        <w:tc>
          <w:tcPr>
            <w:tcW w:type="dxa" w:w="3402"/>
            <w:tcMar>
              <w:top w:w="50" w:type="dxa"/>
              <w:bottom w:w="50" w:type="dxa"/>
              <w:left w:w="90" w:type="dxa"/>
              <w:right w:w="90" w:type="dxa"/>
            </w:tcMar>
            <w:shd w:val="clear" w:color="auto" w:fill="E5F5FF"/>
          </w:tcPr>
          <w:p>
            <w:pPr>
              <w:pStyle w:val="BDOITable"/>
            </w:pPr>
            <w:r>
              <w:rPr>
                <w:sz w:val="17"/>
              </w:rPr>
              <w:t>Define counters 5, 8, 14 and "to Other Bank" under RQ10; align the range message with the report engine or state that Renewal reports use their own check.</w:t>
            </w:r>
          </w:p>
        </w:tc>
      </w:tr>
      <w:tr>
        <w:trPr>
          <w:cantSplit w:val="true"/>
        </w:trPr>
        <w:tc>
          <w:tcPr>
            <w:tcW w:type="dxa" w:w="1056"/>
            <w:tcMar>
              <w:top w:w="50" w:type="dxa"/>
              <w:bottom w:w="50" w:type="dxa"/>
              <w:left w:w="90" w:type="dxa"/>
              <w:right w:w="90" w:type="dxa"/>
            </w:tcMar>
          </w:tcPr>
          <w:p>
            <w:pPr>
              <w:pStyle w:val="BDOITable"/>
            </w:pPr>
            <w:r>
              <w:rPr>
                <w:sz w:val="17"/>
              </w:rPr>
              <w:t>TF-RN-07</w:t>
            </w:r>
          </w:p>
        </w:tc>
        <w:tc>
          <w:tcPr>
            <w:tcW w:type="dxa" w:w="1290"/>
            <w:tcMar>
              <w:top w:w="50" w:type="dxa"/>
              <w:bottom w:w="50" w:type="dxa"/>
              <w:left w:w="90" w:type="dxa"/>
              <w:right w:w="90" w:type="dxa"/>
            </w:tcMar>
          </w:tcPr>
          <w:p>
            <w:pPr>
              <w:pStyle w:val="BDOITable"/>
            </w:pPr>
            <w:r>
              <w:rPr>
                <w:sz w:val="17"/>
              </w:rPr>
              <w:t>FR-RN-071</w:t>
            </w:r>
          </w:p>
        </w:tc>
        <w:tc>
          <w:tcPr>
            <w:tcW w:type="dxa" w:w="4223"/>
            <w:tcMar>
              <w:top w:w="50" w:type="dxa"/>
              <w:bottom w:w="50" w:type="dxa"/>
              <w:left w:w="90" w:type="dxa"/>
              <w:right w:w="90" w:type="dxa"/>
            </w:tcMar>
          </w:tcPr>
          <w:p>
            <w:pPr>
              <w:pStyle w:val="BDOITable"/>
            </w:pPr>
            <w:r>
              <w:rPr>
                <w:sz w:val="17"/>
              </w:rPr>
              <w:t>The outcome of a Reject is "Not for Renewal (insurer declined) or back to Marketing to re-market"; the FRS does not say which, or who decides (RQ15). A late response is defined only as "after the reply due date" with no cut-off time.</w:t>
            </w:r>
          </w:p>
        </w:tc>
        <w:tc>
          <w:tcPr>
            <w:tcW w:type="dxa" w:w="3402"/>
            <w:tcMar>
              <w:top w:w="50" w:type="dxa"/>
              <w:bottom w:w="50" w:type="dxa"/>
              <w:left w:w="90" w:type="dxa"/>
              <w:right w:w="90" w:type="dxa"/>
            </w:tcMar>
          </w:tcPr>
          <w:p>
            <w:pPr>
              <w:pStyle w:val="BDOITable"/>
            </w:pPr>
            <w:r>
              <w:rPr>
                <w:sz w:val="17"/>
              </w:rPr>
              <w:t>Answer RQ15 and name the rule or parameter that chooses the Reject path and the late cut-off.</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TF-RN-08</w:t>
            </w:r>
          </w:p>
        </w:tc>
        <w:tc>
          <w:tcPr>
            <w:tcW w:type="dxa" w:w="1290"/>
            <w:tcMar>
              <w:top w:w="50" w:type="dxa"/>
              <w:bottom w:w="50" w:type="dxa"/>
              <w:left w:w="90" w:type="dxa"/>
              <w:right w:w="90" w:type="dxa"/>
            </w:tcMar>
            <w:shd w:val="clear" w:color="auto" w:fill="E5F5FF"/>
          </w:tcPr>
          <w:p>
            <w:pPr>
              <w:pStyle w:val="BDOITable"/>
            </w:pPr>
            <w:r>
              <w:rPr>
                <w:sz w:val="17"/>
              </w:rPr>
              <w:t>FR-RN-083</w:t>
            </w:r>
          </w:p>
        </w:tc>
        <w:tc>
          <w:tcPr>
            <w:tcW w:type="dxa" w:w="4223"/>
            <w:tcMar>
              <w:top w:w="50" w:type="dxa"/>
              <w:bottom w:w="50" w:type="dxa"/>
              <w:left w:w="90" w:type="dxa"/>
              <w:right w:w="90" w:type="dxa"/>
            </w:tcMar>
            <w:shd w:val="clear" w:color="auto" w:fill="E5F5FF"/>
          </w:tcPr>
          <w:p>
            <w:pPr>
              <w:pStyle w:val="BDOITable"/>
            </w:pPr>
            <w:r>
              <w:rPr>
                <w:sz w:val="17"/>
              </w:rPr>
              <w:t>"Not yet submitted" is defined only in the description (no disposition, or For Renewal without RA acceptance); a candidate For Quotation on the NB path, or Not for Renewal awaiting its NFR, is not covered (RQ18).</w:t>
            </w:r>
          </w:p>
        </w:tc>
        <w:tc>
          <w:tcPr>
            <w:tcW w:type="dxa" w:w="3402"/>
            <w:tcMar>
              <w:top w:w="50" w:type="dxa"/>
              <w:bottom w:w="50" w:type="dxa"/>
              <w:left w:w="90" w:type="dxa"/>
              <w:right w:w="90" w:type="dxa"/>
            </w:tcMar>
            <w:shd w:val="clear" w:color="auto" w:fill="E5F5FF"/>
          </w:tcPr>
          <w:p>
            <w:pPr>
              <w:pStyle w:val="BDOITable"/>
            </w:pPr>
            <w:r>
              <w:rPr>
                <w:sz w:val="17"/>
              </w:rPr>
              <w:t>List the stages that count as "submitted" so the NRNS checkpoint can be tested for every stage.</w:t>
            </w:r>
          </w:p>
        </w:tc>
      </w:tr>
      <w:tr>
        <w:trPr>
          <w:cantSplit w:val="true"/>
        </w:trPr>
        <w:tc>
          <w:tcPr>
            <w:tcW w:type="dxa" w:w="1056"/>
            <w:tcMar>
              <w:top w:w="50" w:type="dxa"/>
              <w:bottom w:w="50" w:type="dxa"/>
              <w:left w:w="90" w:type="dxa"/>
              <w:right w:w="90" w:type="dxa"/>
            </w:tcMar>
          </w:tcPr>
          <w:p>
            <w:pPr>
              <w:pStyle w:val="BDOITable"/>
            </w:pPr>
            <w:r>
              <w:rPr>
                <w:sz w:val="17"/>
              </w:rPr>
              <w:t>TF-RN-09</w:t>
            </w:r>
          </w:p>
        </w:tc>
        <w:tc>
          <w:tcPr>
            <w:tcW w:type="dxa" w:w="1290"/>
            <w:tcMar>
              <w:top w:w="50" w:type="dxa"/>
              <w:bottom w:w="50" w:type="dxa"/>
              <w:left w:w="90" w:type="dxa"/>
              <w:right w:w="90" w:type="dxa"/>
            </w:tcMar>
          </w:tcPr>
          <w:p>
            <w:pPr>
              <w:pStyle w:val="BDOITable"/>
            </w:pPr>
            <w:r>
              <w:rPr>
                <w:sz w:val="17"/>
              </w:rPr>
              <w:t>FR-RN-090</w:t>
            </w:r>
          </w:p>
        </w:tc>
        <w:tc>
          <w:tcPr>
            <w:tcW w:type="dxa" w:w="4223"/>
            <w:tcMar>
              <w:top w:w="50" w:type="dxa"/>
              <w:bottom w:w="50" w:type="dxa"/>
              <w:left w:w="90" w:type="dxa"/>
              <w:right w:w="90" w:type="dxa"/>
            </w:tcMar>
          </w:tcPr>
          <w:p>
            <w:pPr>
              <w:pStyle w:val="BDOITable"/>
            </w:pPr>
            <w:r>
              <w:rPr>
                <w:sz w:val="17"/>
              </w:rPr>
              <w:t>The BRD trace lists bare numbers ("BRIDSP-22, 23, 25, 26" in FR-RN-090; "BRRN.001, 010, 025, 037" in FR-RN-103) and prose ("restating BRD ...", "with their sub-IDs"), which appear as IDs in the coverage sheet.</w:t>
            </w:r>
          </w:p>
        </w:tc>
        <w:tc>
          <w:tcPr>
            <w:tcW w:type="dxa" w:w="3402"/>
            <w:tcMar>
              <w:top w:w="50" w:type="dxa"/>
              <w:bottom w:w="50" w:type="dxa"/>
              <w:left w:w="90" w:type="dxa"/>
              <w:right w:w="90" w:type="dxa"/>
            </w:tcMar>
          </w:tcPr>
          <w:p>
            <w:pPr>
              <w:pStyle w:val="BDOITable"/>
            </w:pPr>
            <w:r>
              <w:rPr>
                <w:sz w:val="17"/>
              </w:rPr>
              <w:t>Write every BRD ID in full in the fr blocks (BRIDSP-23, BRRN.010) and keep the "restating" notes out of the brd list, so the coverage sheet lists clean IDs.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TF-RN-10</w:t>
            </w:r>
          </w:p>
        </w:tc>
        <w:tc>
          <w:tcPr>
            <w:tcW w:type="dxa" w:w="1290"/>
            <w:tcMar>
              <w:top w:w="50" w:type="dxa"/>
              <w:bottom w:w="50" w:type="dxa"/>
              <w:left w:w="90" w:type="dxa"/>
              <w:right w:w="90" w:type="dxa"/>
            </w:tcMar>
            <w:shd w:val="clear" w:color="auto" w:fill="E5F5FF"/>
          </w:tcPr>
          <w:p>
            <w:pPr>
              <w:pStyle w:val="BDOITable"/>
            </w:pPr>
            <w:r>
              <w:rPr>
                <w:sz w:val="17"/>
              </w:rPr>
              <w:t>FR-RN-102</w:t>
            </w:r>
          </w:p>
        </w:tc>
        <w:tc>
          <w:tcPr>
            <w:tcW w:type="dxa" w:w="4223"/>
            <w:tcMar>
              <w:top w:w="50" w:type="dxa"/>
              <w:bottom w:w="50" w:type="dxa"/>
              <w:left w:w="90" w:type="dxa"/>
              <w:right w:w="90" w:type="dxa"/>
            </w:tcMar>
            <w:shd w:val="clear" w:color="auto" w:fill="E5F5FF"/>
          </w:tcPr>
          <w:p>
            <w:pPr>
              <w:pStyle w:val="BDOITable"/>
            </w:pPr>
            <w:r>
              <w:rPr>
                <w:sz w:val="17"/>
              </w:rPr>
              <w:t>The escalation rule gives the days per segment but not whether the alert is raised on the first day inside the window (59 or 60 days before expiry). Acceptance criterion 2 uses 59 days with a 60-day setting.</w:t>
            </w:r>
          </w:p>
        </w:tc>
        <w:tc>
          <w:tcPr>
            <w:tcW w:type="dxa" w:w="3402"/>
            <w:tcMar>
              <w:top w:w="50" w:type="dxa"/>
              <w:bottom w:w="50" w:type="dxa"/>
              <w:left w:w="90" w:type="dxa"/>
              <w:right w:w="90" w:type="dxa"/>
            </w:tcMar>
            <w:shd w:val="clear" w:color="auto" w:fill="E5F5FF"/>
          </w:tcPr>
          <w:p>
            <w:pPr>
              <w:pStyle w:val="BDOITable"/>
            </w:pPr>
            <w:r>
              <w:rPr>
                <w:sz w:val="17"/>
              </w:rPr>
              <w:t>State "fewer than RNW_ESCALATION_DAYS days to expiry" or "at most RNW_ESCALATION_DAYS days"; the cases test 59 days (alert) and 61 days (no alert) and leave 60 days to the answer.</w:t>
            </w:r>
          </w:p>
        </w:tc>
      </w:tr>
    </w:tbl>
    <w:p>
      <w:pPr>
        <w:pStyle w:val="BDOISpacer"/>
      </w:pPr>
    </w:p>
    <w:p>
      <w:pPr>
        <w:pStyle w:val="Heading1"/>
        <w:pBdr>
          <w:bottom w:val="single" w:sz="4" w:space="4" w:color="99C1E7"/>
        </w:pBdr>
      </w:pPr>
      <w:bookmarkStart w:id="129" w:name="_Toc000129"/>
      <w:r>
        <w:rPr/>
        <w:t>10 Sign-off</w:t>
      </w:r>
      <w:bookmarkEnd w:id="129"/>
    </w:p>
    <w:p>
      <w:r>
        <w:rPr/>
        <w:t>By signing, BDOI confirms that this test plan and its workbook cover the Renewal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Renewal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BRD-6 Renewal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Renewal Test Plan</dc:title>
  <dc:subject>BIBS – BDOI Broker System</dc:subject>
  <dc:creator>iorta TechNXT</dc:creator>
  <cp:keywords>TestPlan, BRD-06,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