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BRD-13 Data Migration sign-off set, release set v2.1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5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BRD-13 Data Migration business sign-off set (one handbook, one workbook and the test plan in place of the separate migration documents)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8 Oct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p>
        </w:tc>
        <w:tc>
          <w:tcPr>
            <w:tcW w:type="dxa" w:w="2606"/>
            <w:tcMar>
              <w:top w:w="50" w:type="dxa"/>
              <w:bottom w:w="50" w:type="dxa"/>
              <w:left w:w="90" w:type="dxa"/>
              <w:right w:w="90" w:type="dxa"/>
            </w:tcMar>
            <w:shd w:val="clear" w:color="auto" w:fill="E5F5FF"/>
          </w:tcPr>
          <w:p>
            <w:pPr>
              <w:pStyle w:val="BDOITable"/>
            </w:pPr>
            <w:r>
              <w:rPr>
                <w:sz w:val="18"/>
              </w:rPr>
              <w:t>Re-based on the Data Migration BRD V0.03 (signed 15-19 May 2026); user-story view and storyboard index added to the handbook; clarifications CLR-DM-01 to CLR-DM-20</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 and the approvers of the BRD-13 approval pages</w:t>
            </w:r>
          </w:p>
        </w:tc>
        <w:tc>
          <w:tcPr>
            <w:tcW w:type="dxa" w:w="2266"/>
            <w:tcMar>
              <w:top w:w="50" w:type="dxa"/>
              <w:bottom w:w="50" w:type="dxa"/>
              <w:left w:w="90" w:type="dxa"/>
              <w:right w:w="90" w:type="dxa"/>
            </w:tcMar>
          </w:tcPr>
          <w:p>
            <w:pPr>
              <w:pStyle w:val="BDOITable"/>
            </w:pPr>
            <w:r>
              <w:rPr>
                <w:sz w:val="18"/>
              </w:rPr>
              <w:t>Approvers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2266"/>
            <w:tcMar>
              <w:top w:w="50" w:type="dxa"/>
              <w:bottom w:w="50" w:type="dxa"/>
              <w:left w:w="90" w:type="dxa"/>
              <w:right w:w="90" w:type="dxa"/>
            </w:tcMar>
            <w:shd w:val="clear" w:color="auto" w:fill="E5F5FF"/>
          </w:tcPr>
          <w:p>
            <w:pPr>
              <w:pStyle w:val="BDOITable"/>
            </w:pPr>
            <w:r>
              <w:rPr>
                <w:sz w:val="18"/>
              </w:rPr>
              <w:t>BRD author; reviewer of traceability and completeness</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Review; owner of the cut-over</w:t>
            </w:r>
          </w:p>
        </w:tc>
      </w:tr>
      <w:tr>
        <w:trPr>
          <w:cantSplit w:val="true"/>
        </w:trPr>
        <w:tc>
          <w:tcPr>
            <w:tcW w:type="dxa" w:w="2606"/>
            <w:tcMar>
              <w:top w:w="50" w:type="dxa"/>
              <w:bottom w:w="50" w:type="dxa"/>
              <w:left w:w="90" w:type="dxa"/>
              <w:right w:w="90" w:type="dxa"/>
            </w:tcMar>
          </w:tcPr>
          <w:p>
            <w:pPr>
              <w:pStyle w:val="BDOITable"/>
            </w:pPr>
            <w:r>
              <w:rPr>
                <w:sz w:val="18"/>
              </w:rPr>
              <w:t>Data Migration Lead</w:t>
            </w:r>
          </w:p>
        </w:tc>
        <w:tc>
          <w:tcPr>
            <w:tcW w:type="dxa" w:w="2266"/>
            <w:tcMar>
              <w:top w:w="50" w:type="dxa"/>
              <w:bottom w:w="50" w:type="dxa"/>
              <w:left w:w="90" w:type="dxa"/>
              <w:right w:w="90" w:type="dxa"/>
            </w:tcMar>
          </w:tcPr>
          <w:p>
            <w:pPr>
              <w:pStyle w:val="BDOITable"/>
            </w:pPr>
            <w:r>
              <w:rPr>
                <w:sz w:val="18"/>
              </w:rPr>
              <w:t>Reviewer and signatory</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Object decisions, trial migrations, cut-over plan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Data owners: Marketing Business System, Retail and Corporate Marketing, Operations, Disbursement, Compliance and Analytics</w:t>
            </w:r>
          </w:p>
        </w:tc>
        <w:tc>
          <w:tcPr>
            <w:tcW w:type="dxa" w:w="2266"/>
            <w:tcMar>
              <w:top w:w="50" w:type="dxa"/>
              <w:bottom w:w="50" w:type="dxa"/>
              <w:left w:w="90" w:type="dxa"/>
              <w:right w:w="90" w:type="dxa"/>
            </w:tcMar>
            <w:shd w:val="clear" w:color="auto" w:fill="E5F5FF"/>
          </w:tcPr>
          <w:p>
            <w:pPr>
              <w:pStyle w:val="BDOITable"/>
            </w:pPr>
            <w:r>
              <w:rPr>
                <w:sz w:val="18"/>
              </w:rPr>
              <w:t>Reviewers and signatories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their objects</w:t>
            </w:r>
          </w:p>
        </w:tc>
      </w:tr>
      <w:tr>
        <w:trPr>
          <w:cantSplit w:val="true"/>
        </w:trPr>
        <w:tc>
          <w:tcPr>
            <w:tcW w:type="dxa" w:w="2606"/>
            <w:tcMar>
              <w:top w:w="50" w:type="dxa"/>
              <w:bottom w:w="50" w:type="dxa"/>
              <w:left w:w="90" w:type="dxa"/>
              <w:right w:w="90" w:type="dxa"/>
            </w:tcMar>
          </w:tcPr>
          <w:p>
            <w:pPr>
              <w:pStyle w:val="BDOITable"/>
            </w:pPr>
            <w:r>
              <w:rPr>
                <w:sz w:val="18"/>
              </w:rPr>
              <w:t>Comptrollership</w:t>
            </w:r>
          </w:p>
        </w:tc>
        <w:tc>
          <w:tcPr>
            <w:tcW w:type="dxa" w:w="2266"/>
            <w:tcMar>
              <w:top w:w="50" w:type="dxa"/>
              <w:bottom w:w="50" w:type="dxa"/>
              <w:left w:w="90" w:type="dxa"/>
              <w:right w:w="90" w:type="dxa"/>
            </w:tcMar>
          </w:tcPr>
          <w:p>
            <w:pPr>
              <w:pStyle w:val="BDOITable"/>
            </w:pPr>
            <w:r>
              <w:rPr>
                <w:sz w:val="18"/>
              </w:rPr>
              <w:t>Reviewer and signatory</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accounts, GL opening, reconciliation, opening-balance adjustments, year-end option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Renewal processing team</w:t>
            </w:r>
          </w:p>
        </w:tc>
        <w:tc>
          <w:tcPr>
            <w:tcW w:type="dxa" w:w="2266"/>
            <w:tcMar>
              <w:top w:w="50" w:type="dxa"/>
              <w:bottom w:w="50" w:type="dxa"/>
              <w:left w:w="90" w:type="dxa"/>
              <w:right w:w="90" w:type="dxa"/>
            </w:tcMar>
            <w:shd w:val="clear" w:color="auto" w:fill="E5F5FF"/>
          </w:tcPr>
          <w:p>
            <w:pPr>
              <w:pStyle w:val="BDOITable"/>
            </w:pPr>
            <w:r>
              <w:rPr>
                <w:sz w:val="18"/>
              </w:rPr>
              <w:t>Reviewer and signatory</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Renewal advices already sent, day-1 renewal queue</w:t>
            </w:r>
          </w:p>
        </w:tc>
      </w:tr>
      <w:tr>
        <w:trPr>
          <w:cantSplit w:val="true"/>
        </w:trPr>
        <w:tc>
          <w:tcPr>
            <w:tcW w:type="dxa" w:w="2606"/>
            <w:tcMar>
              <w:top w:w="50" w:type="dxa"/>
              <w:bottom w:w="50" w:type="dxa"/>
              <w:left w:w="90" w:type="dxa"/>
              <w:right w:w="90" w:type="dxa"/>
            </w:tcMar>
          </w:tcPr>
          <w:p>
            <w:pPr>
              <w:pStyle w:val="BDOITable"/>
            </w:pPr>
            <w:r>
              <w:rPr>
                <w:sz w:val="18"/>
              </w:rPr>
              <w:t>BDOI IT</w:t>
            </w:r>
          </w:p>
        </w:tc>
        <w:tc>
          <w:tcPr>
            <w:tcW w:type="dxa" w:w="2266"/>
            <w:tcMar>
              <w:top w:w="50" w:type="dxa"/>
              <w:bottom w:w="50" w:type="dxa"/>
              <w:left w:w="90" w:type="dxa"/>
              <w:right w:w="90" w:type="dxa"/>
            </w:tcMar>
          </w:tcPr>
          <w:p>
            <w:pPr>
              <w:pStyle w:val="BDOITable"/>
            </w:pPr>
            <w:r>
              <w:rPr>
                <w:sz w:val="18"/>
              </w:rPr>
              <w:t>Reviewer and signatory</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Extracts, transfer, freeze, read-only access, decommissioning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Sessions, answers, revisions, change requests, the migration runs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set is for</w:t>
        </w:r>
        <w:r>
          <w:t xml:space="preserve">	</w:t>
        </w:r>
        <w:r>
          <w:t xml:space="preserve">4</w:t>
        </w:r>
      </w:hyperlink>
    </w:p>
    <w:p>
      <w:pPr>
        <w:pStyle w:val="toc1"/>
      </w:pPr>
      <w:hyperlink w:anchor="_Toc000102" w:history="1">
        <w:r>
          <w:t xml:space="preserve">2 The set at a glance</w:t>
        </w:r>
        <w:r>
          <w:t xml:space="preserve">	</w:t>
        </w:r>
        <w:r>
          <w:t xml:space="preserve">4</w:t>
        </w:r>
      </w:hyperlink>
    </w:p>
    <w:p>
      <w:pPr>
        <w:pStyle w:val="toc1"/>
      </w:pPr>
      <w:hyperlink w:anchor="_Toc000103" w:history="1">
        <w:r>
          <w:t xml:space="preserve">3 Where to start</w:t>
        </w:r>
        <w:r>
          <w:t xml:space="preserve">	</w:t>
        </w:r>
        <w:r>
          <w:t xml:space="preserve">5</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5 Who signs what</w:t>
        </w:r>
        <w:r>
          <w:t xml:space="preserve">	</w:t>
        </w:r>
        <w:r>
          <w:t xml:space="preserve">7</w:t>
        </w:r>
      </w:hyperlink>
    </w:p>
    <w:p>
      <w:pPr>
        <w:pStyle w:val="toc1"/>
      </w:pPr>
      <w:hyperlink w:anchor="_Toc000106" w:history="1">
        <w:r>
          <w:t xml:space="preserve">6 Change control after sign-off</w:t>
        </w:r>
        <w:r>
          <w:t xml:space="preserve">	</w:t>
        </w:r>
        <w:r>
          <w:t xml:space="preserve">9</w:t>
        </w:r>
      </w:hyperlink>
      <w:r>
        <w:fldChar w:fldCharType="end"/>
      </w:r>
    </w:p>
    <w:p>
      <w:pPr>
        <w:pStyle w:val="Heading1"/>
        <w:pageBreakBefore/>
        <w:pBdr>
          <w:bottom w:val="single" w:sz="4" w:space="4" w:color="99C1E7"/>
        </w:pBdr>
      </w:pPr>
      <w:bookmarkStart w:id="101" w:name="_Toc000101"/>
      <w:r>
        <w:rPr/>
        <w:t>1 What this set is for</w:t>
      </w:r>
      <w:bookmarkEnd w:id="101"/>
    </w:p>
    <w:p>
      <w:r>
        <w:rPr/>
        <w:t>This set describes the proposed migration of the BDOI legacy data (EBIX, QPS, ISYS, CMS and the Excel trackers) into BIBS and the Migration Console that runs it, so that the business owner, each data owner, Comptrollership, the Renewal processing team and BDOI IT can confirm what moves, how it is checked and how the cut-over is run, and sign it off. Signing fixes the decisions per data object, the load templates, the screens, rules and messages of the Migration Console, the reconciliation and the sign-off gates, and the cut-over plan; a later change goes through the Change Management Register with its mandays. The screenshots use fictitious seed data only.</w:t>
      </w:r>
    </w:p>
    <w:p>
      <w:pPr>
        <w:pStyle w:val="Heading1"/>
        <w:pBdr>
          <w:bottom w:val="single" w:sz="4" w:space="4" w:color="99C1E7"/>
        </w:pBdr>
      </w:pPr>
      <w:bookmarkStart w:id="102" w:name="_Toc000102"/>
      <w:r>
        <w:rPr/>
        <w:t>2 The set at a glance</w:t>
      </w:r>
      <w:bookmarkEnd w:id="102"/>
    </w:p>
    <w:p>
      <w:r>
        <w:rPr/>
        <w:t>The files are numbered so that they sort in reading order in the folder BRD-13_Data_Migration of Drop 0.</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00_BIBS_StartHere_BRD-13_Data_Migration_v2.1.docx</w:t>
            </w:r>
          </w:p>
        </w:tc>
        <w:tc>
          <w:tcPr>
            <w:tcW w:type="dxa" w:w="3626"/>
            <w:tcMar>
              <w:top w:w="50" w:type="dxa"/>
              <w:bottom w:w="50" w:type="dxa"/>
              <w:left w:w="90" w:type="dxa"/>
              <w:right w:w="90" w:type="dxa"/>
            </w:tcMar>
          </w:tcPr>
          <w:p>
            <w:pPr>
              <w:pStyle w:val="BDOITable"/>
            </w:pPr>
            <w:r>
              <w:rPr>
                <w:sz w:val="15"/>
              </w:rPr>
              <w:t>Start Here: the map of the set, who reads what, the steps up to sign-off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01_BIBS_GuideDeck_BRD-13_Data_Migration_v2.1.pptx</w:t>
            </w:r>
          </w:p>
        </w:tc>
        <w:tc>
          <w:tcPr>
            <w:tcW w:type="dxa" w:w="3626"/>
            <w:tcMar>
              <w:top w:w="50" w:type="dxa"/>
              <w:bottom w:w="50" w:type="dxa"/>
              <w:left w:w="90" w:type="dxa"/>
              <w:right w:w="90" w:type="dxa"/>
            </w:tcMar>
            <w:shd w:val="clear" w:color="auto" w:fill="E5F5FF"/>
          </w:tcPr>
          <w:p>
            <w:pPr>
              <w:pStyle w:val="BDOITable"/>
            </w:pPr>
            <w:r>
              <w:rPr>
                <w:sz w:val="15"/>
              </w:rPr>
              <w:t>Guide deck: the migration approach, the objects and decisions, roles and data owners, trial migrations and dress rehearsal, sign-off gates, cut-over and go / no-go, migrated and new data, caveats, entry and exit criteria, handover</w:t>
            </w:r>
          </w:p>
        </w:tc>
        <w:tc>
          <w:tcPr>
            <w:tcW w:type="dxa" w:w="1926"/>
            <w:tcMar>
              <w:top w:w="50" w:type="dxa"/>
              <w:bottom w:w="50" w:type="dxa"/>
              <w:left w:w="90" w:type="dxa"/>
              <w:right w:w="90" w:type="dxa"/>
            </w:tcMar>
            <w:shd w:val="clear" w:color="auto" w:fill="E5F5FF"/>
          </w:tcPr>
          <w:p>
            <w:pPr>
              <w:pStyle w:val="BDOITable"/>
            </w:pPr>
            <w:r>
              <w:rPr>
                <w:sz w:val="15"/>
              </w:rPr>
              <w:t>Business owner, data owners, Comptrollership, BDOI IT;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02_BIBS_Handbook_BRD-13_Data_Migration_v2.1.docx</w:t>
            </w:r>
          </w:p>
        </w:tc>
        <w:tc>
          <w:tcPr>
            <w:tcW w:type="dxa" w:w="3626"/>
            <w:tcMar>
              <w:top w:w="50" w:type="dxa"/>
              <w:bottom w:w="50" w:type="dxa"/>
              <w:left w:w="90" w:type="dxa"/>
              <w:right w:w="90" w:type="dxa"/>
            </w:tcMar>
          </w:tcPr>
          <w:p>
            <w:pPr>
              <w:pStyle w:val="BDOITable"/>
            </w:pPr>
            <w:r>
              <w:rPr>
                <w:sz w:val="15"/>
              </w:rPr>
              <w:t>Data Migration Handbook: A strategy and approach; B functional specification of the Migration Console with screenshots, fields, actions, rules and messages, the markers of migrated data and the legacy batches; C reconciliation and the sign-off gates per object; D the cut-over runbook, run-off and decommissioning; the proposed rules for confirmation</w:t>
            </w:r>
          </w:p>
        </w:tc>
        <w:tc>
          <w:tcPr>
            <w:tcW w:type="dxa" w:w="1926"/>
            <w:tcMar>
              <w:top w:w="50" w:type="dxa"/>
              <w:bottom w:w="50" w:type="dxa"/>
              <w:left w:w="90" w:type="dxa"/>
              <w:right w:w="90" w:type="dxa"/>
            </w:tcMar>
          </w:tcPr>
          <w:p>
            <w:pPr>
              <w:pStyle w:val="BDOITable"/>
            </w:pPr>
            <w:r>
              <w:rPr>
                <w:sz w:val="15"/>
              </w:rPr>
              <w:t>Data owners and Comptrollership for their objects and parts; BDOI IT; the Renewal processing team</w:t>
            </w:r>
          </w:p>
        </w:tc>
        <w:tc>
          <w:tcPr>
            <w:tcW w:type="dxa" w:w="1473"/>
            <w:tcMar>
              <w:top w:w="50" w:type="dxa"/>
              <w:bottom w:w="50" w:type="dxa"/>
              <w:left w:w="90" w:type="dxa"/>
              <w:right w:w="90" w:type="dxa"/>
            </w:tcMar>
          </w:tcPr>
          <w:p>
            <w:pPr>
              <w:pStyle w:val="BDOITable"/>
            </w:pPr>
            <w:r>
              <w:rPr>
                <w:sz w:val="15"/>
              </w:rPr>
              <w:t>During the review, with the console walkthroughs</w:t>
            </w:r>
          </w:p>
        </w:tc>
      </w:tr>
      <w:tr>
        <w:tc>
          <w:tcPr>
            <w:tcW w:type="dxa" w:w="2946"/>
            <w:tcMar>
              <w:top w:w="50" w:type="dxa"/>
              <w:bottom w:w="50" w:type="dxa"/>
              <w:left w:w="90" w:type="dxa"/>
              <w:right w:w="90" w:type="dxa"/>
            </w:tcMar>
            <w:shd w:val="clear" w:color="auto" w:fill="E5F5FF"/>
          </w:tcPr>
          <w:p>
            <w:pPr>
              <w:pStyle w:val="BDOITable"/>
            </w:pPr>
            <w:r>
              <w:rPr>
                <w:sz w:val="15"/>
              </w:rPr>
              <w:t>03_BIBS_Workbook_BRD-13_Data_Migration_v2.1.xlsx</w:t>
            </w:r>
          </w:p>
        </w:tc>
        <w:tc>
          <w:tcPr>
            <w:tcW w:type="dxa" w:w="3626"/>
            <w:tcMar>
              <w:top w:w="50" w:type="dxa"/>
              <w:bottom w:w="50" w:type="dxa"/>
              <w:left w:w="90" w:type="dxa"/>
              <w:right w:w="90" w:type="dxa"/>
            </w:tcMar>
            <w:shd w:val="clear" w:color="auto" w:fill="E5F5FF"/>
          </w:tcPr>
          <w:p>
            <w:pPr>
              <w:pStyle w:val="BDOITable"/>
            </w:pPr>
            <w:r>
              <w:rPr>
                <w:sz w:val="15"/>
              </w:rPr>
              <w:t>Migration Workbook: object catalogue and decisions, extract planning, the load templates (one sheet per layout), code maps, validation rules, data owners, cut-over task plan, reconciliation sign-off per object, proposed rules with the BDOI decision, the screens;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signatories sign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04_BIBS_TestPlan_BRD-13_Data_Migration_v2.1.xlsx</w:t>
            </w:r>
          </w:p>
        </w:tc>
        <w:tc>
          <w:tcPr>
            <w:tcW w:type="dxa" w:w="3626"/>
            <w:tcMar>
              <w:top w:w="50" w:type="dxa"/>
              <w:bottom w:w="50" w:type="dxa"/>
              <w:left w:w="90" w:type="dxa"/>
              <w:right w:w="90" w:type="dxa"/>
            </w:tcMar>
          </w:tcPr>
          <w:p>
            <w:pPr>
              <w:pStyle w:val="BDOITable"/>
            </w:pPr>
            <w:r>
              <w:rPr>
                <w:sz w:val="15"/>
              </w:rPr>
              <w:t>Test plan workbook: the test cases traced to the requirements and to the screens, with the trial migration, reconciliation, rollback, rerun and cut-over rehearsal scenarios</w:t>
            </w:r>
          </w:p>
        </w:tc>
        <w:tc>
          <w:tcPr>
            <w:tcW w:type="dxa" w:w="1926"/>
            <w:tcMar>
              <w:top w:w="50" w:type="dxa"/>
              <w:bottom w:w="50" w:type="dxa"/>
              <w:left w:w="90" w:type="dxa"/>
              <w:right w:w="90" w:type="dxa"/>
            </w:tcMar>
          </w:tcPr>
          <w:p>
            <w:pPr>
              <w:pStyle w:val="BDOITable"/>
            </w:pPr>
            <w:r>
              <w:rPr>
                <w:sz w:val="15"/>
              </w:rPr>
              <w:t>Data owners who verify the trial migrations; BDOI IT</w:t>
            </w:r>
          </w:p>
        </w:tc>
        <w:tc>
          <w:tcPr>
            <w:tcW w:type="dxa" w:w="1473"/>
            <w:tcMar>
              <w:top w:w="50" w:type="dxa"/>
              <w:bottom w:w="50" w:type="dxa"/>
              <w:left w:w="90" w:type="dxa"/>
              <w:right w:w="90" w:type="dxa"/>
            </w:tcMar>
          </w:tcPr>
          <w:p>
            <w:pPr>
              <w:pStyle w:val="BDOITable"/>
            </w:pPr>
            <w:r>
              <w:rPr>
                <w:sz w:val="15"/>
              </w:rPr>
              <w:t>After the handbook; used again in the trial migrations</w:t>
            </w:r>
          </w:p>
        </w:tc>
      </w:tr>
      <w:tr>
        <w:tc>
          <w:tcPr>
            <w:tcW w:type="dxa" w:w="2946"/>
            <w:tcMar>
              <w:top w:w="50" w:type="dxa"/>
              <w:bottom w:w="50" w:type="dxa"/>
              <w:left w:w="90" w:type="dxa"/>
              <w:right w:w="90" w:type="dxa"/>
            </w:tcMar>
            <w:shd w:val="clear" w:color="auto" w:fill="E5F5FF"/>
          </w:tcPr>
          <w:p>
            <w:pPr>
              <w:pStyle w:val="BDOITable"/>
            </w:pPr>
            <w:r>
              <w:rPr>
                <w:sz w:val="15"/>
              </w:rPr>
              <w:t>05_BIBS_TestPlan_BRD-13_Data_Migration_Summary_v2.1.docx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07_BIBS_UXDeck_BRD-13_Data_Migration_v2.1.pptx</w:t>
            </w:r>
          </w:p>
        </w:tc>
        <w:tc>
          <w:tcPr>
            <w:tcW w:type="dxa" w:w="3626"/>
            <w:tcMar>
              <w:top w:w="50" w:type="dxa"/>
              <w:bottom w:w="50" w:type="dxa"/>
              <w:left w:w="90" w:type="dxa"/>
              <w:right w:w="90" w:type="dxa"/>
            </w:tcMar>
          </w:tcPr>
          <w:p>
            <w:pPr>
              <w:pStyle w:val="BDOITable"/>
            </w:pPr>
            <w:r>
              <w:rPr>
                <w:sz w:val="15"/>
              </w:rPr>
              <w:t>UX Screen Deck for the BDOI UX Design team: design foundation, navigation and personas, every flow step by step and every screen with all its states</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shd w:val="clear" w:color="auto" w:fill="E5F5FF"/>
          </w:tcPr>
          <w:p>
            <w:pPr>
              <w:pStyle w:val="BDOITable"/>
            </w:pPr>
            <w:r>
              <w:rPr>
                <w:sz w:val="15"/>
              </w:rPr>
              <w:t>08_BIBS_UXScreens_BRD-13_Data_Migration_v2.1.xlsx</w:t>
            </w:r>
          </w:p>
        </w:tc>
        <w:tc>
          <w:tcPr>
            <w:tcW w:type="dxa" w:w="3626"/>
            <w:tcMar>
              <w:top w:w="50" w:type="dxa"/>
              <w:bottom w:w="50" w:type="dxa"/>
              <w:left w:w="90" w:type="dxa"/>
              <w:right w:w="90" w:type="dxa"/>
            </w:tcMar>
            <w:shd w:val="clear" w:color="auto" w:fill="E5F5FF"/>
          </w:tcPr>
          <w:p>
            <w:pPr>
              <w:pStyle w:val="BDOITable"/>
            </w:pPr>
            <w:r>
              <w:rPr>
                <w:sz w:val="15"/>
              </w:rPr>
              <w:t>UX screen register: one row per screen image with the screen, personas, flow and step, state, FRS section and requirements, UXD status and comments, and the Changed in this issue flag</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tcPr>
          <w:p>
            <w:pPr>
              <w:pStyle w:val="BDOITable"/>
            </w:pPr>
            <w:r>
              <w:rPr>
                <w:sz w:val="15"/>
              </w:rPr>
              <w:t>09_BIBS_UXScreens_BRD-13_Data_Migration_v2.1.zip</w:t>
            </w:r>
          </w:p>
        </w:tc>
        <w:tc>
          <w:tcPr>
            <w:tcW w:type="dxa" w:w="3626"/>
            <w:tcMar>
              <w:top w:w="50" w:type="dxa"/>
              <w:bottom w:w="50" w:type="dxa"/>
              <w:left w:w="90" w:type="dxa"/>
              <w:right w:w="90" w:type="dxa"/>
            </w:tcMar>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Imported into the design tool at each issue</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Approver (Product Owner, Marketing Business System) and Program Manager, Business Project Services</w:t>
            </w:r>
          </w:p>
        </w:tc>
        <w:tc>
          <w:tcPr>
            <w:tcW w:type="dxa" w:w="7592"/>
            <w:tcMar>
              <w:top w:w="50" w:type="dxa"/>
              <w:bottom w:w="50" w:type="dxa"/>
              <w:left w:w="90" w:type="dxa"/>
              <w:right w:w="90" w:type="dxa"/>
            </w:tcMar>
          </w:tcPr>
          <w:p>
            <w:pPr>
              <w:pStyle w:val="BDOITable"/>
            </w:pPr>
            <w:r>
              <w:rPr>
                <w:sz w:val="16"/>
              </w:rPr>
              <w:t>00 Start Here; 01 Guide deck; Handbook Part A (approach, objects and decisions, cycles, cut-over) and the chapter Proposed business rules and clarifications for confirmation; workbook sheets Object catalogue, Proposed rules and Sign-off certificate</w:t>
            </w:r>
          </w:p>
        </w:tc>
      </w:tr>
      <w:tr>
        <w:tc>
          <w:tcPr>
            <w:tcW w:type="dxa" w:w="2380"/>
            <w:tcMar>
              <w:top w:w="50" w:type="dxa"/>
              <w:bottom w:w="50" w:type="dxa"/>
              <w:left w:w="90" w:type="dxa"/>
              <w:right w:w="90" w:type="dxa"/>
            </w:tcMar>
            <w:shd w:val="clear" w:color="auto" w:fill="E5F5FF"/>
          </w:tcPr>
          <w:p>
            <w:pPr>
              <w:pStyle w:val="BDOITable"/>
            </w:pPr>
            <w:r>
              <w:rPr>
                <w:b/>
                <w:sz w:val="16"/>
              </w:rPr>
              <w:t>Data owners per object: Marketing Business System (R01, R05, R06, C01, C03); Heads of Retail and Corporate Marketing (R03, C01); Operations (R04, R07, P01, F01-F04, F06); Comptrollership (R02, R08, F01, F02, G01, G03); Disbursement (R09, C03); Compliance and Analytics (C04, H01, H02); Renewal processing team (P03)</w:t>
            </w:r>
          </w:p>
        </w:tc>
        <w:tc>
          <w:tcPr>
            <w:tcW w:type="dxa" w:w="7592"/>
            <w:tcMar>
              <w:top w:w="50" w:type="dxa"/>
              <w:bottom w:w="50" w:type="dxa"/>
              <w:left w:w="90" w:type="dxa"/>
              <w:right w:w="90" w:type="dxa"/>
            </w:tcMar>
            <w:shd w:val="clear" w:color="auto" w:fill="E5F5FF"/>
          </w:tcPr>
          <w:p>
            <w:pPr>
              <w:pStyle w:val="BDOITable"/>
            </w:pPr>
            <w:r>
              <w:rPr>
                <w:sz w:val="16"/>
              </w:rPr>
              <w:t>Handbook Part A chapter 3 (objects and decisions) and chapter 6 (templates and mapping); the load template sheets of your objects, Code maps and Validation rules; Part C chapters 32 and 34 for the reconciliation and the samples you verify; workbook sheets Object catalogue, Data owners, Extract planning, Reconciliation sign-off</w:t>
            </w:r>
          </w:p>
        </w:tc>
      </w:tr>
      <w:tr>
        <w:tc>
          <w:tcPr>
            <w:tcW w:type="dxa" w:w="2380"/>
            <w:tcMar>
              <w:top w:w="50" w:type="dxa"/>
              <w:bottom w:w="50" w:type="dxa"/>
              <w:left w:w="90" w:type="dxa"/>
              <w:right w:w="90" w:type="dxa"/>
            </w:tcMar>
          </w:tcPr>
          <w:p>
            <w:pPr>
              <w:pStyle w:val="BDOITable"/>
            </w:pPr>
            <w:r>
              <w:rPr>
                <w:b/>
                <w:sz w:val="16"/>
              </w:rPr>
              <w:t>Comptrollership</w:t>
            </w:r>
          </w:p>
        </w:tc>
        <w:tc>
          <w:tcPr>
            <w:tcW w:type="dxa" w:w="7592"/>
            <w:tcMar>
              <w:top w:w="50" w:type="dxa"/>
              <w:bottom w:w="50" w:type="dxa"/>
              <w:left w:w="90" w:type="dxa"/>
              <w:right w:w="90" w:type="dxa"/>
            </w:tcMar>
          </w:tcPr>
          <w:p>
            <w:pPr>
              <w:pStyle w:val="BDOITable"/>
            </w:pPr>
            <w:r>
              <w:rPr>
                <w:sz w:val="16"/>
              </w:rPr>
              <w:t>Handbook Part A chapter 7 (legacy invoices and sub-ledgers) and chapter 11 (cut-over strategy); Part D chapter 44 (year-end cut-over); Part B screens Reconciliation and Opening-Balance Adjustments; Part C chapter 33 (Migration Clearing and the adjustment reconciliation); the proposed rules PR-DM-01, 02, 06, 10 and 14; workbook sheets G01, G03, G03D, F01C and Reconciliation sign-off</w:t>
            </w:r>
          </w:p>
        </w:tc>
      </w:tr>
      <w:tr>
        <w:tc>
          <w:tcPr>
            <w:tcW w:type="dxa" w:w="2380"/>
            <w:tcMar>
              <w:top w:w="50" w:type="dxa"/>
              <w:bottom w:w="50" w:type="dxa"/>
              <w:left w:w="90" w:type="dxa"/>
              <w:right w:w="90" w:type="dxa"/>
            </w:tcMar>
            <w:shd w:val="clear" w:color="auto" w:fill="E5F5FF"/>
          </w:tcPr>
          <w:p>
            <w:pPr>
              <w:pStyle w:val="BDOITable"/>
            </w:pPr>
            <w:r>
              <w:rPr>
                <w:b/>
                <w:sz w:val="16"/>
              </w:rPr>
              <w:t>Renewal processing team</w:t>
            </w:r>
          </w:p>
        </w:tc>
        <w:tc>
          <w:tcPr>
            <w:tcW w:type="dxa" w:w="7592"/>
            <w:tcMar>
              <w:top w:w="50" w:type="dxa"/>
              <w:bottom w:w="50" w:type="dxa"/>
              <w:left w:w="90" w:type="dxa"/>
              <w:right w:w="90" w:type="dxa"/>
            </w:tcMar>
            <w:shd w:val="clear" w:color="auto" w:fill="E5F5FF"/>
          </w:tcPr>
          <w:p>
            <w:pPr>
              <w:pStyle w:val="BDOITable"/>
            </w:pPr>
            <w:r>
              <w:rPr>
                <w:sz w:val="16"/>
              </w:rPr>
              <w:t>Handbook Part A chapter 8 (renewal-driven transition); Part B Batches (resubmissions of the RA-sent file); Part D tasks of the go-live renewal extraction and the day-1 queue; workbook sheet P03 and the load template workbook of P03 exported by the console</w:t>
            </w:r>
          </w:p>
        </w:tc>
      </w:tr>
      <w:tr>
        <w:tc>
          <w:tcPr>
            <w:tcW w:type="dxa" w:w="2380"/>
            <w:tcMar>
              <w:top w:w="50" w:type="dxa"/>
              <w:bottom w:w="50" w:type="dxa"/>
              <w:left w:w="90" w:type="dxa"/>
              <w:right w:w="90" w:type="dxa"/>
            </w:tcMar>
          </w:tcPr>
          <w:p>
            <w:pPr>
              <w:pStyle w:val="BDOITable"/>
            </w:pPr>
            <w:r>
              <w:rPr>
                <w:b/>
                <w:sz w:val="16"/>
              </w:rPr>
              <w:t>BDOI IT</w:t>
            </w:r>
          </w:p>
        </w:tc>
        <w:tc>
          <w:tcPr>
            <w:tcW w:type="dxa" w:w="7592"/>
            <w:tcMar>
              <w:top w:w="50" w:type="dxa"/>
              <w:bottom w:w="50" w:type="dxa"/>
              <w:left w:w="90" w:type="dxa"/>
              <w:right w:w="90" w:type="dxa"/>
            </w:tcMar>
          </w:tcPr>
          <w:p>
            <w:pPr>
              <w:pStyle w:val="BDOITable"/>
            </w:pPr>
            <w:r>
              <w:rPr>
                <w:sz w:val="16"/>
              </w:rPr>
              <w:t>Handbook Part A chapter 6 (templates, secure transfer, masking) and chapter 12 (data security); Part B Extracts and Layouts and Rules; Part D (freeze, final extracts, rollback, decommissioning); proposed rules PR-DM-03 and PR-DM-04; workbook sheets File rules, Load templates, Control file, Cut-over tasks</w:t>
            </w:r>
          </w:p>
        </w:tc>
      </w:tr>
      <w:tr>
        <w:tc>
          <w:tcPr>
            <w:tcW w:type="dxa" w:w="2380"/>
            <w:tcMar>
              <w:top w:w="50" w:type="dxa"/>
              <w:bottom w:w="50" w:type="dxa"/>
              <w:left w:w="90" w:type="dxa"/>
              <w:right w:w="90" w:type="dxa"/>
            </w:tcMar>
            <w:shd w:val="clear" w:color="auto" w:fill="E5F5FF"/>
          </w:tcPr>
          <w:p>
            <w:pPr>
              <w:pStyle w:val="BDOITable"/>
            </w:pPr>
            <w:r>
              <w:rPr>
                <w:b/>
                <w:sz w:val="16"/>
              </w:rPr>
              <w:t>BDOI UX Design team</w:t>
            </w:r>
          </w:p>
        </w:tc>
        <w:tc>
          <w:tcPr>
            <w:tcW w:type="dxa" w:w="7592"/>
            <w:tcMar>
              <w:top w:w="50" w:type="dxa"/>
              <w:bottom w:w="50" w:type="dxa"/>
              <w:left w:w="90" w:type="dxa"/>
              <w:right w:w="90" w:type="dxa"/>
            </w:tcMar>
            <w:shd w:val="clear" w:color="auto" w:fill="E5F5FF"/>
          </w:tcPr>
          <w:p>
            <w:pPr>
              <w:pStyle w:val="BDOITable"/>
            </w:pPr>
            <w:r>
              <w:rPr>
                <w:sz w:val="16"/>
              </w:rPr>
              <w:t>07 UX Screen Deck: design foundation and navigation first, then the personas, flows and screens of the design work; 08 UX screen register (filter Changed in this issue at each new issue); 09 image package in the design tool</w:t>
            </w:r>
          </w:p>
        </w:tc>
      </w:tr>
      <w:tr>
        <w:tc>
          <w:tcPr>
            <w:tcW w:type="dxa" w:w="2380"/>
            <w:tcMar>
              <w:top w:w="50" w:type="dxa"/>
              <w:bottom w:w="50" w:type="dxa"/>
              <w:left w:w="90" w:type="dxa"/>
              <w:right w:w="90" w:type="dxa"/>
            </w:tcMar>
          </w:tcPr>
          <w:p>
            <w:pPr>
              <w:pStyle w:val="BDOITable"/>
            </w:pPr>
            <w:r>
              <w:rPr>
                <w:b/>
                <w:sz w:val="16"/>
              </w:rPr>
              <w:t>iorta TechNXT project team</w:t>
            </w:r>
          </w:p>
        </w:tc>
        <w:tc>
          <w:tcPr>
            <w:tcW w:type="dxa" w:w="7592"/>
            <w:tcMar>
              <w:top w:w="50" w:type="dxa"/>
              <w:bottom w:w="50" w:type="dxa"/>
              <w:left w:w="90" w:type="dxa"/>
              <w:right w:w="90" w:type="dxa"/>
            </w:tcMar>
          </w:tcPr>
          <w:p>
            <w:pPr>
              <w:pStyle w:val="BDOITable"/>
            </w:pPr>
            <w:r>
              <w:rPr>
                <w:sz w:val="16"/>
              </w:rPr>
              <w:t>All documents; keeps the comments log, the meeting minutes and the version history of the workbook, answers every comment and keeps the traceability to the trial migrations, SIT and UAT</w:t>
            </w:r>
          </w:p>
        </w:tc>
      </w:tr>
    </w:tbl>
    <w:p>
      <w:pPr>
        <w:pStyle w:val="BDOISpacer"/>
      </w:pPr>
    </w:p>
    <w:p>
      <w:r>
        <w:rPr/>
        <w:t>SIT users of the seed data for the review: miglead (Data Migration Lead), migsteward (Data Steward), migowner (data owner), migops (Migration Operator), migrecon (reconciliation approver), miggonogo (go / no-go board), comptrol (Comptrollership), legacyaudit and legacyrev (Legacy Inquiry and its access log), cashier, cashtl and topmgmt (Unapplied to Income, Legacy PR 2307 Reversal), commrec and commtl (DP PR Legacy Reversal).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Set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v2.0 in the BRD-13 folder of Drop 0; invitations to the sessions; release set v2.1 re-based on the Data Migration BRD V0.03 on Thu 8-Oct-2026</w:t>
            </w:r>
          </w:p>
        </w:tc>
        <w:tc>
          <w:tcPr>
            <w:tcW w:type="dxa" w:w="1926"/>
            <w:tcMar>
              <w:top w:w="50" w:type="dxa"/>
              <w:bottom w:w="50" w:type="dxa"/>
              <w:left w:w="90" w:type="dxa"/>
              <w:right w:w="90" w:type="dxa"/>
            </w:tcMar>
          </w:tcPr>
          <w:p>
            <w:pPr>
              <w:pStyle w:val="BDOITable"/>
            </w:pPr>
            <w:r>
              <w:rPr>
                <w:sz w:val="15"/>
              </w:rPr>
              <w:t>Day 0 (Mon 5-Oct-2026); v2.1 on Thu 8-Oct-2026</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walkthrough of the Migration Console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Program Manager; C: data owners, Comptrollership, BDOI IT, Renewal processing team</w:t>
            </w:r>
          </w:p>
        </w:tc>
        <w:tc>
          <w:tcPr>
            <w:tcW w:type="dxa" w:w="2946"/>
            <w:tcMar>
              <w:top w:w="50" w:type="dxa"/>
              <w:bottom w:w="50" w:type="dxa"/>
              <w:left w:w="90" w:type="dxa"/>
              <w:right w:w="90" w:type="dxa"/>
            </w:tcMar>
            <w:shd w:val="clear" w:color="auto" w:fill="E5F5FF"/>
          </w:tcPr>
          <w:p>
            <w:pPr>
              <w:pStyle w:val="BDOITable"/>
            </w:pPr>
            <w:r>
              <w:rPr>
                <w:sz w:val="15"/>
              </w:rPr>
              <w:t>Console shown live;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3 sessions, 7 to 9-Oct-2026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 decisions on the proposed rules</w:t>
            </w:r>
          </w:p>
        </w:tc>
        <w:tc>
          <w:tcPr>
            <w:tcW w:type="dxa" w:w="2946"/>
            <w:tcMar>
              <w:top w:w="50" w:type="dxa"/>
              <w:bottom w:w="50" w:type="dxa"/>
              <w:left w:w="90" w:type="dxa"/>
              <w:right w:w="90" w:type="dxa"/>
            </w:tcMar>
          </w:tcPr>
          <w:p>
            <w:pPr>
              <w:pStyle w:val="BDOITable"/>
            </w:pPr>
            <w:r>
              <w:rPr>
                <w:sz w:val="15"/>
              </w:rPr>
              <w:t>R: data owners and their stewards, Comptrollership, BDOI IT; A: Program Manager;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decisions on the rules needed by 16-Oct-2026 (M1); comments log entries</w:t>
            </w:r>
          </w:p>
        </w:tc>
        <w:tc>
          <w:tcPr>
            <w:tcW w:type="dxa" w:w="1926"/>
            <w:tcMar>
              <w:top w:w="50" w:type="dxa"/>
              <w:bottom w:w="50" w:type="dxa"/>
              <w:left w:w="90" w:type="dxa"/>
              <w:right w:w="90" w:type="dxa"/>
            </w:tcMar>
          </w:tcPr>
          <w:p>
            <w:pPr>
              <w:pStyle w:val="BDOITable"/>
            </w:pPr>
            <w:r>
              <w:rPr>
                <w:sz w:val="15"/>
              </w:rPr>
              <w:t>Until Wed 21-Oct-2026 (M1 rules by Fri 16-Oct-2026)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Program Manager;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Mon 26-Oct-2026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(v2.2)</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v2.2 with the changed rows marked and the decided rules and clarifications applied; change requests raised for the rest</w:t>
            </w:r>
          </w:p>
        </w:tc>
        <w:tc>
          <w:tcPr>
            <w:tcW w:type="dxa" w:w="1926"/>
            <w:tcMar>
              <w:top w:w="50" w:type="dxa"/>
              <w:bottom w:w="50" w:type="dxa"/>
              <w:left w:w="90" w:type="dxa"/>
              <w:right w:w="90" w:type="dxa"/>
            </w:tcMar>
          </w:tcPr>
          <w:p>
            <w:pPr>
              <w:pStyle w:val="BDOITable"/>
            </w:pPr>
            <w:r>
              <w:rPr>
                <w:sz w:val="15"/>
              </w:rPr>
              <w:t>v2.2 on Wed 28-Oct-2026; check by the reviewers until Thu 29-Oct-2026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Product Owner, Marketing Business System; C: Program Manager, data owners, Comptrollership,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objects decided (G1) and layouts frozen, version 1 (M2)</w:t>
            </w:r>
          </w:p>
        </w:tc>
        <w:tc>
          <w:tcPr>
            <w:tcW w:type="dxa" w:w="1926"/>
            <w:tcMar>
              <w:top w:w="50" w:type="dxa"/>
              <w:bottom w:w="50" w:type="dxa"/>
              <w:left w:w="90" w:type="dxa"/>
              <w:right w:w="90" w:type="dxa"/>
            </w:tcMar>
            <w:shd w:val="clear" w:color="auto" w:fill="E5F5FF"/>
          </w:tcPr>
          <w:p>
            <w:pPr>
              <w:pStyle w:val="BDOITable"/>
            </w:pPr>
            <w:r>
              <w:rPr>
                <w:sz w:val="15"/>
              </w:rPr>
              <w:t>Fri 30-Oct-2026 (M2)</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Handover to the migration runs</w:t>
            </w:r>
          </w:p>
        </w:tc>
        <w:tc>
          <w:tcPr>
            <w:tcW w:type="dxa" w:w="2946"/>
            <w:tcMar>
              <w:top w:w="50" w:type="dxa"/>
              <w:bottom w:w="50" w:type="dxa"/>
              <w:left w:w="90" w:type="dxa"/>
              <w:right w:w="90" w:type="dxa"/>
            </w:tcMar>
          </w:tcPr>
          <w:p>
            <w:pPr>
              <w:pStyle w:val="BDOITable"/>
            </w:pPr>
            <w:r>
              <w:rPr>
                <w:sz w:val="15"/>
              </w:rPr>
              <w:t>R: iorta TechNXT delivery lead; A: Program Manager; I: BDOI IT, other BRD owners</w:t>
            </w:r>
          </w:p>
        </w:tc>
        <w:tc>
          <w:tcPr>
            <w:tcW w:type="dxa" w:w="2946"/>
            <w:tcMar>
              <w:top w:w="50" w:type="dxa"/>
              <w:bottom w:w="50" w:type="dxa"/>
              <w:left w:w="90" w:type="dxa"/>
              <w:right w:w="90" w:type="dxa"/>
            </w:tcMar>
          </w:tcPr>
          <w:p>
            <w:pPr>
              <w:pStyle w:val="BDOITable"/>
            </w:pPr>
            <w:r>
              <w:rPr>
                <w:sz w:val="15"/>
              </w:rPr>
              <w:t>Decisions and owners entered in the Migration Console; first full extracts in the templates by 29-Jan-2027 (M3)</w:t>
            </w:r>
          </w:p>
        </w:tc>
        <w:tc>
          <w:tcPr>
            <w:tcW w:type="dxa" w:w="1926"/>
            <w:tcMar>
              <w:top w:w="50" w:type="dxa"/>
              <w:bottom w:w="50" w:type="dxa"/>
              <w:left w:w="90" w:type="dxa"/>
              <w:right w:w="90" w:type="dxa"/>
            </w:tcMar>
          </w:tcPr>
          <w:p>
            <w:pPr>
              <w:pStyle w:val="BDOITable"/>
            </w:pPr>
            <w:r>
              <w:rPr>
                <w:sz w:val="15"/>
              </w:rPr>
              <w:t>From Mon 2-Nov-2026</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the trial migrations,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Program Manager; C: data owners</w:t>
            </w:r>
          </w:p>
        </w:tc>
        <w:tc>
          <w:tcPr>
            <w:tcW w:type="dxa" w:w="2946"/>
            <w:tcMar>
              <w:top w:w="50" w:type="dxa"/>
              <w:bottom w:w="50" w:type="dxa"/>
              <w:left w:w="90" w:type="dxa"/>
              <w:right w:w="90" w:type="dxa"/>
            </w:tcMar>
            <w:shd w:val="clear" w:color="auto" w:fill="E5F5FF"/>
          </w:tcPr>
          <w:p>
            <w:pPr>
              <w:pStyle w:val="BDOITable"/>
            </w:pPr>
            <w:r>
              <w:rPr>
                <w:sz w:val="15"/>
              </w:rPr>
              <w:t>Trial migrations 1 to 4 and the dress rehearsal run and signed against the set; results against each row</w:t>
            </w:r>
          </w:p>
        </w:tc>
        <w:tc>
          <w:tcPr>
            <w:tcW w:type="dxa" w:w="1926"/>
            <w:tcMar>
              <w:top w:w="50" w:type="dxa"/>
              <w:bottom w:w="50" w:type="dxa"/>
              <w:left w:w="90" w:type="dxa"/>
              <w:right w:w="90" w:type="dxa"/>
            </w:tcMar>
            <w:shd w:val="clear" w:color="auto" w:fill="E5F5FF"/>
          </w:tcPr>
          <w:p>
            <w:pPr>
              <w:pStyle w:val="BDOITable"/>
            </w:pPr>
            <w:r>
              <w:rPr>
                <w:sz w:val="15"/>
              </w:rPr>
              <w:t>Trial migrations Apr - Oct 2027; dress rehearsal Nov 2027; cut-over Jan 2028</w:t>
            </w:r>
          </w:p>
        </w:tc>
      </w:tr>
    </w:tbl>
    <w:p>
      <w:pPr>
        <w:pStyle w:val="BDOISpacer"/>
      </w:pPr>
    </w:p>
    <w:p>
      <w:r>
        <w:rPr>
          <w:b/>
        </w:rPr>
        <w:t>How to review.</w:t>
      </w:r>
      <w:r>
        <w:rPr/>
        <w:t xml:space="preserve"> Read the Handbook part of your role, or follow the same screens on SIT during the sessions. In the Migration Workbook, set BU review to Accept, Change requested or Comment on each row of your objects (sheets Object catalogue, Data owners, Extract planning, Code maps, Validation rules, Cut-over tasks, Reconciliation sign-off; on the load template sheets, listed in load order on the sheet Load templates, the BU review rows above each column) and on the screen sheets, write the change in BU comment, and add your name and the date. On the sheet Proposed rules, record the BDOI decision on each proposed rule. Questions go to the Comments log sheet, with the load template and the column when they concern one. One workbook per unit is enough.</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Wed 7-Oct-2026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with the guide deck; the approach, the objects and their decisions; Migration Home, Data Objects, Code Maps, Layouts and Rules, and the load templates</w:t>
            </w:r>
          </w:p>
        </w:tc>
        <w:tc>
          <w:tcPr>
            <w:tcW w:type="dxa" w:w="2493"/>
            <w:tcMar>
              <w:top w:w="50" w:type="dxa"/>
              <w:bottom w:w="50" w:type="dxa"/>
              <w:left w:w="90" w:type="dxa"/>
              <w:right w:w="90" w:type="dxa"/>
            </w:tcMar>
          </w:tcPr>
          <w:p>
            <w:pPr>
              <w:pStyle w:val="BDOITable"/>
            </w:pPr>
            <w:r>
              <w:rPr>
                <w:sz w:val="18"/>
              </w:rPr>
              <w:t>Business owner, data owners, Data Migration Lead, BDOI IT</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Thu 8-Oct-2026</w:t>
            </w:r>
          </w:p>
        </w:tc>
        <w:tc>
          <w:tcPr>
            <w:tcW w:type="dxa" w:w="1360"/>
            <w:tcMar>
              <w:top w:w="50" w:type="dxa"/>
              <w:bottom w:w="50" w:type="dxa"/>
              <w:left w:w="90" w:type="dxa"/>
              <w:right w:w="90" w:type="dxa"/>
            </w:tcMar>
            <w:shd w:val="clear" w:color="auto" w:fill="E5F5FF"/>
          </w:tcPr>
          <w:p>
            <w:pPr>
              <w:pStyle w:val="BDOITable"/>
            </w:pPr>
            <w:r>
              <w:rPr>
                <w:sz w:val="18"/>
              </w:rPr>
              <w:t>09:30-12:30</w:t>
            </w:r>
          </w:p>
        </w:tc>
        <w:tc>
          <w:tcPr>
            <w:tcW w:type="dxa" w:w="4079"/>
            <w:tcMar>
              <w:top w:w="50" w:type="dxa"/>
              <w:bottom w:w="50" w:type="dxa"/>
              <w:left w:w="90" w:type="dxa"/>
              <w:right w:w="90" w:type="dxa"/>
            </w:tcMar>
            <w:shd w:val="clear" w:color="auto" w:fill="E5F5FF"/>
          </w:tcPr>
          <w:p>
            <w:pPr>
              <w:pStyle w:val="BDOITable"/>
            </w:pPr>
            <w:r>
              <w:rPr>
                <w:sz w:val="18"/>
              </w:rPr>
              <w:t>One object from extract to acceptance: Extracts, Batches and a batch, Client Matching, Reconciliation, Sign-off; rejected rows and the resubmission of the RA-sent file</w:t>
            </w:r>
          </w:p>
        </w:tc>
        <w:tc>
          <w:tcPr>
            <w:tcW w:type="dxa" w:w="2493"/>
            <w:tcMar>
              <w:top w:w="50" w:type="dxa"/>
              <w:bottom w:w="50" w:type="dxa"/>
              <w:left w:w="90" w:type="dxa"/>
              <w:right w:w="90" w:type="dxa"/>
            </w:tcMar>
            <w:shd w:val="clear" w:color="auto" w:fill="E5F5FF"/>
          </w:tcPr>
          <w:p>
            <w:pPr>
              <w:pStyle w:val="BDOITable"/>
            </w:pPr>
            <w:r>
              <w:rPr>
                <w:sz w:val="18"/>
              </w:rPr>
              <w:t>Data owners and stewards, Renewal processing team, BDOI IT</w:t>
            </w:r>
          </w:p>
        </w:tc>
      </w:tr>
      <w:tr>
        <w:trPr>
          <w:cantSplit w:val="true"/>
        </w:trPr>
        <w:tc>
          <w:tcPr>
            <w:tcW w:type="dxa" w:w="2040"/>
            <w:tcMar>
              <w:top w:w="50" w:type="dxa"/>
              <w:bottom w:w="50" w:type="dxa"/>
              <w:left w:w="90" w:type="dxa"/>
              <w:right w:w="90" w:type="dxa"/>
            </w:tcMar>
          </w:tcPr>
          <w:p>
            <w:pPr>
              <w:pStyle w:val="BDOITable"/>
            </w:pPr>
            <w:r>
              <w:rPr>
                <w:sz w:val="18"/>
              </w:rPr>
              <w:t>Fri 9-Oct-2026</w:t>
            </w:r>
          </w:p>
        </w:tc>
        <w:tc>
          <w:tcPr>
            <w:tcW w:type="dxa" w:w="1360"/>
            <w:tcMar>
              <w:top w:w="50" w:type="dxa"/>
              <w:bottom w:w="50" w:type="dxa"/>
              <w:left w:w="90" w:type="dxa"/>
              <w:right w:w="90" w:type="dxa"/>
            </w:tcMar>
          </w:tcPr>
          <w:p>
            <w:pPr>
              <w:pStyle w:val="BDOITable"/>
            </w:pPr>
            <w:r>
              <w:rPr>
                <w:sz w:val="18"/>
              </w:rPr>
              <w:t>09:30-12:30</w:t>
            </w:r>
          </w:p>
        </w:tc>
        <w:tc>
          <w:tcPr>
            <w:tcW w:type="dxa" w:w="4079"/>
            <w:tcMar>
              <w:top w:w="50" w:type="dxa"/>
              <w:bottom w:w="50" w:type="dxa"/>
              <w:left w:w="90" w:type="dxa"/>
              <w:right w:w="90" w:type="dxa"/>
            </w:tcMar>
          </w:tcPr>
          <w:p>
            <w:pPr>
              <w:pStyle w:val="BDOITable"/>
            </w:pPr>
            <w:r>
              <w:rPr>
                <w:sz w:val="18"/>
              </w:rPr>
              <w:t>Financial objects and the cut-over: legacy invoices on Invoice 360, the legacy batches, Opening-Balance Adjustments, Migration Clearing, Cutover and go / no-go, Run-off and Decommissioning, Legacy Inquiry</w:t>
            </w:r>
          </w:p>
        </w:tc>
        <w:tc>
          <w:tcPr>
            <w:tcW w:type="dxa" w:w="2493"/>
            <w:tcMar>
              <w:top w:w="50" w:type="dxa"/>
              <w:bottom w:w="50" w:type="dxa"/>
              <w:left w:w="90" w:type="dxa"/>
              <w:right w:w="90" w:type="dxa"/>
            </w:tcMar>
          </w:tcPr>
          <w:p>
            <w:pPr>
              <w:pStyle w:val="BDOITable"/>
            </w:pPr>
            <w:r>
              <w:rPr>
                <w:sz w:val="18"/>
              </w:rPr>
              <w:t>Comptrollership, Operations, Cashiering, Commission, Compliance, BDOI IT</w:t>
            </w:r>
          </w:p>
        </w:tc>
      </w:tr>
    </w:tbl>
    <w:p>
      <w:pPr>
        <w:pStyle w:val="BDOISpacer"/>
      </w:pPr>
    </w:p>
    <w:p>
      <w:pPr>
        <w:pStyle w:val="Caption"/>
        <w:keepNext/>
        <w:spacing w:after="60"/>
      </w:pPr>
      <w:r>
        <w:rPr>
          <w:b/>
          <w:i w:val="0"/>
        </w:rPr>
        <w:t xml:space="preserve">Table 5: </w:t>
      </w:r>
      <w:r>
        <w:rPr/>
        <w:t>Key dates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7449"/>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7449"/>
            <w:shd w:val="clear" w:color="auto" w:fill="004EA8"/>
            <w:tcMar>
              <w:top w:w="50" w:type="dxa"/>
              <w:bottom w:w="50" w:type="dxa"/>
              <w:left w:w="90" w:type="dxa"/>
              <w:right w:w="90" w:type="dxa"/>
            </w:tcMar>
            <w:vAlign w:val="center"/>
          </w:tcPr>
          <w:p>
            <w:pPr>
              <w:pStyle w:val="BDOITableHeader"/>
            </w:pPr>
            <w:r>
              <w:rPr>
                <w:b/>
                <w:color w:val="FFFFFF"/>
                <w:sz w:val="18"/>
              </w:rPr>
              <w:t>What</w:t>
            </w:r>
          </w:p>
        </w:tc>
      </w:tr>
      <w:tr>
        <w:trPr>
          <w:cantSplit w:val="true"/>
        </w:trPr>
        <w:tc>
          <w:tcPr>
            <w:tcW w:type="dxa" w:w="2523"/>
            <w:tcMar>
              <w:top w:w="50" w:type="dxa"/>
              <w:bottom w:w="50" w:type="dxa"/>
              <w:left w:w="90" w:type="dxa"/>
              <w:right w:w="90" w:type="dxa"/>
            </w:tcMar>
          </w:tcPr>
          <w:p>
            <w:pPr>
              <w:pStyle w:val="BDOITable"/>
            </w:pPr>
            <w:r>
              <w:rPr>
                <w:sz w:val="18"/>
              </w:rPr>
              <w:t>Mon 5-Oct-2026</w:t>
            </w:r>
          </w:p>
        </w:tc>
        <w:tc>
          <w:tcPr>
            <w:tcW w:type="dxa" w:w="7449"/>
            <w:tcMar>
              <w:top w:w="50" w:type="dxa"/>
              <w:bottom w:w="50" w:type="dxa"/>
              <w:left w:w="90" w:type="dxa"/>
              <w:right w:w="90" w:type="dxa"/>
            </w:tcMar>
          </w:tcPr>
          <w:p>
            <w:pPr>
              <w:pStyle w:val="BDOITable"/>
            </w:pPr>
            <w:r>
              <w:rPr>
                <w:sz w:val="18"/>
              </w:rPr>
              <w:t>Set issued (release set v2.0)</w:t>
            </w:r>
          </w:p>
        </w:tc>
      </w:tr>
      <w:tr>
        <w:trPr>
          <w:cantSplit w:val="true"/>
        </w:trPr>
        <w:tc>
          <w:tcPr>
            <w:tcW w:type="dxa" w:w="2523"/>
            <w:tcMar>
              <w:top w:w="50" w:type="dxa"/>
              <w:bottom w:w="50" w:type="dxa"/>
              <w:left w:w="90" w:type="dxa"/>
              <w:right w:w="90" w:type="dxa"/>
            </w:tcMar>
            <w:shd w:val="clear" w:color="auto" w:fill="E5F5FF"/>
          </w:tcPr>
          <w:p>
            <w:pPr>
              <w:pStyle w:val="BDOITable"/>
            </w:pPr>
            <w:r>
              <w:rPr>
                <w:sz w:val="18"/>
              </w:rPr>
              <w:t>Thu 8-Oct-2026</w:t>
            </w:r>
          </w:p>
        </w:tc>
        <w:tc>
          <w:tcPr>
            <w:tcW w:type="dxa" w:w="7449"/>
            <w:tcMar>
              <w:top w:w="50" w:type="dxa"/>
              <w:bottom w:w="50" w:type="dxa"/>
              <w:left w:w="90" w:type="dxa"/>
              <w:right w:w="90" w:type="dxa"/>
            </w:tcMar>
            <w:shd w:val="clear" w:color="auto" w:fill="E5F5FF"/>
          </w:tcPr>
          <w:p>
            <w:pPr>
              <w:pStyle w:val="BDOITable"/>
            </w:pPr>
            <w:r>
              <w:rPr>
                <w:sz w:val="18"/>
              </w:rPr>
              <w:t>Release set v2.1 re-based on BRD V0.03, with the clarifications CLR-DM-01 to CLR-DM-20</w:t>
            </w:r>
          </w:p>
        </w:tc>
      </w:tr>
      <w:tr>
        <w:trPr>
          <w:cantSplit w:val="true"/>
        </w:trPr>
        <w:tc>
          <w:tcPr>
            <w:tcW w:type="dxa" w:w="2523"/>
            <w:tcMar>
              <w:top w:w="50" w:type="dxa"/>
              <w:bottom w:w="50" w:type="dxa"/>
              <w:left w:w="90" w:type="dxa"/>
              <w:right w:w="90" w:type="dxa"/>
            </w:tcMar>
          </w:tcPr>
          <w:p>
            <w:pPr>
              <w:pStyle w:val="BDOITable"/>
            </w:pPr>
            <w:r>
              <w:rPr>
                <w:sz w:val="18"/>
              </w:rPr>
              <w:t>7 to 9-Oct-2026</w:t>
            </w:r>
          </w:p>
        </w:tc>
        <w:tc>
          <w:tcPr>
            <w:tcW w:type="dxa" w:w="7449"/>
            <w:tcMar>
              <w:top w:w="50" w:type="dxa"/>
              <w:bottom w:w="50" w:type="dxa"/>
              <w:left w:w="90" w:type="dxa"/>
              <w:right w:w="90" w:type="dxa"/>
            </w:tcMar>
          </w:tcPr>
          <w:p>
            <w:pPr>
              <w:pStyle w:val="BDOITable"/>
            </w:pPr>
            <w:r>
              <w:rPr>
                <w:sz w:val="18"/>
              </w:rPr>
              <w:t>Kick-off and SIT walkthroughs</w:t>
            </w:r>
          </w:p>
        </w:tc>
      </w:tr>
      <w:tr>
        <w:trPr>
          <w:cantSplit w:val="true"/>
        </w:trPr>
        <w:tc>
          <w:tcPr>
            <w:tcW w:type="dxa" w:w="2523"/>
            <w:tcMar>
              <w:top w:w="50" w:type="dxa"/>
              <w:bottom w:w="50" w:type="dxa"/>
              <w:left w:w="90" w:type="dxa"/>
              <w:right w:w="90" w:type="dxa"/>
            </w:tcMar>
            <w:shd w:val="clear" w:color="auto" w:fill="E5F5FF"/>
          </w:tcPr>
          <w:p>
            <w:pPr>
              <w:pStyle w:val="BDOITable"/>
            </w:pPr>
            <w:r>
              <w:rPr>
                <w:sz w:val="18"/>
              </w:rPr>
              <w:t>Fri 16-Oct-2026</w:t>
            </w:r>
          </w:p>
        </w:tc>
        <w:tc>
          <w:tcPr>
            <w:tcW w:type="dxa" w:w="7449"/>
            <w:tcMar>
              <w:top w:w="50" w:type="dxa"/>
              <w:bottom w:w="50" w:type="dxa"/>
              <w:left w:w="90" w:type="dxa"/>
              <w:right w:w="90" w:type="dxa"/>
            </w:tcMar>
            <w:shd w:val="clear" w:color="auto" w:fill="E5F5FF"/>
          </w:tcPr>
          <w:p>
            <w:pPr>
              <w:pStyle w:val="BDOITable"/>
            </w:pPr>
            <w:r>
              <w:rPr>
                <w:sz w:val="18"/>
              </w:rPr>
              <w:t>Decisions on the proposed rules marked M1</w:t>
            </w:r>
          </w:p>
        </w:tc>
      </w:tr>
      <w:tr>
        <w:trPr>
          <w:cantSplit w:val="true"/>
        </w:trPr>
        <w:tc>
          <w:tcPr>
            <w:tcW w:type="dxa" w:w="2523"/>
            <w:tcMar>
              <w:top w:w="50" w:type="dxa"/>
              <w:bottom w:w="50" w:type="dxa"/>
              <w:left w:w="90" w:type="dxa"/>
              <w:right w:w="90" w:type="dxa"/>
            </w:tcMar>
          </w:tcPr>
          <w:p>
            <w:pPr>
              <w:pStyle w:val="BDOITable"/>
            </w:pPr>
            <w:r>
              <w:rPr>
                <w:sz w:val="18"/>
              </w:rPr>
              <w:t>Wed 21-Oct-2026</w:t>
            </w:r>
          </w:p>
        </w:tc>
        <w:tc>
          <w:tcPr>
            <w:tcW w:type="dxa" w:w="7449"/>
            <w:tcMar>
              <w:top w:w="50" w:type="dxa"/>
              <w:bottom w:w="50" w:type="dxa"/>
              <w:left w:w="90" w:type="dxa"/>
              <w:right w:w="90" w:type="dxa"/>
            </w:tcMar>
          </w:tcPr>
          <w:p>
            <w:pPr>
              <w:pStyle w:val="BDOITable"/>
            </w:pPr>
            <w:r>
              <w:rPr>
                <w:sz w:val="18"/>
              </w:rPr>
              <w:t>Reviewed workbooks returned to the project team</w:t>
            </w:r>
          </w:p>
        </w:tc>
      </w:tr>
      <w:tr>
        <w:trPr>
          <w:cantSplit w:val="true"/>
        </w:trPr>
        <w:tc>
          <w:tcPr>
            <w:tcW w:type="dxa" w:w="2523"/>
            <w:tcMar>
              <w:top w:w="50" w:type="dxa"/>
              <w:bottom w:w="50" w:type="dxa"/>
              <w:left w:w="90" w:type="dxa"/>
              <w:right w:w="90" w:type="dxa"/>
            </w:tcMar>
            <w:shd w:val="clear" w:color="auto" w:fill="E5F5FF"/>
          </w:tcPr>
          <w:p>
            <w:pPr>
              <w:pStyle w:val="BDOITable"/>
            </w:pPr>
            <w:r>
              <w:rPr>
                <w:sz w:val="18"/>
              </w:rPr>
              <w:t>Mon 26-Oct-2026</w:t>
            </w:r>
          </w:p>
        </w:tc>
        <w:tc>
          <w:tcPr>
            <w:tcW w:type="dxa" w:w="7449"/>
            <w:tcMar>
              <w:top w:w="50" w:type="dxa"/>
              <w:bottom w:w="50" w:type="dxa"/>
              <w:left w:w="90" w:type="dxa"/>
              <w:right w:w="90" w:type="dxa"/>
            </w:tcMar>
            <w:shd w:val="clear" w:color="auto" w:fill="E5F5FF"/>
          </w:tcPr>
          <w:p>
            <w:pPr>
              <w:pStyle w:val="BDOITable"/>
            </w:pPr>
            <w:r>
              <w:rPr>
                <w:sz w:val="18"/>
              </w:rPr>
              <w:t>Q&amp;A session on the consolidated comments log</w:t>
            </w:r>
          </w:p>
        </w:tc>
      </w:tr>
      <w:tr>
        <w:trPr>
          <w:cantSplit w:val="true"/>
        </w:trPr>
        <w:tc>
          <w:tcPr>
            <w:tcW w:type="dxa" w:w="2523"/>
            <w:tcMar>
              <w:top w:w="50" w:type="dxa"/>
              <w:bottom w:w="50" w:type="dxa"/>
              <w:left w:w="90" w:type="dxa"/>
              <w:right w:w="90" w:type="dxa"/>
            </w:tcMar>
          </w:tcPr>
          <w:p>
            <w:pPr>
              <w:pStyle w:val="BDOITable"/>
            </w:pPr>
            <w:r>
              <w:rPr>
                <w:sz w:val="18"/>
              </w:rPr>
              <w:t>Wed 28-Oct-2026</w:t>
            </w:r>
          </w:p>
        </w:tc>
        <w:tc>
          <w:tcPr>
            <w:tcW w:type="dxa" w:w="7449"/>
            <w:tcMar>
              <w:top w:w="50" w:type="dxa"/>
              <w:bottom w:w="50" w:type="dxa"/>
              <w:left w:w="90" w:type="dxa"/>
              <w:right w:w="90" w:type="dxa"/>
            </w:tcMar>
          </w:tcPr>
          <w:p>
            <w:pPr>
              <w:pStyle w:val="BDOITable"/>
            </w:pPr>
            <w:r>
              <w:rPr>
                <w:sz w:val="18"/>
              </w:rPr>
              <w:t>Release set v2.2 with the agreed corrections and the BDOI decisions on the clarifications, when needed</w:t>
            </w:r>
          </w:p>
        </w:tc>
      </w:tr>
      <w:tr>
        <w:trPr>
          <w:cantSplit w:val="true"/>
        </w:trPr>
        <w:tc>
          <w:tcPr>
            <w:tcW w:type="dxa" w:w="2523"/>
            <w:tcMar>
              <w:top w:w="50" w:type="dxa"/>
              <w:bottom w:w="50" w:type="dxa"/>
              <w:left w:w="90" w:type="dxa"/>
              <w:right w:w="90" w:type="dxa"/>
            </w:tcMar>
            <w:shd w:val="clear" w:color="auto" w:fill="E5F5FF"/>
          </w:tcPr>
          <w:p>
            <w:pPr>
              <w:pStyle w:val="BDOITable"/>
            </w:pPr>
            <w:r>
              <w:rPr>
                <w:sz w:val="18"/>
              </w:rPr>
              <w:t>Fri 30-Oct-2026</w:t>
            </w:r>
          </w:p>
        </w:tc>
        <w:tc>
          <w:tcPr>
            <w:tcW w:type="dxa" w:w="7449"/>
            <w:tcMar>
              <w:top w:w="50" w:type="dxa"/>
              <w:bottom w:w="50" w:type="dxa"/>
              <w:left w:w="90" w:type="dxa"/>
              <w:right w:w="90" w:type="dxa"/>
            </w:tcMar>
            <w:shd w:val="clear" w:color="auto" w:fill="E5F5FF"/>
          </w:tcPr>
          <w:p>
            <w:pPr>
              <w:pStyle w:val="BDOITable"/>
            </w:pPr>
            <w:r>
              <w:rPr>
                <w:sz w:val="18"/>
              </w:rPr>
              <w:t>Sign-off meeting (M2): objects decided, layouts frozen, owners named</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reports and templates that the user sees or fills in, the validations, business rules, messages, notifications, documents, walkthroughs and reports. The business users sign that content. Technical content (the interfaces between systems, data storage, security set-up) is not part of the set: it is in the Technical Specification, a separate document reviewed by BDOI IT. The roles are those of the approval sheet of the BRD: iorta TechNXT prepares the set, the business units provide the input and review their parts, BDOI IT reviews the interfaces, the user access and the Technical Specification, the Program Manager of Business Project Services reviews the traceability and the completeness, and the Product Owner approves the whole set.</w:t>
      </w:r>
    </w:p>
    <w:p>
      <w:pPr>
        <w:pStyle w:val="Caption"/>
        <w:keepNext/>
        <w:spacing w:after="60"/>
      </w:pPr>
      <w:r>
        <w:rPr>
          <w:b/>
          <w:i w:val="0"/>
        </w:rPr>
        <w:t xml:space="preserve">Table 6: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Migration objects, decisions and extract planning (Handbook Part A; workbook Objects, Extract planning)</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Data Migration Lead, Data owners</w:t>
            </w:r>
          </w:p>
        </w:tc>
        <w:tc>
          <w:tcPr>
            <w:tcW w:type="dxa" w:w="1700"/>
            <w:tcMar>
              <w:top w:w="50" w:type="dxa"/>
              <w:bottom w:w="50" w:type="dxa"/>
              <w:left w:w="90" w:type="dxa"/>
              <w:right w:w="90" w:type="dxa"/>
            </w:tcMar>
          </w:tcPr>
          <w:p>
            <w:pPr>
              <w:pStyle w:val="BDOITable"/>
            </w:pPr>
            <w:r>
              <w:rPr>
                <w:sz w:val="15"/>
              </w:rPr>
              <w:t>Program Manager (BPS), BA Unit Head (BPS), MBS</w:t>
            </w:r>
          </w:p>
        </w:tc>
        <w:tc>
          <w:tcPr>
            <w:tcW w:type="dxa" w:w="2153"/>
            <w:tcMar>
              <w:top w:w="50" w:type="dxa"/>
              <w:bottom w:w="50" w:type="dxa"/>
              <w:left w:w="90" w:type="dxa"/>
              <w:right w:w="90" w:type="dxa"/>
            </w:tcMar>
          </w:tcPr>
          <w:p>
            <w:pPr>
              <w:pStyle w:val="BDOITable"/>
            </w:pPr>
            <w:r>
              <w:rPr>
                <w:sz w:val="15"/>
              </w:rPr>
              <w:t>Product Owner (MBS), PO Disbursement, PO FRBS and ACSL, Operations, Head Operations, UH Claims and TU, UH Combank and Corbank, Head Comptrollership, Head Retail Marketing, Head Corporate and Retail Marketing</w:t>
            </w:r>
          </w:p>
        </w:tc>
      </w:tr>
      <w:tr>
        <w:tc>
          <w:tcPr>
            <w:tcW w:type="dxa" w:w="2946"/>
            <w:tcMar>
              <w:top w:w="50" w:type="dxa"/>
              <w:bottom w:w="50" w:type="dxa"/>
              <w:left w:w="90" w:type="dxa"/>
              <w:right w:w="90" w:type="dxa"/>
            </w:tcMar>
            <w:shd w:val="clear" w:color="auto" w:fill="E5F5FF"/>
          </w:tcPr>
          <w:p>
            <w:pPr>
              <w:pStyle w:val="BDOITable"/>
            </w:pPr>
            <w:r>
              <w:rPr>
                <w:b/>
                <w:sz w:val="15"/>
              </w:rPr>
              <w:t>Load templates, code maps and data-quality rules (the columns BDOI fills in)</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Data owners, BDOI IT</w:t>
            </w:r>
          </w:p>
        </w:tc>
        <w:tc>
          <w:tcPr>
            <w:tcW w:type="dxa" w:w="1700"/>
            <w:tcMar>
              <w:top w:w="50" w:type="dxa"/>
              <w:bottom w:w="50" w:type="dxa"/>
              <w:left w:w="90" w:type="dxa"/>
              <w:right w:w="90" w:type="dxa"/>
            </w:tcMar>
            <w:shd w:val="clear" w:color="auto" w:fill="E5F5FF"/>
          </w:tcPr>
          <w:p>
            <w:pPr>
              <w:pStyle w:val="BDOITable"/>
            </w:pPr>
            <w:r>
              <w:rPr>
                <w:sz w:val="15"/>
              </w:rPr>
              <w:t>MBS, Program Manager (BPS)</w:t>
            </w:r>
          </w:p>
        </w:tc>
        <w:tc>
          <w:tcPr>
            <w:tcW w:type="dxa" w:w="2153"/>
            <w:tcMar>
              <w:top w:w="50" w:type="dxa"/>
              <w:bottom w:w="50" w:type="dxa"/>
              <w:left w:w="90" w:type="dxa"/>
              <w:right w:w="90" w:type="dxa"/>
            </w:tcMar>
            <w:shd w:val="clear" w:color="auto" w:fill="E5F5FF"/>
          </w:tcPr>
          <w:p>
            <w:pPr>
              <w:pStyle w:val="BDOITable"/>
            </w:pPr>
            <w:r>
              <w:rPr>
                <w:sz w:val="15"/>
              </w:rPr>
              <w:t>Product Owner (MBS), Head Comptrollership, Head Operations</w:t>
            </w:r>
          </w:p>
        </w:tc>
      </w:tr>
      <w:tr>
        <w:tc>
          <w:tcPr>
            <w:tcW w:type="dxa" w:w="2946"/>
            <w:tcMar>
              <w:top w:w="50" w:type="dxa"/>
              <w:bottom w:w="50" w:type="dxa"/>
              <w:left w:w="90" w:type="dxa"/>
              <w:right w:w="90" w:type="dxa"/>
            </w:tcMar>
          </w:tcPr>
          <w:p>
            <w:pPr>
              <w:pStyle w:val="BDOITable"/>
            </w:pPr>
            <w:r>
              <w:rPr>
                <w:b/>
                <w:sz w:val="15"/>
              </w:rPr>
              <w:t>Screens and fields of the Migration Console and Legacy Inquiry (Handbook Part B)</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Data Migration Lead</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(MBS)</w:t>
            </w:r>
          </w:p>
        </w:tc>
      </w:tr>
      <w:tr>
        <w:tc>
          <w:tcPr>
            <w:tcW w:type="dxa" w:w="2946"/>
            <w:tcMar>
              <w:top w:w="50" w:type="dxa"/>
              <w:bottom w:w="50" w:type="dxa"/>
              <w:left w:w="90" w:type="dxa"/>
              <w:right w:w="90" w:type="dxa"/>
            </w:tcMar>
            <w:shd w:val="clear" w:color="auto" w:fill="E5F5FF"/>
          </w:tcPr>
          <w:p>
            <w:pPr>
              <w:pStyle w:val="BDOITable"/>
            </w:pPr>
            <w:r>
              <w:rPr>
                <w:b/>
                <w:sz w:val="15"/>
              </w:rPr>
              <w:t>UX screen deck, UX screen register and image package (07 to 09, for the BDOI UX Design team; the screens as specified in this set)</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Data Migration Lead</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 (MBS)</w:t>
            </w:r>
          </w:p>
        </w:tc>
      </w:tr>
      <w:tr>
        <w:tc>
          <w:tcPr>
            <w:tcW w:type="dxa" w:w="2946"/>
            <w:tcMar>
              <w:top w:w="50" w:type="dxa"/>
              <w:bottom w:w="50" w:type="dxa"/>
              <w:left w:w="90" w:type="dxa"/>
              <w:right w:w="90" w:type="dxa"/>
            </w:tcMar>
          </w:tcPr>
          <w:p>
            <w:pPr>
              <w:pStyle w:val="BDOITable"/>
            </w:pPr>
            <w:r>
              <w:rPr>
                <w:b/>
                <w:sz w:val="15"/>
              </w:rPr>
              <w:t>Business rules, validations, messages and notifications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Data Migration Lead, Data owners</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(MBS)</w:t>
            </w:r>
          </w:p>
        </w:tc>
      </w:tr>
      <w:tr>
        <w:tc>
          <w:tcPr>
            <w:tcW w:type="dxa" w:w="2946"/>
            <w:tcMar>
              <w:top w:w="50" w:type="dxa"/>
              <w:bottom w:w="50" w:type="dxa"/>
              <w:left w:w="90" w:type="dxa"/>
              <w:right w:w="90" w:type="dxa"/>
            </w:tcMar>
            <w:shd w:val="clear" w:color="auto" w:fill="E5F5FF"/>
          </w:tcPr>
          <w:p>
            <w:pPr>
              <w:pStyle w:val="BDOITable"/>
            </w:pPr>
            <w:r>
              <w:rPr>
                <w:b/>
                <w:sz w:val="15"/>
              </w:rPr>
              <w:t>Reconciliation and migration reports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Data owners</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 (MBS), Head Comptrollership, PO FRBS and ACSL</w:t>
            </w:r>
          </w:p>
        </w:tc>
      </w:tr>
      <w:tr>
        <w:tc>
          <w:tcPr>
            <w:tcW w:type="dxa" w:w="2946"/>
            <w:tcMar>
              <w:top w:w="50" w:type="dxa"/>
              <w:bottom w:w="50" w:type="dxa"/>
              <w:left w:w="90" w:type="dxa"/>
              <w:right w:w="90" w:type="dxa"/>
            </w:tcMar>
          </w:tcPr>
          <w:p>
            <w:pPr>
              <w:pStyle w:val="BDOITable"/>
            </w:pPr>
            <w:r>
              <w:rPr>
                <w:b/>
                <w:sz w:val="15"/>
              </w:rPr>
              <w:t>Cut-over plan, go / no-go and rollback</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Data Migration Lead, BDOI IT</w:t>
            </w:r>
          </w:p>
        </w:tc>
        <w:tc>
          <w:tcPr>
            <w:tcW w:type="dxa" w:w="1700"/>
            <w:tcMar>
              <w:top w:w="50" w:type="dxa"/>
              <w:bottom w:w="50" w:type="dxa"/>
              <w:left w:w="90" w:type="dxa"/>
              <w:right w:w="90" w:type="dxa"/>
            </w:tcMar>
          </w:tcPr>
          <w:p>
            <w:pPr>
              <w:pStyle w:val="BDOITable"/>
            </w:pPr>
            <w:r>
              <w:rPr>
                <w:sz w:val="15"/>
              </w:rPr>
              <w:t>Program Manager (BPS), BDOI IT</w:t>
            </w:r>
          </w:p>
        </w:tc>
        <w:tc>
          <w:tcPr>
            <w:tcW w:type="dxa" w:w="2153"/>
            <w:tcMar>
              <w:top w:w="50" w:type="dxa"/>
              <w:bottom w:w="50" w:type="dxa"/>
              <w:left w:w="90" w:type="dxa"/>
              <w:right w:w="90" w:type="dxa"/>
            </w:tcMar>
          </w:tcPr>
          <w:p>
            <w:pPr>
              <w:pStyle w:val="BDOITable"/>
            </w:pPr>
            <w:r>
              <w:rPr>
                <w:sz w:val="15"/>
              </w:rPr>
              <w:t>Product Owner (MBS), Head Comptrollership, Head Operations</w:t>
            </w:r>
          </w:p>
        </w:tc>
      </w:tr>
      <w:tr>
        <w:tc>
          <w:tcPr>
            <w:tcW w:type="dxa" w:w="2946"/>
            <w:tcMar>
              <w:top w:w="50" w:type="dxa"/>
              <w:bottom w:w="50" w:type="dxa"/>
              <w:left w:w="90" w:type="dxa"/>
              <w:right w:w="90" w:type="dxa"/>
            </w:tcMar>
            <w:shd w:val="clear" w:color="auto" w:fill="E5F5FF"/>
          </w:tcPr>
          <w:p>
            <w:pPr>
              <w:pStyle w:val="BDOITable"/>
            </w:pPr>
            <w:r>
              <w:rPr>
                <w:b/>
                <w:sz w:val="15"/>
              </w:rPr>
              <w:t>Proposed business rules and clarifications for confirmation; open decisions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Program Manager (BPS), Data Migration Lead</w:t>
            </w:r>
          </w:p>
        </w:tc>
        <w:tc>
          <w:tcPr>
            <w:tcW w:type="dxa" w:w="1700"/>
            <w:tcMar>
              <w:top w:w="50" w:type="dxa"/>
              <w:bottom w:w="50" w:type="dxa"/>
              <w:left w:w="90" w:type="dxa"/>
              <w:right w:w="90" w:type="dxa"/>
            </w:tcMar>
            <w:shd w:val="clear" w:color="auto" w:fill="E5F5FF"/>
          </w:tcPr>
          <w:p>
            <w:pPr>
              <w:pStyle w:val="BDOITable"/>
            </w:pPr>
            <w:r>
              <w:rPr>
                <w:sz w:val="15"/>
              </w:rPr>
              <w:t>Program Manager (BPS), BA Unit Head (BPS)</w:t>
            </w:r>
          </w:p>
        </w:tc>
        <w:tc>
          <w:tcPr>
            <w:tcW w:type="dxa" w:w="2153"/>
            <w:tcMar>
              <w:top w:w="50" w:type="dxa"/>
              <w:bottom w:w="50" w:type="dxa"/>
              <w:left w:w="90" w:type="dxa"/>
              <w:right w:w="90" w:type="dxa"/>
            </w:tcMar>
            <w:shd w:val="clear" w:color="auto" w:fill="E5F5FF"/>
          </w:tcPr>
          <w:p>
            <w:pPr>
              <w:pStyle w:val="BDOITable"/>
            </w:pPr>
            <w:r>
              <w:rPr>
                <w:sz w:val="15"/>
              </w:rPr>
              <w:t>Product Owner (MBS)</w:t>
            </w:r>
          </w:p>
        </w:tc>
      </w:tr>
      <w:tr>
        <w:tc>
          <w:tcPr>
            <w:tcW w:type="dxa" w:w="2946"/>
            <w:tcMar>
              <w:top w:w="50" w:type="dxa"/>
              <w:bottom w:w="50" w:type="dxa"/>
              <w:left w:w="90" w:type="dxa"/>
              <w:right w:w="90" w:type="dxa"/>
            </w:tcMar>
          </w:tcPr>
          <w:p>
            <w:pPr>
              <w:pStyle w:val="BDOITable"/>
            </w:pPr>
            <w:r>
              <w:rPr>
                <w:b/>
                <w:sz w:val="15"/>
              </w:rPr>
              <w:t>Test plan (04 workbook, 05 summary)</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Data Migration Lead, Data owners</w:t>
            </w:r>
          </w:p>
        </w:tc>
        <w:tc>
          <w:tcPr>
            <w:tcW w:type="dxa" w:w="1700"/>
            <w:tcMar>
              <w:top w:w="50" w:type="dxa"/>
              <w:bottom w:w="50" w:type="dxa"/>
              <w:left w:w="90" w:type="dxa"/>
              <w:right w:w="90" w:type="dxa"/>
            </w:tcMar>
          </w:tcPr>
          <w:p>
            <w:pPr>
              <w:pStyle w:val="BDOITable"/>
            </w:pPr>
            <w:r>
              <w:rPr>
                <w:sz w:val="15"/>
              </w:rPr>
              <w:t>Program Manager (BPS), BDOI IT</w:t>
            </w:r>
          </w:p>
        </w:tc>
        <w:tc>
          <w:tcPr>
            <w:tcW w:type="dxa" w:w="2153"/>
            <w:tcMar>
              <w:top w:w="50" w:type="dxa"/>
              <w:bottom w:w="50" w:type="dxa"/>
              <w:left w:w="90" w:type="dxa"/>
              <w:right w:w="90" w:type="dxa"/>
            </w:tcMar>
          </w:tcPr>
          <w:p>
            <w:pPr>
              <w:pStyle w:val="BDOITable"/>
            </w:pPr>
            <w:r>
              <w:rPr>
                <w:sz w:val="15"/>
              </w:rPr>
              <w:t>Product Owner (MBS)</w:t>
            </w:r>
          </w:p>
        </w:tc>
      </w:tr>
      <w:tr>
        <w:tc>
          <w:tcPr>
            <w:tcW w:type="dxa" w:w="2946"/>
            <w:tcMar>
              <w:top w:w="50" w:type="dxa"/>
              <w:bottom w:w="50" w:type="dxa"/>
              <w:left w:w="90" w:type="dxa"/>
              <w:right w:w="90" w:type="dxa"/>
            </w:tcMar>
            <w:shd w:val="clear" w:color="auto" w:fill="E5F5FF"/>
          </w:tcPr>
          <w:p>
            <w:pPr>
              <w:pStyle w:val="BDOITable"/>
            </w:pPr>
            <w:r>
              <w:rPr>
                <w:b/>
                <w:sz w:val="15"/>
              </w:rPr>
              <w:t>Technical Specification (separate document: extract transfer, environments, backup and restore)</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BDOI IT</w:t>
            </w:r>
          </w:p>
        </w:tc>
        <w:tc>
          <w:tcPr>
            <w:tcW w:type="dxa" w:w="1700"/>
            <w:tcMar>
              <w:top w:w="50" w:type="dxa"/>
              <w:bottom w:w="50" w:type="dxa"/>
              <w:left w:w="90" w:type="dxa"/>
              <w:right w:w="90" w:type="dxa"/>
            </w:tcMar>
            <w:shd w:val="clear" w:color="auto" w:fill="E5F5FF"/>
          </w:tcPr>
          <w:p>
            <w:pPr>
              <w:pStyle w:val="BDOITable"/>
            </w:pPr>
            <w:r>
              <w:rPr>
                <w:sz w:val="15"/>
              </w:rPr>
              <w:t>BDOI IT</w:t>
            </w:r>
          </w:p>
        </w:tc>
        <w:tc>
          <w:tcPr>
            <w:tcW w:type="dxa" w:w="2153"/>
            <w:tcMar>
              <w:top w:w="50" w:type="dxa"/>
              <w:bottom w:w="50" w:type="dxa"/>
              <w:left w:w="90" w:type="dxa"/>
              <w:right w:w="90" w:type="dxa"/>
            </w:tcMar>
            <w:shd w:val="clear" w:color="auto" w:fill="E5F5FF"/>
          </w:tcPr>
          <w:p>
            <w:pPr>
              <w:pStyle w:val="BDOITable"/>
            </w:pPr>
            <w:r>
              <w:rPr>
                <w:sz w:val="15"/>
              </w:rPr>
              <w:t>BDOI IT</w:t>
            </w:r>
          </w:p>
        </w:tc>
      </w:tr>
    </w:tbl>
    <w:p>
      <w:pPr>
        <w:pStyle w:val="BDOISpacer"/>
      </w:pPr>
    </w:p>
    <w:p>
      <w:pPr>
        <w:pStyle w:val="Caption"/>
        <w:keepNext/>
        <w:spacing w:after="60"/>
      </w:pPr>
      <w:r>
        <w:rPr>
          <w:b/>
          <w:i w:val="0"/>
        </w:rPr>
        <w:t xml:space="preserve">Table 7: </w:t>
      </w:r>
      <w:r>
        <w:rPr/>
        <w:t>Signatories and what each confirms (BRD-13 approval pages p.19-20 (BRD V0.03, signed 15 to 19 May 2026))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Migration Lead,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Migration Console;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Handbook and the Migration Workbook)</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Program Manager, Enterprise Services Group - Business Project Services (BPS)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(author of the BRD); traceability of every BRD requirement and completeness of the set; chairs the go / no-go board</w:t>
            </w:r>
          </w:p>
        </w:tc>
        <w:tc>
          <w:tcPr>
            <w:tcW w:type="dxa" w:w="2040"/>
            <w:tcMar>
              <w:top w:w="50" w:type="dxa"/>
              <w:bottom w:w="50" w:type="dxa"/>
              <w:left w:w="90" w:type="dxa"/>
              <w:right w:w="90" w:type="dxa"/>
            </w:tcMar>
            <w:shd w:val="clear" w:color="auto" w:fill="E5F5FF"/>
          </w:tcPr>
          <w:p>
            <w:pPr>
              <w:pStyle w:val="BDOITable"/>
            </w:pPr>
            <w:r>
              <w:rPr>
                <w:sz w:val="15"/>
              </w:rPr>
              <w:t>Prepared by (p.19)</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Data Migration Lead (BDOI)</w:t>
            </w:r>
          </w:p>
        </w:tc>
        <w:tc>
          <w:tcPr>
            <w:tcW w:type="dxa" w:w="3853"/>
            <w:tcMar>
              <w:top w:w="50" w:type="dxa"/>
              <w:bottom w:w="50" w:type="dxa"/>
              <w:left w:w="90" w:type="dxa"/>
              <w:right w:w="90" w:type="dxa"/>
            </w:tcMar>
          </w:tcPr>
          <w:p>
            <w:pPr>
              <w:pStyle w:val="BDOITable"/>
            </w:pPr>
            <w:r>
              <w:rPr>
                <w:sz w:val="15"/>
              </w:rPr>
              <w:t>The object decisions, the trial migrations, the gates and the cut-over plan match the business input</w:t>
            </w:r>
          </w:p>
        </w:tc>
        <w:tc>
          <w:tcPr>
            <w:tcW w:type="dxa" w:w="2040"/>
            <w:tcMar>
              <w:top w:w="50" w:type="dxa"/>
              <w:bottom w:w="50" w:type="dxa"/>
              <w:left w:w="90" w:type="dxa"/>
              <w:right w:w="90" w:type="dxa"/>
            </w:tcMar>
          </w:tcPr>
          <w:p>
            <w:pPr>
              <w:pStyle w:val="BDOITable"/>
            </w:pPr>
            <w:r>
              <w:rPr>
                <w:sz w:val="15"/>
              </w:rPr>
              <w:t>Added for this set</w:t>
            </w:r>
          </w:p>
        </w:tc>
      </w:tr>
      <w:tr>
        <w:tc>
          <w:tcPr>
            <w:tcW w:type="dxa" w:w="1246"/>
            <w:tcMar>
              <w:top w:w="50" w:type="dxa"/>
              <w:bottom w:w="50" w:type="dxa"/>
              <w:left w:w="90" w:type="dxa"/>
              <w:right w:w="90" w:type="dxa"/>
            </w:tcMar>
            <w:shd w:val="clear" w:color="auto" w:fill="E5F5FF"/>
          </w:tcPr>
          <w:p>
            <w:pPr>
              <w:pStyle w:val="BDOITable"/>
            </w:pPr>
            <w:r>
              <w:rPr>
                <w:sz w:val="15"/>
              </w:rPr>
              <w:t>Input provided by</w:t>
            </w:r>
          </w:p>
        </w:tc>
        <w:tc>
          <w:tcPr>
            <w:tcW w:type="dxa" w:w="2833"/>
            <w:tcMar>
              <w:top w:w="50" w:type="dxa"/>
              <w:bottom w:w="50" w:type="dxa"/>
              <w:left w:w="90" w:type="dxa"/>
              <w:right w:w="90" w:type="dxa"/>
            </w:tcMar>
            <w:shd w:val="clear" w:color="auto" w:fill="E5F5FF"/>
          </w:tcPr>
          <w:p>
            <w:pPr>
              <w:pStyle w:val="BDOITable"/>
            </w:pPr>
            <w:r>
              <w:rPr>
                <w:sz w:val="15"/>
              </w:rPr>
              <w:t>Data owners of the objects (department representatives named per object) (BDOI)</w:t>
            </w:r>
          </w:p>
        </w:tc>
        <w:tc>
          <w:tcPr>
            <w:tcW w:type="dxa" w:w="3853"/>
            <w:tcMar>
              <w:top w:w="50" w:type="dxa"/>
              <w:bottom w:w="50" w:type="dxa"/>
              <w:left w:w="90" w:type="dxa"/>
              <w:right w:w="90" w:type="dxa"/>
            </w:tcMar>
            <w:shd w:val="clear" w:color="auto" w:fill="E5F5FF"/>
          </w:tcPr>
          <w:p>
            <w:pPr>
              <w:pStyle w:val="BDOITable"/>
            </w:pPr>
            <w:r>
              <w:rPr>
                <w:sz w:val="15"/>
              </w:rPr>
              <w:t>Their objects, load templates, code maps and reconciliation</w:t>
            </w:r>
          </w:p>
        </w:tc>
        <w:tc>
          <w:tcPr>
            <w:tcW w:type="dxa" w:w="2040"/>
            <w:tcMar>
              <w:top w:w="50" w:type="dxa"/>
              <w:bottom w:w="50" w:type="dxa"/>
              <w:left w:w="90" w:type="dxa"/>
              <w:right w:w="90" w:type="dxa"/>
            </w:tcMar>
            <w:shd w:val="clear" w:color="auto" w:fill="E5F5FF"/>
          </w:tcPr>
          <w:p>
            <w:pPr>
              <w:pStyle w:val="BDOITable"/>
            </w:pPr>
            <w:r>
              <w:rPr>
                <w:sz w:val="15"/>
              </w:rPr>
              <w:t>Added for this set (named per object in the Migration Workbook)</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BA Unit Head, Enterprise Services Group - Business Project Services (BDO Unibank ESG)</w:t>
            </w:r>
          </w:p>
        </w:tc>
        <w:tc>
          <w:tcPr>
            <w:tcW w:type="dxa" w:w="3853"/>
            <w:tcMar>
              <w:top w:w="50" w:type="dxa"/>
              <w:bottom w:w="50" w:type="dxa"/>
              <w:left w:w="90" w:type="dxa"/>
              <w:right w:w="90" w:type="dxa"/>
            </w:tcMar>
          </w:tcPr>
          <w:p>
            <w:pPr>
              <w:pStyle w:val="BDOITable"/>
            </w:pPr>
            <w:r>
              <w:rPr>
                <w:sz w:val="15"/>
              </w:rPr>
              <w:t>The set states the BRD requirements and their numbering as written; the proposed business rules and clarifications are listed</w:t>
            </w:r>
          </w:p>
        </w:tc>
        <w:tc>
          <w:tcPr>
            <w:tcW w:type="dxa" w:w="2040"/>
            <w:tcMar>
              <w:top w:w="50" w:type="dxa"/>
              <w:bottom w:w="50" w:type="dxa"/>
              <w:left w:w="90" w:type="dxa"/>
              <w:right w:w="90" w:type="dxa"/>
            </w:tcMar>
          </w:tcPr>
          <w:p>
            <w:pPr>
              <w:pStyle w:val="BDOITable"/>
            </w:pPr>
            <w:r>
              <w:rPr>
                <w:sz w:val="15"/>
              </w:rPr>
              <w:t>Reviewed by (p.19)</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Marketing Business System (MBS) (BDOI)</w:t>
            </w:r>
          </w:p>
        </w:tc>
        <w:tc>
          <w:tcPr>
            <w:tcW w:type="dxa" w:w="3853"/>
            <w:tcMar>
              <w:top w:w="50" w:type="dxa"/>
              <w:bottom w:w="50" w:type="dxa"/>
              <w:left w:w="90" w:type="dxa"/>
              <w:right w:w="90" w:type="dxa"/>
            </w:tcMar>
            <w:shd w:val="clear" w:color="auto" w:fill="E5F5FF"/>
          </w:tcPr>
          <w:p>
            <w:pPr>
              <w:pStyle w:val="BDOITable"/>
            </w:pPr>
            <w:r>
              <w:rPr>
                <w:sz w:val="15"/>
              </w:rPr>
              <w:t>The lists of values, products, packages, clients and payout accounts and their code maps</w:t>
            </w:r>
          </w:p>
        </w:tc>
        <w:tc>
          <w:tcPr>
            <w:tcW w:type="dxa" w:w="2040"/>
            <w:tcMar>
              <w:top w:w="50" w:type="dxa"/>
              <w:bottom w:w="50" w:type="dxa"/>
              <w:left w:w="90" w:type="dxa"/>
              <w:right w:w="90" w:type="dxa"/>
            </w:tcMar>
            <w:shd w:val="clear" w:color="auto" w:fill="E5F5FF"/>
          </w:tcPr>
          <w:p>
            <w:pPr>
              <w:pStyle w:val="BDOITable"/>
            </w:pPr>
            <w:r>
              <w:rPr>
                <w:sz w:val="15"/>
              </w:rPr>
              <w:t>Reviewed by (p.19)</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BDOI Information Technology Group (BDOI IT) (BDOI)</w:t>
            </w:r>
          </w:p>
        </w:tc>
        <w:tc>
          <w:tcPr>
            <w:tcW w:type="dxa" w:w="3853"/>
            <w:tcMar>
              <w:top w:w="50" w:type="dxa"/>
              <w:bottom w:w="50" w:type="dxa"/>
              <w:left w:w="90" w:type="dxa"/>
              <w:right w:w="90" w:type="dxa"/>
            </w:tcMar>
          </w:tcPr>
          <w:p>
            <w:pPr>
              <w:pStyle w:val="BDOITable"/>
            </w:pPr>
            <w:r>
              <w:rPr>
                <w:sz w:val="15"/>
              </w:rPr>
              <w:t>Extracts and their transfer, the legacy freeze and read-only access, decommissioning, and the Technical Specification (a separate document); not the business content</w:t>
            </w:r>
          </w:p>
        </w:tc>
        <w:tc>
          <w:tcPr>
            <w:tcW w:type="dxa" w:w="2040"/>
            <w:tcMar>
              <w:top w:w="50" w:type="dxa"/>
              <w:bottom w:w="50" w:type="dxa"/>
              <w:left w:w="90" w:type="dxa"/>
              <w:right w:w="90" w:type="dxa"/>
            </w:tcMar>
          </w:tcPr>
          <w:p>
            <w:pPr>
              <w:pStyle w:val="BDOITable"/>
            </w:pPr>
            <w:r>
              <w:rPr>
                <w:sz w:val="15"/>
              </w:rPr>
              <w:t>Added for this set</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Marketing Business System (BDOI)</w:t>
            </w:r>
          </w:p>
        </w:tc>
        <w:tc>
          <w:tcPr>
            <w:tcW w:type="dxa" w:w="3853"/>
            <w:tcMar>
              <w:top w:w="50" w:type="dxa"/>
              <w:bottom w:w="50" w:type="dxa"/>
              <w:left w:w="90" w:type="dxa"/>
              <w:right w:w="90" w:type="dxa"/>
            </w:tcMar>
            <w:shd w:val="clear" w:color="auto" w:fill="E5F5FF"/>
          </w:tcPr>
          <w:p>
            <w:pPr>
              <w:pStyle w:val="BDOITable"/>
            </w:pPr>
            <w:r>
              <w:rPr>
                <w:sz w:val="15"/>
              </w:rPr>
              <w:t>Owns the set and approves all of its contents</w:t>
            </w:r>
          </w:p>
        </w:tc>
        <w:tc>
          <w:tcPr>
            <w:tcW w:type="dxa" w:w="2040"/>
            <w:tcMar>
              <w:top w:w="50" w:type="dxa"/>
              <w:bottom w:w="50" w:type="dxa"/>
              <w:left w:w="90" w:type="dxa"/>
              <w:right w:w="90" w:type="dxa"/>
            </w:tcMar>
            <w:shd w:val="clear" w:color="auto" w:fill="E5F5FF"/>
          </w:tcPr>
          <w:p>
            <w:pPr>
              <w:pStyle w:val="BDOITable"/>
            </w:pPr>
            <w:r>
              <w:rPr>
                <w:sz w:val="15"/>
              </w:rPr>
              <w:t>Approved by (p.19)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 Comptrollership - Disbursement (BDOI)</w:t>
            </w:r>
          </w:p>
        </w:tc>
        <w:tc>
          <w:tcPr>
            <w:tcW w:type="dxa" w:w="3853"/>
            <w:tcMar>
              <w:top w:w="50" w:type="dxa"/>
              <w:bottom w:w="50" w:type="dxa"/>
              <w:left w:w="90" w:type="dxa"/>
              <w:right w:w="90" w:type="dxa"/>
            </w:tcMar>
          </w:tcPr>
          <w:p>
            <w:pPr>
              <w:pStyle w:val="BDOITable"/>
            </w:pPr>
            <w:r>
              <w:rPr>
                <w:sz w:val="15"/>
              </w:rPr>
              <w:t>Payees and open disbursements</w:t>
            </w:r>
          </w:p>
        </w:tc>
        <w:tc>
          <w:tcPr>
            <w:tcW w:type="dxa" w:w="2040"/>
            <w:tcMar>
              <w:top w:w="50" w:type="dxa"/>
              <w:bottom w:w="50" w:type="dxa"/>
              <w:left w:w="90" w:type="dxa"/>
              <w:right w:w="90" w:type="dxa"/>
            </w:tcMar>
          </w:tcPr>
          <w:p>
            <w:pPr>
              <w:pStyle w:val="BDOITable"/>
            </w:pPr>
            <w:r>
              <w:rPr>
                <w:sz w:val="15"/>
              </w:rPr>
              <w:t>Approved by (p.19)</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 Comptrollership - FRBS and ACSL (BDOI)</w:t>
            </w:r>
          </w:p>
        </w:tc>
        <w:tc>
          <w:tcPr>
            <w:tcW w:type="dxa" w:w="3853"/>
            <w:tcMar>
              <w:top w:w="50" w:type="dxa"/>
              <w:bottom w:w="50" w:type="dxa"/>
              <w:left w:w="90" w:type="dxa"/>
              <w:right w:w="90" w:type="dxa"/>
            </w:tcMar>
            <w:shd w:val="clear" w:color="auto" w:fill="E5F5FF"/>
          </w:tcPr>
          <w:p>
            <w:pPr>
              <w:pStyle w:val="BDOITable"/>
            </w:pPr>
            <w:r>
              <w:rPr>
                <w:sz w:val="15"/>
              </w:rPr>
              <w:t>GL opening, legacy accounts and the subsidiary ledger (accounting data, BRID_MIG 13.1)</w:t>
            </w:r>
          </w:p>
        </w:tc>
        <w:tc>
          <w:tcPr>
            <w:tcW w:type="dxa" w:w="2040"/>
            <w:tcMar>
              <w:top w:w="50" w:type="dxa"/>
              <w:bottom w:w="50" w:type="dxa"/>
              <w:left w:w="90" w:type="dxa"/>
              <w:right w:w="90" w:type="dxa"/>
            </w:tcMar>
            <w:shd w:val="clear" w:color="auto" w:fill="E5F5FF"/>
          </w:tcPr>
          <w:p>
            <w:pPr>
              <w:pStyle w:val="BDOITable"/>
            </w:pPr>
            <w:r>
              <w:rPr>
                <w:sz w:val="15"/>
              </w:rPr>
              <w:t>Approved by (p.19)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Operations: Financial Transactions and Processing (BDOI)</w:t>
            </w:r>
          </w:p>
        </w:tc>
        <w:tc>
          <w:tcPr>
            <w:tcW w:type="dxa" w:w="3853"/>
            <w:tcMar>
              <w:top w:w="50" w:type="dxa"/>
              <w:bottom w:w="50" w:type="dxa"/>
              <w:left w:w="90" w:type="dxa"/>
              <w:right w:w="90" w:type="dxa"/>
            </w:tcMar>
          </w:tcPr>
          <w:p>
            <w:pPr>
              <w:pStyle w:val="BDOITable"/>
            </w:pPr>
            <w:r>
              <w:rPr>
                <w:sz w:val="15"/>
              </w:rPr>
              <w:t>Open invoices, unapplied payments, collection state and remittance</w:t>
            </w:r>
          </w:p>
        </w:tc>
        <w:tc>
          <w:tcPr>
            <w:tcW w:type="dxa" w:w="2040"/>
            <w:tcMar>
              <w:top w:w="50" w:type="dxa"/>
              <w:bottom w:w="50" w:type="dxa"/>
              <w:left w:w="90" w:type="dxa"/>
              <w:right w:w="90" w:type="dxa"/>
            </w:tcMar>
          </w:tcPr>
          <w:p>
            <w:pPr>
              <w:pStyle w:val="BDOITable"/>
            </w:pPr>
            <w:r>
              <w:rPr>
                <w:sz w:val="15"/>
              </w:rPr>
              <w:t>Approved by (p.19)</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Operations (BDOI)</w:t>
            </w:r>
          </w:p>
        </w:tc>
        <w:tc>
          <w:tcPr>
            <w:tcW w:type="dxa" w:w="3853"/>
            <w:tcMar>
              <w:top w:w="50" w:type="dxa"/>
              <w:bottom w:w="50" w:type="dxa"/>
              <w:left w:w="90" w:type="dxa"/>
              <w:right w:w="90" w:type="dxa"/>
            </w:tcMar>
            <w:shd w:val="clear" w:color="auto" w:fill="E5F5FF"/>
          </w:tcPr>
          <w:p>
            <w:pPr>
              <w:pStyle w:val="BDOITable"/>
            </w:pPr>
            <w:r>
              <w:rPr>
                <w:sz w:val="15"/>
              </w:rPr>
              <w:t>Insurers, commission rates, policy headers, endorsements and e-policies</w:t>
            </w:r>
          </w:p>
        </w:tc>
        <w:tc>
          <w:tcPr>
            <w:tcW w:type="dxa" w:w="2040"/>
            <w:tcMar>
              <w:top w:w="50" w:type="dxa"/>
              <w:bottom w:w="50" w:type="dxa"/>
              <w:left w:w="90" w:type="dxa"/>
              <w:right w:w="90" w:type="dxa"/>
            </w:tcMar>
            <w:shd w:val="clear" w:color="auto" w:fill="E5F5FF"/>
          </w:tcPr>
          <w:p>
            <w:pPr>
              <w:pStyle w:val="BDOITable"/>
            </w:pPr>
            <w:r>
              <w:rPr>
                <w:sz w:val="15"/>
              </w:rPr>
              <w:t>Approved by (p.20)</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Unit Head - Claims, Analytics, Risk Management, Reinsurance and Technical Underwriting (BDOI)</w:t>
            </w:r>
          </w:p>
        </w:tc>
        <w:tc>
          <w:tcPr>
            <w:tcW w:type="dxa" w:w="3853"/>
            <w:tcMar>
              <w:top w:w="50" w:type="dxa"/>
              <w:bottom w:w="50" w:type="dxa"/>
              <w:left w:w="90" w:type="dxa"/>
              <w:right w:w="90" w:type="dxa"/>
            </w:tcMar>
          </w:tcPr>
          <w:p>
            <w:pPr>
              <w:pStyle w:val="BDOITable"/>
            </w:pPr>
            <w:r>
              <w:rPr>
                <w:sz w:val="15"/>
              </w:rPr>
              <w:t>Claims data (BRID_MIG 14.1); KYC documents, the archive, Legacy Inquiry and its access log; the renewal advices already sent and the day-1 renewal queue</w:t>
            </w:r>
          </w:p>
        </w:tc>
        <w:tc>
          <w:tcPr>
            <w:tcW w:type="dxa" w:w="2040"/>
            <w:tcMar>
              <w:top w:w="50" w:type="dxa"/>
              <w:bottom w:w="50" w:type="dxa"/>
              <w:left w:w="90" w:type="dxa"/>
              <w:right w:w="90" w:type="dxa"/>
            </w:tcMar>
          </w:tcPr>
          <w:p>
            <w:pPr>
              <w:pStyle w:val="BDOITable"/>
            </w:pPr>
            <w:r>
              <w:rPr>
                <w:sz w:val="15"/>
              </w:rPr>
              <w:t>Approved by (p.20, by e-mail)</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Unit Head - Combank and Corbank (BDOI)</w:t>
            </w:r>
          </w:p>
        </w:tc>
        <w:tc>
          <w:tcPr>
            <w:tcW w:type="dxa" w:w="3853"/>
            <w:tcMar>
              <w:top w:w="50" w:type="dxa"/>
              <w:bottom w:w="50" w:type="dxa"/>
              <w:left w:w="90" w:type="dxa"/>
              <w:right w:w="90" w:type="dxa"/>
            </w:tcMar>
            <w:shd w:val="clear" w:color="auto" w:fill="E5F5FF"/>
          </w:tcPr>
          <w:p>
            <w:pPr>
              <w:pStyle w:val="BDOITable"/>
            </w:pPr>
            <w:r>
              <w:rPr>
                <w:sz w:val="15"/>
              </w:rPr>
              <w:t>Clients and the sales organisation of Combank and Corbank</w:t>
            </w:r>
          </w:p>
        </w:tc>
        <w:tc>
          <w:tcPr>
            <w:tcW w:type="dxa" w:w="2040"/>
            <w:tcMar>
              <w:top w:w="50" w:type="dxa"/>
              <w:bottom w:w="50" w:type="dxa"/>
              <w:left w:w="90" w:type="dxa"/>
              <w:right w:w="90" w:type="dxa"/>
            </w:tcMar>
            <w:shd w:val="clear" w:color="auto" w:fill="E5F5FF"/>
          </w:tcPr>
          <w:p>
            <w:pPr>
              <w:pStyle w:val="BDOITable"/>
            </w:pPr>
            <w:r>
              <w:rPr>
                <w:sz w:val="15"/>
              </w:rPr>
              <w:t>Approved by (p.20)</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Comptrollership (BDOI)</w:t>
            </w:r>
          </w:p>
        </w:tc>
        <w:tc>
          <w:tcPr>
            <w:tcW w:type="dxa" w:w="3853"/>
            <w:tcMar>
              <w:top w:w="50" w:type="dxa"/>
              <w:bottom w:w="50" w:type="dxa"/>
              <w:left w:w="90" w:type="dxa"/>
              <w:right w:w="90" w:type="dxa"/>
            </w:tcMar>
          </w:tcPr>
          <w:p>
            <w:pPr>
              <w:pStyle w:val="BDOITable"/>
            </w:pPr>
            <w:r>
              <w:rPr>
                <w:sz w:val="15"/>
              </w:rPr>
              <w:t>Open items, GL opening, reconciliation and the opening-balance adjustments</w:t>
            </w:r>
          </w:p>
        </w:tc>
        <w:tc>
          <w:tcPr>
            <w:tcW w:type="dxa" w:w="2040"/>
            <w:tcMar>
              <w:top w:w="50" w:type="dxa"/>
              <w:bottom w:w="50" w:type="dxa"/>
              <w:left w:w="90" w:type="dxa"/>
              <w:right w:w="90" w:type="dxa"/>
            </w:tcMar>
          </w:tcPr>
          <w:p>
            <w:pPr>
              <w:pStyle w:val="BDOITable"/>
            </w:pPr>
            <w:r>
              <w:rPr>
                <w:sz w:val="15"/>
              </w:rPr>
              <w:t>Approved by (p.20)</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Retail Marketing (BDOI)</w:t>
            </w:r>
          </w:p>
        </w:tc>
        <w:tc>
          <w:tcPr>
            <w:tcW w:type="dxa" w:w="3853"/>
            <w:tcMar>
              <w:top w:w="50" w:type="dxa"/>
              <w:bottom w:w="50" w:type="dxa"/>
              <w:left w:w="90" w:type="dxa"/>
              <w:right w:w="90" w:type="dxa"/>
            </w:tcMar>
            <w:shd w:val="clear" w:color="auto" w:fill="E5F5FF"/>
          </w:tcPr>
          <w:p>
            <w:pPr>
              <w:pStyle w:val="BDOITable"/>
            </w:pPr>
            <w:r>
              <w:rPr>
                <w:sz w:val="15"/>
              </w:rPr>
              <w:t>Clients and the sales organisation of Retail Marketing</w:t>
            </w:r>
          </w:p>
        </w:tc>
        <w:tc>
          <w:tcPr>
            <w:tcW w:type="dxa" w:w="2040"/>
            <w:tcMar>
              <w:top w:w="50" w:type="dxa"/>
              <w:bottom w:w="50" w:type="dxa"/>
              <w:left w:w="90" w:type="dxa"/>
              <w:right w:w="90" w:type="dxa"/>
            </w:tcMar>
            <w:shd w:val="clear" w:color="auto" w:fill="E5F5FF"/>
          </w:tcPr>
          <w:p>
            <w:pPr>
              <w:pStyle w:val="BDOITable"/>
            </w:pPr>
            <w:r>
              <w:rPr>
                <w:sz w:val="15"/>
              </w:rPr>
              <w:t>Approved by (p.20)</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Corporate and Retail Marketing (BDOI)</w:t>
            </w:r>
          </w:p>
        </w:tc>
        <w:tc>
          <w:tcPr>
            <w:tcW w:type="dxa" w:w="3853"/>
            <w:tcMar>
              <w:top w:w="50" w:type="dxa"/>
              <w:bottom w:w="50" w:type="dxa"/>
              <w:left w:w="90" w:type="dxa"/>
              <w:right w:w="90" w:type="dxa"/>
            </w:tcMar>
          </w:tcPr>
          <w:p>
            <w:pPr>
              <w:pStyle w:val="BDOITable"/>
            </w:pPr>
            <w:r>
              <w:rPr>
                <w:sz w:val="15"/>
              </w:rPr>
              <w:t>Clients and the sales organisation of Corporate Marketing</w:t>
            </w:r>
          </w:p>
        </w:tc>
        <w:tc>
          <w:tcPr>
            <w:tcW w:type="dxa" w:w="2040"/>
            <w:tcMar>
              <w:top w:w="50" w:type="dxa"/>
              <w:bottom w:w="50" w:type="dxa"/>
              <w:left w:w="90" w:type="dxa"/>
              <w:right w:w="90" w:type="dxa"/>
            </w:tcMar>
          </w:tcPr>
          <w:p>
            <w:pPr>
              <w:pStyle w:val="BDOITable"/>
            </w:pPr>
            <w:r>
              <w:rPr>
                <w:sz w:val="15"/>
              </w:rPr>
              <w:t>Approved by (p.20)</w:t>
            </w:r>
          </w:p>
        </w:tc>
      </w:tr>
    </w:tbl>
    <w:p>
      <w:pPr>
        <w:pStyle w:val="BDOISpacer"/>
      </w:pPr>
    </w:p>
    <w:p>
      <w:r>
        <w:rPr/>
        <w:t>The signatories sign the Sign-off certificate sheet of the Migration Workbook in the same order: prepared by, input provided by, reviewed by, approved by.</w:t>
      </w:r>
    </w:p>
    <w:p>
      <w:pPr>
        <w:pStyle w:val="Heading1"/>
        <w:pBdr>
          <w:bottom w:val="single" w:sz="4" w:space="4" w:color="99C1E7"/>
        </w:pBdr>
      </w:pPr>
      <w:bookmarkStart w:id="106" w:name="_Toc000106"/>
      <w:r>
        <w:rPr/>
        <w:t>6 Change control after sign-off</w:t>
      </w:r>
      <w:bookmarkEnd w:id="106"/>
    </w:p>
    <w:p>
      <w:r>
        <w:rPr/>
        <w:t>Signing fixes the decisions per data object, the load templates and the control file, the code map sets, the validation rules, the screens, fields, actions, rules and messages of the Migration Console, the markers of migrated data, the legacy batches, the reconciliation per object, the sign-off gates, the cut-over plan and the cross-BRD contract as specified. Settings marked "default" (thresholds, tolerances, retention days, dates of the cut-over calendar) and the open decisions with their dates are not fixed. A change to anything fixed is raised in the Change Management Register with the object, layout, screen, rule or message concerned, assessed with its mandays and its effect on the other BRDs, approved by the owners of every BRD it touches, and delivered as a new version of the set; only the affected pages and layouts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BRD-13 Data Migration</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BIBS StartHere BRD-13 Data Migration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