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BRD-04 Collections Sign-off Pack, release set v2.1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BIBS-SH-BRD-04</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1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BRD-4 Collections business sign-off pack (replaces the release note of the set)</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08 Oct 2026</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p>
        </w:tc>
        <w:tc>
          <w:tcPr>
            <w:tcW w:type="dxa" w:w="2606"/>
            <w:tcMar>
              <w:top w:w="50" w:type="dxa"/>
              <w:bottom w:w="50" w:type="dxa"/>
              <w:left w:w="90" w:type="dxa"/>
              <w:right w:w="90" w:type="dxa"/>
            </w:tcMar>
            <w:shd w:val="clear" w:color="auto" w:fill="E5F5FF"/>
          </w:tcPr>
          <w:p>
            <w:pPr>
              <w:pStyle w:val="BDOITable"/>
            </w:pPr>
            <w:r>
              <w:rPr>
                <w:sz w:val="18"/>
              </w:rPr>
              <w:t>Re-based on the Collections (CLXN)_WS Addendum (minutes of 27-Apr-2026); user-story view and storyboard index added to the FRS; billing statements by Operations and check pick-up removed from scope</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Shellah Marie C. Miranda, AVP,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Jose Melvin Jarin, AVP, Product Owner; Marketing heads (Combank and Corbank, Retail Marketing); Head - Comptrollership</w:t>
            </w:r>
          </w:p>
        </w:tc>
        <w:tc>
          <w:tcPr>
            <w:tcW w:type="dxa" w:w="2266"/>
            <w:tcMar>
              <w:top w:w="50" w:type="dxa"/>
              <w:bottom w:w="50" w:type="dxa"/>
              <w:left w:w="90" w:type="dxa"/>
              <w:right w:w="90" w:type="dxa"/>
            </w:tcMar>
            <w:shd w:val="clear" w:color="auto" w:fill="E5F5FF"/>
          </w:tcPr>
          <w:p>
            <w:pPr>
              <w:pStyle w:val="BDOITable"/>
            </w:pPr>
            <w:r>
              <w:rPr>
                <w:sz w:val="18"/>
              </w:rPr>
              <w:t>Approvers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Sign-off of the addendum functions and of their units' rows</w:t>
            </w:r>
          </w:p>
        </w:tc>
      </w:tr>
      <w:tr>
        <w:trPr>
          <w:cantSplit w:val="true"/>
        </w:trPr>
        <w:tc>
          <w:tcPr>
            <w:tcW w:type="dxa" w:w="2606"/>
            <w:tcMar>
              <w:top w:w="50" w:type="dxa"/>
              <w:bottom w:w="50" w:type="dxa"/>
              <w:left w:w="90" w:type="dxa"/>
              <w:right w:w="90" w:type="dxa"/>
            </w:tcMar>
          </w:tcPr>
          <w:p>
            <w:pPr>
              <w:pStyle w:val="BDOITable"/>
            </w:pPr>
            <w:r>
              <w:rPr>
                <w:sz w:val="18"/>
              </w:rPr>
              <w:t>John Benedict S. Santos, VP and Head, BDOI Operations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process with Operations and of the exports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Collections and Marketing Support, HO Marketing Support BBG and Marketing; Operations FT&amp;P</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screens and rows of their units</w:t>
            </w:r>
          </w:p>
        </w:tc>
      </w:tr>
      <w:tr>
        <w:trPr>
          <w:cantSplit w:val="true"/>
        </w:trPr>
        <w:tc>
          <w:tcPr>
            <w:tcW w:type="dxa" w:w="2606"/>
            <w:tcMar>
              <w:top w:w="50" w:type="dxa"/>
              <w:bottom w:w="50" w:type="dxa"/>
              <w:left w:w="90" w:type="dxa"/>
              <w:right w:w="90" w:type="dxa"/>
            </w:tcMar>
          </w:tcPr>
          <w:p>
            <w:pPr>
              <w:pStyle w:val="BDOITable"/>
            </w:pPr>
            <w:r>
              <w:rPr>
                <w:sz w:val="18"/>
              </w:rPr>
              <w:t>Collection handlers and team leads, Marketing AOs, handlers and team leads, unapplied payment handlers, Cashiering and Commission Receivables</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their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Technology Group</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Scheduled runs, files, access; the Technical Specification</w:t>
            </w:r>
          </w:p>
        </w:tc>
      </w:tr>
      <w:tr>
        <w:trPr>
          <w:cantSplit w:val="true"/>
        </w:trPr>
        <w:tc>
          <w:tcPr>
            <w:tcW w:type="dxa" w:w="2606"/>
            <w:tcMar>
              <w:top w:w="50" w:type="dxa"/>
              <w:bottom w:w="50" w:type="dxa"/>
              <w:left w:w="90" w:type="dxa"/>
              <w:right w:w="90" w:type="dxa"/>
            </w:tcMar>
          </w:tcPr>
          <w:p>
            <w:pPr>
              <w:pStyle w:val="BDOITable"/>
            </w:pPr>
            <w:r>
              <w:rPr>
                <w:sz w:val="18"/>
              </w:rPr>
              <w:t>Dan Ace Cauton and Zean C. Ibay, ESG -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pack is for</w:t>
        </w:r>
        <w:r>
          <w:t xml:space="preserve">	</w:t>
        </w:r>
        <w:r>
          <w:t xml:space="preserve">4</w:t>
        </w:r>
      </w:hyperlink>
    </w:p>
    <w:p>
      <w:pPr>
        <w:pStyle w:val="toc1"/>
      </w:pPr>
      <w:hyperlink w:anchor="_Toc000102" w:history="1">
        <w:r>
          <w:t xml:space="preserve">2 The pack at a glance</w:t>
        </w:r>
        <w:r>
          <w:t xml:space="preserve">	</w:t>
        </w:r>
        <w:r>
          <w:t xml:space="preserve">4</w:t>
        </w:r>
      </w:hyperlink>
    </w:p>
    <w:p>
      <w:pPr>
        <w:pStyle w:val="toc1"/>
      </w:pPr>
      <w:hyperlink w:anchor="_Toc000103" w:history="1">
        <w:r>
          <w:t xml:space="preserve">3 Where to start</w:t>
        </w:r>
        <w:r>
          <w:t xml:space="preserve">	</w:t>
        </w:r>
        <w:r>
          <w:t xml:space="preserve">5</w:t>
        </w:r>
      </w:hyperlink>
    </w:p>
    <w:p>
      <w:pPr>
        <w:pStyle w:val="toc1"/>
      </w:pPr>
      <w:hyperlink w:anchor="_Toc000104" w:history="1">
        <w:r>
          <w:t xml:space="preserve">4 Steps up to closure</w:t>
        </w:r>
        <w:r>
          <w:t xml:space="preserve">	</w:t>
        </w:r>
        <w:r>
          <w:t xml:space="preserve">5</w:t>
        </w:r>
      </w:hyperlink>
    </w:p>
    <w:p>
      <w:pPr>
        <w:pStyle w:val="toc1"/>
      </w:pPr>
      <w:hyperlink w:anchor="_Toc000105" w:history="1">
        <w:r>
          <w:t xml:space="preserve">5 Who signs what</w:t>
        </w:r>
        <w:r>
          <w:t xml:space="preserve">	</w:t>
        </w:r>
        <w:r>
          <w:t xml:space="preserve">7</w:t>
        </w:r>
      </w:hyperlink>
    </w:p>
    <w:p>
      <w:pPr>
        <w:pStyle w:val="toc1"/>
      </w:pPr>
      <w:hyperlink w:anchor="_Toc000106" w:history="1">
        <w:r>
          <w:t xml:space="preserve">6 Change control after sign-off</w:t>
        </w:r>
        <w:r>
          <w:t xml:space="preserve">	</w:t>
        </w:r>
        <w:r>
          <w:t xml:space="preserve">8</w:t>
        </w:r>
      </w:hyperlink>
      <w:r>
        <w:fldChar w:fldCharType="end"/>
      </w:r>
    </w:p>
    <w:p>
      <w:pPr>
        <w:pStyle w:val="Heading1"/>
        <w:pageBreakBefore/>
        <w:pBdr>
          <w:bottom w:val="single" w:sz="4" w:space="4" w:color="99C1E7"/>
        </w:pBdr>
      </w:pPr>
      <w:bookmarkStart w:id="101" w:name="_Toc000101"/>
      <w:r>
        <w:rPr/>
        <w:t>1 What this pack is for</w:t>
      </w:r>
      <w:bookmarkEnd w:id="101"/>
    </w:p>
    <w:p>
      <w:r>
        <w:rPr/>
        <w:t>This pack shows the proposed BRD-4 Collections of BIBS, screen by screen, so that the Collections and Marketing units can confirm what they will get and sign it off: the PR Worklist and the collection account, assignment, collector dispositions and efforts, promises to pay, installment plans and statements of account, escalations, the collector side of the unapplied payments with the requests to Cashiering, the Collections files and the set-up. Signing freezes the content, the screens and the navigation of Collections; a later change goes through the Change Management Register with its mandays. The screenshots use fictitious seed data only.</w:t>
      </w:r>
    </w:p>
    <w:p>
      <w:r>
        <w:rPr>
          <w:b/>
        </w:rPr>
        <w:t>What changed in v2.1.</w:t>
      </w:r>
      <w:r>
        <w:rPr/>
        <w:t xml:space="preserve"> BDOI issued the Collections BRD again on 8 October 2026 with the minutes of the walkthrough of 27 April 2026 in front of the unchanged BRD. This version applies them: Operations generates and sends the statements of account and Collections sees them (CLR-CL-32); the check pick-up is removed from scope after the Operations Cashiering annex, so walkthrough A ends at the first collection effort (CLR-CL-33); Marketing owns the incentive campaigns; Collections Home gains the promise, installment and escalation tiles; every BRD page cited moves by two pages. The FRS now ends with a user-story view of every BRD requirement and a storyboard index of the walkthrough frames. Chapter 21 lists the new points for confirmation, CLR-CL-32 to CLR-CL-42.</w:t>
      </w:r>
    </w:p>
    <w:p>
      <w:pPr>
        <w:pStyle w:val="Heading1"/>
        <w:pBdr>
          <w:bottom w:val="single" w:sz="4" w:space="4" w:color="99C1E7"/>
        </w:pBdr>
      </w:pPr>
      <w:bookmarkStart w:id="102" w:name="_Toc000102"/>
      <w:r>
        <w:rPr/>
        <w:t>2 The pack at a glance</w:t>
      </w:r>
      <w:bookmarkEnd w:id="102"/>
    </w:p>
    <w:p>
      <w:r>
        <w:rPr/>
        <w:t>The files are numbered so that they sort in reading order in the folder BRD-04_Collections of Drop 1.</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00_BIBS_StartHere_BRD-04_Collections_v2.1.docx</w:t>
            </w:r>
          </w:p>
        </w:tc>
        <w:tc>
          <w:tcPr>
            <w:tcW w:type="dxa" w:w="3626"/>
            <w:tcMar>
              <w:top w:w="50" w:type="dxa"/>
              <w:bottom w:w="50" w:type="dxa"/>
              <w:left w:w="90" w:type="dxa"/>
              <w:right w:w="90" w:type="dxa"/>
            </w:tcMar>
          </w:tcPr>
          <w:p>
            <w:pPr>
              <w:pStyle w:val="BDOITable"/>
            </w:pPr>
            <w:r>
              <w:rPr>
                <w:sz w:val="15"/>
              </w:rPr>
              <w:t>Start Here: the map of the pack, who reads what, the steps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01_BIBS_GuideDeck_BRD-04_Collections_v2.1.pptx</w:t>
            </w:r>
          </w:p>
        </w:tc>
        <w:tc>
          <w:tcPr>
            <w:tcW w:type="dxa" w:w="3626"/>
            <w:tcMar>
              <w:top w:w="50" w:type="dxa"/>
              <w:bottom w:w="50" w:type="dxa"/>
              <w:left w:w="90" w:type="dxa"/>
              <w:right w:w="90" w:type="dxa"/>
            </w:tcMar>
            <w:shd w:val="clear" w:color="auto" w:fill="E5F5FF"/>
          </w:tcPr>
          <w:p>
            <w:pPr>
              <w:pStyle w:val="BDOITable"/>
            </w:pPr>
            <w:r>
              <w:rPr>
                <w:sz w:val="15"/>
              </w:rPr>
              <w:t>Sign-off Pack Guide: purpose, approach, the module at a glance, caveats and impacts on other modules, entry and exit criteria, change control</w:t>
            </w:r>
          </w:p>
        </w:tc>
        <w:tc>
          <w:tcPr>
            <w:tcW w:type="dxa" w:w="1926"/>
            <w:tcMar>
              <w:top w:w="50" w:type="dxa"/>
              <w:bottom w:w="50" w:type="dxa"/>
              <w:left w:w="90" w:type="dxa"/>
              <w:right w:w="90" w:type="dxa"/>
            </w:tcMar>
            <w:shd w:val="clear" w:color="auto" w:fill="E5F5FF"/>
          </w:tcPr>
          <w:p>
            <w:pPr>
              <w:pStyle w:val="BDOITable"/>
            </w:pPr>
            <w:r>
              <w:rPr>
                <w:sz w:val="15"/>
              </w:rPr>
              <w:t>Business owner, unit and section heads;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02_BIBS_FRS_BRD-04_Collections_v2.1.docx</w:t>
            </w:r>
          </w:p>
        </w:tc>
        <w:tc>
          <w:tcPr>
            <w:tcW w:type="dxa" w:w="3626"/>
            <w:tcMar>
              <w:top w:w="50" w:type="dxa"/>
              <w:bottom w:w="50" w:type="dxa"/>
              <w:left w:w="90" w:type="dxa"/>
              <w:right w:w="90" w:type="dxa"/>
            </w:tcMar>
          </w:tcPr>
          <w:p>
            <w:pPr>
              <w:pStyle w:val="BDOITable"/>
            </w:pPr>
            <w:r>
              <w:rPr>
                <w:sz w:val="15"/>
              </w:rPr>
              <w:t>Functional Requirements Specification v2.1: requirements re-based on the Collections BRD with the minutes of 27-Apr-2026, navigation, 19 screen specifications with screenshots, five walkthroughs, messages, notifications, documents, upload template, cross-BRD contract, user-story view and storyboard index</w:t>
            </w:r>
          </w:p>
        </w:tc>
        <w:tc>
          <w:tcPr>
            <w:tcW w:type="dxa" w:w="1926"/>
            <w:tcMar>
              <w:top w:w="50" w:type="dxa"/>
              <w:bottom w:w="50" w:type="dxa"/>
              <w:left w:w="90" w:type="dxa"/>
              <w:right w:w="90" w:type="dxa"/>
            </w:tcMar>
          </w:tcPr>
          <w:p>
            <w:pPr>
              <w:pStyle w:val="BDOITable"/>
            </w:pPr>
            <w:r>
              <w:rPr>
                <w:sz w:val="15"/>
              </w:rPr>
              <w:t>Collection handlers and team leads, Marketing AOs and unit heads; Cashiering, Commission Receivables and BDOI IT for their chapters</w:t>
            </w:r>
          </w:p>
        </w:tc>
        <w:tc>
          <w:tcPr>
            <w:tcW w:type="dxa" w:w="1473"/>
            <w:tcMar>
              <w:top w:w="50" w:type="dxa"/>
              <w:bottom w:w="50" w:type="dxa"/>
              <w:left w:w="90" w:type="dxa"/>
              <w:right w:w="90" w:type="dxa"/>
            </w:tcMar>
          </w:tcPr>
          <w:p>
            <w:pPr>
              <w:pStyle w:val="BDOITable"/>
            </w:pPr>
            <w:r>
              <w:rPr>
                <w:sz w:val="15"/>
              </w:rPr>
              <w:t>During the review, with the SIT walkthroughs</w:t>
            </w:r>
          </w:p>
        </w:tc>
      </w:tr>
      <w:tr>
        <w:tc>
          <w:tcPr>
            <w:tcW w:type="dxa" w:w="2946"/>
            <w:tcMar>
              <w:top w:w="50" w:type="dxa"/>
              <w:bottom w:w="50" w:type="dxa"/>
              <w:left w:w="90" w:type="dxa"/>
              <w:right w:w="90" w:type="dxa"/>
            </w:tcMar>
            <w:shd w:val="clear" w:color="auto" w:fill="E5F5FF"/>
          </w:tcPr>
          <w:p>
            <w:pPr>
              <w:pStyle w:val="BDOITable"/>
            </w:pPr>
            <w:r>
              <w:rPr>
                <w:sz w:val="15"/>
              </w:rPr>
              <w:t>03_BIBS_Signoff_BRD-04_Collections_v2.1.xlsx</w:t>
            </w:r>
          </w:p>
        </w:tc>
        <w:tc>
          <w:tcPr>
            <w:tcW w:type="dxa" w:w="3626"/>
            <w:tcMar>
              <w:top w:w="50" w:type="dxa"/>
              <w:bottom w:w="50" w:type="dxa"/>
              <w:left w:w="90" w:type="dxa"/>
              <w:right w:w="90" w:type="dxa"/>
            </w:tcMar>
            <w:shd w:val="clear" w:color="auto" w:fill="E5F5FF"/>
          </w:tcPr>
          <w:p>
            <w:pPr>
              <w:pStyle w:val="BDOITable"/>
            </w:pPr>
            <w:r>
              <w:rPr>
                <w:sz w:val="15"/>
              </w:rPr>
              <w:t>Sign-off workbook: one row per screen, field, rule and message with the BU review columns;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business owner signs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04_BIBS_TestPlan_BRD-04_Collections_v2.1.xlsx</w:t>
            </w:r>
          </w:p>
        </w:tc>
        <w:tc>
          <w:tcPr>
            <w:tcW w:type="dxa" w:w="3626"/>
            <w:tcMar>
              <w:top w:w="50" w:type="dxa"/>
              <w:bottom w:w="50" w:type="dxa"/>
              <w:left w:w="90" w:type="dxa"/>
              <w:right w:w="90" w:type="dxa"/>
            </w:tcMar>
          </w:tcPr>
          <w:p>
            <w:pPr>
              <w:pStyle w:val="BDOITable"/>
            </w:pPr>
            <w:r>
              <w:rPr>
                <w:sz w:val="15"/>
              </w:rPr>
              <w:t>Test plan workbook: the test cases traced to the FRs and to the screens, including one screen case and one message case per screen</w:t>
            </w:r>
          </w:p>
        </w:tc>
        <w:tc>
          <w:tcPr>
            <w:tcW w:type="dxa" w:w="1926"/>
            <w:tcMar>
              <w:top w:w="50" w:type="dxa"/>
              <w:bottom w:w="50" w:type="dxa"/>
              <w:left w:w="90" w:type="dxa"/>
              <w:right w:w="90" w:type="dxa"/>
            </w:tcMar>
          </w:tcPr>
          <w:p>
            <w:pPr>
              <w:pStyle w:val="BDOITable"/>
            </w:pPr>
            <w:r>
              <w:rPr>
                <w:sz w:val="15"/>
              </w:rPr>
              <w:t>Business users who will run UAT; BDOI IT</w:t>
            </w:r>
          </w:p>
        </w:tc>
        <w:tc>
          <w:tcPr>
            <w:tcW w:type="dxa" w:w="1473"/>
            <w:tcMar>
              <w:top w:w="50" w:type="dxa"/>
              <w:bottom w:w="50" w:type="dxa"/>
              <w:left w:w="90" w:type="dxa"/>
              <w:right w:w="90" w:type="dxa"/>
            </w:tcMar>
          </w:tcPr>
          <w:p>
            <w:pPr>
              <w:pStyle w:val="BDOITable"/>
            </w:pPr>
            <w:r>
              <w:rPr>
                <w:sz w:val="15"/>
              </w:rPr>
              <w:t>After the screens; used again in SIT and UAT</w:t>
            </w:r>
          </w:p>
        </w:tc>
      </w:tr>
      <w:tr>
        <w:tc>
          <w:tcPr>
            <w:tcW w:type="dxa" w:w="2946"/>
            <w:tcMar>
              <w:top w:w="50" w:type="dxa"/>
              <w:bottom w:w="50" w:type="dxa"/>
              <w:left w:w="90" w:type="dxa"/>
              <w:right w:w="90" w:type="dxa"/>
            </w:tcMar>
            <w:shd w:val="clear" w:color="auto" w:fill="E5F5FF"/>
          </w:tcPr>
          <w:p>
            <w:pPr>
              <w:pStyle w:val="BDOITable"/>
            </w:pPr>
            <w:r>
              <w:rPr>
                <w:sz w:val="15"/>
              </w:rPr>
              <w:t>05_BIBS_TestPlan_BRD-04_Collections_Summary_v2.1.docx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07_BIBS_UXDeck_BRD-04_Collections_v2.1.pptx</w:t>
            </w:r>
          </w:p>
        </w:tc>
        <w:tc>
          <w:tcPr>
            <w:tcW w:type="dxa" w:w="3626"/>
            <w:tcMar>
              <w:top w:w="50" w:type="dxa"/>
              <w:bottom w:w="50" w:type="dxa"/>
              <w:left w:w="90" w:type="dxa"/>
              <w:right w:w="90" w:type="dxa"/>
            </w:tcMar>
          </w:tcPr>
          <w:p>
            <w:pPr>
              <w:pStyle w:val="BDOITable"/>
            </w:pPr>
            <w:r>
              <w:rPr>
                <w:sz w:val="15"/>
              </w:rPr>
              <w:t>UX Screen Deck for the BDOI UX Design team: design foundation, navigation and personas, every walkthrough step by step and every screen with all its states</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From the issue, in parallel with the review; re-issued with each version of the set</w:t>
            </w:r>
          </w:p>
        </w:tc>
      </w:tr>
      <w:tr>
        <w:tc>
          <w:tcPr>
            <w:tcW w:type="dxa" w:w="2946"/>
            <w:tcMar>
              <w:top w:w="50" w:type="dxa"/>
              <w:bottom w:w="50" w:type="dxa"/>
              <w:left w:w="90" w:type="dxa"/>
              <w:right w:w="90" w:type="dxa"/>
            </w:tcMar>
            <w:shd w:val="clear" w:color="auto" w:fill="E5F5FF"/>
          </w:tcPr>
          <w:p>
            <w:pPr>
              <w:pStyle w:val="BDOITable"/>
            </w:pPr>
            <w:r>
              <w:rPr>
                <w:sz w:val="15"/>
              </w:rPr>
              <w:t>08_BIBS_UXScreens_BRD-04_Collections_v2.1.xlsx</w:t>
            </w:r>
          </w:p>
        </w:tc>
        <w:tc>
          <w:tcPr>
            <w:tcW w:type="dxa" w:w="3626"/>
            <w:tcMar>
              <w:top w:w="50" w:type="dxa"/>
              <w:bottom w:w="50" w:type="dxa"/>
              <w:left w:w="90" w:type="dxa"/>
              <w:right w:w="90" w:type="dxa"/>
            </w:tcMar>
            <w:shd w:val="clear" w:color="auto" w:fill="E5F5FF"/>
          </w:tcPr>
          <w:p>
            <w:pPr>
              <w:pStyle w:val="BDOITable"/>
            </w:pPr>
            <w:r>
              <w:rPr>
                <w:sz w:val="15"/>
              </w:rPr>
              <w:t>UX screen register: one row per screen image with the screen, personas, walkthrough and step, state, FRS section and requirements, UXD status and comments, and the Changed in this issue flag</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Kept by the UX Design team; the changed rows are flagged at each issue</w:t>
            </w:r>
          </w:p>
        </w:tc>
      </w:tr>
      <w:tr>
        <w:tc>
          <w:tcPr>
            <w:tcW w:type="dxa" w:w="2946"/>
            <w:tcMar>
              <w:top w:w="50" w:type="dxa"/>
              <w:bottom w:w="50" w:type="dxa"/>
              <w:left w:w="90" w:type="dxa"/>
              <w:right w:w="90" w:type="dxa"/>
            </w:tcMar>
          </w:tcPr>
          <w:p>
            <w:pPr>
              <w:pStyle w:val="BDOITable"/>
            </w:pPr>
            <w:r>
              <w:rPr>
                <w:sz w:val="15"/>
              </w:rPr>
              <w:t>09_BIBS_UXScreens_BRD-04_Collections_v2.1.zip</w:t>
            </w:r>
          </w:p>
        </w:tc>
        <w:tc>
          <w:tcPr>
            <w:tcW w:type="dxa" w:w="3626"/>
            <w:tcMar>
              <w:top w:w="50" w:type="dxa"/>
              <w:bottom w:w="50" w:type="dxa"/>
              <w:left w:w="90" w:type="dxa"/>
              <w:right w:w="90" w:type="dxa"/>
            </w:tcMar>
          </w:tcPr>
          <w:p>
            <w:pPr>
              <w:pStyle w:val="BDOITable"/>
            </w:pPr>
            <w:r>
              <w:rPr>
                <w:sz w:val="15"/>
              </w:rPr>
              <w:t>Image package: every screen image at twice the screen resolution (PNG), the component crops and the register as CSV</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Imported into the design tool at each issue</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Business owner (Product Owners; Marketing unit and section heads)</w:t>
            </w:r>
          </w:p>
        </w:tc>
        <w:tc>
          <w:tcPr>
            <w:tcW w:type="dxa" w:w="7592"/>
            <w:tcMar>
              <w:top w:w="50" w:type="dxa"/>
              <w:bottom w:w="50" w:type="dxa"/>
              <w:left w:w="90" w:type="dxa"/>
              <w:right w:w="90" w:type="dxa"/>
            </w:tcMar>
          </w:tcPr>
          <w:p>
            <w:pPr>
              <w:pStyle w:val="BDOITable"/>
            </w:pPr>
            <w:r>
              <w:rPr>
                <w:sz w:val="16"/>
              </w:rPr>
              <w:t>00 Start Here; 01 Guide deck; FRS chapters 1-3 (context and personas), 14 (walkthroughs), 20 (sign-off), 21 (proposed rules for confirmation) and 22 (user-story view); workbook Sign-off certificate</w:t>
            </w:r>
          </w:p>
        </w:tc>
      </w:tr>
      <w:tr>
        <w:tc>
          <w:tcPr>
            <w:tcW w:type="dxa" w:w="2380"/>
            <w:tcMar>
              <w:top w:w="50" w:type="dxa"/>
              <w:bottom w:w="50" w:type="dxa"/>
              <w:left w:w="90" w:type="dxa"/>
              <w:right w:w="90" w:type="dxa"/>
            </w:tcMar>
            <w:shd w:val="clear" w:color="auto" w:fill="E5F5FF"/>
          </w:tcPr>
          <w:p>
            <w:pPr>
              <w:pStyle w:val="BDOITable"/>
            </w:pPr>
            <w:r>
              <w:rPr>
                <w:b/>
                <w:sz w:val="16"/>
              </w:rPr>
              <w:t>Collection Handlers and Collection Team Leads</w:t>
            </w:r>
          </w:p>
        </w:tc>
        <w:tc>
          <w:tcPr>
            <w:tcW w:type="dxa" w:w="7592"/>
            <w:tcMar>
              <w:top w:w="50" w:type="dxa"/>
              <w:bottom w:w="50" w:type="dxa"/>
              <w:left w:w="90" w:type="dxa"/>
              <w:right w:w="90" w:type="dxa"/>
            </w:tcMar>
            <w:shd w:val="clear" w:color="auto" w:fill="E5F5FF"/>
          </w:tcPr>
          <w:p>
            <w:pPr>
              <w:pStyle w:val="BDOITable"/>
            </w:pPr>
            <w:r>
              <w:rPr>
                <w:sz w:val="16"/>
              </w:rPr>
              <w:t>FRS sections 4.2 to 4.7; the screens of chapter 13 (SCR-CL-01 to 13); walkthroughs A, B and D with the storyboard index of chapter 23; messages in chapter 15; the statement of account DO-01 in chapter 17</w:t>
            </w:r>
          </w:p>
        </w:tc>
      </w:tr>
      <w:tr>
        <w:tc>
          <w:tcPr>
            <w:tcW w:type="dxa" w:w="2380"/>
            <w:tcMar>
              <w:top w:w="50" w:type="dxa"/>
              <w:bottom w:w="50" w:type="dxa"/>
              <w:left w:w="90" w:type="dxa"/>
              <w:right w:w="90" w:type="dxa"/>
            </w:tcMar>
          </w:tcPr>
          <w:p>
            <w:pPr>
              <w:pStyle w:val="BDOITable"/>
            </w:pPr>
            <w:r>
              <w:rPr>
                <w:b/>
                <w:sz w:val="16"/>
              </w:rPr>
              <w:t>Marketing Account Officers, Handlers and Team Leads</w:t>
            </w:r>
          </w:p>
        </w:tc>
        <w:tc>
          <w:tcPr>
            <w:tcW w:type="dxa" w:w="7592"/>
            <w:tcMar>
              <w:top w:w="50" w:type="dxa"/>
              <w:bottom w:w="50" w:type="dxa"/>
              <w:left w:w="90" w:type="dxa"/>
              <w:right w:w="90" w:type="dxa"/>
            </w:tcMar>
          </w:tcPr>
          <w:p>
            <w:pPr>
              <w:pStyle w:val="BDOITable"/>
            </w:pPr>
            <w:r>
              <w:rPr>
                <w:sz w:val="16"/>
              </w:rPr>
              <w:t>PR Worklist, Collection Account and Client View (SCR-CL-02 to 04); escalations (SCR-CL-11, 12); walkthroughs A, B and E; the Collections Bulk Update template in chapter 18</w:t>
            </w:r>
          </w:p>
        </w:tc>
      </w:tr>
      <w:tr>
        <w:tc>
          <w:tcPr>
            <w:tcW w:type="dxa" w:w="2380"/>
            <w:tcMar>
              <w:top w:w="50" w:type="dxa"/>
              <w:bottom w:w="50" w:type="dxa"/>
              <w:left w:w="90" w:type="dxa"/>
              <w:right w:w="90" w:type="dxa"/>
            </w:tcMar>
            <w:shd w:val="clear" w:color="auto" w:fill="E5F5FF"/>
          </w:tcPr>
          <w:p>
            <w:pPr>
              <w:pStyle w:val="BDOITable"/>
            </w:pPr>
            <w:r>
              <w:rPr>
                <w:b/>
                <w:sz w:val="16"/>
              </w:rPr>
              <w:t>Unapplied Payment Handlers</w:t>
            </w:r>
          </w:p>
        </w:tc>
        <w:tc>
          <w:tcPr>
            <w:tcW w:type="dxa" w:w="7592"/>
            <w:tcMar>
              <w:top w:w="50" w:type="dxa"/>
              <w:bottom w:w="50" w:type="dxa"/>
              <w:left w:w="90" w:type="dxa"/>
              <w:right w:w="90" w:type="dxa"/>
            </w:tcMar>
            <w:shd w:val="clear" w:color="auto" w:fill="E5F5FF"/>
          </w:tcPr>
          <w:p>
            <w:pPr>
              <w:pStyle w:val="BDOITable"/>
            </w:pPr>
            <w:r>
              <w:rPr>
                <w:sz w:val="16"/>
              </w:rPr>
              <w:t>FRS section 4.8; Unapplied Payments, Unapplied Payment and Requests to Cashiering (SCR-CL-14 to 16); walkthrough C; document DO-05</w:t>
            </w:r>
          </w:p>
        </w:tc>
      </w:tr>
      <w:tr>
        <w:tc>
          <w:tcPr>
            <w:tcW w:type="dxa" w:w="2380"/>
            <w:tcMar>
              <w:top w:w="50" w:type="dxa"/>
              <w:bottom w:w="50" w:type="dxa"/>
              <w:left w:w="90" w:type="dxa"/>
              <w:right w:w="90" w:type="dxa"/>
            </w:tcMar>
          </w:tcPr>
          <w:p>
            <w:pPr>
              <w:pStyle w:val="BDOITable"/>
            </w:pPr>
            <w:r>
              <w:rPr>
                <w:b/>
                <w:sz w:val="16"/>
              </w:rPr>
              <w:t>Section Heads and set-up users (Business Administrator)</w:t>
            </w:r>
          </w:p>
        </w:tc>
        <w:tc>
          <w:tcPr>
            <w:tcW w:type="dxa" w:w="7592"/>
            <w:tcMar>
              <w:top w:w="50" w:type="dxa"/>
              <w:bottom w:w="50" w:type="dxa"/>
              <w:left w:w="90" w:type="dxa"/>
              <w:right w:w="90" w:type="dxa"/>
            </w:tcMar>
          </w:tcPr>
          <w:p>
            <w:pPr>
              <w:pStyle w:val="BDOITable"/>
            </w:pPr>
            <w:r>
              <w:rPr>
                <w:sz w:val="16"/>
              </w:rPr>
              <w:t>Assignments, Collections Files and Collections Setup (SCR-CL-17 to 19); Escalation Rules (SCR-CL-13); configuration in chapter 9; the files DO-02 to DO-04</w:t>
            </w:r>
          </w:p>
        </w:tc>
      </w:tr>
      <w:tr>
        <w:tc>
          <w:tcPr>
            <w:tcW w:type="dxa" w:w="2380"/>
            <w:tcMar>
              <w:top w:w="50" w:type="dxa"/>
              <w:bottom w:w="50" w:type="dxa"/>
              <w:left w:w="90" w:type="dxa"/>
              <w:right w:w="90" w:type="dxa"/>
            </w:tcMar>
            <w:shd w:val="clear" w:color="auto" w:fill="E5F5FF"/>
          </w:tcPr>
          <w:p>
            <w:pPr>
              <w:pStyle w:val="BDOITable"/>
            </w:pPr>
            <w:r>
              <w:rPr>
                <w:b/>
                <w:sz w:val="16"/>
              </w:rPr>
              <w:t>Operations: Cashiering and Commission Receivables (BRD-2)</w:t>
            </w:r>
          </w:p>
        </w:tc>
        <w:tc>
          <w:tcPr>
            <w:tcW w:type="dxa" w:w="7592"/>
            <w:tcMar>
              <w:top w:w="50" w:type="dxa"/>
              <w:bottom w:w="50" w:type="dxa"/>
              <w:left w:w="90" w:type="dxa"/>
              <w:right w:w="90" w:type="dxa"/>
            </w:tcMar>
            <w:shd w:val="clear" w:color="auto" w:fill="E5F5FF"/>
          </w:tcPr>
          <w:p>
            <w:pPr>
              <w:pStyle w:val="BDOITable"/>
            </w:pPr>
            <w:r>
              <w:rPr>
                <w:sz w:val="16"/>
              </w:rPr>
              <w:t>The hand-offs and requests (FRS sections 4.4 and 4.8, chapter 19); the billing statements generated by Operations (section 4.7, walkthrough D steps 2 to 4); walkthrough C (step 3); the DP PR and PR 2307 for Reversal files; FRS section 4.10 for the commission receivable gate</w:t>
            </w:r>
          </w:p>
        </w:tc>
      </w:tr>
      <w:tr>
        <w:tc>
          <w:tcPr>
            <w:tcW w:type="dxa" w:w="2380"/>
            <w:tcMar>
              <w:top w:w="50" w:type="dxa"/>
              <w:bottom w:w="50" w:type="dxa"/>
              <w:left w:w="90" w:type="dxa"/>
              <w:right w:w="90" w:type="dxa"/>
            </w:tcMar>
          </w:tcPr>
          <w:p>
            <w:pPr>
              <w:pStyle w:val="BDOITable"/>
            </w:pPr>
            <w:r>
              <w:rPr>
                <w:b/>
                <w:sz w:val="16"/>
              </w:rPr>
              <w:t>Comptrollership</w:t>
            </w:r>
          </w:p>
        </w:tc>
        <w:tc>
          <w:tcPr>
            <w:tcW w:type="dxa" w:w="7592"/>
            <w:tcMar>
              <w:top w:w="50" w:type="dxa"/>
              <w:bottom w:w="50" w:type="dxa"/>
              <w:left w:w="90" w:type="dxa"/>
              <w:right w:w="90" w:type="dxa"/>
            </w:tcMar>
          </w:tcPr>
          <w:p>
            <w:pPr>
              <w:pStyle w:val="BDOITable"/>
            </w:pPr>
            <w:r>
              <w:rPr>
                <w:sz w:val="16"/>
              </w:rPr>
              <w:t>FRS section 4.10 (commission receivable and incentives, rows FR-CL-090 to 094) and the proposed rules of chapter 21 on them</w:t>
            </w:r>
          </w:p>
        </w:tc>
      </w:tr>
      <w:tr>
        <w:tc>
          <w:tcPr>
            <w:tcW w:type="dxa" w:w="2380"/>
            <w:tcMar>
              <w:top w:w="50" w:type="dxa"/>
              <w:bottom w:w="50" w:type="dxa"/>
              <w:left w:w="90" w:type="dxa"/>
              <w:right w:w="90" w:type="dxa"/>
            </w:tcMar>
            <w:shd w:val="clear" w:color="auto" w:fill="E5F5FF"/>
          </w:tcPr>
          <w:p>
            <w:pPr>
              <w:pStyle w:val="BDOITable"/>
            </w:pPr>
            <w:r>
              <w:rPr>
                <w:b/>
                <w:sz w:val="16"/>
              </w:rPr>
              <w:t>BDOI IT</w:t>
            </w:r>
          </w:p>
        </w:tc>
        <w:tc>
          <w:tcPr>
            <w:tcW w:type="dxa" w:w="7592"/>
            <w:tcMar>
              <w:top w:w="50" w:type="dxa"/>
              <w:bottom w:w="50" w:type="dxa"/>
              <w:left w:w="90" w:type="dxa"/>
              <w:right w:w="90" w:type="dxa"/>
            </w:tcMar>
            <w:shd w:val="clear" w:color="auto" w:fill="E5F5FF"/>
          </w:tcPr>
          <w:p>
            <w:pPr>
              <w:pStyle w:val="BDOITable"/>
            </w:pPr>
            <w:r>
              <w:rPr>
                <w:sz w:val="16"/>
              </w:rPr>
              <w:t>Interfaces and integration (chapter 7), non-functional requirements (chapter 8), configuration and jobs (chapter 9), cross-BRD contract (chapter 19); the Technical Specification, reviewed by BDOI IT</w:t>
            </w:r>
          </w:p>
        </w:tc>
      </w:tr>
      <w:tr>
        <w:tc>
          <w:tcPr>
            <w:tcW w:type="dxa" w:w="2380"/>
            <w:tcMar>
              <w:top w:w="50" w:type="dxa"/>
              <w:bottom w:w="50" w:type="dxa"/>
              <w:left w:w="90" w:type="dxa"/>
              <w:right w:w="90" w:type="dxa"/>
            </w:tcMar>
          </w:tcPr>
          <w:p>
            <w:pPr>
              <w:pStyle w:val="BDOITable"/>
            </w:pPr>
            <w:r>
              <w:rPr>
                <w:b/>
                <w:sz w:val="16"/>
              </w:rPr>
              <w:t>BDOI UX Design team</w:t>
            </w:r>
          </w:p>
        </w:tc>
        <w:tc>
          <w:tcPr>
            <w:tcW w:type="dxa" w:w="7592"/>
            <w:tcMar>
              <w:top w:w="50" w:type="dxa"/>
              <w:bottom w:w="50" w:type="dxa"/>
              <w:left w:w="90" w:type="dxa"/>
              <w:right w:w="90" w:type="dxa"/>
            </w:tcMar>
          </w:tcPr>
          <w:p>
            <w:pPr>
              <w:pStyle w:val="BDOITable"/>
            </w:pPr>
            <w:r>
              <w:rPr>
                <w:sz w:val="16"/>
              </w:rPr>
              <w:t>07 UX Screen Deck: design foundation and navigation first, then the personas, walkthroughs and screens of the design work; 08 UX screen register (filter Changed in this issue at each new issue); 09 image package in the design tool</w:t>
            </w:r>
          </w:p>
        </w:tc>
      </w:tr>
      <w:tr>
        <w:tc>
          <w:tcPr>
            <w:tcW w:type="dxa" w:w="2380"/>
            <w:tcMar>
              <w:top w:w="50" w:type="dxa"/>
              <w:bottom w:w="50" w:type="dxa"/>
              <w:left w:w="90" w:type="dxa"/>
              <w:right w:w="90" w:type="dxa"/>
            </w:tcMar>
            <w:shd w:val="clear" w:color="auto" w:fill="E5F5FF"/>
          </w:tcPr>
          <w:p>
            <w:pPr>
              <w:pStyle w:val="BDOITable"/>
            </w:pPr>
            <w:r>
              <w:rPr>
                <w:b/>
                <w:sz w:val="16"/>
              </w:rPr>
              <w:t>iorta TechNXT project team</w:t>
            </w:r>
          </w:p>
        </w:tc>
        <w:tc>
          <w:tcPr>
            <w:tcW w:type="dxa" w:w="7592"/>
            <w:tcMar>
              <w:top w:w="50" w:type="dxa"/>
              <w:bottom w:w="50" w:type="dxa"/>
              <w:left w:w="90" w:type="dxa"/>
              <w:right w:w="90" w:type="dxa"/>
            </w:tcMar>
            <w:shd w:val="clear" w:color="auto" w:fill="E5F5FF"/>
          </w:tcPr>
          <w:p>
            <w:pPr>
              <w:pStyle w:val="BDOITable"/>
            </w:pPr>
            <w:r>
              <w:rPr>
                <w:sz w:val="16"/>
              </w:rPr>
              <w:t>All documents; keeps the comments log, the meeting minutes and the version history of the workbook, answers every comment and keeps the traceability to SIT and UAT</w:t>
            </w:r>
          </w:p>
        </w:tc>
      </w:tr>
    </w:tbl>
    <w:p>
      <w:pPr>
        <w:pStyle w:val="BDOISpacer"/>
      </w:pPr>
    </w:p>
    <w:p>
      <w:r>
        <w:rPr/>
        <w:t>SIT users of the seed data for the review: clxhandler (Collection Handler), clxtl (Collection Team Lead), clxuh (Section Head), ao (Marketing Account Officer), mkttl (Marketing Team Lead), mkthandler (Marketing Handler), upphandler (Unapplied Payment Handler), proc (Processing), cashier (Cashiering), cashtl (Cashiering Team Leader / Head, the proposed Operations billing user), disb (Disbursement), comptrol (Comptrollership), badmin (Business Administrator), admin (System Administrator) and auditor.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Pack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v2.1 in the BRD-04 folder; invitations to the sessions</w:t>
            </w:r>
          </w:p>
        </w:tc>
        <w:tc>
          <w:tcPr>
            <w:tcW w:type="dxa" w:w="1926"/>
            <w:tcMar>
              <w:top w:w="50" w:type="dxa"/>
              <w:bottom w:w="50" w:type="dxa"/>
              <w:left w:w="90" w:type="dxa"/>
              <w:right w:w="90" w:type="dxa"/>
            </w:tcMar>
          </w:tcPr>
          <w:p>
            <w:pPr>
              <w:pStyle w:val="BDOITable"/>
            </w:pPr>
            <w:r>
              <w:rPr>
                <w:sz w:val="15"/>
              </w:rPr>
              <w:t>Day 0 (Thu 8-Oct-2026); sessions scheduled after the BRD-2 Operations walkthroughs</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screen walkthrough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BDOI Product Owner; C: Collections and Marketing Support, Marketing unit heads; I: Operations, BDOI IT</w:t>
            </w:r>
          </w:p>
        </w:tc>
        <w:tc>
          <w:tcPr>
            <w:tcW w:type="dxa" w:w="2946"/>
            <w:tcMar>
              <w:top w:w="50" w:type="dxa"/>
              <w:bottom w:w="50" w:type="dxa"/>
              <w:left w:w="90" w:type="dxa"/>
              <w:right w:w="90" w:type="dxa"/>
            </w:tcMar>
            <w:shd w:val="clear" w:color="auto" w:fill="E5F5FF"/>
          </w:tcPr>
          <w:p>
            <w:pPr>
              <w:pStyle w:val="BDOITable"/>
            </w:pPr>
            <w:r>
              <w:rPr>
                <w:sz w:val="15"/>
              </w:rPr>
              <w:t>Screens shown live (worklist and account, promises and escalations, unapplied payments, plans and billing, set-up);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3 sessions, 23 to 25-Nov-2026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w:t>
            </w:r>
          </w:p>
        </w:tc>
        <w:tc>
          <w:tcPr>
            <w:tcW w:type="dxa" w:w="2946"/>
            <w:tcMar>
              <w:top w:w="50" w:type="dxa"/>
              <w:bottom w:w="50" w:type="dxa"/>
              <w:left w:w="90" w:type="dxa"/>
              <w:right w:w="90" w:type="dxa"/>
            </w:tcMar>
          </w:tcPr>
          <w:p>
            <w:pPr>
              <w:pStyle w:val="BDOITable"/>
            </w:pPr>
            <w:r>
              <w:rPr>
                <w:sz w:val="15"/>
              </w:rPr>
              <w:t>R: Collection handlers and team leads, Marketing AOs and unit heads; A: Collections and Marketing Support;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comments log entries</w:t>
            </w:r>
          </w:p>
        </w:tc>
        <w:tc>
          <w:tcPr>
            <w:tcW w:type="dxa" w:w="1926"/>
            <w:tcMar>
              <w:top w:w="50" w:type="dxa"/>
              <w:bottom w:w="50" w:type="dxa"/>
              <w:left w:w="90" w:type="dxa"/>
              <w:right w:w="90" w:type="dxa"/>
            </w:tcMar>
          </w:tcPr>
          <w:p>
            <w:pPr>
              <w:pStyle w:val="BDOITable"/>
            </w:pPr>
            <w:r>
              <w:rPr>
                <w:sz w:val="15"/>
              </w:rPr>
              <w:t>10 working days after the walkthroughs, until Wed 9-Dec-2026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BDOI Product Owner;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3 working days, Q&amp;A on Mon 14-Dec-2026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(v2.2)</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v2.2 with the changed rows marked; change requests raised for the rest</w:t>
            </w:r>
          </w:p>
        </w:tc>
        <w:tc>
          <w:tcPr>
            <w:tcW w:type="dxa" w:w="1926"/>
            <w:tcMar>
              <w:top w:w="50" w:type="dxa"/>
              <w:bottom w:w="50" w:type="dxa"/>
              <w:left w:w="90" w:type="dxa"/>
              <w:right w:w="90" w:type="dxa"/>
            </w:tcMar>
          </w:tcPr>
          <w:p>
            <w:pPr>
              <w:pStyle w:val="BDOITable"/>
            </w:pPr>
            <w:r>
              <w:rPr>
                <w:sz w:val="15"/>
              </w:rPr>
              <w:t>2 working days, v2.2 on Wed 16-Dec-2026; check by the reviewers until Fri 18-Dec-2026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BDOI Product Owner; C: Marketing heads, Operations Head, Comptrollership, BDOI IT</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open items accepted as assumptions or change requests</w:t>
            </w:r>
          </w:p>
        </w:tc>
        <w:tc>
          <w:tcPr>
            <w:tcW w:type="dxa" w:w="1926"/>
            <w:tcMar>
              <w:top w:w="50" w:type="dxa"/>
              <w:bottom w:w="50" w:type="dxa"/>
              <w:left w:w="90" w:type="dxa"/>
              <w:right w:w="90" w:type="dxa"/>
            </w:tcMar>
            <w:shd w:val="clear" w:color="auto" w:fill="E5F5FF"/>
          </w:tcPr>
          <w:p>
            <w:pPr>
              <w:pStyle w:val="BDOITable"/>
            </w:pPr>
            <w:r>
              <w:rPr>
                <w:sz w:val="15"/>
              </w:rPr>
              <w:t>Tue 22-Dec-2026</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Content freeze</w:t>
            </w:r>
          </w:p>
        </w:tc>
        <w:tc>
          <w:tcPr>
            <w:tcW w:type="dxa" w:w="2946"/>
            <w:tcMar>
              <w:top w:w="50" w:type="dxa"/>
              <w:bottom w:w="50" w:type="dxa"/>
              <w:left w:w="90" w:type="dxa"/>
              <w:right w:w="90" w:type="dxa"/>
            </w:tcMar>
          </w:tcPr>
          <w:p>
            <w:pPr>
              <w:pStyle w:val="BDOITable"/>
            </w:pPr>
            <w:r>
              <w:rPr>
                <w:sz w:val="15"/>
              </w:rPr>
              <w:t>R: iorta TechNXT delivery lead; A: BDOI Product Owner; I: BDOI IT, other BRD owners</w:t>
            </w:r>
          </w:p>
        </w:tc>
        <w:tc>
          <w:tcPr>
            <w:tcW w:type="dxa" w:w="2946"/>
            <w:tcMar>
              <w:top w:w="50" w:type="dxa"/>
              <w:bottom w:w="50" w:type="dxa"/>
              <w:left w:w="90" w:type="dxa"/>
              <w:right w:w="90" w:type="dxa"/>
            </w:tcMar>
          </w:tcPr>
          <w:p>
            <w:pPr>
              <w:pStyle w:val="BDOITable"/>
            </w:pPr>
            <w:r>
              <w:rPr>
                <w:sz w:val="15"/>
              </w:rPr>
              <w:t>Content frozen as signed; approved deltas scheduled in the Change Management Register</w:t>
            </w:r>
          </w:p>
        </w:tc>
        <w:tc>
          <w:tcPr>
            <w:tcW w:type="dxa" w:w="1926"/>
            <w:tcMar>
              <w:top w:w="50" w:type="dxa"/>
              <w:bottom w:w="50" w:type="dxa"/>
              <w:left w:w="90" w:type="dxa"/>
              <w:right w:w="90" w:type="dxa"/>
            </w:tcMar>
          </w:tcPr>
          <w:p>
            <w:pPr>
              <w:pStyle w:val="BDOITable"/>
            </w:pPr>
            <w:r>
              <w:rPr>
                <w:sz w:val="15"/>
              </w:rPr>
              <w:t>From Wed 23-Dec-2026</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BDOI Product Owner; C: business users</w:t>
            </w:r>
          </w:p>
        </w:tc>
        <w:tc>
          <w:tcPr>
            <w:tcW w:type="dxa" w:w="2946"/>
            <w:tcMar>
              <w:top w:w="50" w:type="dxa"/>
              <w:bottom w:w="50" w:type="dxa"/>
              <w:left w:w="90" w:type="dxa"/>
              <w:right w:w="90" w:type="dxa"/>
            </w:tcMar>
            <w:shd w:val="clear" w:color="auto" w:fill="E5F5FF"/>
          </w:tcPr>
          <w:p>
            <w:pPr>
              <w:pStyle w:val="BDOITable"/>
            </w:pPr>
            <w:r>
              <w:rPr>
                <w:sz w:val="15"/>
              </w:rPr>
              <w:t>SIT and UAT runs traced to the signed screens, rules and messages; results against each row</w:t>
            </w:r>
          </w:p>
        </w:tc>
        <w:tc>
          <w:tcPr>
            <w:tcW w:type="dxa" w:w="1926"/>
            <w:tcMar>
              <w:top w:w="50" w:type="dxa"/>
              <w:bottom w:w="50" w:type="dxa"/>
              <w:left w:w="90" w:type="dxa"/>
              <w:right w:w="90" w:type="dxa"/>
            </w:tcMar>
            <w:shd w:val="clear" w:color="auto" w:fill="E5F5FF"/>
          </w:tcPr>
          <w:p>
            <w:pPr>
              <w:pStyle w:val="BDOITable"/>
            </w:pPr>
            <w:r>
              <w:rPr>
                <w:sz w:val="15"/>
              </w:rPr>
              <w:t>SIT Jan - Jul 2027; UAT Aug - Dec 2027</w:t>
            </w:r>
          </w:p>
        </w:tc>
      </w:tr>
    </w:tbl>
    <w:p>
      <w:pPr>
        <w:pStyle w:val="BDOISpacer"/>
      </w:pPr>
    </w:p>
    <w:p>
      <w:r>
        <w:rPr>
          <w:b/>
        </w:rPr>
        <w:t>How to review.</w:t>
      </w:r>
      <w:r>
        <w:rPr/>
        <w:t xml:space="preserve"> Open the FRS chapters of your unit or the same screens on SIT. In the sign-off workbook, set BU review to Accept, Change requested or Comment on each row you review (sheets Screen standards, Screen catalogue, Field register, Business rules, Messages), write the change in BU comment, and add your name and the date. Questions go to the Comments log sheet. One workbook per unit is enough. Chapter 21 of the FRS lists the proposed rules and clarifications on which BDOI is asked to decide.</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Units</w:t>
            </w:r>
          </w:p>
        </w:tc>
      </w:tr>
      <w:tr>
        <w:trPr>
          <w:cantSplit w:val="true"/>
        </w:trPr>
        <w:tc>
          <w:tcPr>
            <w:tcW w:type="dxa" w:w="2040"/>
            <w:tcMar>
              <w:top w:w="50" w:type="dxa"/>
              <w:bottom w:w="50" w:type="dxa"/>
              <w:left w:w="90" w:type="dxa"/>
              <w:right w:w="90" w:type="dxa"/>
            </w:tcMar>
          </w:tcPr>
          <w:p>
            <w:pPr>
              <w:pStyle w:val="BDOITable"/>
            </w:pPr>
            <w:r>
              <w:rPr>
                <w:sz w:val="18"/>
              </w:rPr>
              <w:t>Mon 23-Nov-2026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the PR Worklist and the collection account, assignment, efforts and dispositions up to the first collection effort (walkthrough A, walkthrough E steps 1-2)</w:t>
            </w:r>
          </w:p>
        </w:tc>
        <w:tc>
          <w:tcPr>
            <w:tcW w:type="dxa" w:w="2493"/>
            <w:tcMar>
              <w:top w:w="50" w:type="dxa"/>
              <w:bottom w:w="50" w:type="dxa"/>
              <w:left w:w="90" w:type="dxa"/>
              <w:right w:w="90" w:type="dxa"/>
            </w:tcMar>
          </w:tcPr>
          <w:p>
            <w:pPr>
              <w:pStyle w:val="BDOITable"/>
            </w:pPr>
            <w:r>
              <w:rPr>
                <w:sz w:val="18"/>
              </w:rPr>
              <w:t>Collections and Marketing Support, Marketing, Cashiering</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Tue 24-Nov-2026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Promises to pay, escalations and escalation rules; installment plans and the statements of account generated by Operations (walkthroughs B and D, walkthrough E step 3)</w:t>
            </w:r>
          </w:p>
        </w:tc>
        <w:tc>
          <w:tcPr>
            <w:tcW w:type="dxa" w:w="2493"/>
            <w:tcMar>
              <w:top w:w="50" w:type="dxa"/>
              <w:bottom w:w="50" w:type="dxa"/>
              <w:left w:w="90" w:type="dxa"/>
              <w:right w:w="90" w:type="dxa"/>
            </w:tcMar>
            <w:shd w:val="clear" w:color="auto" w:fill="E5F5FF"/>
          </w:tcPr>
          <w:p>
            <w:pPr>
              <w:pStyle w:val="BDOITable"/>
            </w:pPr>
            <w:r>
              <w:rPr>
                <w:sz w:val="18"/>
              </w:rPr>
              <w:t>Collections and Marketing Support, Marketing heads, Cashiering</w:t>
            </w:r>
          </w:p>
        </w:tc>
      </w:tr>
      <w:tr>
        <w:trPr>
          <w:cantSplit w:val="true"/>
        </w:trPr>
        <w:tc>
          <w:tcPr>
            <w:tcW w:type="dxa" w:w="2040"/>
            <w:tcMar>
              <w:top w:w="50" w:type="dxa"/>
              <w:bottom w:w="50" w:type="dxa"/>
              <w:left w:w="90" w:type="dxa"/>
              <w:right w:w="90" w:type="dxa"/>
            </w:tcMar>
          </w:tcPr>
          <w:p>
            <w:pPr>
              <w:pStyle w:val="BDOITable"/>
            </w:pPr>
            <w:r>
              <w:rPr>
                <w:sz w:val="18"/>
              </w:rPr>
              <w:t>Wed 25-Nov-2026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Unapplied payments and the requests to Cashiering; Collections files, set-up, the upload template and the commission receivable rows (walkthrough C, walkthrough E step 4)</w:t>
            </w:r>
          </w:p>
        </w:tc>
        <w:tc>
          <w:tcPr>
            <w:tcW w:type="dxa" w:w="2493"/>
            <w:tcMar>
              <w:top w:w="50" w:type="dxa"/>
              <w:bottom w:w="50" w:type="dxa"/>
              <w:left w:w="90" w:type="dxa"/>
              <w:right w:w="90" w:type="dxa"/>
            </w:tcMar>
          </w:tcPr>
          <w:p>
            <w:pPr>
              <w:pStyle w:val="BDOITable"/>
            </w:pPr>
            <w:r>
              <w:rPr>
                <w:sz w:val="18"/>
              </w:rPr>
              <w:t>Unapplied payment handlers, Cashiering, Commission Receivables, Comptrollership, BDOI IT</w:t>
            </w:r>
          </w:p>
        </w:tc>
      </w:tr>
    </w:tbl>
    <w:p>
      <w:pPr>
        <w:pStyle w:val="BDOISpacer"/>
      </w:pPr>
    </w:p>
    <w:p>
      <w:pPr>
        <w:pStyle w:val="Heading1"/>
        <w:pBdr>
          <w:bottom w:val="single" w:sz="4" w:space="4" w:color="99C1E7"/>
        </w:pBdr>
      </w:pPr>
      <w:bookmarkStart w:id="105" w:name="_Toc000105"/>
      <w:r>
        <w:rPr/>
        <w:t>5 Who signs what</w:t>
      </w:r>
      <w:bookmarkEnd w:id="105"/>
    </w:p>
    <w:p>
      <w:r>
        <w:rPr/>
        <w:t>The set holds business content only: the screens and fields, the columns of the lists, files and the template that the user sees or fills in, the validations, business rules, messages, notifications, documents, walkthroughs and files. The business users sign that content. Technical content (the interfaces between systems, data storage, security set-up) is not part of the set: it is in the Technical Specification, a separate document reviewed by BDOI IT. The roles are those of the approval sheets of the Collections BRD: iorta TechNXT and the Business Analyst of Business Project Services prepare the set, Collections and Marketing Support with Marketing and Operations: Financial Transactions and Processing provide the input, the Operations Head and BDOI IT review it, and the Program Manager of Business Project Services, the Product Owners, the Marketing heads and the Head of Comptrollership approve it.</w:t>
      </w:r>
    </w:p>
    <w:p>
      <w:pPr>
        <w:pStyle w:val="Caption"/>
        <w:keepNext/>
        <w:spacing w:after="60"/>
      </w:pPr>
      <w:r>
        <w:rPr>
          <w:b/>
          <w:i w:val="0"/>
        </w:rPr>
        <w:t xml:space="preserve">Table 5: </w:t>
      </w:r>
      <w:r>
        <w:rPr/>
        <w:t>Who signs what: responsibility per part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359"/>
        <w:gridCol w:w="1813"/>
        <w:gridCol w:w="1699"/>
        <w:gridCol w:w="215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Part of the set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5"/>
              </w:rPr>
              <w:t>Provides input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Reviews</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Approves</w:t>
            </w:r>
          </w:p>
        </w:tc>
      </w:tr>
      <w:tr>
        <w:tc>
          <w:tcPr>
            <w:tcW w:type="dxa" w:w="2946"/>
            <w:tcMar>
              <w:top w:w="50" w:type="dxa"/>
              <w:bottom w:w="50" w:type="dxa"/>
              <w:left w:w="90" w:type="dxa"/>
              <w:right w:w="90" w:type="dxa"/>
            </w:tcMar>
          </w:tcPr>
          <w:p>
            <w:pPr>
              <w:pStyle w:val="BDOITable"/>
            </w:pPr>
            <w:r>
              <w:rPr>
                <w:b/>
                <w:sz w:val="15"/>
              </w:rPr>
              <w:t>Screens and fields (FRS screen specifications; workbook Screen catalogue, Field register)</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Collections &amp; Marketing input, FT&amp;P input</w:t>
            </w:r>
          </w:p>
        </w:tc>
        <w:tc>
          <w:tcPr>
            <w:tcW w:type="dxa" w:w="1700"/>
            <w:tcMar>
              <w:top w:w="50" w:type="dxa"/>
              <w:bottom w:w="50" w:type="dxa"/>
              <w:left w:w="90" w:type="dxa"/>
              <w:right w:w="90" w:type="dxa"/>
            </w:tcMar>
          </w:tcPr>
          <w:p>
            <w:pPr>
              <w:pStyle w:val="BDOITable"/>
            </w:pPr>
            <w:r>
              <w:rPr>
                <w:sz w:val="15"/>
              </w:rPr>
              <w:t>Program Manager (BPS), Operations Head</w:t>
            </w:r>
          </w:p>
        </w:tc>
        <w:tc>
          <w:tcPr>
            <w:tcW w:type="dxa" w:w="2153"/>
            <w:tcMar>
              <w:top w:w="50" w:type="dxa"/>
              <w:bottom w:w="50" w:type="dxa"/>
              <w:left w:w="90" w:type="dxa"/>
              <w:right w:w="90" w:type="dxa"/>
            </w:tcMar>
          </w:tcPr>
          <w:p>
            <w:pPr>
              <w:pStyle w:val="BDOITable"/>
            </w:pPr>
            <w:r>
              <w:rPr>
                <w:sz w:val="15"/>
              </w:rPr>
              <w:t>Product Owner, Product Owner (Operations), Marketing heads</w:t>
            </w:r>
          </w:p>
        </w:tc>
      </w:tr>
      <w:tr>
        <w:tc>
          <w:tcPr>
            <w:tcW w:type="dxa" w:w="2946"/>
            <w:tcMar>
              <w:top w:w="50" w:type="dxa"/>
              <w:bottom w:w="50" w:type="dxa"/>
              <w:left w:w="90" w:type="dxa"/>
              <w:right w:w="90" w:type="dxa"/>
            </w:tcMar>
            <w:shd w:val="clear" w:color="auto" w:fill="E5F5FF"/>
          </w:tcPr>
          <w:p>
            <w:pPr>
              <w:pStyle w:val="BDOITable"/>
            </w:pPr>
            <w:r>
              <w:rPr>
                <w:b/>
                <w:sz w:val="15"/>
              </w:rPr>
              <w:t>Business rules and validations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Collections &amp; Marketing input, BA (BPS)</w:t>
            </w:r>
          </w:p>
        </w:tc>
        <w:tc>
          <w:tcPr>
            <w:tcW w:type="dxa" w:w="1700"/>
            <w:tcMar>
              <w:top w:w="50" w:type="dxa"/>
              <w:bottom w:w="50" w:type="dxa"/>
              <w:left w:w="90" w:type="dxa"/>
              <w:right w:w="90" w:type="dxa"/>
            </w:tcMar>
            <w:shd w:val="clear" w:color="auto" w:fill="E5F5FF"/>
          </w:tcPr>
          <w:p>
            <w:pPr>
              <w:pStyle w:val="BDOITable"/>
            </w:pPr>
            <w:r>
              <w:rPr>
                <w:sz w:val="15"/>
              </w:rPr>
              <w:t>Program Manager (BPS), Operations Head</w:t>
            </w:r>
          </w:p>
        </w:tc>
        <w:tc>
          <w:tcPr>
            <w:tcW w:type="dxa" w:w="2153"/>
            <w:tcMar>
              <w:top w:w="50" w:type="dxa"/>
              <w:bottom w:w="50" w:type="dxa"/>
              <w:left w:w="90" w:type="dxa"/>
              <w:right w:w="90" w:type="dxa"/>
            </w:tcMar>
            <w:shd w:val="clear" w:color="auto" w:fill="E5F5FF"/>
          </w:tcPr>
          <w:p>
            <w:pPr>
              <w:pStyle w:val="BDOITable"/>
            </w:pPr>
            <w:r>
              <w:rPr>
                <w:sz w:val="15"/>
              </w:rPr>
              <w:t>Product Owner, Product Owner (Operations), Marketing heads</w:t>
            </w:r>
          </w:p>
        </w:tc>
      </w:tr>
      <w:tr>
        <w:tc>
          <w:tcPr>
            <w:tcW w:type="dxa" w:w="2946"/>
            <w:tcMar>
              <w:top w:w="50" w:type="dxa"/>
              <w:bottom w:w="50" w:type="dxa"/>
              <w:left w:w="90" w:type="dxa"/>
              <w:right w:w="90" w:type="dxa"/>
            </w:tcMar>
          </w:tcPr>
          <w:p>
            <w:pPr>
              <w:pStyle w:val="BDOITable"/>
            </w:pPr>
            <w:r>
              <w:rPr>
                <w:b/>
                <w:sz w:val="15"/>
              </w:rPr>
              <w:t>Messages and notifications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Collections &amp; Marketing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 Marketing heads</w:t>
            </w:r>
          </w:p>
        </w:tc>
      </w:tr>
      <w:tr>
        <w:tc>
          <w:tcPr>
            <w:tcW w:type="dxa" w:w="2946"/>
            <w:tcMar>
              <w:top w:w="50" w:type="dxa"/>
              <w:bottom w:w="50" w:type="dxa"/>
              <w:left w:w="90" w:type="dxa"/>
              <w:right w:w="90" w:type="dxa"/>
            </w:tcMar>
            <w:shd w:val="clear" w:color="auto" w:fill="E5F5FF"/>
          </w:tcPr>
          <w:p>
            <w:pPr>
              <w:pStyle w:val="BDOITable"/>
            </w:pPr>
            <w:r>
              <w:rPr>
                <w:b/>
                <w:sz w:val="15"/>
              </w:rPr>
              <w:t>Documents, files and reports (statement of account, worklist and reversal files, application file, reports)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Collections &amp; Marketing input, FT&amp;P input</w:t>
            </w:r>
          </w:p>
        </w:tc>
        <w:tc>
          <w:tcPr>
            <w:tcW w:type="dxa" w:w="1700"/>
            <w:tcMar>
              <w:top w:w="50" w:type="dxa"/>
              <w:bottom w:w="50" w:type="dxa"/>
              <w:left w:w="90" w:type="dxa"/>
              <w:right w:w="90" w:type="dxa"/>
            </w:tcMar>
            <w:shd w:val="clear" w:color="auto" w:fill="E5F5FF"/>
          </w:tcPr>
          <w:p>
            <w:pPr>
              <w:pStyle w:val="BDOITable"/>
            </w:pPr>
            <w:r>
              <w:rPr>
                <w:sz w:val="15"/>
              </w:rPr>
              <w:t>Program Manager (BPS), Operations Head</w:t>
            </w:r>
          </w:p>
        </w:tc>
        <w:tc>
          <w:tcPr>
            <w:tcW w:type="dxa" w:w="2153"/>
            <w:tcMar>
              <w:top w:w="50" w:type="dxa"/>
              <w:bottom w:w="50" w:type="dxa"/>
              <w:left w:w="90" w:type="dxa"/>
              <w:right w:w="90" w:type="dxa"/>
            </w:tcMar>
            <w:shd w:val="clear" w:color="auto" w:fill="E5F5FF"/>
          </w:tcPr>
          <w:p>
            <w:pPr>
              <w:pStyle w:val="BDOITable"/>
            </w:pPr>
            <w:r>
              <w:rPr>
                <w:sz w:val="15"/>
              </w:rPr>
              <w:t>Product Owner, Marketing heads</w:t>
            </w:r>
          </w:p>
        </w:tc>
      </w:tr>
      <w:tr>
        <w:tc>
          <w:tcPr>
            <w:tcW w:type="dxa" w:w="2946"/>
            <w:tcMar>
              <w:top w:w="50" w:type="dxa"/>
              <w:bottom w:w="50" w:type="dxa"/>
              <w:left w:w="90" w:type="dxa"/>
              <w:right w:w="90" w:type="dxa"/>
            </w:tcMar>
          </w:tcPr>
          <w:p>
            <w:pPr>
              <w:pStyle w:val="BDOITable"/>
            </w:pPr>
            <w:r>
              <w:rPr>
                <w:b/>
                <w:sz w:val="15"/>
              </w:rPr>
              <w:t>Commission receivable gate and the draft rows on incentives (FR-CL-090 to 094)</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BA (BPS), FT&amp;P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 Product Owner (Operations), Comptrollership</w:t>
            </w:r>
          </w:p>
        </w:tc>
      </w:tr>
      <w:tr>
        <w:tc>
          <w:tcPr>
            <w:tcW w:type="dxa" w:w="2946"/>
            <w:tcMar>
              <w:top w:w="50" w:type="dxa"/>
              <w:bottom w:w="50" w:type="dxa"/>
              <w:left w:w="90" w:type="dxa"/>
              <w:right w:w="90" w:type="dxa"/>
            </w:tcMar>
            <w:shd w:val="clear" w:color="auto" w:fill="E5F5FF"/>
          </w:tcPr>
          <w:p>
            <w:pPr>
              <w:pStyle w:val="BDOITable"/>
            </w:pPr>
            <w:r>
              <w:rPr>
                <w:b/>
                <w:sz w:val="15"/>
              </w:rPr>
              <w:t>Walkthroughs (end-to-end, screen by screen)</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Collections &amp; Marketing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Proposed business rules and clarifications for confirmation</w:t>
            </w:r>
          </w:p>
        </w:tc>
        <w:tc>
          <w:tcPr>
            <w:tcW w:type="dxa" w:w="1360"/>
            <w:tcMar>
              <w:top w:w="50" w:type="dxa"/>
              <w:bottom w:w="50" w:type="dxa"/>
              <w:left w:w="90" w:type="dxa"/>
              <w:right w:w="90" w:type="dxa"/>
            </w:tcMar>
          </w:tcPr>
          <w:p>
            <w:pPr>
              <w:pStyle w:val="BDOITable"/>
            </w:pPr>
            <w:r>
              <w:rPr>
                <w:sz w:val="15"/>
              </w:rPr>
              <w:t>iorta TechNXT, BA (BPS)</w:t>
            </w:r>
          </w:p>
        </w:tc>
        <w:tc>
          <w:tcPr>
            <w:tcW w:type="dxa" w:w="1813"/>
            <w:tcMar>
              <w:top w:w="50" w:type="dxa"/>
              <w:bottom w:w="50" w:type="dxa"/>
              <w:left w:w="90" w:type="dxa"/>
              <w:right w:w="90" w:type="dxa"/>
            </w:tcMar>
          </w:tcPr>
          <w:p>
            <w:pPr>
              <w:pStyle w:val="BDOITable"/>
            </w:pPr>
            <w:r>
              <w:rPr>
                <w:sz w:val="15"/>
              </w:rPr>
              <w:t>Collections &amp; Marketing input, FT&amp;P input</w:t>
            </w:r>
          </w:p>
        </w:tc>
        <w:tc>
          <w:tcPr>
            <w:tcW w:type="dxa" w:w="1700"/>
            <w:tcMar>
              <w:top w:w="50" w:type="dxa"/>
              <w:bottom w:w="50" w:type="dxa"/>
              <w:left w:w="90" w:type="dxa"/>
              <w:right w:w="90" w:type="dxa"/>
            </w:tcMar>
          </w:tcPr>
          <w:p>
            <w:pPr>
              <w:pStyle w:val="BDOITable"/>
            </w:pPr>
            <w:r>
              <w:rPr>
                <w:sz w:val="15"/>
              </w:rPr>
              <w:t>Program Manager (BPS), Operations Head</w:t>
            </w:r>
          </w:p>
        </w:tc>
        <w:tc>
          <w:tcPr>
            <w:tcW w:type="dxa" w:w="2153"/>
            <w:tcMar>
              <w:top w:w="50" w:type="dxa"/>
              <w:bottom w:w="50" w:type="dxa"/>
              <w:left w:w="90" w:type="dxa"/>
              <w:right w:w="90" w:type="dxa"/>
            </w:tcMar>
          </w:tcPr>
          <w:p>
            <w:pPr>
              <w:pStyle w:val="BDOITable"/>
            </w:pPr>
            <w:r>
              <w:rPr>
                <w:sz w:val="15"/>
              </w:rPr>
              <w:t>Product Owner, Product Owner (Operations), Marketing heads</w:t>
            </w:r>
          </w:p>
        </w:tc>
      </w:tr>
      <w:tr>
        <w:tc>
          <w:tcPr>
            <w:tcW w:type="dxa" w:w="2946"/>
            <w:tcMar>
              <w:top w:w="50" w:type="dxa"/>
              <w:bottom w:w="50" w:type="dxa"/>
              <w:left w:w="90" w:type="dxa"/>
              <w:right w:w="90" w:type="dxa"/>
            </w:tcMar>
            <w:shd w:val="clear" w:color="auto" w:fill="E5F5FF"/>
          </w:tcPr>
          <w:p>
            <w:pPr>
              <w:pStyle w:val="BDOITable"/>
            </w:pPr>
            <w:r>
              <w:rPr>
                <w:b/>
                <w:sz w:val="15"/>
              </w:rPr>
              <w:t>Scheduled runs and files, hand-offs inside BIBS, user access and menus by persona</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Collections &amp; Marketing input</w:t>
            </w:r>
          </w:p>
        </w:tc>
        <w:tc>
          <w:tcPr>
            <w:tcW w:type="dxa" w:w="1700"/>
            <w:tcMar>
              <w:top w:w="50" w:type="dxa"/>
              <w:bottom w:w="50" w:type="dxa"/>
              <w:left w:w="90" w:type="dxa"/>
              <w:right w:w="90" w:type="dxa"/>
            </w:tcMar>
            <w:shd w:val="clear" w:color="auto" w:fill="E5F5FF"/>
          </w:tcPr>
          <w:p>
            <w:pPr>
              <w:pStyle w:val="BDOITable"/>
            </w:pPr>
            <w:r>
              <w:rPr>
                <w:sz w:val="15"/>
              </w:rPr>
              <w:t>BDOI IT, Operations Head</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Test plan (04 workbook, 05 summary)</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Collections &amp; Marketing input</w:t>
            </w:r>
          </w:p>
        </w:tc>
        <w:tc>
          <w:tcPr>
            <w:tcW w:type="dxa" w:w="1700"/>
            <w:tcMar>
              <w:top w:w="50" w:type="dxa"/>
              <w:bottom w:w="50" w:type="dxa"/>
              <w:left w:w="90" w:type="dxa"/>
              <w:right w:w="90" w:type="dxa"/>
            </w:tcMar>
          </w:tcPr>
          <w:p>
            <w:pPr>
              <w:pStyle w:val="BDOITable"/>
            </w:pPr>
            <w:r>
              <w:rPr>
                <w:sz w:val="15"/>
              </w:rPr>
              <w:t>Program Manager (BPS), BDOI IT</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UX screen deck, UX screen register and image package (07 to 09, for the BDOI UX Design team; the screens as specified in this set)</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Collections &amp; Marketing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Technical Specification (separate document, not part of the business sign-off)</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BDOI IT</w:t>
            </w:r>
          </w:p>
        </w:tc>
        <w:tc>
          <w:tcPr>
            <w:tcW w:type="dxa" w:w="1700"/>
            <w:tcMar>
              <w:top w:w="50" w:type="dxa"/>
              <w:bottom w:w="50" w:type="dxa"/>
              <w:left w:w="90" w:type="dxa"/>
              <w:right w:w="90" w:type="dxa"/>
            </w:tcMar>
          </w:tcPr>
          <w:p>
            <w:pPr>
              <w:pStyle w:val="BDOITable"/>
            </w:pPr>
            <w:r>
              <w:rPr>
                <w:sz w:val="15"/>
              </w:rPr>
              <w:t>BDOI IT</w:t>
            </w:r>
          </w:p>
        </w:tc>
        <w:tc>
          <w:tcPr>
            <w:tcW w:type="dxa" w:w="2153"/>
            <w:tcMar>
              <w:top w:w="50" w:type="dxa"/>
              <w:bottom w:w="50" w:type="dxa"/>
              <w:left w:w="90" w:type="dxa"/>
              <w:right w:w="90" w:type="dxa"/>
            </w:tcMar>
          </w:tcPr>
          <w:p>
            <w:pPr>
              <w:pStyle w:val="BDOITable"/>
            </w:pPr>
            <w:r>
              <w:rPr>
                <w:sz w:val="15"/>
              </w:rPr>
              <w:t>BDOI IT</w:t>
            </w:r>
          </w:p>
        </w:tc>
      </w:tr>
    </w:tbl>
    <w:p>
      <w:pPr>
        <w:pStyle w:val="BDOISpacer"/>
      </w:pPr>
    </w:p>
    <w:p>
      <w:pPr>
        <w:pStyle w:val="Caption"/>
        <w:keepNext/>
        <w:spacing w:after="60"/>
      </w:pPr>
      <w:r>
        <w:rPr>
          <w:b/>
          <w:i w:val="0"/>
        </w:rPr>
        <w:t xml:space="preserve">Table 6: </w:t>
      </w:r>
      <w:r>
        <w:rPr/>
        <w:t>Signatories and what each confirms (Collections BRD approval sheets: CMS BRD p.95-96 (Prepared, Reviewed, Validated, Approved by), renumbering addendum p.36 and Collections Addendum p.24)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833"/>
        <w:gridCol w:w="3853"/>
        <w:gridCol w:w="203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Capacity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5"/>
              </w:rPr>
              <w:t>Confirms by signing</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On the BRD approval sheet</w:t>
            </w:r>
          </w:p>
        </w:tc>
      </w:tr>
      <w:tr>
        <w:tc>
          <w:tcPr>
            <w:tcW w:type="dxa" w:w="1246"/>
            <w:tcMar>
              <w:top w:w="50" w:type="dxa"/>
              <w:bottom w:w="50" w:type="dxa"/>
              <w:left w:w="90" w:type="dxa"/>
              <w:right w:w="90" w:type="dxa"/>
            </w:tcMar>
          </w:tcPr>
          <w:p>
            <w:pPr>
              <w:pStyle w:val="BDOITable"/>
            </w:pPr>
            <w:r>
              <w:rPr>
                <w:sz w:val="15"/>
              </w:rPr>
              <w:t>Prepared by</w:t>
            </w:r>
          </w:p>
        </w:tc>
        <w:tc>
          <w:tcPr>
            <w:tcW w:type="dxa" w:w="2833"/>
            <w:tcMar>
              <w:top w:w="50" w:type="dxa"/>
              <w:bottom w:w="50" w:type="dxa"/>
              <w:left w:w="90" w:type="dxa"/>
              <w:right w:w="90" w:type="dxa"/>
            </w:tcMar>
          </w:tcPr>
          <w:p>
            <w:pPr>
              <w:pStyle w:val="BDOITable"/>
            </w:pPr>
            <w:r>
              <w:rPr>
                <w:sz w:val="15"/>
              </w:rPr>
              <w:t>iorta TechNXT project team: Project Manager, Business Analysis, test lead (iorta TechNXT)</w:t>
            </w:r>
          </w:p>
        </w:tc>
        <w:tc>
          <w:tcPr>
            <w:tcW w:type="dxa" w:w="3853"/>
            <w:tcMar>
              <w:top w:w="50" w:type="dxa"/>
              <w:bottom w:w="50" w:type="dxa"/>
              <w:left w:w="90" w:type="dxa"/>
              <w:right w:w="90" w:type="dxa"/>
            </w:tcMar>
          </w:tcPr>
          <w:p>
            <w:pPr>
              <w:pStyle w:val="BDOITable"/>
            </w:pPr>
            <w:r>
              <w:rPr>
                <w:sz w:val="15"/>
              </w:rPr>
              <w:t>The set is complete and consistent as issued, traced to the BRD and to the screens; every comment is answered in the comments log</w:t>
            </w:r>
          </w:p>
        </w:tc>
        <w:tc>
          <w:tcPr>
            <w:tcW w:type="dxa" w:w="2040"/>
            <w:tcMar>
              <w:top w:w="50" w:type="dxa"/>
              <w:bottom w:w="50" w:type="dxa"/>
              <w:left w:w="90" w:type="dxa"/>
              <w:right w:w="90" w:type="dxa"/>
            </w:tcMar>
          </w:tcPr>
          <w:p>
            <w:pPr>
              <w:pStyle w:val="BDOITable"/>
            </w:pPr>
            <w:r>
              <w:rPr>
                <w:sz w:val="15"/>
              </w:rPr>
              <w:t>Added for this set (author of the FRS set)</w:t>
            </w:r>
          </w:p>
        </w:tc>
      </w:tr>
      <w:tr>
        <w:tc>
          <w:tcPr>
            <w:tcW w:type="dxa" w:w="1246"/>
            <w:tcMar>
              <w:top w:w="50" w:type="dxa"/>
              <w:bottom w:w="50" w:type="dxa"/>
              <w:left w:w="90" w:type="dxa"/>
              <w:right w:w="90" w:type="dxa"/>
            </w:tcMar>
            <w:shd w:val="clear" w:color="auto" w:fill="E5F5FF"/>
          </w:tcPr>
          <w:p>
            <w:pPr>
              <w:pStyle w:val="BDOITable"/>
            </w:pPr>
            <w:r>
              <w:rPr>
                <w:sz w:val="15"/>
              </w:rPr>
              <w:t>Prepared by</w:t>
            </w:r>
          </w:p>
        </w:tc>
        <w:tc>
          <w:tcPr>
            <w:tcW w:type="dxa" w:w="2833"/>
            <w:tcMar>
              <w:top w:w="50" w:type="dxa"/>
              <w:bottom w:w="50" w:type="dxa"/>
              <w:left w:w="90" w:type="dxa"/>
              <w:right w:w="90" w:type="dxa"/>
            </w:tcMar>
            <w:shd w:val="clear" w:color="auto" w:fill="E5F5FF"/>
          </w:tcPr>
          <w:p>
            <w:pPr>
              <w:pStyle w:val="BDOITable"/>
            </w:pPr>
            <w:r>
              <w:rPr>
                <w:sz w:val="15"/>
              </w:rPr>
              <w:t>Business Analyst, Enterprise Services Group - Business Project Services (BPS) (Zean C. Ibay) (BDO Unibank ESG)</w:t>
            </w:r>
          </w:p>
        </w:tc>
        <w:tc>
          <w:tcPr>
            <w:tcW w:type="dxa" w:w="3853"/>
            <w:tcMar>
              <w:top w:w="50" w:type="dxa"/>
              <w:bottom w:w="50" w:type="dxa"/>
              <w:left w:w="90" w:type="dxa"/>
              <w:right w:w="90" w:type="dxa"/>
            </w:tcMar>
            <w:shd w:val="clear" w:color="auto" w:fill="E5F5FF"/>
          </w:tcPr>
          <w:p>
            <w:pPr>
              <w:pStyle w:val="BDOITable"/>
            </w:pPr>
            <w:r>
              <w:rPr>
                <w:sz w:val="15"/>
              </w:rPr>
              <w:t>The set states the BRD requirements as written; every departure is listed in the proposed rules and clarifications</w:t>
            </w:r>
          </w:p>
        </w:tc>
        <w:tc>
          <w:tcPr>
            <w:tcW w:type="dxa" w:w="2040"/>
            <w:tcMar>
              <w:top w:w="50" w:type="dxa"/>
              <w:bottom w:w="50" w:type="dxa"/>
              <w:left w:w="90" w:type="dxa"/>
              <w:right w:w="90" w:type="dxa"/>
            </w:tcMar>
            <w:shd w:val="clear" w:color="auto" w:fill="E5F5FF"/>
          </w:tcPr>
          <w:p>
            <w:pPr>
              <w:pStyle w:val="BDOITable"/>
            </w:pPr>
            <w:r>
              <w:rPr>
                <w:sz w:val="15"/>
              </w:rPr>
              <w:t>Prepared by (p.95 and p.36)</w:t>
            </w:r>
          </w:p>
        </w:tc>
      </w:tr>
      <w:tr>
        <w:tc>
          <w:tcPr>
            <w:tcW w:type="dxa" w:w="1246"/>
            <w:tcMar>
              <w:top w:w="50" w:type="dxa"/>
              <w:bottom w:w="50" w:type="dxa"/>
              <w:left w:w="90" w:type="dxa"/>
              <w:right w:w="90" w:type="dxa"/>
            </w:tcMar>
          </w:tcPr>
          <w:p>
            <w:pPr>
              <w:pStyle w:val="BDOITable"/>
            </w:pPr>
            <w:r>
              <w:rPr>
                <w:sz w:val="15"/>
              </w:rPr>
              <w:t>Input provided by</w:t>
            </w:r>
          </w:p>
        </w:tc>
        <w:tc>
          <w:tcPr>
            <w:tcW w:type="dxa" w:w="2833"/>
            <w:tcMar>
              <w:top w:w="50" w:type="dxa"/>
              <w:bottom w:w="50" w:type="dxa"/>
              <w:left w:w="90" w:type="dxa"/>
              <w:right w:w="90" w:type="dxa"/>
            </w:tcMar>
          </w:tcPr>
          <w:p>
            <w:pPr>
              <w:pStyle w:val="BDOITable"/>
            </w:pPr>
            <w:r>
              <w:rPr>
                <w:sz w:val="15"/>
              </w:rPr>
              <w:t>Collections and Marketing Support, HO Marketing Support BBG, Operations, Marketing and Business Services, Marketing - Head Office, Marketing Business Services and System Support (Pia Grace M. Pinili, Maria Victoria Evangelista, Grace Tordesillas, Ma. Fides E. Rivera, Arra R. Rivera, Rhommel Mark Galler) (BDOI)</w:t>
            </w:r>
          </w:p>
        </w:tc>
        <w:tc>
          <w:tcPr>
            <w:tcW w:type="dxa" w:w="3853"/>
            <w:tcMar>
              <w:top w:w="50" w:type="dxa"/>
              <w:bottom w:w="50" w:type="dxa"/>
              <w:left w:w="90" w:type="dxa"/>
              <w:right w:w="90" w:type="dxa"/>
            </w:tcMar>
          </w:tcPr>
          <w:p>
            <w:pPr>
              <w:pStyle w:val="BDOITable"/>
            </w:pPr>
            <w:r>
              <w:rPr>
                <w:sz w:val="15"/>
              </w:rPr>
              <w:t>The worklist, collection account, disposition, promise, installment, escalation, billing statement and unapplied payment screens, fields, rules and messages match the business input</w:t>
            </w:r>
          </w:p>
        </w:tc>
        <w:tc>
          <w:tcPr>
            <w:tcW w:type="dxa" w:w="2040"/>
            <w:tcMar>
              <w:top w:w="50" w:type="dxa"/>
              <w:bottom w:w="50" w:type="dxa"/>
              <w:left w:w="90" w:type="dxa"/>
              <w:right w:w="90" w:type="dxa"/>
            </w:tcMar>
          </w:tcPr>
          <w:p>
            <w:pPr>
              <w:pStyle w:val="BDOITable"/>
            </w:pPr>
            <w:r>
              <w:rPr>
                <w:sz w:val="15"/>
              </w:rPr>
              <w:t>Reviewed by (p.95, p.36, p.24); Input Provider in the intended audience (p.39)</w:t>
            </w:r>
          </w:p>
        </w:tc>
      </w:tr>
      <w:tr>
        <w:tc>
          <w:tcPr>
            <w:tcW w:type="dxa" w:w="1246"/>
            <w:tcMar>
              <w:top w:w="50" w:type="dxa"/>
              <w:bottom w:w="50" w:type="dxa"/>
              <w:left w:w="90" w:type="dxa"/>
              <w:right w:w="90" w:type="dxa"/>
            </w:tcMar>
            <w:shd w:val="clear" w:color="auto" w:fill="E5F5FF"/>
          </w:tcPr>
          <w:p>
            <w:pPr>
              <w:pStyle w:val="BDOITable"/>
            </w:pPr>
            <w:r>
              <w:rPr>
                <w:sz w:val="15"/>
              </w:rPr>
              <w:t>Input provided by</w:t>
            </w:r>
          </w:p>
        </w:tc>
        <w:tc>
          <w:tcPr>
            <w:tcW w:type="dxa" w:w="2833"/>
            <w:tcMar>
              <w:top w:w="50" w:type="dxa"/>
              <w:bottom w:w="50" w:type="dxa"/>
              <w:left w:w="90" w:type="dxa"/>
              <w:right w:w="90" w:type="dxa"/>
            </w:tcMar>
            <w:shd w:val="clear" w:color="auto" w:fill="E5F5FF"/>
          </w:tcPr>
          <w:p>
            <w:pPr>
              <w:pStyle w:val="BDOITable"/>
            </w:pPr>
            <w:r>
              <w:rPr>
                <w:sz w:val="15"/>
              </w:rPr>
              <w:t>Operations: Financial Transactions and Processing (Perjelyn Joy Gutierrez) (BDOI)</w:t>
            </w:r>
          </w:p>
        </w:tc>
        <w:tc>
          <w:tcPr>
            <w:tcW w:type="dxa" w:w="3853"/>
            <w:tcMar>
              <w:top w:w="50" w:type="dxa"/>
              <w:bottom w:w="50" w:type="dxa"/>
              <w:left w:w="90" w:type="dxa"/>
              <w:right w:w="90" w:type="dxa"/>
            </w:tcMar>
            <w:shd w:val="clear" w:color="auto" w:fill="E5F5FF"/>
          </w:tcPr>
          <w:p>
            <w:pPr>
              <w:pStyle w:val="BDOITable"/>
            </w:pPr>
            <w:r>
              <w:rPr>
                <w:sz w:val="15"/>
              </w:rPr>
              <w:t>The hand-offs to Cashiering and Commission Receivables, the requests on unapplied payments and the reversal files match what Operations carries out</w:t>
            </w:r>
          </w:p>
        </w:tc>
        <w:tc>
          <w:tcPr>
            <w:tcW w:type="dxa" w:w="2040"/>
            <w:tcMar>
              <w:top w:w="50" w:type="dxa"/>
              <w:bottom w:w="50" w:type="dxa"/>
              <w:left w:w="90" w:type="dxa"/>
              <w:right w:w="90" w:type="dxa"/>
            </w:tcMar>
            <w:shd w:val="clear" w:color="auto" w:fill="E5F5FF"/>
          </w:tcPr>
          <w:p>
            <w:pPr>
              <w:pStyle w:val="BDOITable"/>
            </w:pPr>
            <w:r>
              <w:rPr>
                <w:sz w:val="15"/>
              </w:rPr>
              <w:t>Reviewed by (p.95); Input Provider (p.39)</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VP and Head, BDOI Operations (John Benedict S. Santos) (BDOI)</w:t>
            </w:r>
          </w:p>
        </w:tc>
        <w:tc>
          <w:tcPr>
            <w:tcW w:type="dxa" w:w="3853"/>
            <w:tcMar>
              <w:top w:w="50" w:type="dxa"/>
              <w:bottom w:w="50" w:type="dxa"/>
              <w:left w:w="90" w:type="dxa"/>
              <w:right w:w="90" w:type="dxa"/>
            </w:tcMar>
          </w:tcPr>
          <w:p>
            <w:pPr>
              <w:pStyle w:val="BDOITable"/>
            </w:pPr>
            <w:r>
              <w:rPr>
                <w:sz w:val="15"/>
              </w:rPr>
              <w:t>The Collections process with Operations and the caveat of p.95: exports and downloads run in the background and do not slow the system</w:t>
            </w:r>
          </w:p>
        </w:tc>
        <w:tc>
          <w:tcPr>
            <w:tcW w:type="dxa" w:w="2040"/>
            <w:tcMar>
              <w:top w:w="50" w:type="dxa"/>
              <w:bottom w:w="50" w:type="dxa"/>
              <w:left w:w="90" w:type="dxa"/>
              <w:right w:w="90" w:type="dxa"/>
            </w:tcMar>
          </w:tcPr>
          <w:p>
            <w:pPr>
              <w:pStyle w:val="BDOITable"/>
            </w:pPr>
            <w:r>
              <w:rPr>
                <w:sz w:val="15"/>
              </w:rPr>
              <w:t>Reviewed by, with the caveat on exports (p.95)</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BDOI Information Technology Group: IT Core Business Delivery (Reynaldo Valera Jr.) and IT AIO Core Business Delivery - Insurance (Wynonah Allyssa D. Agojo) (BDOI)</w:t>
            </w:r>
          </w:p>
        </w:tc>
        <w:tc>
          <w:tcPr>
            <w:tcW w:type="dxa" w:w="3853"/>
            <w:tcMar>
              <w:top w:w="50" w:type="dxa"/>
              <w:bottom w:w="50" w:type="dxa"/>
              <w:left w:w="90" w:type="dxa"/>
              <w:right w:w="90" w:type="dxa"/>
            </w:tcMar>
            <w:shd w:val="clear" w:color="auto" w:fill="E5F5FF"/>
          </w:tcPr>
          <w:p>
            <w:pPr>
              <w:pStyle w:val="BDOITable"/>
            </w:pPr>
            <w:r>
              <w:rPr>
                <w:sz w:val="15"/>
              </w:rPr>
              <w:t>Scheduled runs and files, user access and menus, the hand-offs inside BIBS and the Technical Specification (a separate document); not the business screens</w:t>
            </w:r>
          </w:p>
        </w:tc>
        <w:tc>
          <w:tcPr>
            <w:tcW w:type="dxa" w:w="2040"/>
            <w:tcMar>
              <w:top w:w="50" w:type="dxa"/>
              <w:bottom w:w="50" w:type="dxa"/>
              <w:left w:w="90" w:type="dxa"/>
              <w:right w:w="90" w:type="dxa"/>
            </w:tcMar>
            <w:shd w:val="clear" w:color="auto" w:fill="E5F5FF"/>
          </w:tcPr>
          <w:p>
            <w:pPr>
              <w:pStyle w:val="BDOITable"/>
            </w:pPr>
            <w:r>
              <w:rPr>
                <w:sz w:val="15"/>
              </w:rPr>
              <w:t>Validated by and Prepared by (p.95-96); Reviewed by (p.36)</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Program Manager, Enterprise Services Group - Business Project Services (BPS) (Dan Ace Cauton) (BDO Unibank ESG)</w:t>
            </w:r>
          </w:p>
        </w:tc>
        <w:tc>
          <w:tcPr>
            <w:tcW w:type="dxa" w:w="3853"/>
            <w:tcMar>
              <w:top w:w="50" w:type="dxa"/>
              <w:bottom w:w="50" w:type="dxa"/>
              <w:left w:w="90" w:type="dxa"/>
              <w:right w:w="90" w:type="dxa"/>
            </w:tcMar>
          </w:tcPr>
          <w:p>
            <w:pPr>
              <w:pStyle w:val="BDOITable"/>
            </w:pPr>
            <w:r>
              <w:rPr>
                <w:sz w:val="15"/>
              </w:rPr>
              <w:t>Traceability of every BRD requirement to the set and completeness of the set</w:t>
            </w:r>
          </w:p>
        </w:tc>
        <w:tc>
          <w:tcPr>
            <w:tcW w:type="dxa" w:w="2040"/>
            <w:tcMar>
              <w:top w:w="50" w:type="dxa"/>
              <w:bottom w:w="50" w:type="dxa"/>
              <w:left w:w="90" w:type="dxa"/>
              <w:right w:w="90" w:type="dxa"/>
            </w:tcMar>
          </w:tcPr>
          <w:p>
            <w:pPr>
              <w:pStyle w:val="BDOITable"/>
            </w:pPr>
            <w:r>
              <w:rPr>
                <w:sz w:val="15"/>
              </w:rPr>
              <w:t>Validated by (p.96); Approved by (p.36); Reviewed by (p.24)</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Product Owner, AVP (Shellah Marie C. Miranda) (BDOI)</w:t>
            </w:r>
          </w:p>
        </w:tc>
        <w:tc>
          <w:tcPr>
            <w:tcW w:type="dxa" w:w="3853"/>
            <w:tcMar>
              <w:top w:w="50" w:type="dxa"/>
              <w:bottom w:w="50" w:type="dxa"/>
              <w:left w:w="90" w:type="dxa"/>
              <w:right w:w="90" w:type="dxa"/>
            </w:tcMar>
            <w:shd w:val="clear" w:color="auto" w:fill="E5F5FF"/>
          </w:tcPr>
          <w:p>
            <w:pPr>
              <w:pStyle w:val="BDOITable"/>
            </w:pPr>
            <w:r>
              <w:rPr>
                <w:sz w:val="15"/>
              </w:rPr>
              <w:t>Owns the set and approves all of its contents</w:t>
            </w:r>
          </w:p>
        </w:tc>
        <w:tc>
          <w:tcPr>
            <w:tcW w:type="dxa" w:w="2040"/>
            <w:tcMar>
              <w:top w:w="50" w:type="dxa"/>
              <w:bottom w:w="50" w:type="dxa"/>
              <w:left w:w="90" w:type="dxa"/>
              <w:right w:w="90" w:type="dxa"/>
            </w:tcMar>
            <w:shd w:val="clear" w:color="auto" w:fill="E5F5FF"/>
          </w:tcPr>
          <w:p>
            <w:pPr>
              <w:pStyle w:val="BDOITable"/>
            </w:pPr>
            <w:r>
              <w:rPr>
                <w:sz w:val="15"/>
              </w:rPr>
              <w:t>Approved by (p.96, p.36, p.24)</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Product Owner, AVP (Jose Melvin Jarin) (BDOI)</w:t>
            </w:r>
          </w:p>
        </w:tc>
        <w:tc>
          <w:tcPr>
            <w:tcW w:type="dxa" w:w="3853"/>
            <w:tcMar>
              <w:top w:w="50" w:type="dxa"/>
              <w:bottom w:w="50" w:type="dxa"/>
              <w:left w:w="90" w:type="dxa"/>
              <w:right w:w="90" w:type="dxa"/>
            </w:tcMar>
          </w:tcPr>
          <w:p>
            <w:pPr>
              <w:pStyle w:val="BDOITable"/>
            </w:pPr>
            <w:r>
              <w:rPr>
                <w:sz w:val="15"/>
              </w:rPr>
              <w:t>The addendum functions: escalation, bulk update, reassignment, installments, promises, billing statements</w:t>
            </w:r>
          </w:p>
        </w:tc>
        <w:tc>
          <w:tcPr>
            <w:tcW w:type="dxa" w:w="2040"/>
            <w:tcMar>
              <w:top w:w="50" w:type="dxa"/>
              <w:bottom w:w="50" w:type="dxa"/>
              <w:left w:w="90" w:type="dxa"/>
              <w:right w:w="90" w:type="dxa"/>
            </w:tcMar>
          </w:tcPr>
          <w:p>
            <w:pPr>
              <w:pStyle w:val="BDOITable"/>
            </w:pPr>
            <w:r>
              <w:rPr>
                <w:sz w:val="15"/>
              </w:rPr>
              <w:t>Approved by (p.24)</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Unit Head - Combank and Corbank (Mark Joseph C. Makalintal) and Heads of Retail Marketing (Edmundante F. Ramirez, Roderick Lim) (BDOI)</w:t>
            </w:r>
          </w:p>
        </w:tc>
        <w:tc>
          <w:tcPr>
            <w:tcW w:type="dxa" w:w="3853"/>
            <w:tcMar>
              <w:top w:w="50" w:type="dxa"/>
              <w:bottom w:w="50" w:type="dxa"/>
              <w:left w:w="90" w:type="dxa"/>
              <w:right w:w="90" w:type="dxa"/>
            </w:tcMar>
            <w:shd w:val="clear" w:color="auto" w:fill="E5F5FF"/>
          </w:tcPr>
          <w:p>
            <w:pPr>
              <w:pStyle w:val="BDOITable"/>
            </w:pPr>
            <w:r>
              <w:rPr>
                <w:sz w:val="15"/>
              </w:rPr>
              <w:t>The collector screens, rules and messages for the Corporate, Commercial and Retail Marketing units</w:t>
            </w:r>
          </w:p>
        </w:tc>
        <w:tc>
          <w:tcPr>
            <w:tcW w:type="dxa" w:w="2040"/>
            <w:tcMar>
              <w:top w:w="50" w:type="dxa"/>
              <w:bottom w:w="50" w:type="dxa"/>
              <w:left w:w="90" w:type="dxa"/>
              <w:right w:w="90" w:type="dxa"/>
            </w:tcMar>
            <w:shd w:val="clear" w:color="auto" w:fill="E5F5FF"/>
          </w:tcPr>
          <w:p>
            <w:pPr>
              <w:pStyle w:val="BDOITable"/>
            </w:pPr>
            <w:r>
              <w:rPr>
                <w:sz w:val="15"/>
              </w:rPr>
              <w:t>Approved by (p.24)</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 Comptrollership, VP (Ronald Allan E. De Leon) (BDOI)</w:t>
            </w:r>
          </w:p>
        </w:tc>
        <w:tc>
          <w:tcPr>
            <w:tcW w:type="dxa" w:w="3853"/>
            <w:tcMar>
              <w:top w:w="50" w:type="dxa"/>
              <w:bottom w:w="50" w:type="dxa"/>
              <w:left w:w="90" w:type="dxa"/>
              <w:right w:w="90" w:type="dxa"/>
            </w:tcMar>
          </w:tcPr>
          <w:p>
            <w:pPr>
              <w:pStyle w:val="BDOITable"/>
            </w:pPr>
            <w:r>
              <w:rPr>
                <w:sz w:val="15"/>
              </w:rPr>
              <w:t>The commission receivable gate and the draft rows on incentives, commission refunds and mixed payments</w:t>
            </w:r>
          </w:p>
        </w:tc>
        <w:tc>
          <w:tcPr>
            <w:tcW w:type="dxa" w:w="2040"/>
            <w:tcMar>
              <w:top w:w="50" w:type="dxa"/>
              <w:bottom w:w="50" w:type="dxa"/>
              <w:left w:w="90" w:type="dxa"/>
              <w:right w:w="90" w:type="dxa"/>
            </w:tcMar>
          </w:tcPr>
          <w:p>
            <w:pPr>
              <w:pStyle w:val="BDOITable"/>
            </w:pPr>
            <w:r>
              <w:rPr>
                <w:sz w:val="15"/>
              </w:rPr>
              <w:t>Approved by (p.24)</w:t>
            </w:r>
          </w:p>
        </w:tc>
      </w:tr>
    </w:tbl>
    <w:p>
      <w:pPr>
        <w:pStyle w:val="BDOISpacer"/>
      </w:pPr>
    </w:p>
    <w:p>
      <w:r>
        <w:rPr/>
        <w:t>The signatories sign the Sign-off certificate sheet of the sign-off workbook in the same order: prepared by, input provided by, reviewed by, approved by.</w:t>
      </w:r>
    </w:p>
    <w:p>
      <w:pPr>
        <w:pStyle w:val="Heading1"/>
        <w:pBdr>
          <w:bottom w:val="single" w:sz="4" w:space="4" w:color="99C1E7"/>
        </w:pBdr>
      </w:pPr>
      <w:bookmarkStart w:id="106" w:name="_Toc000106"/>
      <w:r>
        <w:rPr/>
        <w:t>6 Change control after sign-off</w:t>
      </w:r>
      <w:bookmarkEnd w:id="106"/>
    </w:p>
    <w:p>
      <w:r>
        <w:rPr/>
        <w:t>Signing freezes the Collections screens, fields, navigation, actions, business rules, messages, notifications, documents and files, the upload template and the cross-BRD contract as specified. Configuration values marked "default" (threshold, aging, edit-lock time, export cap, list entries, disposition attributes, escalation and assignment rules, the statement template) are not frozen. A change to anything frozen is raised in the Change Management Register with the screen, field, rule or message concerned, assessed with its mandays and its effect on the other BRDs (Collections reads the Operations ledger and hands work to Cashiering, Commission Receivables and Adjustment), approved by the owners of every BRD it touches, and delivered as a new version of the set; only the affected pages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BRD-4 Collections</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BIBS StartHere BRD-04 Collections v2.1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