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2232000" cy="454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5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/>
        <w:pBdr>
          <w:bottom w:val="single" w:sz="12" w:space="1" w:color="FDB913"/>
        </w:pBdr>
      </w:pPr>
    </w:p>
    <w:p>
      <w:pPr>
        <w:spacing w:before="1600" w:after="0"/>
      </w:pPr>
    </w:p>
    <w:p>
      <w:pPr>
        <w:spacing w:after="120"/>
      </w:pPr>
      <w:r>
        <w:rPr>
          <w:b/>
          <w:color w:val="0072D8"/>
          <w:sz w:val="22"/>
        </w:rPr>
        <w:t>KNOWLEDGE TRANSFER PLAN</w:t>
      </w:r>
    </w:p>
    <w:p>
      <w:pPr>
        <w:spacing w:after="80" w:line="240" w:lineRule="auto"/>
      </w:pPr>
      <w:r>
        <w:rPr>
          <w:b/>
          <w:color w:val="004EA8"/>
          <w:sz w:val="56"/>
        </w:rPr>
        <w:t>Knowledge Transfer Plan</w:t>
      </w:r>
    </w:p>
    <w:p>
      <w:pPr>
        <w:spacing w:after="40"/>
      </w:pPr>
      <w:r>
        <w:rPr>
          <w:color w:val="2E2E2E"/>
          <w:sz w:val="28"/>
        </w:rPr>
        <w:t>Audiences, topics, sessions, materials, schedule and readiness assessment for BDOI application support, BDO IT operations and power users</w:t>
      </w:r>
    </w:p>
    <w:p>
      <w:pPr>
        <w:spacing w:after="560"/>
      </w:pPr>
      <w:r>
        <w:rPr>
          <w:color w:val="656565"/>
          <w:sz w:val="24"/>
        </w:rPr>
        <w:t>BIBS – BDOI Broker System</w:t>
      </w:r>
    </w:p>
    <w:tbl>
      <w:tblPr>
        <w:tblW w:type="dxa" w:w="8278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237"/>
      </w:tblGrid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Client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BDO Insurance and Reinsurance Brokers, Inc.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Document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BIBS-KT-BRD-00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Version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1.0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Date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08 October 2026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Status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2E2E2E"/>
                <w:sz w:val="20"/>
              </w:rPr>
              <w:t>Issued for BDOI review</w:t>
            </w:r>
          </w:p>
        </w:tc>
      </w:tr>
      <w:tr>
        <w:tc>
          <w:tcPr>
            <w:tcW w:type="dxa" w:w="2041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color w:val="656565"/>
                <w:sz w:val="19"/>
              </w:rPr>
              <w:t>Classification</w:t>
            </w:r>
          </w:p>
        </w:tc>
        <w:tc>
          <w:tcPr>
            <w:tcW w:type="dxa" w:w="6236"/>
            <w:tcMar>
              <w:top w:w="40" w:type="dxa"/>
              <w:bottom w:w="40" w:type="dxa"/>
              <w:left w:w="0" w:type="dxa"/>
              <w:right w:w="60" w:type="dxa"/>
            </w:tcMar>
            <w:tcBorders>
              <w:bottom w:val="single" w:sz="4" w:space="0" w:color="E4E4E4"/>
            </w:tcBorders>
          </w:tcPr>
          <w:p>
            <w:pPr>
              <w:pStyle w:val="BDOITable"/>
            </w:pPr>
            <w:r>
              <w:rPr>
                <w:b/>
                <w:color w:val="2E2E2E"/>
                <w:sz w:val="20"/>
              </w:rPr>
              <w:t>Confidential</w:t>
            </w:r>
          </w:p>
        </w:tc>
      </w:tr>
    </w:tbl>
    <w:p>
      <w:pPr>
        <w:spacing w:before="2600" w:after="0"/>
      </w:pPr>
    </w:p>
    <w:p>
      <w:pPr>
        <w:pBdr>
          <w:top w:val="single" w:sz="4" w:space="6" w:color="C2C2C1"/>
        </w:pBdr>
        <w:tabs>
          <w:tab w:pos="9972" w:val="right"/>
        </w:tabs>
      </w:pPr>
      <w:r>
        <w:rPr>
          <w:color w:val="656565"/>
          <w:sz w:val="18"/>
        </w:rPr>
        <w:t>Prepared by iorta TechNXT for BDOI</w:t>
      </w:r>
      <w:r>
        <w:tab/>
      </w:r>
      <w:r>
        <w:drawing>
          <wp:inline xmlns:a="http://schemas.openxmlformats.org/drawingml/2006/main" xmlns:pic="http://schemas.openxmlformats.org/drawingml/2006/picture">
            <wp:extent cx="977258" cy="2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rta-techn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258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919191"/>
          <w:sz w:val="15"/>
        </w:rPr>
        <w:t>iNXT BrokerVerse. This document is confidential to BDO Insurance and Reinsurance Brokers, Inc. and iorta TechNXT.</w:t>
      </w:r>
    </w:p>
    <w:p>
      <w:pPr>
        <w:pStyle w:val="BDOIFrontHeading"/>
        <w:pageBreakBefore/>
      </w:pPr>
      <w:r>
        <w:t>Document Control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906"/>
        <w:gridCol w:w="1359"/>
        <w:gridCol w:w="1699"/>
        <w:gridCol w:w="1699"/>
        <w:gridCol w:w="1699"/>
        <w:gridCol w:w="2606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6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700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60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rPr>
          <w:cantSplit w:val="true"/>
        </w:trPr>
        <w:tc>
          <w:tcPr>
            <w:tcW w:type="dxa" w:w="90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1.0</w:t>
            </w:r>
          </w:p>
        </w:tc>
        <w:tc>
          <w:tcPr>
            <w:tcW w:type="dxa" w:w="136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08 Oct 2026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iorta TechNXT Project Manager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iorta TechNXT Solution Architect; iorta TechNXT change and training lead</w:t>
            </w:r>
          </w:p>
        </w:tc>
        <w:tc>
          <w:tcPr>
            <w:tcW w:type="dxa" w:w="1700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Head, BDOI IT (pending)</w:t>
            </w:r>
          </w:p>
        </w:tc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First issue</w:t>
            </w:r>
          </w:p>
        </w:tc>
      </w:tr>
    </w:tbl>
    <w:p>
      <w:pPr>
        <w:pStyle w:val="BDOISpacer"/>
      </w:pPr>
    </w:p>
    <w:p>
      <w:pPr>
        <w:spacing w:after="80"/>
      </w:pPr>
    </w:p>
    <w:p>
      <w:pPr>
        <w:pStyle w:val="BDOIFrontHeading"/>
      </w:pPr>
      <w:r>
        <w:t>Distribution List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606"/>
        <w:gridCol w:w="2266"/>
        <w:gridCol w:w="2266"/>
        <w:gridCol w:w="2833"/>
      </w:tblGrid>
      <w:tr>
        <w:trPr>
          <w:tblHeader w:val="true"/>
          <w:cantSplit w:val="true"/>
        </w:trPr>
        <w:tc>
          <w:tcPr>
            <w:tcW w:type="dxa" w:w="260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Name / Unit</w:t>
            </w:r>
          </w:p>
        </w:tc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283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Head, BDOI IT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Approver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Support model and hand-over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BDO IT operations (ITIO-SRE, ITSD-AMS)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BDO Unibank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Operations topics and readiness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 application support lead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Application support topics and readiness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BIBS Product Owner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Power users and key users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Head, BDOI Information Security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BDOI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8"/>
              </w:rPr>
              <w:t>Security operations topics</w:t>
            </w:r>
          </w:p>
        </w:tc>
      </w:tr>
      <w:tr>
        <w:trPr>
          <w:cantSplit w:val="true"/>
        </w:trPr>
        <w:tc>
          <w:tcPr>
            <w:tcW w:type="dxa" w:w="260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Project team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26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iorta TechNXT</w:t>
            </w:r>
          </w:p>
        </w:tc>
        <w:tc>
          <w:tcPr>
            <w:tcW w:type="dxa" w:w="283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8"/>
              </w:rPr>
              <w:t>Delivers the sessions</w:t>
            </w:r>
          </w:p>
        </w:tc>
      </w:tr>
    </w:tbl>
    <w:p>
      <w:pPr>
        <w:pStyle w:val="BDOISpacer"/>
      </w:pPr>
    </w:p>
    <w:p>
      <w:pPr>
        <w:pStyle w:val="BDOIFrontHeading"/>
        <w:pageBreakBefore/>
      </w:pPr>
      <w:r>
        <w:t>Contents</w:t>
      </w:r>
    </w:p>
    <w:p>
      <w:pPr>
        <w:spacing w:after="0"/>
      </w:pPr>
    </w:p>
    <w:p>
      <w:pPr>
        <w:pStyle w:val="toc1"/>
      </w:pPr>
      <w:r>
        <w:fldChar w:fldCharType="begin" w:dirty="false"/>
      </w:r>
      <w:r>
        <w:instrText xml:space="preserve"> TOC \o "1-3" \h \z \u </w:instrText>
      </w:r>
      <w:r>
        <w:fldChar w:fldCharType="separate"/>
      </w:r>
      <w:hyperlink w:anchor="_Toc000101" w:history="1">
        <w:r>
          <w:t xml:space="preserve">1 Purpose, audience and scope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2" w:history="1">
        <w:r>
          <w:t xml:space="preserve">1.1 Purpose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3" w:history="1">
        <w:r>
          <w:t xml:space="preserve">1.2 Audience</w:t>
        </w:r>
        <w:r>
          <w:t xml:space="preserve">	</w:t>
        </w:r>
        <w:r>
          <w:t xml:space="preserve">4</w:t>
        </w:r>
      </w:hyperlink>
    </w:p>
    <w:p>
      <w:pPr>
        <w:pStyle w:val="toc2"/>
      </w:pPr>
      <w:hyperlink w:anchor="_Toc000104" w:history="1">
        <w:r>
          <w:t xml:space="preserve">1.3 Scope</w:t>
        </w:r>
        <w:r>
          <w:t xml:space="preserve">	</w:t>
        </w:r>
        <w:r>
          <w:t xml:space="preserve">4</w:t>
        </w:r>
      </w:hyperlink>
    </w:p>
    <w:p>
      <w:pPr>
        <w:pStyle w:val="toc1"/>
      </w:pPr>
      <w:hyperlink w:anchor="_Toc000105" w:history="1">
        <w:r>
          <w:t xml:space="preserve">2 Support model after the hand-over</w:t>
        </w:r>
        <w:r>
          <w:t xml:space="preserve">	</w:t>
        </w:r>
        <w:r>
          <w:t xml:space="preserve">4</w:t>
        </w:r>
      </w:hyperlink>
    </w:p>
    <w:p>
      <w:pPr>
        <w:pStyle w:val="toc1"/>
      </w:pPr>
      <w:hyperlink w:anchor="_Toc000106" w:history="1">
        <w:r>
          <w:t xml:space="preserve">3 Approach</w:t>
        </w:r>
        <w:r>
          <w:t xml:space="preserve">	</w:t>
        </w:r>
        <w:r>
          <w:t xml:space="preserve">4</w:t>
        </w:r>
      </w:hyperlink>
    </w:p>
    <w:p>
      <w:pPr>
        <w:pStyle w:val="toc1"/>
      </w:pPr>
      <w:hyperlink w:anchor="_Toc000107" w:history="1">
        <w:r>
          <w:t xml:space="preserve">4 Audiences</w:t>
        </w:r>
        <w:r>
          <w:t xml:space="preserve">	</w:t>
        </w:r>
        <w:r>
          <w:t xml:space="preserve">5</w:t>
        </w:r>
      </w:hyperlink>
    </w:p>
    <w:p>
      <w:pPr>
        <w:pStyle w:val="toc1"/>
      </w:pPr>
      <w:hyperlink w:anchor="_Toc000108" w:history="1">
        <w:r>
          <w:t xml:space="preserve">5 Topics</w:t>
        </w:r>
        <w:r>
          <w:t xml:space="preserve">	</w:t>
        </w:r>
        <w:r>
          <w:t xml:space="preserve">6</w:t>
        </w:r>
      </w:hyperlink>
    </w:p>
    <w:p>
      <w:pPr>
        <w:pStyle w:val="toc2"/>
      </w:pPr>
      <w:hyperlink w:anchor="_Toc000109" w:history="1">
        <w:r>
          <w:t xml:space="preserve">5.1 BDOI application support</w:t>
        </w:r>
        <w:r>
          <w:t xml:space="preserve">	</w:t>
        </w:r>
        <w:r>
          <w:t xml:space="preserve">6</w:t>
        </w:r>
      </w:hyperlink>
    </w:p>
    <w:p>
      <w:pPr>
        <w:pStyle w:val="toc2"/>
      </w:pPr>
      <w:hyperlink w:anchor="_Toc000110" w:history="1">
        <w:r>
          <w:t xml:space="preserve">5.2 BDO IT operations</w:t>
        </w:r>
        <w:r>
          <w:t xml:space="preserve">	</w:t>
        </w:r>
        <w:r>
          <w:t xml:space="preserve">7</w:t>
        </w:r>
      </w:hyperlink>
    </w:p>
    <w:p>
      <w:pPr>
        <w:pStyle w:val="toc2"/>
      </w:pPr>
      <w:hyperlink w:anchor="_Toc000111" w:history="1">
        <w:r>
          <w:t xml:space="preserve">5.3 Power users</w:t>
        </w:r>
        <w:r>
          <w:t xml:space="preserve">	</w:t>
        </w:r>
        <w:r>
          <w:t xml:space="preserve">7</w:t>
        </w:r>
      </w:hyperlink>
    </w:p>
    <w:p>
      <w:pPr>
        <w:pStyle w:val="toc1"/>
      </w:pPr>
      <w:hyperlink w:anchor="_Toc000112" w:history="1">
        <w:r>
          <w:t xml:space="preserve">6 Sessions and schedule</w:t>
        </w:r>
        <w:r>
          <w:t xml:space="preserve">	</w:t>
        </w:r>
        <w:r>
          <w:t xml:space="preserve">7</w:t>
        </w:r>
      </w:hyperlink>
    </w:p>
    <w:p>
      <w:pPr>
        <w:pStyle w:val="toc1"/>
      </w:pPr>
      <w:hyperlink w:anchor="_Toc000113" w:history="1">
        <w:r>
          <w:t xml:space="preserve">7 Materials</w:t>
        </w:r>
        <w:r>
          <w:t xml:space="preserve">	</w:t>
        </w:r>
        <w:r>
          <w:t xml:space="preserve">8</w:t>
        </w:r>
      </w:hyperlink>
    </w:p>
    <w:p>
      <w:pPr>
        <w:pStyle w:val="toc1"/>
      </w:pPr>
      <w:hyperlink w:anchor="_Toc000114" w:history="1">
        <w:r>
          <w:t xml:space="preserve">8 Readiness assessment</w:t>
        </w:r>
        <w:r>
          <w:t xml:space="preserve">	</w:t>
        </w:r>
        <w:r>
          <w:t xml:space="preserve">8</w:t>
        </w:r>
      </w:hyperlink>
    </w:p>
    <w:p>
      <w:pPr>
        <w:pStyle w:val="toc1"/>
      </w:pPr>
      <w:hyperlink w:anchor="_Toc000115" w:history="1">
        <w:r>
          <w:t xml:space="preserve">9 Responsibilities</w:t>
        </w:r>
        <w:r>
          <w:t xml:space="preserve">	</w:t>
        </w:r>
        <w:r>
          <w:t xml:space="preserve">9</w:t>
        </w:r>
      </w:hyperlink>
    </w:p>
    <w:p>
      <w:pPr>
        <w:pStyle w:val="toc1"/>
      </w:pPr>
      <w:hyperlink w:anchor="_Toc000116" w:history="1">
        <w:r>
          <w:t xml:space="preserve">10 Risks</w:t>
        </w:r>
        <w:r>
          <w:t xml:space="preserve">	</w:t>
        </w:r>
        <w:r>
          <w:t xml:space="preserve">9</w:t>
        </w:r>
      </w:hyperlink>
    </w:p>
    <w:p>
      <w:pPr>
        <w:pStyle w:val="toc1"/>
      </w:pPr>
      <w:hyperlink w:anchor="_Toc000117" w:history="1">
        <w:r>
          <w:t xml:space="preserve">11 References</w:t>
        </w:r>
        <w:r>
          <w:t xml:space="preserve">	</w:t>
        </w:r>
        <w:r>
          <w:t xml:space="preserve">10</w:t>
        </w:r>
      </w:hyperlink>
    </w:p>
    <w:p>
      <w:pPr>
        <w:pStyle w:val="toc1"/>
      </w:pPr>
      <w:hyperlink w:anchor="_Toc000118" w:history="1">
        <w:r>
          <w:t xml:space="preserve">12 Decisions and open points for BDOI</w:t>
        </w:r>
        <w:r>
          <w:t xml:space="preserve">	</w:t>
        </w:r>
        <w:r>
          <w:t xml:space="preserve">10</w:t>
        </w:r>
      </w:hyperlink>
      <w:r>
        <w:fldChar w:fldCharType="end"/>
      </w:r>
    </w:p>
    <w:p>
      <w:pPr>
        <w:pStyle w:val="Heading1"/>
        <w:pageBreakBefore/>
        <w:pBdr>
          <w:bottom w:val="single" w:sz="4" w:space="4" w:color="99C1E7"/>
        </w:pBdr>
      </w:pPr>
      <w:bookmarkStart w:id="101" w:name="_Toc000101"/>
      <w:r>
        <w:rPr/>
        <w:t>1 Purpose, audience and scope</w:t>
      </w:r>
      <w:bookmarkEnd w:id="101"/>
    </w:p>
    <w:p>
      <w:pPr>
        <w:pStyle w:val="Heading2"/>
      </w:pPr>
      <w:bookmarkStart w:id="102" w:name="_Toc000102"/>
      <w:r>
        <w:rPr/>
        <w:t>1.1 Purpose</w:t>
      </w:r>
      <w:bookmarkEnd w:id="102"/>
    </w:p>
    <w:p>
      <w:r>
        <w:rPr/>
        <w:t>This plan transfers the knowledge BDOI needs to run and support BIBS from the hypercare exit on 2-Feb-2028: who learns what, in which sessions, with which materials, on which dates, and how readiness is measured before each step of the hand-over.</w:t>
      </w:r>
    </w:p>
    <w:p>
      <w:pPr>
        <w:pStyle w:val="Heading2"/>
      </w:pPr>
      <w:bookmarkStart w:id="103" w:name="_Toc000103"/>
      <w:r>
        <w:rPr/>
        <w:t>1.2 Audience</w:t>
      </w:r>
      <w:bookmarkEnd w:id="103"/>
    </w:p>
    <w:p>
      <w:r>
        <w:rPr/>
        <w:t>BDOI IT and the BDOI application support lead (approval and delivery of the support model), BDO IT operations (ITIO-SRE and ITSD-AMS), BDOI Information Security, the BIBS Product Owner and the key users, and the iorta TechNXT project team that delivers the sessions.</w:t>
      </w:r>
    </w:p>
    <w:p>
      <w:pPr>
        <w:pStyle w:val="Heading2"/>
      </w:pPr>
      <w:bookmarkStart w:id="104" w:name="_Toc000104"/>
      <w:r>
        <w:rPr/>
        <w:t>1.3 Scope</w:t>
      </w:r>
      <w:bookmarkEnd w:id="104"/>
    </w:p>
    <w:p>
      <w:r>
        <w:rPr/>
        <w:t>The application and its configuration, the operation of the platform on managed Kubernetes in the BDOI environments, the interfaces with BDO systems, the data migration functions used after go-live (legacy inquiry, run-off, true-ups) and the support processes. End-user training is planned in the Change Management and Training Framework; this plan covers the support and operations teams and the power users who back them.</w:t>
      </w:r>
    </w:p>
    <w:p>
      <w:pPr>
        <w:pStyle w:val="Heading1"/>
        <w:pBdr>
          <w:bottom w:val="single" w:sz="4" w:space="4" w:color="99C1E7"/>
        </w:pBdr>
      </w:pPr>
      <w:bookmarkStart w:id="105" w:name="_Toc000105"/>
      <w:r>
        <w:rPr/>
        <w:t>2 Support model after the hand-over</w:t>
      </w:r>
      <w:bookmarkEnd w:id="105"/>
    </w:p>
    <w:p>
      <w:pPr>
        <w:pStyle w:val="Caption"/>
        <w:keepNext/>
        <w:spacing w:after="60"/>
      </w:pPr>
      <w:r>
        <w:rPr>
          <w:b/>
          <w:i w:val="0"/>
        </w:rPr>
        <w:t xml:space="preserve">Table 1: </w:t>
      </w:r>
      <w:r>
        <w:rPr/>
        <w:t>Support levels from 2-Feb-2028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1441"/>
        <w:gridCol w:w="2523"/>
        <w:gridCol w:w="3845"/>
        <w:gridCol w:w="2162"/>
      </w:tblGrid>
      <w:tr>
        <w:trPr>
          <w:tblHeader w:val="true"/>
          <w:cantSplit w:val="true"/>
        </w:trPr>
        <w:tc>
          <w:tcPr>
            <w:tcW w:type="dxa" w:w="14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52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Team</w:t>
            </w:r>
          </w:p>
        </w:tc>
        <w:tc>
          <w:tcPr>
            <w:tcW w:type="dxa" w:w="384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Handles</w:t>
            </w:r>
          </w:p>
        </w:tc>
        <w:tc>
          <w:tcPr>
            <w:tcW w:type="dxa" w:w="216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rPr>
          <w:cantSplit w:val="true"/>
        </w:trPr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L1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service desk (BDOI IT)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Logs every ticket; sign-in and access questions; password and unlock through the access process; routes to L2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Logged and routed within 30 minutes in business hours</w:t>
            </w:r>
          </w:p>
        </w:tc>
      </w:tr>
      <w:tr>
        <w:trPr>
          <w:cantSplit w:val="true"/>
        </w:trPr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L2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application support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How-to questions, configuration (lists, parameters, templates, rules), user access requests, data corrections through the business screens, job reruns, first analysis of errors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Severity 1 response 1 hour; Severity 2 4 hours</w:t>
            </w:r>
          </w:p>
        </w:tc>
      </w:tr>
      <w:tr>
        <w:trPr>
          <w:cantSplit w:val="true"/>
        </w:trPr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L3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TechNXT product support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Fixes and patch releases, root cause of application errors, security patches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Per the support agreement</w:t>
            </w:r>
          </w:p>
        </w:tc>
      </w:tr>
      <w:tr>
        <w:trPr>
          <w:cantSplit w:val="true"/>
        </w:trPr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 IT operations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Kubernetes, database, cache, messaging, document store, network, backups, DR, monitoring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Per the BDO operations standards</w:t>
            </w:r>
          </w:p>
        </w:tc>
      </w:tr>
      <w:tr>
        <w:trPr>
          <w:cantSplit w:val="true"/>
        </w:trPr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Power users</w:t>
            </w:r>
          </w:p>
        </w:tc>
        <w:tc>
          <w:tcPr>
            <w:tcW w:type="dxa" w:w="252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Key users of each unit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First help to colleagues; check of release notes; UAT of patches</w:t>
            </w:r>
          </w:p>
        </w:tc>
        <w:tc>
          <w:tcPr>
            <w:tcW w:type="dxa" w:w="216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Same day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06" w:name="_Toc000106"/>
      <w:r>
        <w:rPr/>
        <w:t>3 Approach</w:t>
      </w:r>
      <w:bookmarkEnd w:id="106"/>
    </w:p>
    <w:p>
      <w:r>
        <w:rPr/>
        <w:t>Knowledge is transferred by doing, in four phases tied to the test and cut-over calendar, so that the BDOI teams practise on the same environments and events as the project team.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68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_phases_8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i w:val="0"/>
        </w:rPr>
        <w:t xml:space="preserve">Figure 1: </w:t>
      </w:r>
      <w:r>
        <w:rPr/>
        <w:t>Phases of the knowledge transfer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2: </w:t>
      </w:r>
      <w:r>
        <w:rPr/>
        <w:t>Phases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1802"/>
        <w:gridCol w:w="1802"/>
        <w:gridCol w:w="6368"/>
      </w:tblGrid>
      <w:tr>
        <w:trPr>
          <w:tblHeader w:val="true"/>
          <w:cantSplit w:val="true"/>
        </w:trPr>
        <w:tc>
          <w:tcPr>
            <w:tcW w:type="dxa" w:w="18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8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636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 Foundation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7-Jun to 16-Jul-2027</w:t>
            </w:r>
          </w:p>
        </w:tc>
        <w:tc>
          <w:tcPr>
            <w:tcW w:type="dxa" w:w="63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Classroom sessions and guided walkthroughs on SIT; reading of the runbook, the operations and configuration guides and the FRS; labs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 Shadowing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2-Aug to 12-Nov-2027</w:t>
            </w:r>
          </w:p>
        </w:tc>
        <w:tc>
          <w:tcPr>
            <w:tcW w:type="dxa" w:w="63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teams sit with the iorta team during UAT releases, Trial migrations 3 and 4, incident triage and month-end cycles; the iorta team does the work and explains it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 Reverse shadowing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15-Nov to 31-Dec-2027</w:t>
            </w:r>
          </w:p>
        </w:tc>
        <w:tc>
          <w:tcPr>
            <w:tcW w:type="dxa" w:w="636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teams do the work (deployments to UAT and Pre-Prod, dress rehearsal tasks, ticket handling, job monitoring) and the iorta team checks it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 Supported operation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3-Jan to 2-Feb-2028</w:t>
            </w:r>
          </w:p>
        </w:tc>
        <w:tc>
          <w:tcPr>
            <w:tcW w:type="dxa" w:w="636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Hypercare: BDOI runs L1 and L2 and the platform; the iorta team is on call for L3 and coaching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07" w:name="_Toc000107"/>
      <w:r>
        <w:rPr/>
        <w:t>4 Audiences</w:t>
      </w:r>
      <w:bookmarkEnd w:id="107"/>
    </w:p>
    <w:p>
      <w:pPr>
        <w:pStyle w:val="Caption"/>
        <w:keepNext/>
        <w:spacing w:after="60"/>
      </w:pPr>
      <w:r>
        <w:rPr>
          <w:b/>
          <w:i w:val="0"/>
        </w:rPr>
        <w:t xml:space="preserve">Table 3: </w:t>
      </w:r>
      <w:r>
        <w:rPr/>
        <w:t>Audiences of the knowledge transfer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042"/>
        <w:gridCol w:w="1321"/>
        <w:gridCol w:w="3244"/>
        <w:gridCol w:w="3364"/>
      </w:tblGrid>
      <w:tr>
        <w:trPr>
          <w:tblHeader w:val="true"/>
          <w:cantSplit w:val="true"/>
        </w:trPr>
        <w:tc>
          <w:tcPr>
            <w:tcW w:type="dxa" w:w="20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13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People (proposed)</w:t>
            </w:r>
          </w:p>
        </w:tc>
        <w:tc>
          <w:tcPr>
            <w:tcW w:type="dxa" w:w="324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Role after go-live</w:t>
            </w:r>
          </w:p>
        </w:tc>
        <w:tc>
          <w:tcPr>
            <w:tcW w:type="dxa" w:w="336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Entry profile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application support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6 (2 L1 service desk, 4 L2 functional and data analysts)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L1 and L2 support of BIBS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Knows the BDOI broking processes or the legacy systems; reads business reports; trained on the BIBS personas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 IT operations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6 (2 platform and Kubernetes, 1 database, 1 monitoring and service desk tooling, 2 security operations)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Run the platform and DR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Operates managed Kubernetes, PostgreSQL and the BDO monitoring tools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IT integration owners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Own the interfaces with BDO systems and their schedules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Knows the BDO systems on the integration list</w:t>
            </w:r>
          </w:p>
        </w:tc>
      </w:tr>
      <w:tr>
        <w:trPr>
          <w:cantSplit w:val="true"/>
        </w:trPr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Power users (key users)</w:t>
            </w:r>
          </w:p>
        </w:tc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 per unit and persona group, about 40</w:t>
            </w:r>
          </w:p>
        </w:tc>
        <w:tc>
          <w:tcPr>
            <w:tcW w:type="dxa" w:w="324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First help and UAT of patches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UAT testers of the drops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08" w:name="_Toc000108"/>
      <w:r>
        <w:rPr/>
        <w:t>5 Topics</w:t>
      </w:r>
      <w:bookmarkEnd w:id="108"/>
    </w:p>
    <w:p>
      <w:pPr>
        <w:pStyle w:val="Heading2"/>
      </w:pPr>
      <w:bookmarkStart w:id="109" w:name="_Toc000109"/>
      <w:r>
        <w:rPr/>
        <w:t>5.1 BDOI application support</w:t>
      </w:r>
      <w:bookmarkEnd w:id="109"/>
    </w:p>
    <w:p>
      <w:pPr>
        <w:pStyle w:val="Caption"/>
        <w:keepNext/>
        <w:spacing w:after="60"/>
      </w:pPr>
      <w:r>
        <w:rPr>
          <w:b/>
          <w:i w:val="0"/>
        </w:rPr>
        <w:t xml:space="preserve">Table 4: </w:t>
      </w:r>
      <w:r>
        <w:rPr/>
        <w:t>Topics for BDOI application support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2643"/>
        <w:gridCol w:w="3965"/>
        <w:gridCol w:w="1081"/>
        <w:gridCol w:w="1562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4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96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10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Days</w:t>
            </w:r>
          </w:p>
        </w:tc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Trainer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AS-01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BIBS business overview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The broking cycle from client onboarding to booking, cashiering, remittance, collections, accounting, renewal, claims; the BRDs and drops; personas and menus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Business Analyst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AS-02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User access administration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Access requests, group profiles, approvals, separation of duties, locked and dormant users, EIAM sign-in and UIDM-ISC provisioning (BRD-11)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Business Analyst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AS-03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Business configuration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Lists of values, system parameters, document templates, renewal rules, escalation rules, products and packages, accounting rules; maker-checker and audit trail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Business Analyst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AS-04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Workflow, approvals and notifications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My Work, My Approvals, workflow history, notices and e-mails through CCM, outbound message status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Business Analyst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AS-05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Scheduled jobs and period ends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Job schedule and batch window (booking batch, remittance extraction, collections refresh, GL-SL reconciliation, books close, package expiry, watchlist load); rerun rules; month-end and year-end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Solution Architect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AS-06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Interfaces and file exchanges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Payment uploads of the bank channels, disbursement outputs, insurer files, EGL and EDP feeds; what to check when a file fails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Solution Architect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AS-07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Data corrections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Corrections only through the business screens (reversals, correction entries, re-applications); what is never corrected directly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Business Analyst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AS-08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Reports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Report Centre, report packs, exports, report archive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Business Analyst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AS-09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Incident triage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Messages and their meaning, the error catalogue, log search in the BDO monitoring tools, severity rules, escalation to L3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QA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AS-10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Data migration after go-live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Legacy inquiry and its access log, legacy invoices in Cashiering, run-off and decommissioning, true-ups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Migration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AS-11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Releases and patches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Release notes per persona, acceptance of a patch in UAT, regression checklist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Project Manager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0" w:name="_Toc000110"/>
      <w:r>
        <w:rPr/>
        <w:t>5.2 BDO IT operations</w:t>
      </w:r>
      <w:bookmarkEnd w:id="110"/>
    </w:p>
    <w:p>
      <w:pPr>
        <w:pStyle w:val="Caption"/>
        <w:keepNext/>
        <w:spacing w:after="60"/>
      </w:pPr>
      <w:r>
        <w:rPr>
          <w:b/>
          <w:i w:val="0"/>
        </w:rPr>
        <w:t xml:space="preserve">Table 5: </w:t>
      </w:r>
      <w:r>
        <w:rPr/>
        <w:t>Topics for BDO IT operations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2643"/>
        <w:gridCol w:w="3965"/>
        <w:gridCol w:w="1081"/>
        <w:gridCol w:w="1562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4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96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10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Days</w:t>
            </w:r>
          </w:p>
        </w:tc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Trainer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OP-01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Architecture and component baseline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One modular application and one web client on managed Kubernetes; PostgreSQL 16, Valkey 8, Apache Kafka 3.9, S3 document store, nginx web tier, Kubernetes Gateway API, Apigee X for integrations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Solution Architect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OP-02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Deployment and configuration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Environment configuration, release deployment, smoke test, rollback, data structure changes at start-up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infrastructure team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OP-03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Monitoring and alerting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Health checks, metrics, logs, alerts and their runbook actions; job failure mails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infrastructure team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OP-04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Backup, restore and DR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Backups and point-in-time restore, document store replication, DR switch-over (RPO 15 minutes, RTO 4 hours), DR drill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infrastructure team with BDO IT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OP-05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Security operations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Secrets and key rotation (sign-in tokens, MFA encryption, migration masking), certificates, EIAM and SCIM settings, break-glass administrator, vulnerability patching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Solution Architect with Information Security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OP-06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Capacity and performance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Sizing for 1,344 named and 429 concurrent users, scaling, results of the performance test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QA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OP-07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Batch window and schedules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Night jobs and their times in PHT, dependencies, extended hours for month-end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Solution Architect</w:t>
            </w:r>
          </w:p>
        </w:tc>
      </w:tr>
    </w:tbl>
    <w:p>
      <w:pPr>
        <w:pStyle w:val="BDOISpacer"/>
      </w:pPr>
    </w:p>
    <w:p>
      <w:pPr>
        <w:pStyle w:val="Heading2"/>
      </w:pPr>
      <w:bookmarkStart w:id="111" w:name="_Toc000111"/>
      <w:r>
        <w:rPr/>
        <w:t>5.3 Power users</w:t>
      </w:r>
      <w:bookmarkEnd w:id="111"/>
    </w:p>
    <w:p>
      <w:pPr>
        <w:pStyle w:val="Caption"/>
        <w:keepNext/>
        <w:spacing w:after="60"/>
      </w:pPr>
      <w:r>
        <w:rPr>
          <w:b/>
          <w:i w:val="0"/>
        </w:rPr>
        <w:t xml:space="preserve">Table 6: </w:t>
      </w:r>
      <w:r>
        <w:rPr/>
        <w:t>Topics for power users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2643"/>
        <w:gridCol w:w="3965"/>
        <w:gridCol w:w="1081"/>
        <w:gridCol w:w="1562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4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96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108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Days</w:t>
            </w:r>
          </w:p>
        </w:tc>
        <w:tc>
          <w:tcPr>
            <w:tcW w:type="dxa" w:w="156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6"/>
              </w:rPr>
              <w:t>Trainer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PU-01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Learning path of the persona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The learning path of the Change Management and Training Framework, at key-user depth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1 to 3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change and training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PU-02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Configuration owned by the unit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Lists, templates and rules the unit owns, through maker-checker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Business Analyst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PU-03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First-line help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Help Center, quick-reference guides, messages, how to log a good ticket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6"/>
              </w:rPr>
              <w:t>iorta change and training lead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PU-04</w:t>
            </w:r>
          </w:p>
        </w:tc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Patch acceptance</w:t>
            </w:r>
          </w:p>
        </w:tc>
        <w:tc>
          <w:tcPr>
            <w:tcW w:type="dxa" w:w="396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Reading release notes, re-testing the changed steps</w:t>
            </w:r>
          </w:p>
        </w:tc>
        <w:tc>
          <w:tcPr>
            <w:tcW w:type="dxa" w:w="108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0.5</w:t>
            </w:r>
          </w:p>
        </w:tc>
        <w:tc>
          <w:tcPr>
            <w:tcW w:type="dxa" w:w="156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6"/>
              </w:rPr>
              <w:t>iorta QA lead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12" w:name="_Toc000112"/>
      <w:r>
        <w:rPr/>
        <w:t>6 Sessions and schedule</w:t>
      </w:r>
      <w:bookmarkEnd w:id="112"/>
    </w:p>
    <w:p>
      <w:pPr>
        <w:pStyle w:val="Caption"/>
        <w:keepNext/>
        <w:spacing w:after="60"/>
      </w:pPr>
      <w:r>
        <w:rPr>
          <w:b/>
          <w:i w:val="0"/>
        </w:rPr>
        <w:t xml:space="preserve">Table 7: </w:t>
      </w:r>
      <w:r>
        <w:rPr/>
        <w:t>Session schedule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1922"/>
        <w:gridCol w:w="3604"/>
        <w:gridCol w:w="2403"/>
        <w:gridCol w:w="2042"/>
      </w:tblGrid>
      <w:tr>
        <w:trPr>
          <w:tblHeader w:val="true"/>
          <w:cantSplit w:val="true"/>
        </w:trPr>
        <w:tc>
          <w:tcPr>
            <w:tcW w:type="dxa" w:w="192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Dates</w:t>
            </w:r>
          </w:p>
        </w:tc>
        <w:tc>
          <w:tcPr>
            <w:tcW w:type="dxa" w:w="360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Sessions</w:t>
            </w:r>
          </w:p>
        </w:tc>
        <w:tc>
          <w:tcPr>
            <w:tcW w:type="dxa" w:w="240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0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Environment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7 to 18-Jun-2027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AS-01 to AS-04; OP-01, OP-02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Application support; operations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SIT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21-Jun to 2-Jul-2027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AS-05 to AS-08; OP-03, OP-07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Application support; operations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SIT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5 to 16-Jul-2027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AS-09 to AS-11; OP-04 to OP-06 (OP-06 repeated after the performance test); readiness check 1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All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SIT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19 to 30-Jul-2027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PU-01 to PU-04 with key user training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Power users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Training environment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2-Aug to 12-Nov-2027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Shadowing: UAT releases every two weeks, Trial migrations 3 and 4, two month-end cycles, incident triage twice a week; readiness check 2 on 12-Nov-2027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Application support; operations; integration owners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UAT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15-Nov to 31-Dec-2027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Reverse shadowing: dress rehearsal tasks, deployments to Pre-Prod, DR drill (proposed 6-Dec-2027), ticket handling; readiness check 3 on 17-Dec-2027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Application support; operations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UAT, Pre-Prod</w:t>
            </w:r>
          </w:p>
        </w:tc>
      </w:tr>
      <w:tr>
        <w:trPr>
          <w:cantSplit w:val="true"/>
        </w:trPr>
        <w:tc>
          <w:tcPr>
            <w:tcW w:type="dxa" w:w="19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3-Jan to 2-Feb-2028</w:t>
            </w:r>
          </w:p>
        </w:tc>
        <w:tc>
          <w:tcPr>
            <w:tcW w:type="dxa" w:w="360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Supported operation in hypercare; daily triage at 10:00 and 16:00; hand-over on 2-Feb-2028</w:t>
            </w:r>
          </w:p>
        </w:tc>
        <w:tc>
          <w:tcPr>
            <w:tcW w:type="dxa" w:w="240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All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Production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13" w:name="_Toc000113"/>
      <w:r>
        <w:rPr/>
        <w:t>7 Materials</w:t>
      </w:r>
      <w:bookmarkEnd w:id="113"/>
    </w:p>
    <w:p>
      <w:pPr>
        <w:pStyle w:val="Caption"/>
        <w:keepNext/>
        <w:spacing w:after="60"/>
      </w:pPr>
      <w:r>
        <w:rPr>
          <w:b/>
          <w:i w:val="0"/>
        </w:rPr>
        <w:t xml:space="preserve">Table 8: </w:t>
      </w:r>
      <w:r>
        <w:rPr/>
        <w:t>Materials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2643"/>
        <w:gridCol w:w="3845"/>
        <w:gridCol w:w="1802"/>
        <w:gridCol w:w="1682"/>
      </w:tblGrid>
      <w:tr>
        <w:trPr>
          <w:tblHeader w:val="true"/>
          <w:cantSplit w:val="true"/>
        </w:trPr>
        <w:tc>
          <w:tcPr>
            <w:tcW w:type="dxa" w:w="264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Material</w:t>
            </w:r>
          </w:p>
        </w:tc>
        <w:tc>
          <w:tcPr>
            <w:tcW w:type="dxa" w:w="384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18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68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Ready by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Operations runbook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Start, stop, deploy, rollback, scale, backups, restore, DR, alerts and their actions, job rerun rules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infrastructure team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4-Jun-2027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Deployment and configuration guides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Environment settings, secrets, Gateway API routes, Apigee X proxies, job schedules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Solution Architect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4-Jun-2027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Technical Specification per sign-off set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Interfaces, data, jobs, access, as reviewed by BDOI IT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Solution Architect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With each set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Security baseline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Sign-in, MFA, sessions, roles, data scope, logging, patching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Solution Architect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4-Jun-2027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FRS and sign-off sets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Business rules, screens, messages, walkthroughs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Business Analyst lead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Signed versions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User Manual, quick-reference guides, Help Center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What users do, step by step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change and training lead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30-Sep-2027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Knowledge base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Articles per frequent question and incident, written during SIT and UAT; at least 60 articles by go-live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QA lead with BDOI application support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17-Dec-2027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Recorded sessions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Every classroom session recorded and indexed by topic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iorta change and training lead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One week after each session</w:t>
            </w:r>
          </w:p>
        </w:tc>
      </w:tr>
      <w:tr>
        <w:trPr>
          <w:cantSplit w:val="true"/>
        </w:trPr>
        <w:tc>
          <w:tcPr>
            <w:tcW w:type="dxa" w:w="264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Labs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Practical exercises on SIT and UAT (deploy, restore, rotate a secret, rerun a job, correct a posting through the screens)</w:t>
            </w:r>
          </w:p>
        </w:tc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iorta infrastructure team; iorta Business Analyst lead</w:t>
            </w:r>
          </w:p>
        </w:tc>
        <w:tc>
          <w:tcPr>
            <w:tcW w:type="dxa" w:w="168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4-Jun-2027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14" w:name="_Toc000114"/>
      <w:r>
        <w:rPr/>
        <w:t>8 Readiness assessment</w:t>
      </w:r>
      <w:bookmarkEnd w:id="114"/>
    </w:p>
    <w:p>
      <w:r>
        <w:rPr/>
        <w:t>Readiness is measured three times before go-live and once at the hand-over. Each check is scored green, amber or red; the steering committee sees the result. A red result at check 3 is a go-live risk raised to the go / no-go board.</w:t>
      </w:r>
    </w:p>
    <w:p>
      <w:pPr>
        <w:pStyle w:val="Caption"/>
        <w:keepNext/>
        <w:spacing w:after="60"/>
      </w:pPr>
      <w:r>
        <w:rPr>
          <w:b/>
          <w:i w:val="0"/>
        </w:rPr>
        <w:t xml:space="preserve">Table 9: </w:t>
      </w:r>
      <w:r>
        <w:rPr/>
        <w:t>Readiness criteria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1802"/>
        <w:gridCol w:w="4325"/>
        <w:gridCol w:w="3845"/>
      </w:tblGrid>
      <w:tr>
        <w:trPr>
          <w:tblHeader w:val="true"/>
          <w:cantSplit w:val="true"/>
        </w:trPr>
        <w:tc>
          <w:tcPr>
            <w:tcW w:type="dxa" w:w="180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432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Criteria</w:t>
            </w:r>
          </w:p>
        </w:tc>
        <w:tc>
          <w:tcPr>
            <w:tcW w:type="dxa" w:w="384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Green when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Application support</w:t>
            </w:r>
          </w:p>
        </w:tc>
        <w:tc>
          <w:tcPr>
            <w:tcW w:type="dxa" w:w="432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Knowledge test per topic; practical tasks done alone (configure a list value with maker-checker, process an access request, rerun a failed job, trace a posting from invoice to journal, triage five incidents)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Test score 80 percent or more; all tasks done unaided by check 3; 90 percent of tickets in reverse shadowing routed and resolved correctly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 IT operations</w:t>
            </w:r>
          </w:p>
        </w:tc>
        <w:tc>
          <w:tcPr>
            <w:tcW w:type="dxa" w:w="432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Deploy a release to UAT and roll it back; restore the database to a point in time in Pre-Prod; rotate a secret; run the DR drill; act on five alerts from the runbook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All tasks done unaided by check 3; DR drill within RTO 4 hours and RPO 15 minutes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Integration owners</w:t>
            </w:r>
          </w:p>
        </w:tc>
        <w:tc>
          <w:tcPr>
            <w:tcW w:type="dxa" w:w="432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Run and check each interface of their system; handle a failed file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All interfaces exercised in UAT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Power users</w:t>
            </w:r>
          </w:p>
        </w:tc>
        <w:tc>
          <w:tcPr>
            <w:tcW w:type="dxa" w:w="432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Learning path assessment; coach two colleagues; accept one patch in UAT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Assessment 80 percent or more</w:t>
            </w:r>
          </w:p>
        </w:tc>
      </w:tr>
      <w:tr>
        <w:trPr>
          <w:cantSplit w:val="true"/>
        </w:trPr>
        <w:tc>
          <w:tcPr>
            <w:tcW w:type="dxa" w:w="180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Hand-over (2-Feb-2028)</w:t>
            </w:r>
          </w:p>
        </w:tc>
        <w:tc>
          <w:tcPr>
            <w:tcW w:type="dxa" w:w="432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Checks 1 to 3 green; hypercare exit criteria met; knowledge base complete; open tickets handed over with owners</w:t>
            </w:r>
          </w:p>
        </w:tc>
        <w:tc>
          <w:tcPr>
            <w:tcW w:type="dxa" w:w="38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Signed hand-over record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15" w:name="_Toc000115"/>
      <w:r>
        <w:rPr/>
        <w:t>9 Responsibilities</w:t>
      </w:r>
      <w:bookmarkEnd w:id="115"/>
    </w:p>
    <w:p>
      <w:pPr>
        <w:pStyle w:val="Caption"/>
        <w:keepNext/>
        <w:spacing w:after="60"/>
      </w:pPr>
      <w:r>
        <w:rPr>
          <w:b/>
          <w:i w:val="0"/>
        </w:rPr>
        <w:t xml:space="preserve">Table 10: </w:t>
      </w:r>
      <w:r>
        <w:rPr/>
        <w:t>RACI extract (all roles in the RACI workbook)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3513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</w:tblGrid>
      <w:tr>
        <w:trPr>
          <w:tblHeader w:val="true"/>
          <w:cantSplit w:val="true"/>
        </w:trPr>
        <w:tc>
          <w:tcPr>
            <w:tcW w:type="dxa" w:w="3513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BPO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BO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KU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BIT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ISEC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APS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OPS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IPM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ISA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IDEV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IQA</w:t>
            </w:r>
          </w:p>
        </w:tc>
        <w:tc>
          <w:tcPr>
            <w:tcW w:type="dxa" w:w="538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5"/>
              </w:rPr>
              <w:t>ICT</w:t>
            </w: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Environment provisioning (SIT, UAT, Pre-Prod, production, DR)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A/R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I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Release deployment to SIT and UAT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I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Release deployment to Pre-Prod and production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I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DR set-up and DR drill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Operational and production readiness review (ORR / PRR)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Knowledge transfer to application support and BDO IT operations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Hypercare (T+1 to T+30)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L1 service desk after go-live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I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L2 application support (configuration, data, user access)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I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L3 product support (fixes and patches)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I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</w:p>
        </w:tc>
      </w:tr>
      <w:tr>
        <w:trPr>
          <w:cantSplit w:val="true"/>
        </w:trPr>
        <w:tc>
          <w:tcPr>
            <w:tcW w:type="dxa" w:w="351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Vulnerability patching after go-live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A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C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5"/>
              </w:rPr>
              <w:t>R</w:t>
            </w: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  <w:tc>
          <w:tcPr>
            <w:tcW w:type="dxa" w:w="53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16" w:name="_Toc000116"/>
      <w:r>
        <w:rPr/>
        <w:t>10 Risks</w:t>
      </w:r>
      <w:bookmarkEnd w:id="116"/>
    </w:p>
    <w:p>
      <w:pPr>
        <w:pStyle w:val="Caption"/>
        <w:keepNext/>
        <w:spacing w:after="60"/>
      </w:pPr>
      <w:r>
        <w:rPr>
          <w:b/>
          <w:i w:val="0"/>
        </w:rPr>
        <w:t xml:space="preserve">Table 11: </w:t>
      </w:r>
      <w:r>
        <w:rPr/>
        <w:t>Risks of the knowledge transfer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3364"/>
        <w:gridCol w:w="1441"/>
        <w:gridCol w:w="4445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64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4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4445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KT-1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Support and operations staff named late (DEP-18)</w:t>
            </w:r>
          </w:p>
        </w:tc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High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Names by 31-May-2027; sessions recorded for late joiners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KT-2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Staff pulled into UAT or year-end work during shadowing</w:t>
            </w:r>
          </w:p>
        </w:tc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Medium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Shadowing slots fixed in the UAT calendar; back-up per role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KT-3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 monitoring and log tools not connected before reverse shadowing</w:t>
            </w:r>
          </w:p>
        </w:tc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Medium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Connection checked at readiness check 2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KT-4</w:t>
            </w:r>
          </w:p>
        </w:tc>
        <w:tc>
          <w:tcPr>
            <w:tcW w:type="dxa" w:w="3364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Knowledge held by one person in BDOI or iorta TechNXT (R-23)</w:t>
            </w:r>
          </w:p>
        </w:tc>
        <w:tc>
          <w:tcPr>
            <w:tcW w:type="dxa" w:w="14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Medium</w:t>
            </w:r>
          </w:p>
        </w:tc>
        <w:tc>
          <w:tcPr>
            <w:tcW w:type="dxa" w:w="4445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Two people per topic; knowledge base articles</w:t>
            </w:r>
          </w:p>
        </w:tc>
      </w:tr>
    </w:tbl>
    <w:p>
      <w:pPr>
        <w:pStyle w:val="BDOISpacer"/>
      </w:pPr>
    </w:p>
    <w:p>
      <w:pPr>
        <w:pStyle w:val="Heading1"/>
        <w:pBdr>
          <w:bottom w:val="single" w:sz="4" w:space="4" w:color="99C1E7"/>
        </w:pBdr>
      </w:pPr>
      <w:bookmarkStart w:id="117" w:name="_Toc000117"/>
      <w:r>
        <w:rPr/>
        <w:t>11 References</w:t>
      </w:r>
      <w:bookmarkEnd w:id="117"/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Project Plan, Delivery Methodology, RACI Matrix and Risk Register, version 1.0.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BIBS deployment guide, configuration guide and runbook; security baseline; quality gates.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Data Migration Handbook (cut-over, hypercare roster, true-ups).</w:t>
      </w:r>
    </w:p>
    <w:p>
      <w:pPr>
        <w:tabs>
          <w:tab w:pos="312" w:val="left"/>
        </w:tabs>
        <w:spacing w:after="40"/>
        <w:ind w:left="312" w:hanging="283"/>
      </w:pPr>
      <w:r>
        <w:rPr>
          <w:color w:val="004EA8"/>
        </w:rPr>
        <w:t>•</w:t>
        <w:tab/>
      </w:r>
      <w:r>
        <w:rPr/>
        <w:t>IER Workbook v20 and the programme alignment pack (environments, RPO and RTO).</w:t>
      </w:r>
    </w:p>
    <w:p>
      <w:pPr>
        <w:tabs>
          <w:tab w:pos="312" w:val="left"/>
        </w:tabs>
        <w:spacing w:after="120"/>
        <w:ind w:left="312" w:hanging="283"/>
      </w:pPr>
      <w:r>
        <w:rPr>
          <w:color w:val="004EA8"/>
        </w:rPr>
        <w:t>•</w:t>
        <w:tab/>
      </w:r>
      <w:r>
        <w:rPr/>
        <w:t>Change Management and Training Framework and the User Manual Framework, version 1.0.</w:t>
      </w:r>
    </w:p>
    <w:p>
      <w:pPr>
        <w:pStyle w:val="Heading1"/>
        <w:pBdr>
          <w:bottom w:val="single" w:sz="4" w:space="4" w:color="99C1E7"/>
        </w:pBdr>
      </w:pPr>
      <w:bookmarkStart w:id="118" w:name="_Toc000118"/>
      <w:r>
        <w:rPr/>
        <w:t>12 Decisions and open points for BDOI</w:t>
      </w:r>
      <w:bookmarkEnd w:id="118"/>
    </w:p>
    <w:p>
      <w:pPr>
        <w:pStyle w:val="Caption"/>
        <w:keepNext/>
        <w:spacing w:after="60"/>
      </w:pPr>
      <w:r>
        <w:rPr>
          <w:b/>
          <w:i w:val="0"/>
        </w:rPr>
        <w:t xml:space="preserve">Table 12: </w:t>
      </w:r>
      <w:r>
        <w:rPr/>
        <w:t>Decisions and open points</w:t>
      </w:r>
    </w:p>
    <w:tbl>
      <w:tblPr>
        <w:tblW w:type="dxa" w:w="9973"/>
        <w:jc w:val="center"/>
        <w:tblLook w:firstColumn="1" w:firstRow="1" w:lastColumn="0" w:lastRow="0" w:noHBand="0" w:noVBand="1" w:val="04A0"/>
        <w:tblBorders>
          <w:top w:val="single" w:sz="4" w:space="0" w:color="C2C2C1"/>
          <w:left w:val="single" w:sz="4" w:space="0" w:color="C2C2C1"/>
          <w:bottom w:val="single" w:sz="4" w:space="0" w:color="C2C2C1"/>
          <w:right w:val="single" w:sz="4" w:space="0" w:color="C2C2C1"/>
          <w:insideH w:val="single" w:sz="4" w:space="0" w:color="C2C2C1"/>
          <w:insideV w:val="single" w:sz="4" w:space="0" w:color="C2C2C1"/>
        </w:tblBorders>
        <w:tblLayout w:type="fixed"/>
      </w:tblPr>
      <w:tblGrid>
        <w:gridCol w:w="720"/>
        <w:gridCol w:w="5046"/>
        <w:gridCol w:w="2042"/>
        <w:gridCol w:w="1201"/>
        <w:gridCol w:w="961"/>
      </w:tblGrid>
      <w:tr>
        <w:trPr>
          <w:tblHeader w:val="true"/>
          <w:cantSplit w:val="true"/>
        </w:trPr>
        <w:tc>
          <w:tcPr>
            <w:tcW w:type="dxa" w:w="72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5046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Decision or open point (our proposal)</w:t>
            </w:r>
          </w:p>
        </w:tc>
        <w:tc>
          <w:tcPr>
            <w:tcW w:type="dxa" w:w="2042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20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Needed by</w:t>
            </w:r>
          </w:p>
        </w:tc>
        <w:tc>
          <w:tcPr>
            <w:tcW w:type="dxa" w:w="961"/>
            <w:shd w:val="clear" w:color="auto" w:fill="004EA8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pStyle w:val="BDOITableHeader"/>
            </w:pPr>
            <w:r>
              <w:rPr>
                <w:b/>
                <w:color w:val="FFFFFF"/>
                <w:sz w:val="17"/>
              </w:rPr>
              <w:t>Ref.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KT-01</w:t>
            </w:r>
          </w:p>
        </w:tc>
        <w:tc>
          <w:tcPr>
            <w:tcW w:type="dxa" w:w="504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Confirm the support model: L1 BDOI service desk, L2 BDOI application support, L3 iorta TechNXT, platform BDO IT operations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Head, BDOI IT</w:t>
            </w:r>
          </w:p>
        </w:tc>
        <w:tc>
          <w:tcPr>
            <w:tcW w:type="dxa" w:w="12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31-Mar-2027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A-14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KT-02</w:t>
            </w:r>
          </w:p>
        </w:tc>
        <w:tc>
          <w:tcPr>
            <w:tcW w:type="dxa" w:w="504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Name the application support team (6 people proposed) and the operations staff (6 proposed)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Head, BDOI IT; BDO IT operations</w:t>
            </w:r>
          </w:p>
        </w:tc>
        <w:tc>
          <w:tcPr>
            <w:tcW w:type="dxa" w:w="12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31-May-2027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DEP-18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KT-03</w:t>
            </w:r>
          </w:p>
        </w:tc>
        <w:tc>
          <w:tcPr>
            <w:tcW w:type="dxa" w:w="504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Give access for the BDOI teams to SIT and UAT and to the BDO monitoring tools from 7-Jun-2027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BDOI IT</w:t>
            </w:r>
          </w:p>
        </w:tc>
        <w:tc>
          <w:tcPr>
            <w:tcW w:type="dxa" w:w="12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31-May-2027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KT-04</w:t>
            </w:r>
          </w:p>
        </w:tc>
        <w:tc>
          <w:tcPr>
            <w:tcW w:type="dxa" w:w="5046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Confirm the DR drill date (proposed 6-Dec-2027) and the region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BDOI IT; Information Security</w:t>
            </w:r>
          </w:p>
        </w:tc>
        <w:tc>
          <w:tcPr>
            <w:tcW w:type="dxa" w:w="120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30-Sep-2027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  <w:shd w:val="clear" w:color="auto" w:fill="E5F5FF"/>
          </w:tcPr>
          <w:p>
            <w:pPr>
              <w:pStyle w:val="BDOITable"/>
            </w:pPr>
            <w:r>
              <w:rPr>
                <w:sz w:val="17"/>
              </w:rPr>
              <w:t>IQ26</w:t>
            </w:r>
          </w:p>
        </w:tc>
      </w:tr>
      <w:tr>
        <w:trPr>
          <w:cantSplit w:val="true"/>
        </w:trPr>
        <w:tc>
          <w:tcPr>
            <w:tcW w:type="dxa" w:w="72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KT-05</w:t>
            </w:r>
          </w:p>
        </w:tc>
        <w:tc>
          <w:tcPr>
            <w:tcW w:type="dxa" w:w="5046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Confirm the ticketing tool and the severity definitions for production</w:t>
            </w:r>
          </w:p>
        </w:tc>
        <w:tc>
          <w:tcPr>
            <w:tcW w:type="dxa" w:w="204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Head, BDOI IT</w:t>
            </w:r>
          </w:p>
        </w:tc>
        <w:tc>
          <w:tcPr>
            <w:tcW w:type="dxa" w:w="120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30-Sep-2027</w:t>
            </w:r>
          </w:p>
        </w:tc>
        <w:tc>
          <w:tcPr>
            <w:tcW w:type="dxa" w:w="961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pStyle w:val="BDOITable"/>
            </w:pPr>
            <w:r>
              <w:rPr>
                <w:sz w:val="17"/>
              </w:rPr>
              <w:t>-</w:t>
            </w:r>
          </w:p>
        </w:tc>
      </w:tr>
    </w:tbl>
    <w:p>
      <w:pPr>
        <w:pStyle w:val="BDOISpacer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134" w:bottom="1247" w:left="113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986" w:val="center"/>
        <w:tab w:pos="9972" w:val="right"/>
      </w:tabs>
      <w:pBdr>
        <w:top w:val="single" w:sz="4" w:space="4" w:color="C2C2C1"/>
      </w:pBdr>
    </w:pPr>
    <w:r/>
    <w:r>
      <w:rPr>
        <w:color w:val="656565"/>
        <w:sz w:val="16"/>
      </w:rPr>
      <w:t>Confidential – BDOI</w:t>
    </w:r>
    <w:r>
      <w:rPr>
        <w:color w:val="656565"/>
        <w:sz w:val="16"/>
      </w:rPr>
      <w:tab/>
      <w:t xml:space="preserve">Page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PAGE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 xml:space="preserve"> of </w:t>
    </w:r>
    <w:r>
      <w:rPr>
        <w:color w:val="656565"/>
        <w:sz w:val="16"/>
      </w:rPr>
      <w:fldChar w:fldCharType="begin"/>
    </w:r>
    <w:r>
      <w:rPr>
        <w:color w:val="656565"/>
        <w:sz w:val="16"/>
      </w:rPr>
      <w:instrText xml:space="preserve"> NUMPAGES </w:instrText>
    </w:r>
    <w:r>
      <w:rPr>
        <w:color w:val="656565"/>
        <w:sz w:val="16"/>
      </w:rPr>
      <w:fldChar w:fldCharType="separate"/>
    </w:r>
    <w:r>
      <w:rPr>
        <w:color w:val="656565"/>
        <w:sz w:val="16"/>
      </w:rPr>
      <w:t>1</w:t>
    </w:r>
    <w:r>
      <w:rPr>
        <w:color w:val="656565"/>
        <w:sz w:val="16"/>
      </w:rPr>
      <w:fldChar w:fldCharType="end"/>
    </w:r>
    <w:r>
      <w:rPr>
        <w:color w:val="656565"/>
        <w:sz w:val="16"/>
      </w:rPr>
      <w:tab/>
      <w:t>Version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72" w:val="right"/>
      </w:tabs>
      <w:spacing w:after="0"/>
      <w:pBdr>
        <w:bottom w:val="single" w:sz="6" w:space="4" w:color="FDB913"/>
      </w:pBdr>
    </w:pPr>
    <w:r/>
    <w:r>
      <w:rPr>
        <w:b/>
        <w:color w:val="004EA8"/>
        <w:sz w:val="17"/>
      </w:rPr>
      <w:t>BIBS Knowledge Transfer Plan</w:t>
    </w:r>
    <w:r>
      <w:rPr>
        <w:color w:val="656565"/>
        <w:sz w:val="16"/>
      </w:rPr>
      <w:t xml:space="preserve">   Knowledge Transfer Plan</w:t>
    </w:r>
    <w:r>
      <w:tab/>
    </w:r>
    <w:r>
      <w:drawing>
        <wp:inline xmlns:a="http://schemas.openxmlformats.org/drawingml/2006/main" xmlns:pic="http://schemas.openxmlformats.org/drawingml/2006/picture">
          <wp:extent cx="1095709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ien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709" cy="2232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b w:val="0"/>
      <w:i w:val="0"/>
      <w:color w:val="4B4B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rFonts w:ascii="Arial" w:hAnsi="Arial" w:cs="Arial" w:eastAsia="Arial"/>
      <w:b/>
      <w:bCs/>
      <w:i w:val="0"/>
      <w:color w:val="004E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="Arial" w:hAnsi="Arial" w:cs="Arial" w:eastAsia="Arial"/>
      <w:b/>
      <w:bCs/>
      <w:i w:val="0"/>
      <w:color w:val="004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40" w:lineRule="auto"/>
      <w:outlineLvl w:val="2"/>
    </w:pPr>
    <w:rPr>
      <w:rFonts w:ascii="Arial" w:hAnsi="Arial" w:cs="Arial" w:eastAsia="Arial"/>
      <w:b/>
      <w:bCs/>
      <w:i w:val="0"/>
      <w:color w:val="004E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40" w:lineRule="auto"/>
      <w:outlineLvl w:val="9"/>
    </w:pPr>
    <w:rPr>
      <w:rFonts w:ascii="Arial" w:hAnsi="Arial" w:cs="Arial" w:eastAsia="Arial"/>
      <w:b/>
      <w:bCs/>
      <w:i w:val="0"/>
      <w:iCs/>
      <w:color w:val="2E2E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</w:pPr>
    <w:rPr>
      <w:rFonts w:ascii="Arial" w:hAnsi="Arial" w:cs="Arial" w:eastAsia="Arial"/>
      <w:b w:val="0"/>
      <w:bCs/>
      <w:i/>
      <w:color w:val="65656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DOITable">
    <w:name w:val="BDOI Table"/>
    <w:basedOn w:val="Normal"/>
    <w:pPr>
      <w:spacing w:before="0" w:after="0" w:line="252" w:lineRule="auto"/>
    </w:pPr>
    <w:rPr>
      <w:rFonts w:ascii="Arial" w:hAnsi="Arial" w:cs="Arial" w:eastAsia="Arial"/>
      <w:b w:val="0"/>
      <w:i w:val="0"/>
      <w:color w:val="4B4B4B"/>
      <w:sz w:val="18"/>
    </w:rPr>
  </w:style>
  <w:style w:type="paragraph" w:customStyle="1" w:styleId="BDOITableHeader">
    <w:name w:val="BDOI Table Header"/>
    <w:basedOn w:val="Normal"/>
    <w:pPr>
      <w:spacing w:before="0" w:after="0" w:line="252" w:lineRule="auto"/>
    </w:pPr>
    <w:rPr>
      <w:rFonts w:ascii="Arial" w:hAnsi="Arial" w:cs="Arial" w:eastAsia="Arial"/>
      <w:b/>
      <w:i w:val="0"/>
      <w:color w:val="FFFFFF"/>
      <w:sz w:val="18"/>
    </w:rPr>
  </w:style>
  <w:style w:type="paragraph" w:customStyle="1" w:styleId="BDOISmall">
    <w:name w:val="BDOI Small"/>
    <w:basedOn w:val="Normal"/>
    <w:rPr>
      <w:rFonts w:ascii="Arial" w:hAnsi="Arial" w:cs="Arial" w:eastAsia="Arial"/>
      <w:b w:val="0"/>
      <w:i w:val="0"/>
      <w:color w:val="656565"/>
      <w:sz w:val="16"/>
    </w:rPr>
  </w:style>
  <w:style w:type="paragraph" w:customStyle="1" w:styleId="BDOIFrontHeading">
    <w:name w:val="BDOI Front Heading"/>
    <w:basedOn w:val="Normal"/>
    <w:pPr>
      <w:keepNext/>
      <w:spacing w:before="0" w:after="200"/>
    </w:pPr>
    <w:rPr>
      <w:rFonts w:ascii="Arial" w:hAnsi="Arial" w:cs="Arial" w:eastAsia="Arial"/>
      <w:b/>
      <w:i w:val="0"/>
      <w:color w:val="004EA8"/>
      <w:sz w:val="32"/>
    </w:rPr>
  </w:style>
  <w:style w:type="paragraph" w:customStyle="1" w:styleId="BDOILabel">
    <w:name w:val="BDOI Label"/>
    <w:basedOn w:val="Normal"/>
    <w:pPr>
      <w:keepNext/>
      <w:spacing w:before="160" w:after="60"/>
    </w:pPr>
    <w:rPr>
      <w:rFonts w:ascii="Arial" w:hAnsi="Arial" w:cs="Arial" w:eastAsia="Arial"/>
      <w:b/>
      <w:i w:val="0"/>
      <w:color w:val="004EA8"/>
      <w:sz w:val="20"/>
    </w:rPr>
  </w:style>
  <w:style w:type="paragraph" w:customStyle="1" w:styleId="BDOISpacer">
    <w:name w:val="BDOI Spacer"/>
    <w:basedOn w:val="Normal"/>
    <w:pPr>
      <w:spacing w:before="0" w:after="100" w:line="240" w:lineRule="auto"/>
    </w:pPr>
    <w:rPr>
      <w:rFonts w:ascii="Arial" w:hAnsi="Arial" w:cs="Arial" w:eastAsia="Arial"/>
      <w:b w:val="0"/>
      <w:i w:val="0"/>
      <w:color w:val="4B4B4B"/>
      <w:sz w:val="6"/>
    </w:rPr>
  </w:style>
  <w:style w:type="paragraph" w:customStyle="1" w:styleId="toc1">
    <w:name w:val="toc 1"/>
    <w:basedOn w:val="Normal"/>
    <w:pPr>
      <w:tabs>
        <w:tab w:pos="9972" w:val="right" w:leader="dot"/>
      </w:tabs>
      <w:spacing w:before="120" w:after="40" w:line="240" w:lineRule="auto"/>
      <w:ind w:left="0"/>
    </w:pPr>
    <w:rPr>
      <w:rFonts w:ascii="Arial" w:hAnsi="Arial" w:cs="Arial" w:eastAsia="Arial"/>
      <w:b/>
      <w:i w:val="0"/>
      <w:color w:val="2E2E2E"/>
      <w:sz w:val="21"/>
    </w:rPr>
  </w:style>
  <w:style w:type="paragraph" w:customStyle="1" w:styleId="toc2">
    <w:name w:val="toc 2"/>
    <w:basedOn w:val="Normal"/>
    <w:pPr>
      <w:tabs>
        <w:tab w:pos="9972" w:val="right" w:leader="dot"/>
      </w:tabs>
      <w:spacing w:before="0" w:after="40" w:line="240" w:lineRule="auto"/>
      <w:ind w:left="340"/>
    </w:pPr>
    <w:rPr>
      <w:rFonts w:ascii="Arial" w:hAnsi="Arial" w:cs="Arial" w:eastAsia="Arial"/>
      <w:b w:val="0"/>
      <w:i w:val="0"/>
      <w:color w:val="4B4B4B"/>
      <w:sz w:val="20"/>
    </w:rPr>
  </w:style>
  <w:style w:type="paragraph" w:customStyle="1" w:styleId="toc3">
    <w:name w:val="toc 3"/>
    <w:basedOn w:val="Normal"/>
    <w:pPr>
      <w:tabs>
        <w:tab w:pos="9972" w:val="right" w:leader="dot"/>
      </w:tabs>
      <w:spacing w:before="0" w:after="40" w:line="240" w:lineRule="auto"/>
      <w:ind w:left="680"/>
    </w:pPr>
    <w:rPr>
      <w:rFonts w:ascii="Arial" w:hAnsi="Arial" w:cs="Arial" w:eastAsia="Arial"/>
      <w:b w:val="0"/>
      <w:i w:val="0"/>
      <w:color w:val="4B4B4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Adoption BRD-00 Knowledge Transfer Plan v1.0</dc:title>
  <dc:subject>BDO Insure Brokering System (BIBS)</dc:subject>
  <dc:creator>iorta TechNXT</dc:creator>
  <cp:lastModifiedBy>iorta TechNXT</cp:lastModifiedBy>
  <cp:revision>1</cp:revision>
  <dcterms:created xsi:type="dcterms:W3CDTF">2013-12-23T23:15:00Z</dcterms:created>
  <dcterms:modified xsi:type="dcterms:W3CDTF">2013-12-23T23:15:00Z</dcterms:modified>
</cp:coreProperties>
</file>