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QUICK-REFERENCE GUIDE</w:t>
      </w:r>
    </w:p>
    <w:p>
      <w:pPr>
        <w:spacing w:after="80" w:line="240" w:lineRule="auto"/>
      </w:pPr>
      <w:r>
        <w:rPr>
          <w:b/>
          <w:color w:val="004EA8"/>
          <w:sz w:val="56"/>
        </w:rPr>
        <w:t>Quick-Reference Guide: Collection Handler</w:t>
      </w:r>
    </w:p>
    <w:p>
      <w:pPr>
        <w:spacing w:after="40"/>
      </w:pPr>
      <w:r>
        <w:rPr>
          <w:color w:val="2E2E2E"/>
          <w:sz w:val="28"/>
        </w:rPr>
        <w:t>What you do in BIBS, your main tasks step by step, tips and where to get help</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BIBS-QRG-CLX</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change and training lead</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from the FRS walkthroughs and functional requirements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Key users of the Collection Handler persona</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Check against the screens in UAT</w:t>
            </w:r>
          </w:p>
        </w:tc>
      </w:tr>
      <w:tr>
        <w:trPr>
          <w:cantSplit w:val="true"/>
        </w:trPr>
        <w:tc>
          <w:tcPr>
            <w:tcW w:type="dxa" w:w="2606"/>
            <w:tcMar>
              <w:top w:w="50" w:type="dxa"/>
              <w:bottom w:w="50" w:type="dxa"/>
              <w:left w:w="90" w:type="dxa"/>
              <w:right w:w="90" w:type="dxa"/>
            </w:tcMar>
          </w:tcPr>
          <w:p>
            <w:pPr>
              <w:pStyle w:val="BDOITable"/>
            </w:pPr>
            <w:r>
              <w:rPr>
                <w:sz w:val="18"/>
              </w:rPr>
              <w:t>BDOI trainers</w:t>
            </w:r>
          </w:p>
        </w:tc>
        <w:tc>
          <w:tcPr>
            <w:tcW w:type="dxa" w:w="2266"/>
            <w:tcMar>
              <w:top w:w="50" w:type="dxa"/>
              <w:bottom w:w="50" w:type="dxa"/>
              <w:left w:w="90" w:type="dxa"/>
              <w:right w:w="90" w:type="dxa"/>
            </w:tcMar>
          </w:tcPr>
          <w:p>
            <w:pPr>
              <w:pStyle w:val="BDOITable"/>
            </w:pPr>
            <w:r>
              <w:rPr>
                <w:sz w:val="18"/>
              </w:rPr>
              <w:t>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End-user training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1 Your role in BIBS</w:t>
        </w:r>
        <w:r>
          <w:t xml:space="preserve">	</w:t>
        </w:r>
        <w:r>
          <w:t xml:space="preserve">4</w:t>
        </w:r>
      </w:hyperlink>
    </w:p>
    <w:p>
      <w:pPr>
        <w:pStyle w:val="toc2"/>
      </w:pPr>
      <w:hyperlink w:anchor="_Toc000102" w:history="1">
        <w:r>
          <w:t xml:space="preserve">1.1 Your menus</w:t>
        </w:r>
        <w:r>
          <w:t xml:space="preserve">	</w:t>
        </w:r>
        <w:r>
          <w:t xml:space="preserve">4</w:t>
        </w:r>
      </w:hyperlink>
    </w:p>
    <w:p>
      <w:pPr>
        <w:pStyle w:val="toc1"/>
      </w:pPr>
      <w:hyperlink w:anchor="_Toc000103" w:history="1">
        <w:r>
          <w:t xml:space="preserve">2 Your main tasks</w:t>
        </w:r>
        <w:r>
          <w:t xml:space="preserve">	</w:t>
        </w:r>
        <w:r>
          <w:t xml:space="preserve">4</w:t>
        </w:r>
      </w:hyperlink>
    </w:p>
    <w:p>
      <w:pPr>
        <w:pStyle w:val="toc2"/>
      </w:pPr>
      <w:hyperlink w:anchor="_Toc000104" w:history="1">
        <w:r>
          <w:t xml:space="preserve">2.1 Work an outstanding account</w:t>
        </w:r>
        <w:r>
          <w:t xml:space="preserve">	</w:t>
        </w:r>
        <w:r>
          <w:t xml:space="preserve">4</w:t>
        </w:r>
      </w:hyperlink>
    </w:p>
    <w:p>
      <w:pPr>
        <w:pStyle w:val="toc2"/>
      </w:pPr>
      <w:hyperlink w:anchor="_Toc000105" w:history="1">
        <w:r>
          <w:t xml:space="preserve">2.2 Record a promise to pay and escalate an account</w:t>
        </w:r>
        <w:r>
          <w:t xml:space="preserve">	</w:t>
        </w:r>
        <w:r>
          <w:t xml:space="preserve">4</w:t>
        </w:r>
      </w:hyperlink>
    </w:p>
    <w:p>
      <w:pPr>
        <w:pStyle w:val="toc2"/>
      </w:pPr>
      <w:hyperlink w:anchor="_Toc000106" w:history="1">
        <w:r>
          <w:t xml:space="preserve">2.3 Set up an installment plan and send its statement</w:t>
        </w:r>
        <w:r>
          <w:t xml:space="preserve">	</w:t>
        </w:r>
        <w:r>
          <w:t xml:space="preserve">5</w:t>
        </w:r>
      </w:hyperlink>
    </w:p>
    <w:p>
      <w:pPr>
        <w:pStyle w:val="toc2"/>
      </w:pPr>
      <w:hyperlink w:anchor="_Toc000107" w:history="1">
        <w:r>
          <w:t xml:space="preserve">2.4 Ask Cashiering to apply an unapplied payment</w:t>
        </w:r>
        <w:r>
          <w:t xml:space="preserve">	</w:t>
        </w:r>
        <w:r>
          <w:t xml:space="preserve">5</w:t>
        </w:r>
      </w:hyperlink>
    </w:p>
    <w:p>
      <w:pPr>
        <w:pStyle w:val="toc1"/>
      </w:pPr>
      <w:hyperlink w:anchor="_Toc000108" w:history="1">
        <w:r>
          <w:t xml:space="preserve">3 Tips</w:t>
        </w:r>
        <w:r>
          <w:t xml:space="preserve">	</w:t>
        </w:r>
        <w:r>
          <w:t xml:space="preserve">5</w:t>
        </w:r>
      </w:hyperlink>
    </w:p>
    <w:p>
      <w:pPr>
        <w:pStyle w:val="toc1"/>
      </w:pPr>
      <w:hyperlink w:anchor="_Toc000109" w:history="1">
        <w:r>
          <w:t xml:space="preserve">4 Where to get help</w:t>
        </w:r>
        <w:r>
          <w:t xml:space="preserve">	</w:t>
        </w:r>
        <w:r>
          <w:t xml:space="preserve">5</w:t>
        </w:r>
      </w:hyperlink>
      <w:r>
        <w:fldChar w:fldCharType="end"/>
      </w:r>
    </w:p>
    <w:p>
      <w:pPr>
        <w:pStyle w:val="Heading1"/>
        <w:pageBreakBefore/>
        <w:pBdr>
          <w:bottom w:val="single" w:sz="4" w:space="4" w:color="99C1E7"/>
        </w:pBdr>
      </w:pPr>
      <w:bookmarkStart w:id="101" w:name="_Toc000101"/>
      <w:r>
        <w:rPr/>
        <w:t>1 Your role in BIBS</w:t>
      </w:r>
      <w:bookmarkEnd w:id="101"/>
    </w:p>
    <w:p>
      <w:r>
        <w:rPr/>
        <w:t>You collect the premium receivables of your accounts. In BIBS you work the PR Worklist, log your efforts, record dispositions, promises to pay and check pick-ups, escalate accounts, set up installment plans with their statements of account and ask Cashiering to apply unapplied payments.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Persona</w:t>
            </w:r>
          </w:p>
        </w:tc>
        <w:tc>
          <w:tcPr>
            <w:tcW w:type="dxa" w:w="7704"/>
            <w:tcMar>
              <w:top w:w="50" w:type="dxa"/>
              <w:bottom w:w="50" w:type="dxa"/>
              <w:left w:w="90" w:type="dxa"/>
              <w:right w:w="90" w:type="dxa"/>
            </w:tcMar>
          </w:tcPr>
          <w:p>
            <w:pPr>
              <w:pStyle w:val="BDOITable"/>
              <w:keepNext/>
            </w:pPr>
            <w:r>
              <w:rPr>
                <w:sz w:val="18"/>
              </w:rPr>
              <w:t>Collection Handler</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BRDs</w:t>
            </w:r>
          </w:p>
        </w:tc>
        <w:tc>
          <w:tcPr>
            <w:tcW w:type="dxa" w:w="7704"/>
            <w:tcMar>
              <w:top w:w="50" w:type="dxa"/>
              <w:bottom w:w="50" w:type="dxa"/>
              <w:left w:w="90" w:type="dxa"/>
              <w:right w:w="90" w:type="dxa"/>
            </w:tcMar>
          </w:tcPr>
          <w:p>
            <w:pPr>
              <w:pStyle w:val="BDOITable"/>
              <w:keepNext/>
            </w:pPr>
            <w:r>
              <w:rPr>
                <w:sz w:val="18"/>
              </w:rPr>
              <w:t>BRD-04 Collections</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Home page</w:t>
            </w:r>
          </w:p>
        </w:tc>
        <w:tc>
          <w:tcPr>
            <w:tcW w:type="dxa" w:w="7704"/>
            <w:tcMar>
              <w:top w:w="50" w:type="dxa"/>
              <w:bottom w:w="50" w:type="dxa"/>
              <w:left w:w="90" w:type="dxa"/>
              <w:right w:w="90" w:type="dxa"/>
            </w:tcMar>
          </w:tcPr>
          <w:p>
            <w:pPr>
              <w:pStyle w:val="BDOITable"/>
              <w:keepNext/>
            </w:pPr>
            <w:r>
              <w:rPr>
                <w:sz w:val="18"/>
              </w:rPr>
              <w:t>Collections Home: worklist, promises due, escalations</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Sign-in</w:t>
            </w:r>
          </w:p>
        </w:tc>
        <w:tc>
          <w:tcPr>
            <w:tcW w:type="dxa" w:w="7704"/>
            <w:tcMar>
              <w:top w:w="50" w:type="dxa"/>
              <w:bottom w:w="50" w:type="dxa"/>
              <w:left w:w="90" w:type="dxa"/>
              <w:right w:w="90" w:type="dxa"/>
            </w:tcMar>
          </w:tcPr>
          <w:p>
            <w:pPr>
              <w:pStyle w:val="BDOITable"/>
              <w:keepNext/>
            </w:pPr>
            <w:r>
              <w:rPr>
                <w:sz w:val="18"/>
              </w:rPr>
              <w:t>BDO single sign-on (EIAM); MFA as set by Information Security</w:t>
            </w:r>
          </w:p>
        </w:tc>
      </w:tr>
    </w:tbl>
    <w:p>
      <w:pPr>
        <w:pStyle w:val="BDOISpacer"/>
      </w:pPr>
    </w:p>
    <w:p>
      <w:pPr>
        <w:pStyle w:val="Heading2"/>
      </w:pPr>
      <w:bookmarkStart w:id="102" w:name="_Toc000102"/>
      <w:r>
        <w:rPr/>
        <w:t>1.1 Your menus</w:t>
      </w:r>
      <w:bookmarkEnd w:id="102"/>
    </w:p>
    <w:p>
      <w:r>
        <w:rPr/>
        <w:t>The sidebar shows only the screens your roles allow. Your main menus:</w:t>
      </w:r>
    </w:p>
    <w:p>
      <w:pPr>
        <w:tabs>
          <w:tab w:pos="312" w:val="left"/>
        </w:tabs>
        <w:spacing w:after="120"/>
        <w:ind w:left="312" w:hanging="283"/>
      </w:pPr>
      <w:r>
        <w:rPr>
          <w:color w:val="004EA8"/>
        </w:rPr>
        <w:t>•</w:t>
        <w:tab/>
      </w:r>
      <w:r>
        <w:rPr/>
        <w:t>Finance &gt; Collections: Collections Home, PR Worklist, Installment Plans, Installments Due, Promises to Pay, Escalations, Billing Statements, Unapplied Payments, Requests to Cashiering, Collections Files</w:t>
      </w:r>
    </w:p>
    <w:p>
      <w:pPr>
        <w:pStyle w:val="Heading1"/>
        <w:pBdr>
          <w:bottom w:val="single" w:sz="4" w:space="4" w:color="99C1E7"/>
        </w:pBdr>
      </w:pPr>
      <w:bookmarkStart w:id="103" w:name="_Toc000103"/>
      <w:r>
        <w:rPr/>
        <w:t>2 Your main tasks</w:t>
      </w:r>
      <w:bookmarkEnd w:id="103"/>
    </w:p>
    <w:p>
      <w:r>
        <w:rPr/>
        <w:t>Each task lists the steps in order, the screen (ID and name of the screen specification) and the step of the FRS walkthrough or the functional requirement it follows. The FRS walkthroughs show every step with its screenshot.</w:t>
      </w:r>
    </w:p>
    <w:p>
      <w:pPr>
        <w:pStyle w:val="Heading2"/>
      </w:pPr>
      <w:bookmarkStart w:id="104" w:name="_Toc000104"/>
      <w:r>
        <w:rPr/>
        <w:t>2.1 Work an outstanding account</w:t>
      </w:r>
      <w:bookmarkEnd w:id="104"/>
    </w:p>
    <w:p>
      <w:r>
        <w:rPr/>
        <w:t>Reference: FRS BRD-04, walkthrough WT-A steps 2-5.</w:t>
      </w:r>
    </w:p>
    <w:p>
      <w:pPr>
        <w:pStyle w:val="Caption"/>
        <w:keepNext/>
        <w:spacing w:after="60"/>
      </w:pPr>
      <w:r>
        <w:rPr>
          <w:b/>
          <w:i w:val="0"/>
        </w:rPr>
        <w:t xml:space="preserve">Table 1: </w:t>
      </w:r>
      <w:r>
        <w:rPr/>
        <w:t>Work an outstanding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Collections Home, then the PR Worklist with Only mine ticked.</w:t>
            </w:r>
          </w:p>
        </w:tc>
        <w:tc>
          <w:tcPr>
            <w:tcW w:type="dxa" w:w="2523"/>
            <w:tcMar>
              <w:top w:w="50" w:type="dxa"/>
              <w:bottom w:w="50" w:type="dxa"/>
              <w:left w:w="90" w:type="dxa"/>
              <w:right w:w="90" w:type="dxa"/>
            </w:tcMar>
          </w:tcPr>
          <w:p>
            <w:pPr>
              <w:pStyle w:val="BDOITable"/>
            </w:pPr>
            <w:r>
              <w:rPr>
                <w:sz w:val="17"/>
              </w:rPr>
              <w:t>SCR-CL-01 Collections Home; SCR-CL-02 PR Worklist</w:t>
            </w:r>
          </w:p>
        </w:tc>
        <w:tc>
          <w:tcPr>
            <w:tcW w:type="dxa" w:w="1322"/>
            <w:tcMar>
              <w:top w:w="50" w:type="dxa"/>
              <w:bottom w:w="50" w:type="dxa"/>
              <w:left w:w="90" w:type="dxa"/>
              <w:right w:w="90" w:type="dxa"/>
            </w:tcMar>
          </w:tcPr>
          <w:p>
            <w:pPr>
              <w:pStyle w:val="BDOITable"/>
            </w:pPr>
            <w:r>
              <w:rPr>
                <w:sz w:val="17"/>
              </w:rPr>
              <w:t>WT-A.2, A.3</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Open the account and click Log Effort (for example a phone call to the client's finance officer).</w:t>
            </w:r>
          </w:p>
        </w:tc>
        <w:tc>
          <w:tcPr>
            <w:tcW w:type="dxa" w:w="2523"/>
            <w:tcMar>
              <w:top w:w="50" w:type="dxa"/>
              <w:bottom w:w="50" w:type="dxa"/>
              <w:left w:w="90" w:type="dxa"/>
              <w:right w:w="90" w:type="dxa"/>
            </w:tcMar>
            <w:shd w:val="clear" w:color="auto" w:fill="E5F5FF"/>
          </w:tcPr>
          <w:p>
            <w:pPr>
              <w:pStyle w:val="BDOITable"/>
            </w:pPr>
            <w:r>
              <w:rPr>
                <w:sz w:val="17"/>
              </w:rPr>
              <w:t>SCR-CL-03 Collection Account</w:t>
            </w:r>
          </w:p>
        </w:tc>
        <w:tc>
          <w:tcPr>
            <w:tcW w:type="dxa" w:w="1322"/>
            <w:tcMar>
              <w:top w:w="50" w:type="dxa"/>
              <w:bottom w:w="50" w:type="dxa"/>
              <w:left w:w="90" w:type="dxa"/>
              <w:right w:w="90" w:type="dxa"/>
            </w:tcMar>
            <w:shd w:val="clear" w:color="auto" w:fill="E5F5FF"/>
          </w:tcPr>
          <w:p>
            <w:pPr>
              <w:pStyle w:val="BDOITable"/>
            </w:pPr>
            <w:r>
              <w:rPr>
                <w:sz w:val="17"/>
              </w:rPr>
              <w:t>WT-A.4</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Click Record Disposition, choose the disposition (for example For check pick-up) and enter the date, address, contact person and amount.</w:t>
            </w:r>
          </w:p>
        </w:tc>
        <w:tc>
          <w:tcPr>
            <w:tcW w:type="dxa" w:w="2523"/>
            <w:tcMar>
              <w:top w:w="50" w:type="dxa"/>
              <w:bottom w:w="50" w:type="dxa"/>
              <w:left w:w="90" w:type="dxa"/>
              <w:right w:w="90" w:type="dxa"/>
            </w:tcMar>
          </w:tcPr>
          <w:p>
            <w:pPr>
              <w:pStyle w:val="BDOITable"/>
            </w:pPr>
            <w:r>
              <w:rPr>
                <w:sz w:val="17"/>
              </w:rPr>
              <w:t>SCR-CL-03 Collection Account</w:t>
            </w:r>
          </w:p>
        </w:tc>
        <w:tc>
          <w:tcPr>
            <w:tcW w:type="dxa" w:w="1322"/>
            <w:tcMar>
              <w:top w:w="50" w:type="dxa"/>
              <w:bottom w:w="50" w:type="dxa"/>
              <w:left w:w="90" w:type="dxa"/>
              <w:right w:w="90" w:type="dxa"/>
            </w:tcMar>
          </w:tcPr>
          <w:p>
            <w:pPr>
              <w:pStyle w:val="BDOITable"/>
            </w:pPr>
            <w:r>
              <w:rPr>
                <w:sz w:val="17"/>
              </w:rPr>
              <w:t>WT-A.5</w:t>
            </w:r>
          </w:p>
        </w:tc>
      </w:tr>
    </w:tbl>
    <w:p>
      <w:pPr>
        <w:pStyle w:val="BDOISpacer"/>
      </w:pPr>
    </w:p>
    <w:p>
      <w:pPr>
        <w:pStyle w:val="Heading2"/>
      </w:pPr>
      <w:bookmarkStart w:id="105" w:name="_Toc000105"/>
      <w:r>
        <w:rPr/>
        <w:t>2.2 Record a promise to pay and escalate an account</w:t>
      </w:r>
      <w:bookmarkEnd w:id="105"/>
    </w:p>
    <w:p>
      <w:r>
        <w:rPr/>
        <w:t>Reference: FRS BRD-04, walkthrough WT-B steps 1-2.</w:t>
      </w:r>
    </w:p>
    <w:p>
      <w:pPr>
        <w:pStyle w:val="Caption"/>
        <w:keepNext/>
        <w:spacing w:after="60"/>
      </w:pPr>
      <w:r>
        <w:rPr>
          <w:b/>
          <w:i w:val="0"/>
        </w:rPr>
        <w:t xml:space="preserve">Table 2: </w:t>
      </w:r>
      <w:r>
        <w:rPr/>
        <w:t>Record a promise to pay and escalate an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Click Record Promise and enter the invoice, the promised payment date and the amount.</w:t>
            </w:r>
          </w:p>
        </w:tc>
        <w:tc>
          <w:tcPr>
            <w:tcW w:type="dxa" w:w="2523"/>
            <w:tcMar>
              <w:top w:w="50" w:type="dxa"/>
              <w:bottom w:w="50" w:type="dxa"/>
              <w:left w:w="90" w:type="dxa"/>
              <w:right w:w="90" w:type="dxa"/>
            </w:tcMar>
          </w:tcPr>
          <w:p>
            <w:pPr>
              <w:pStyle w:val="BDOITable"/>
            </w:pPr>
            <w:r>
              <w:rPr>
                <w:sz w:val="17"/>
              </w:rPr>
              <w:t>SCR-CL-08 Promises to Pay</w:t>
            </w:r>
          </w:p>
        </w:tc>
        <w:tc>
          <w:tcPr>
            <w:tcW w:type="dxa" w:w="1322"/>
            <w:tcMar>
              <w:top w:w="50" w:type="dxa"/>
              <w:bottom w:w="50" w:type="dxa"/>
              <w:left w:w="90" w:type="dxa"/>
              <w:right w:w="90" w:type="dxa"/>
            </w:tcMar>
          </w:tcPr>
          <w:p>
            <w:pPr>
              <w:pStyle w:val="BDOITable"/>
            </w:pPr>
            <w:r>
              <w:rPr>
                <w:sz w:val="17"/>
              </w:rPr>
              <w:t>WT-B.1</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Click Escalate Accounts and enter the invoice, the level (for example Team Lead) and the reason. The Team Lead acknowledges and resolves it.</w:t>
            </w:r>
          </w:p>
        </w:tc>
        <w:tc>
          <w:tcPr>
            <w:tcW w:type="dxa" w:w="2523"/>
            <w:tcMar>
              <w:top w:w="50" w:type="dxa"/>
              <w:bottom w:w="50" w:type="dxa"/>
              <w:left w:w="90" w:type="dxa"/>
              <w:right w:w="90" w:type="dxa"/>
            </w:tcMar>
            <w:shd w:val="clear" w:color="auto" w:fill="E5F5FF"/>
          </w:tcPr>
          <w:p>
            <w:pPr>
              <w:pStyle w:val="BDOITable"/>
            </w:pPr>
            <w:r>
              <w:rPr>
                <w:sz w:val="17"/>
              </w:rPr>
              <w:t>SCR-CL-11 Escalations; SCR-CL-12 Escalation</w:t>
            </w:r>
          </w:p>
        </w:tc>
        <w:tc>
          <w:tcPr>
            <w:tcW w:type="dxa" w:w="1322"/>
            <w:tcMar>
              <w:top w:w="50" w:type="dxa"/>
              <w:bottom w:w="50" w:type="dxa"/>
              <w:left w:w="90" w:type="dxa"/>
              <w:right w:w="90" w:type="dxa"/>
            </w:tcMar>
            <w:shd w:val="clear" w:color="auto" w:fill="E5F5FF"/>
          </w:tcPr>
          <w:p>
            <w:pPr>
              <w:pStyle w:val="BDOITable"/>
            </w:pPr>
            <w:r>
              <w:rPr>
                <w:sz w:val="17"/>
              </w:rPr>
              <w:t>WT-B.2-B.4</w:t>
            </w:r>
          </w:p>
        </w:tc>
      </w:tr>
    </w:tbl>
    <w:p>
      <w:pPr>
        <w:pStyle w:val="BDOISpacer"/>
      </w:pPr>
    </w:p>
    <w:p>
      <w:pPr>
        <w:pStyle w:val="Heading2"/>
      </w:pPr>
      <w:bookmarkStart w:id="106" w:name="_Toc000106"/>
      <w:r>
        <w:rPr/>
        <w:t>2.3 Set up an installment plan and send its statement</w:t>
      </w:r>
      <w:bookmarkEnd w:id="106"/>
    </w:p>
    <w:p>
      <w:r>
        <w:rPr/>
        <w:t>Reference: FRS BRD-04, walkthrough WT-D.</w:t>
      </w:r>
    </w:p>
    <w:p>
      <w:pPr>
        <w:pStyle w:val="Caption"/>
        <w:keepNext/>
        <w:spacing w:after="60"/>
      </w:pPr>
      <w:r>
        <w:rPr>
          <w:b/>
          <w:i w:val="0"/>
        </w:rPr>
        <w:t xml:space="preserve">Table 3: </w:t>
      </w:r>
      <w:r>
        <w:rPr/>
        <w:t>Set up an installment plan and send its statement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Click New Installment Plan: the invoice, the first due date, the number of installments and the frequency.</w:t>
            </w:r>
          </w:p>
        </w:tc>
        <w:tc>
          <w:tcPr>
            <w:tcW w:type="dxa" w:w="2523"/>
            <w:tcMar>
              <w:top w:w="50" w:type="dxa"/>
              <w:bottom w:w="50" w:type="dxa"/>
              <w:left w:w="90" w:type="dxa"/>
              <w:right w:w="90" w:type="dxa"/>
            </w:tcMar>
          </w:tcPr>
          <w:p>
            <w:pPr>
              <w:pStyle w:val="BDOITable"/>
            </w:pPr>
            <w:r>
              <w:rPr>
                <w:sz w:val="17"/>
              </w:rPr>
              <w:t>SCR-CL-05 Installment Plans</w:t>
            </w:r>
          </w:p>
        </w:tc>
        <w:tc>
          <w:tcPr>
            <w:tcW w:type="dxa" w:w="1322"/>
            <w:tcMar>
              <w:top w:w="50" w:type="dxa"/>
              <w:bottom w:w="50" w:type="dxa"/>
              <w:left w:w="90" w:type="dxa"/>
              <w:right w:w="90" w:type="dxa"/>
            </w:tcMar>
          </w:tcPr>
          <w:p>
            <w:pPr>
              <w:pStyle w:val="BDOITable"/>
            </w:pPr>
            <w:r>
              <w:rPr>
                <w:sz w:val="17"/>
              </w:rPr>
              <w:t>WT-D.1</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Open the row menu of cycle 1 and click Generate SOA, then the Statements of Account tab.</w:t>
            </w:r>
          </w:p>
        </w:tc>
        <w:tc>
          <w:tcPr>
            <w:tcW w:type="dxa" w:w="2523"/>
            <w:tcMar>
              <w:top w:w="50" w:type="dxa"/>
              <w:bottom w:w="50" w:type="dxa"/>
              <w:left w:w="90" w:type="dxa"/>
              <w:right w:w="90" w:type="dxa"/>
            </w:tcMar>
            <w:shd w:val="clear" w:color="auto" w:fill="E5F5FF"/>
          </w:tcPr>
          <w:p>
            <w:pPr>
              <w:pStyle w:val="BDOITable"/>
            </w:pPr>
            <w:r>
              <w:rPr>
                <w:sz w:val="17"/>
              </w:rPr>
              <w:t>SCR-CL-06 Installment Plan</w:t>
            </w:r>
          </w:p>
        </w:tc>
        <w:tc>
          <w:tcPr>
            <w:tcW w:type="dxa" w:w="1322"/>
            <w:tcMar>
              <w:top w:w="50" w:type="dxa"/>
              <w:bottom w:w="50" w:type="dxa"/>
              <w:left w:w="90" w:type="dxa"/>
              <w:right w:w="90" w:type="dxa"/>
            </w:tcMar>
            <w:shd w:val="clear" w:color="auto" w:fill="E5F5FF"/>
          </w:tcPr>
          <w:p>
            <w:pPr>
              <w:pStyle w:val="BDOITable"/>
            </w:pPr>
            <w:r>
              <w:rPr>
                <w:sz w:val="17"/>
              </w:rPr>
              <w:t>WT-D.2</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Open the statement, click Send via Email and Send.</w:t>
            </w:r>
          </w:p>
        </w:tc>
        <w:tc>
          <w:tcPr>
            <w:tcW w:type="dxa" w:w="2523"/>
            <w:tcMar>
              <w:top w:w="50" w:type="dxa"/>
              <w:bottom w:w="50" w:type="dxa"/>
              <w:left w:w="90" w:type="dxa"/>
              <w:right w:w="90" w:type="dxa"/>
            </w:tcMar>
          </w:tcPr>
          <w:p>
            <w:pPr>
              <w:pStyle w:val="BDOITable"/>
            </w:pPr>
            <w:r>
              <w:rPr>
                <w:sz w:val="17"/>
              </w:rPr>
              <w:t>SCR-CL-10 Statement of Account</w:t>
            </w:r>
          </w:p>
        </w:tc>
        <w:tc>
          <w:tcPr>
            <w:tcW w:type="dxa" w:w="1322"/>
            <w:tcMar>
              <w:top w:w="50" w:type="dxa"/>
              <w:bottom w:w="50" w:type="dxa"/>
              <w:left w:w="90" w:type="dxa"/>
              <w:right w:w="90" w:type="dxa"/>
            </w:tcMar>
          </w:tcPr>
          <w:p>
            <w:pPr>
              <w:pStyle w:val="BDOITable"/>
            </w:pPr>
            <w:r>
              <w:rPr>
                <w:sz w:val="17"/>
              </w:rPr>
              <w:t>WT-D.3, D.4</w:t>
            </w:r>
          </w:p>
        </w:tc>
      </w:tr>
    </w:tbl>
    <w:p>
      <w:pPr>
        <w:pStyle w:val="BDOISpacer"/>
      </w:pPr>
    </w:p>
    <w:p>
      <w:pPr>
        <w:pStyle w:val="Heading2"/>
      </w:pPr>
      <w:bookmarkStart w:id="107" w:name="_Toc000107"/>
      <w:r>
        <w:rPr/>
        <w:t>2.4 Ask Cashiering to apply an unapplied payment</w:t>
      </w:r>
      <w:bookmarkEnd w:id="107"/>
    </w:p>
    <w:p>
      <w:r>
        <w:rPr/>
        <w:t>Reference: FRS BRD-04, walkthrough WT-C.</w:t>
      </w:r>
    </w:p>
    <w:p>
      <w:pPr>
        <w:pStyle w:val="Caption"/>
        <w:keepNext/>
        <w:spacing w:after="60"/>
      </w:pPr>
      <w:r>
        <w:rPr>
          <w:b/>
          <w:i w:val="0"/>
        </w:rPr>
        <w:t xml:space="preserve">Table 4: </w:t>
      </w:r>
      <w:r>
        <w:rPr/>
        <w:t>Ask Cashiering to apply an unapplied payment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Select the payment on Unapplied Payments, click Request Application and enter the invoice number.</w:t>
            </w:r>
          </w:p>
        </w:tc>
        <w:tc>
          <w:tcPr>
            <w:tcW w:type="dxa" w:w="2523"/>
            <w:tcMar>
              <w:top w:w="50" w:type="dxa"/>
              <w:bottom w:w="50" w:type="dxa"/>
              <w:left w:w="90" w:type="dxa"/>
              <w:right w:w="90" w:type="dxa"/>
            </w:tcMar>
          </w:tcPr>
          <w:p>
            <w:pPr>
              <w:pStyle w:val="BDOITable"/>
            </w:pPr>
            <w:r>
              <w:rPr>
                <w:sz w:val="17"/>
              </w:rPr>
              <w:t>SCR-CL-14 Unapplied Payments</w:t>
            </w:r>
          </w:p>
        </w:tc>
        <w:tc>
          <w:tcPr>
            <w:tcW w:type="dxa" w:w="1322"/>
            <w:tcMar>
              <w:top w:w="50" w:type="dxa"/>
              <w:bottom w:w="50" w:type="dxa"/>
              <w:left w:w="90" w:type="dxa"/>
              <w:right w:w="90" w:type="dxa"/>
            </w:tcMar>
          </w:tcPr>
          <w:p>
            <w:pPr>
              <w:pStyle w:val="BDOITable"/>
            </w:pPr>
            <w:r>
              <w:rPr>
                <w:sz w:val="17"/>
              </w:rPr>
              <w:t>WT-C.1</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Follow the request on Requests to Cashiering; the Executed tab shows it once Cashiering has applied it.</w:t>
            </w:r>
          </w:p>
        </w:tc>
        <w:tc>
          <w:tcPr>
            <w:tcW w:type="dxa" w:w="2523"/>
            <w:tcMar>
              <w:top w:w="50" w:type="dxa"/>
              <w:bottom w:w="50" w:type="dxa"/>
              <w:left w:w="90" w:type="dxa"/>
              <w:right w:w="90" w:type="dxa"/>
            </w:tcMar>
            <w:shd w:val="clear" w:color="auto" w:fill="E5F5FF"/>
          </w:tcPr>
          <w:p>
            <w:pPr>
              <w:pStyle w:val="BDOITable"/>
            </w:pPr>
            <w:r>
              <w:rPr>
                <w:sz w:val="17"/>
              </w:rPr>
              <w:t>SCR-CL-16 Requests to Cashiering</w:t>
            </w:r>
          </w:p>
        </w:tc>
        <w:tc>
          <w:tcPr>
            <w:tcW w:type="dxa" w:w="1322"/>
            <w:tcMar>
              <w:top w:w="50" w:type="dxa"/>
              <w:bottom w:w="50" w:type="dxa"/>
              <w:left w:w="90" w:type="dxa"/>
              <w:right w:w="90" w:type="dxa"/>
            </w:tcMar>
            <w:shd w:val="clear" w:color="auto" w:fill="E5F5FF"/>
          </w:tcPr>
          <w:p>
            <w:pPr>
              <w:pStyle w:val="BDOITable"/>
            </w:pPr>
            <w:r>
              <w:rPr>
                <w:sz w:val="17"/>
              </w:rPr>
              <w:t>WT-C.2, C.4</w:t>
            </w:r>
          </w:p>
        </w:tc>
      </w:tr>
    </w:tbl>
    <w:p>
      <w:pPr>
        <w:pStyle w:val="BDOISpacer"/>
      </w:pPr>
    </w:p>
    <w:p>
      <w:pPr>
        <w:pStyle w:val="Heading1"/>
        <w:pBdr>
          <w:bottom w:val="single" w:sz="4" w:space="4" w:color="99C1E7"/>
        </w:pBdr>
      </w:pPr>
      <w:bookmarkStart w:id="108" w:name="_Toc000108"/>
      <w:r>
        <w:rPr/>
        <w:t>3 Tips</w:t>
      </w:r>
      <w:bookmarkEnd w:id="108"/>
    </w:p>
    <w:p>
      <w:pPr>
        <w:tabs>
          <w:tab w:pos="312" w:val="left"/>
        </w:tabs>
        <w:spacing w:after="40"/>
        <w:ind w:left="312" w:hanging="283"/>
      </w:pPr>
      <w:r>
        <w:rPr>
          <w:color w:val="004EA8"/>
        </w:rPr>
        <w:t>•</w:t>
        <w:tab/>
      </w:r>
      <w:r>
        <w:rPr/>
        <w:t>A promise above the outstanding amount of the account is refused (WT-E.3).</w:t>
      </w:r>
    </w:p>
    <w:p>
      <w:pPr>
        <w:tabs>
          <w:tab w:pos="312" w:val="left"/>
        </w:tabs>
        <w:spacing w:after="40"/>
        <w:ind w:left="312" w:hanging="283"/>
      </w:pPr>
      <w:r>
        <w:rPr>
          <w:color w:val="004EA8"/>
        </w:rPr>
        <w:t>•</w:t>
        <w:tab/>
      </w:r>
      <w:r>
        <w:rPr/>
        <w:t>An invoice number in the wrong format is refused when you request an application (WT-E.4).</w:t>
      </w:r>
    </w:p>
    <w:p>
      <w:pPr>
        <w:tabs>
          <w:tab w:pos="312" w:val="left"/>
        </w:tabs>
        <w:spacing w:after="120"/>
        <w:ind w:left="312" w:hanging="283"/>
      </w:pPr>
      <w:r>
        <w:rPr>
          <w:color w:val="004EA8"/>
        </w:rPr>
        <w:t>•</w:t>
        <w:tab/>
      </w:r>
      <w:r>
        <w:rPr/>
        <w:t>Your Team Lead can open the accounts you are working on (WT-E.2).</w:t>
      </w:r>
    </w:p>
    <w:p>
      <w:pPr>
        <w:pStyle w:val="Heading1"/>
        <w:pBdr>
          <w:bottom w:val="single" w:sz="4" w:space="4" w:color="99C1E7"/>
        </w:pBdr>
      </w:pPr>
      <w:bookmarkStart w:id="109" w:name="_Toc000109"/>
      <w:r>
        <w:rPr/>
        <w:t>4 Where to get help</w:t>
      </w:r>
      <w:bookmarkEnd w:id="109"/>
    </w:p>
    <w:p>
      <w:pPr>
        <w:tabs>
          <w:tab w:pos="312" w:val="left"/>
        </w:tabs>
        <w:spacing w:after="40"/>
        <w:ind w:left="312" w:hanging="283"/>
      </w:pPr>
      <w:r>
        <w:rPr>
          <w:color w:val="004EA8"/>
        </w:rPr>
        <w:t>•</w:t>
        <w:tab/>
      </w:r>
      <w:r>
        <w:rPr/>
        <w:t>Help Center (sidebar, Help &gt; Help Center): the help of every screen you may open, with How it works and Controls; search by word.</w:t>
      </w:r>
    </w:p>
    <w:p>
      <w:pPr>
        <w:tabs>
          <w:tab w:pos="312" w:val="left"/>
        </w:tabs>
        <w:spacing w:after="40"/>
        <w:ind w:left="312" w:hanging="283"/>
      </w:pPr>
      <w:r>
        <w:rPr>
          <w:color w:val="004EA8"/>
        </w:rPr>
        <w:t>•</w:t>
        <w:tab/>
      </w:r>
      <w:r>
        <w:rPr/>
        <w:t>Info icons on field labels: the format and rule of the field; the short format hint under a field gives dates as dd-MMM-yyyy and the file limits.</w:t>
      </w:r>
    </w:p>
    <w:p>
      <w:pPr>
        <w:tabs>
          <w:tab w:pos="312" w:val="left"/>
        </w:tabs>
        <w:spacing w:after="40"/>
        <w:ind w:left="312" w:hanging="283"/>
      </w:pPr>
      <w:r>
        <w:rPr>
          <w:color w:val="004EA8"/>
        </w:rPr>
        <w:t>•</w:t>
        <w:tab/>
      </w:r>
      <w:r>
        <w:rPr/>
        <w:t>Messages: a refused action shows the message on the screen in plain words; the message tells what to correct (the tips above list the frequent ones).</w:t>
      </w:r>
    </w:p>
    <w:p>
      <w:pPr>
        <w:tabs>
          <w:tab w:pos="312" w:val="left"/>
        </w:tabs>
        <w:spacing w:after="40"/>
        <w:ind w:left="312" w:hanging="283"/>
      </w:pPr>
      <w:r>
        <w:rPr>
          <w:color w:val="004EA8"/>
        </w:rPr>
        <w:t>•</w:t>
        <w:tab/>
      </w:r>
      <w:r>
        <w:rPr/>
        <w:t>My Work and My Approvals: every record waiting for you, with the action to take; notices in the bell icon link to the record.</w:t>
      </w:r>
    </w:p>
    <w:p>
      <w:pPr>
        <w:tabs>
          <w:tab w:pos="312" w:val="left"/>
        </w:tabs>
        <w:spacing w:after="40"/>
        <w:ind w:left="312" w:hanging="283"/>
      </w:pPr>
      <w:r>
        <w:rPr>
          <w:color w:val="004EA8"/>
        </w:rPr>
        <w:t>•</w:t>
        <w:tab/>
      </w:r>
      <w:r>
        <w:rPr/>
        <w:t>Key user of your unit: first point of contact for how-to questions and for a second pair of eyes.</w:t>
      </w:r>
    </w:p>
    <w:p>
      <w:pPr>
        <w:tabs>
          <w:tab w:pos="312" w:val="left"/>
        </w:tabs>
        <w:spacing w:after="120"/>
        <w:ind w:left="312" w:hanging="283"/>
      </w:pPr>
      <w:r>
        <w:rPr>
          <w:color w:val="004EA8"/>
        </w:rPr>
        <w:t>•</w:t>
        <w:tab/>
      </w:r>
      <w:r>
        <w:rPr/>
        <w:t>Service desk (BDOI IT): access problems, errors and anything the key user cannot solve; give the record number, the screen ID and the time.</w:t>
      </w:r>
    </w:p>
    <w:p>
      <w:r>
        <w:rPr/>
        <w:t>Report a problem with: the record number, the screen ID or name, what you did, the message shown word for word and the time.</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QRG Collection Handler</w:t>
    </w:r>
    <w:r>
      <w:rPr>
        <w:color w:val="656565"/>
        <w:sz w:val="16"/>
      </w:rPr>
      <w:t xml:space="preserve">   Quick-Reference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Adoption BRD-00 QRG Collection Handler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