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Disbursement Processor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BIBS-QRG-DISB</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Disbursement Processor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2.1 Pay a refund or a remittance</w:t>
        </w:r>
        <w:r>
          <w:t xml:space="preserve">	</w:t>
        </w:r>
        <w:r>
          <w:t xml:space="preserve">4</w:t>
        </w:r>
      </w:hyperlink>
    </w:p>
    <w:p>
      <w:pPr>
        <w:pStyle w:val="toc2"/>
      </w:pPr>
      <w:hyperlink w:anchor="_Toc000105" w:history="1">
        <w:r>
          <w:t xml:space="preserve">2.2 Encode a request received by e-mail</w:t>
        </w:r>
        <w:r>
          <w:t xml:space="preserve">	</w:t>
        </w:r>
        <w:r>
          <w:t xml:space="preserve">4</w:t>
        </w:r>
      </w:hyperlink>
    </w:p>
    <w:p>
      <w:pPr>
        <w:pStyle w:val="toc2"/>
      </w:pPr>
      <w:hyperlink w:anchor="_Toc000106" w:history="1">
        <w:r>
          <w:t xml:space="preserve">2.3 Maintain a payee</w:t>
        </w:r>
        <w:r>
          <w:t xml:space="preserve">	</w:t>
        </w:r>
        <w:r>
          <w:t xml:space="preserve">5</w:t>
        </w:r>
      </w:hyperlink>
    </w:p>
    <w:p>
      <w:pPr>
        <w:pStyle w:val="toc2"/>
      </w:pPr>
      <w:hyperlink w:anchor="_Toc000107" w:history="1">
        <w:r>
          <w:t xml:space="preserve">2.4 Run the end of day</w:t>
        </w:r>
        <w:r>
          <w:t xml:space="preserve">	</w:t>
        </w:r>
        <w:r>
          <w:t xml:space="preserve">5</w:t>
        </w:r>
      </w:hyperlink>
    </w:p>
    <w:p>
      <w:pPr>
        <w:pStyle w:val="toc1"/>
      </w:pPr>
      <w:hyperlink w:anchor="_Toc000108" w:history="1">
        <w:r>
          <w:t xml:space="preserve">3 Tips</w:t>
        </w:r>
        <w:r>
          <w:t xml:space="preserve">	</w:t>
        </w:r>
        <w:r>
          <w:t xml:space="preserve">5</w:t>
        </w:r>
      </w:hyperlink>
    </w:p>
    <w:p>
      <w:pPr>
        <w:pStyle w:val="toc1"/>
      </w:pPr>
      <w:hyperlink w:anchor="_Toc000109"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pay what BDOI owes: insurer remittances, client refunds, supplier and other payments. In BIBS you work the payment requests on the Disbursement Workbench, prepare the disbursement vouchers, maintain the payees, encode the requests received by e-mail and run the end of day of Disbursement; the approver approves and posts the vouchers.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Disbursement Processor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BRD-05 Disbursement, BRD-02 Operations (remittance payments)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Disbursement Workbench: requests by status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Finance &gt; Disbursement: Disbursement Workbench, Payees, Disbursement Uploads, Disbursement End of Day, Account Funding, Bank Accounts and Checks, Disbursement Reports</w:t>
      </w:r>
    </w:p>
    <w:p>
      <w:pPr>
        <w:tabs>
          <w:tab w:pos="312" w:val="left"/>
        </w:tabs>
        <w:spacing w:after="120"/>
        <w:ind w:left="312" w:hanging="283"/>
      </w:pPr>
      <w:r>
        <w:rPr>
          <w:color w:val="004EA8"/>
        </w:rPr>
        <w:t>•</w:t>
        <w:tab/>
      </w:r>
      <w:r>
        <w:rPr/>
        <w:t>Operations &gt; Operations: Disbursement Queue</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2.1 Pay a refund or a remittance</w:t>
      </w:r>
      <w:bookmarkEnd w:id="104"/>
    </w:p>
    <w:p>
      <w:r>
        <w:rPr/>
        <w:t>Reference: FRS BRD-05 WT-B steps 5-7; FRS BRD-02 WT-A step 8.</w:t>
      </w:r>
    </w:p>
    <w:p>
      <w:pPr>
        <w:pStyle w:val="Caption"/>
        <w:keepNext/>
        <w:spacing w:after="60"/>
      </w:pPr>
      <w:r>
        <w:rPr>
          <w:b/>
          <w:i w:val="0"/>
        </w:rPr>
        <w:t xml:space="preserve">Table 1: </w:t>
      </w:r>
      <w:r>
        <w:rPr/>
        <w:t>Pay a refund or a remittance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Acknowledge the remittance payment request on the Disbursement Queue and assign the DV number.</w:t>
            </w:r>
          </w:p>
        </w:tc>
        <w:tc>
          <w:tcPr>
            <w:tcW w:type="dxa" w:w="2523"/>
            <w:tcMar>
              <w:top w:w="50" w:type="dxa"/>
              <w:bottom w:w="50" w:type="dxa"/>
              <w:left w:w="90" w:type="dxa"/>
              <w:right w:w="90" w:type="dxa"/>
            </w:tcMar>
          </w:tcPr>
          <w:p>
            <w:pPr>
              <w:pStyle w:val="BDOITable"/>
            </w:pPr>
            <w:r>
              <w:rPr>
                <w:sz w:val="17"/>
              </w:rPr>
              <w:t>SCR-OP-36 Disbursement Queue</w:t>
            </w:r>
          </w:p>
        </w:tc>
        <w:tc>
          <w:tcPr>
            <w:tcW w:type="dxa" w:w="1322"/>
            <w:tcMar>
              <w:top w:w="50" w:type="dxa"/>
              <w:bottom w:w="50" w:type="dxa"/>
              <w:left w:w="90" w:type="dxa"/>
              <w:right w:w="90" w:type="dxa"/>
            </w:tcMar>
          </w:tcPr>
          <w:p>
            <w:pPr>
              <w:pStyle w:val="BDOITable"/>
            </w:pPr>
            <w:r>
              <w:rPr>
                <w:sz w:val="17"/>
              </w:rPr>
              <w:t>BRD-02 WT-A.8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For Approval on the Disbursement Workbench and open the voucher.</w:t>
            </w:r>
          </w:p>
        </w:tc>
        <w:tc>
          <w:tcPr>
            <w:tcW w:type="dxa" w:w="2523"/>
            <w:tcMar>
              <w:top w:w="50" w:type="dxa"/>
              <w:bottom w:w="50" w:type="dxa"/>
              <w:left w:w="90" w:type="dxa"/>
              <w:right w:w="90" w:type="dxa"/>
            </w:tcMar>
            <w:shd w:val="clear" w:color="auto" w:fill="E5F5FF"/>
          </w:tcPr>
          <w:p>
            <w:pPr>
              <w:pStyle w:val="BDOITable"/>
            </w:pPr>
            <w:r>
              <w:rPr>
                <w:sz w:val="17"/>
              </w:rPr>
              <w:t>SCR-AC-25 Disbursement Workbench; SCR-AC-27 Disbursement Voucher</w:t>
            </w:r>
          </w:p>
        </w:tc>
        <w:tc>
          <w:tcPr>
            <w:tcW w:type="dxa" w:w="1322"/>
            <w:tcMar>
              <w:top w:w="50" w:type="dxa"/>
              <w:bottom w:w="50" w:type="dxa"/>
              <w:left w:w="90" w:type="dxa"/>
              <w:right w:w="90" w:type="dxa"/>
            </w:tcMar>
            <w:shd w:val="clear" w:color="auto" w:fill="E5F5FF"/>
          </w:tcPr>
          <w:p>
            <w:pPr>
              <w:pStyle w:val="BDOITable"/>
            </w:pPr>
            <w:r>
              <w:rPr>
                <w:sz w:val="17"/>
              </w:rPr>
              <w:t>BRD-05 WT-B.5, B.6</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Approver: click Approve and Post and confirm.</w:t>
            </w:r>
          </w:p>
        </w:tc>
        <w:tc>
          <w:tcPr>
            <w:tcW w:type="dxa" w:w="2523"/>
            <w:tcMar>
              <w:top w:w="50" w:type="dxa"/>
              <w:bottom w:w="50" w:type="dxa"/>
              <w:left w:w="90" w:type="dxa"/>
              <w:right w:w="90" w:type="dxa"/>
            </w:tcMar>
          </w:tcPr>
          <w:p>
            <w:pPr>
              <w:pStyle w:val="BDOITable"/>
            </w:pPr>
            <w:r>
              <w:rPr>
                <w:sz w:val="17"/>
              </w:rPr>
              <w:t>SCR-AC-27 Disbursement Voucher</w:t>
            </w:r>
          </w:p>
        </w:tc>
        <w:tc>
          <w:tcPr>
            <w:tcW w:type="dxa" w:w="1322"/>
            <w:tcMar>
              <w:top w:w="50" w:type="dxa"/>
              <w:bottom w:w="50" w:type="dxa"/>
              <w:left w:w="90" w:type="dxa"/>
              <w:right w:w="90" w:type="dxa"/>
            </w:tcMar>
          </w:tcPr>
          <w:p>
            <w:pPr>
              <w:pStyle w:val="BDOITable"/>
            </w:pPr>
            <w:r>
              <w:rPr>
                <w:sz w:val="17"/>
              </w:rPr>
              <w:t>BRD-05 WT-B.7</w:t>
            </w:r>
          </w:p>
        </w:tc>
      </w:tr>
    </w:tbl>
    <w:p>
      <w:pPr>
        <w:pStyle w:val="BDOISpacer"/>
      </w:pPr>
    </w:p>
    <w:p>
      <w:pPr>
        <w:pStyle w:val="Heading2"/>
      </w:pPr>
      <w:bookmarkStart w:id="105" w:name="_Toc000105"/>
      <w:r>
        <w:rPr/>
        <w:t>2.2 Encode a request received by e-mail</w:t>
      </w:r>
      <w:bookmarkEnd w:id="105"/>
    </w:p>
    <w:p>
      <w:r>
        <w:rPr/>
        <w:t>Reference: FRS BRD-05, FR-DS-023.</w:t>
      </w:r>
    </w:p>
    <w:p>
      <w:pPr>
        <w:pStyle w:val="Caption"/>
        <w:keepNext/>
        <w:spacing w:after="60"/>
      </w:pPr>
      <w:r>
        <w:rPr>
          <w:b/>
          <w:i w:val="0"/>
        </w:rPr>
        <w:t xml:space="preserve">Table 2: </w:t>
      </w:r>
      <w:r>
        <w:rPr/>
        <w:t>Encode a request received by e-mail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Encode Payment Request, fill it, attach the e-mail and documents and save. The request and its voucher are In Process.</w:t>
            </w:r>
          </w:p>
        </w:tc>
        <w:tc>
          <w:tcPr>
            <w:tcW w:type="dxa" w:w="2523"/>
            <w:tcMar>
              <w:top w:w="50" w:type="dxa"/>
              <w:bottom w:w="50" w:type="dxa"/>
              <w:left w:w="90" w:type="dxa"/>
              <w:right w:w="90" w:type="dxa"/>
            </w:tcMar>
          </w:tcPr>
          <w:p>
            <w:pPr>
              <w:pStyle w:val="BDOITable"/>
            </w:pPr>
            <w:r>
              <w:rPr>
                <w:sz w:val="17"/>
              </w:rPr>
              <w:t>SCR-AC-26 Encode Payment Request</w:t>
            </w:r>
          </w:p>
        </w:tc>
        <w:tc>
          <w:tcPr>
            <w:tcW w:type="dxa" w:w="1322"/>
            <w:tcMar>
              <w:top w:w="50" w:type="dxa"/>
              <w:bottom w:w="50" w:type="dxa"/>
              <w:left w:w="90" w:type="dxa"/>
              <w:right w:w="90" w:type="dxa"/>
            </w:tcMar>
          </w:tcPr>
          <w:p>
            <w:pPr>
              <w:pStyle w:val="BDOITable"/>
            </w:pPr>
            <w:r>
              <w:rPr>
                <w:sz w:val="17"/>
              </w:rPr>
              <w:t>FR-DS-023</w:t>
            </w:r>
          </w:p>
        </w:tc>
      </w:tr>
    </w:tbl>
    <w:p>
      <w:pPr>
        <w:pStyle w:val="BDOISpacer"/>
      </w:pPr>
    </w:p>
    <w:p>
      <w:pPr>
        <w:pStyle w:val="Heading2"/>
      </w:pPr>
      <w:bookmarkStart w:id="106" w:name="_Toc000106"/>
      <w:r>
        <w:rPr/>
        <w:t>2.3 Maintain a payee</w:t>
      </w:r>
      <w:bookmarkEnd w:id="106"/>
    </w:p>
    <w:p>
      <w:r>
        <w:rPr/>
        <w:t>Reference: FRS BRD-05, FR-DS-010.</w:t>
      </w:r>
    </w:p>
    <w:p>
      <w:pPr>
        <w:pStyle w:val="Caption"/>
        <w:keepNext/>
        <w:spacing w:after="60"/>
      </w:pPr>
      <w:r>
        <w:rPr>
          <w:b/>
          <w:i w:val="0"/>
        </w:rPr>
        <w:t xml:space="preserve">Table 3: </w:t>
      </w:r>
      <w:r>
        <w:rPr/>
        <w:t>Maintain a payee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Team Lead: click New Payee, enter the details and the accounts, save the draft and submit it for authorisation.</w:t>
            </w:r>
          </w:p>
        </w:tc>
        <w:tc>
          <w:tcPr>
            <w:tcW w:type="dxa" w:w="2523"/>
            <w:tcMar>
              <w:top w:w="50" w:type="dxa"/>
              <w:bottom w:w="50" w:type="dxa"/>
              <w:left w:w="90" w:type="dxa"/>
              <w:right w:w="90" w:type="dxa"/>
            </w:tcMar>
          </w:tcPr>
          <w:p>
            <w:pPr>
              <w:pStyle w:val="BDOITable"/>
            </w:pPr>
            <w:r>
              <w:rPr>
                <w:sz w:val="17"/>
              </w:rPr>
              <w:t>SCR-AC-28 Payees; SCR-AC-29 Payee</w:t>
            </w:r>
          </w:p>
        </w:tc>
        <w:tc>
          <w:tcPr>
            <w:tcW w:type="dxa" w:w="1322"/>
            <w:tcMar>
              <w:top w:w="50" w:type="dxa"/>
              <w:bottom w:w="50" w:type="dxa"/>
              <w:left w:w="90" w:type="dxa"/>
              <w:right w:w="90" w:type="dxa"/>
            </w:tcMar>
          </w:tcPr>
          <w:p>
            <w:pPr>
              <w:pStyle w:val="BDOITable"/>
            </w:pPr>
            <w:r>
              <w:rPr>
                <w:sz w:val="17"/>
              </w:rPr>
              <w:t>FR-DS-010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Approver: authorise the payee; it becomes Active and usable on vouchers.</w:t>
            </w:r>
          </w:p>
        </w:tc>
        <w:tc>
          <w:tcPr>
            <w:tcW w:type="dxa" w:w="2523"/>
            <w:tcMar>
              <w:top w:w="50" w:type="dxa"/>
              <w:bottom w:w="50" w:type="dxa"/>
              <w:left w:w="90" w:type="dxa"/>
              <w:right w:w="90" w:type="dxa"/>
            </w:tcMar>
            <w:shd w:val="clear" w:color="auto" w:fill="E5F5FF"/>
          </w:tcPr>
          <w:p>
            <w:pPr>
              <w:pStyle w:val="BDOITable"/>
            </w:pPr>
            <w:r>
              <w:rPr>
                <w:sz w:val="17"/>
              </w:rPr>
              <w:t>SCR-AC-29 Payee</w:t>
            </w:r>
          </w:p>
        </w:tc>
        <w:tc>
          <w:tcPr>
            <w:tcW w:type="dxa" w:w="1322"/>
            <w:tcMar>
              <w:top w:w="50" w:type="dxa"/>
              <w:bottom w:w="50" w:type="dxa"/>
              <w:left w:w="90" w:type="dxa"/>
              <w:right w:w="90" w:type="dxa"/>
            </w:tcMar>
            <w:shd w:val="clear" w:color="auto" w:fill="E5F5FF"/>
          </w:tcPr>
          <w:p>
            <w:pPr>
              <w:pStyle w:val="BDOITable"/>
            </w:pPr>
            <w:r>
              <w:rPr>
                <w:sz w:val="17"/>
              </w:rPr>
              <w:t>FR-DS-010</w:t>
            </w:r>
          </w:p>
        </w:tc>
      </w:tr>
    </w:tbl>
    <w:p>
      <w:pPr>
        <w:pStyle w:val="BDOISpacer"/>
      </w:pPr>
    </w:p>
    <w:p>
      <w:pPr>
        <w:pStyle w:val="Heading2"/>
      </w:pPr>
      <w:bookmarkStart w:id="107" w:name="_Toc000107"/>
      <w:r>
        <w:rPr/>
        <w:t>2.4 Run the end of day</w:t>
      </w:r>
      <w:bookmarkEnd w:id="107"/>
    </w:p>
    <w:p>
      <w:r>
        <w:rPr/>
        <w:t>Reference: FRS BRD-05, FR-DS-060.</w:t>
      </w:r>
    </w:p>
    <w:p>
      <w:pPr>
        <w:pStyle w:val="Caption"/>
        <w:keepNext/>
        <w:spacing w:after="60"/>
      </w:pPr>
      <w:r>
        <w:rPr>
          <w:b/>
          <w:i w:val="0"/>
        </w:rPr>
        <w:t xml:space="preserve">Table 4: </w:t>
      </w:r>
      <w:r>
        <w:rPr/>
        <w:t>Run the end of day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Choose the business date and click Run End of Day; check the outputs and their counts.</w:t>
            </w:r>
          </w:p>
        </w:tc>
        <w:tc>
          <w:tcPr>
            <w:tcW w:type="dxa" w:w="2523"/>
            <w:tcMar>
              <w:top w:w="50" w:type="dxa"/>
              <w:bottom w:w="50" w:type="dxa"/>
              <w:left w:w="90" w:type="dxa"/>
              <w:right w:w="90" w:type="dxa"/>
            </w:tcMar>
          </w:tcPr>
          <w:p>
            <w:pPr>
              <w:pStyle w:val="BDOITable"/>
            </w:pPr>
            <w:r>
              <w:rPr>
                <w:sz w:val="17"/>
              </w:rPr>
              <w:t>SCR-AC-31 Disbursement End of Day</w:t>
            </w:r>
          </w:p>
        </w:tc>
        <w:tc>
          <w:tcPr>
            <w:tcW w:type="dxa" w:w="1322"/>
            <w:tcMar>
              <w:top w:w="50" w:type="dxa"/>
              <w:bottom w:w="50" w:type="dxa"/>
              <w:left w:w="90" w:type="dxa"/>
              <w:right w:w="90" w:type="dxa"/>
            </w:tcMar>
          </w:tcPr>
          <w:p>
            <w:pPr>
              <w:pStyle w:val="BDOITable"/>
            </w:pPr>
            <w:r>
              <w:rPr>
                <w:sz w:val="17"/>
              </w:rPr>
              <w:t>FR-DS-060</w:t>
            </w:r>
          </w:p>
        </w:tc>
      </w:tr>
    </w:tbl>
    <w:p>
      <w:pPr>
        <w:pStyle w:val="BDOISpacer"/>
      </w:pPr>
    </w:p>
    <w:p>
      <w:pPr>
        <w:pStyle w:val="Heading1"/>
        <w:pBdr>
          <w:bottom w:val="single" w:sz="4" w:space="4" w:color="99C1E7"/>
        </w:pBdr>
      </w:pPr>
      <w:bookmarkStart w:id="108" w:name="_Toc000108"/>
      <w:r>
        <w:rPr/>
        <w:t>3 Tips</w:t>
      </w:r>
      <w:bookmarkEnd w:id="108"/>
    </w:p>
    <w:p>
      <w:pPr>
        <w:tabs>
          <w:tab w:pos="312" w:val="left"/>
        </w:tabs>
        <w:spacing w:after="40"/>
        <w:ind w:left="312" w:hanging="283"/>
      </w:pPr>
      <w:r>
        <w:rPr>
          <w:color w:val="004EA8"/>
        </w:rPr>
        <w:t>•</w:t>
        <w:tab/>
      </w:r>
      <w:r>
        <w:rPr/>
        <w:t>A payment request for a payee code that is not maintained is held without a payee (WT-E.4).</w:t>
      </w:r>
    </w:p>
    <w:p>
      <w:pPr>
        <w:tabs>
          <w:tab w:pos="312" w:val="left"/>
        </w:tabs>
        <w:spacing w:after="120"/>
        <w:ind w:left="312" w:hanging="283"/>
      </w:pPr>
      <w:r>
        <w:rPr>
          <w:color w:val="004EA8"/>
        </w:rPr>
        <w:t>•</w:t>
        <w:tab/>
      </w:r>
      <w:r>
        <w:rPr/>
        <w:t>A payee is never authorised by its maker; only Active payees are used on vouchers.</w:t>
      </w:r>
    </w:p>
    <w:p>
      <w:pPr>
        <w:pStyle w:val="Heading1"/>
        <w:pBdr>
          <w:bottom w:val="single" w:sz="4" w:space="4" w:color="99C1E7"/>
        </w:pBdr>
      </w:pPr>
      <w:bookmarkStart w:id="109" w:name="_Toc000109"/>
      <w:r>
        <w:rPr/>
        <w:t>4 Where to get help</w:t>
      </w:r>
      <w:bookmarkEnd w:id="109"/>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Disbursement Processor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Disbursement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