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DEPLOYMENT ARCHITECTURE</w:t>
      </w:r>
    </w:p>
    <w:p>
      <w:pPr>
        <w:spacing w:after="80" w:line="240" w:lineRule="auto"/>
      </w:pPr>
      <w:r>
        <w:rPr>
          <w:b/>
          <w:color w:val="004EA8"/>
          <w:sz w:val="56"/>
        </w:rPr>
        <w:t>Deployment Architecture</w:t>
      </w:r>
    </w:p>
    <w:p>
      <w:pPr>
        <w:spacing w:after="40"/>
      </w:pPr>
      <w:r>
        <w:rPr>
          <w:color w:val="2E2E2E"/>
          <w:sz w:val="28"/>
        </w:rPr>
        <w:t>Runtime components, Kubernetes topology per environment, Gateway API routing, configuration and the release pipeline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Tech Lead; iorta TechNXT DevOps Engineer</w:t>
            </w:r>
          </w:p>
        </w:tc>
        <w:tc>
          <w:tcPr>
            <w:tcW w:type="dxa" w:w="1700"/>
            <w:tcMar>
              <w:top w:w="50" w:type="dxa"/>
              <w:bottom w:w="50" w:type="dxa"/>
              <w:left w:w="90" w:type="dxa"/>
              <w:right w:w="90" w:type="dxa"/>
            </w:tcMar>
          </w:tcPr>
          <w:p>
            <w:pPr>
              <w:pStyle w:val="BDOITable"/>
            </w:pPr>
            <w:r>
              <w:rPr>
                <w:sz w:val="18"/>
              </w:rPr>
              <w:t>BDOI IT Cloud and Infrastructure (pending)</w:t>
            </w:r>
          </w:p>
        </w:tc>
        <w:tc>
          <w:tcPr>
            <w:tcW w:type="dxa" w:w="2606"/>
            <w:tcMar>
              <w:top w:w="50" w:type="dxa"/>
              <w:bottom w:w="50" w:type="dxa"/>
              <w:left w:w="90" w:type="dxa"/>
              <w:right w:w="90" w:type="dxa"/>
            </w:tcMar>
          </w:tcPr>
          <w:p>
            <w:pPr>
              <w:pStyle w:val="BDOITable"/>
            </w:pPr>
            <w:r>
              <w:rPr>
                <w:sz w:val="18"/>
              </w:rPr>
              <w:t>First issue, with the Kubernetes Gateway API edge and the Valkey baseline of 8 October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Clusters, environments, release pipeline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Enterprise Architecture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Deployment model</w:t>
            </w:r>
          </w:p>
        </w:tc>
      </w:tr>
      <w:tr>
        <w:trPr>
          <w:cantSplit w:val="true"/>
        </w:trPr>
        <w:tc>
          <w:tcPr>
            <w:tcW w:type="dxa" w:w="2606"/>
            <w:tcMar>
              <w:top w:w="50" w:type="dxa"/>
              <w:bottom w:w="50" w:type="dxa"/>
              <w:left w:w="90" w:type="dxa"/>
              <w:right w:w="90" w:type="dxa"/>
            </w:tcMar>
          </w:tcPr>
          <w:p>
            <w:pPr>
              <w:pStyle w:val="BDOITable"/>
            </w:pPr>
            <w:r>
              <w:rPr>
                <w:sz w:val="18"/>
              </w:rPr>
              <w:t>Information Security Office</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Secrets, network policies, edge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Network team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Gateway, source ranges, private route</w:t>
            </w:r>
          </w:p>
        </w:tc>
      </w:tr>
      <w:tr>
        <w:trPr>
          <w:cantSplit w:val="true"/>
        </w:trPr>
        <w:tc>
          <w:tcPr>
            <w:tcW w:type="dxa" w:w="2606"/>
            <w:tcMar>
              <w:top w:w="50" w:type="dxa"/>
              <w:bottom w:w="50" w:type="dxa"/>
              <w:left w:w="90" w:type="dxa"/>
              <w:right w:w="90" w:type="dxa"/>
            </w:tcMar>
          </w:tcPr>
          <w:p>
            <w:pPr>
              <w:pStyle w:val="BDOITable"/>
            </w:pPr>
            <w:r>
              <w:rPr>
                <w:sz w:val="18"/>
              </w:rPr>
              <w:t>IT Operations</w:t>
            </w:r>
          </w:p>
        </w:tc>
        <w:tc>
          <w:tcPr>
            <w:tcW w:type="dxa" w:w="2266"/>
            <w:tcMar>
              <w:top w:w="50" w:type="dxa"/>
              <w:bottom w:w="50" w:type="dxa"/>
              <w:left w:w="90" w:type="dxa"/>
              <w:right w:w="90" w:type="dxa"/>
            </w:tcMar>
          </w:tcPr>
          <w:p>
            <w:pPr>
              <w:pStyle w:val="BDOITable"/>
            </w:pPr>
            <w:r>
              <w:rPr>
                <w:sz w:val="18"/>
              </w:rPr>
              <w:t>Informed</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Promotion and production support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Manifests, pipeline, releases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1.4 Conventions</w:t>
        </w:r>
        <w:r>
          <w:t xml:space="preserve">	</w:t>
        </w:r>
        <w:r>
          <w:t xml:space="preserve">4</w:t>
        </w:r>
      </w:hyperlink>
    </w:p>
    <w:p>
      <w:pPr>
        <w:pStyle w:val="toc1"/>
      </w:pPr>
      <w:hyperlink w:anchor="_Toc000106" w:history="1">
        <w:r>
          <w:t xml:space="preserve">2 Deployment principles</w:t>
        </w:r>
        <w:r>
          <w:t xml:space="preserve">	</w:t>
        </w:r>
        <w:r>
          <w:t xml:space="preserve">4</w:t>
        </w:r>
      </w:hyperlink>
    </w:p>
    <w:p>
      <w:pPr>
        <w:pStyle w:val="toc1"/>
      </w:pPr>
      <w:hyperlink w:anchor="_Toc000107" w:history="1">
        <w:r>
          <w:t xml:space="preserve">3 Runtime components and containers</w:t>
        </w:r>
        <w:r>
          <w:t xml:space="preserve">	</w:t>
        </w:r>
        <w:r>
          <w:t xml:space="preserve">5</w:t>
        </w:r>
      </w:hyperlink>
    </w:p>
    <w:p>
      <w:pPr>
        <w:pStyle w:val="toc2"/>
      </w:pPr>
      <w:hyperlink w:anchor="_Toc000108" w:history="1">
        <w:r>
          <w:t xml:space="preserve">3.1 Runtime view</w:t>
        </w:r>
        <w:r>
          <w:t xml:space="preserve">	</w:t>
        </w:r>
        <w:r>
          <w:t xml:space="preserve">5</w:t>
        </w:r>
      </w:hyperlink>
    </w:p>
    <w:p>
      <w:pPr>
        <w:pStyle w:val="toc2"/>
      </w:pPr>
      <w:hyperlink w:anchor="_Toc000109" w:history="1">
        <w:r>
          <w:t xml:space="preserve">3.2 Container images</w:t>
        </w:r>
        <w:r>
          <w:t xml:space="preserve">	</w:t>
        </w:r>
        <w:r>
          <w:t xml:space="preserve">5</w:t>
        </w:r>
      </w:hyperlink>
    </w:p>
    <w:p>
      <w:pPr>
        <w:pStyle w:val="toc2"/>
      </w:pPr>
      <w:hyperlink w:anchor="_Toc000110" w:history="1">
        <w:r>
          <w:t xml:space="preserve">3.3 Workloads</w:t>
        </w:r>
        <w:r>
          <w:t xml:space="preserve">	</w:t>
        </w:r>
        <w:r>
          <w:t xml:space="preserve">6</w:t>
        </w:r>
      </w:hyperlink>
    </w:p>
    <w:p>
      <w:pPr>
        <w:pStyle w:val="toc1"/>
      </w:pPr>
      <w:hyperlink w:anchor="_Toc000111" w:history="1">
        <w:r>
          <w:t xml:space="preserve">4 Kubernetes topology</w:t>
        </w:r>
        <w:r>
          <w:t xml:space="preserve">	</w:t>
        </w:r>
        <w:r>
          <w:t xml:space="preserve">6</w:t>
        </w:r>
      </w:hyperlink>
    </w:p>
    <w:p>
      <w:pPr>
        <w:pStyle w:val="toc2"/>
      </w:pPr>
      <w:hyperlink w:anchor="_Toc000112" w:history="1">
        <w:r>
          <w:t xml:space="preserve">4.1 Resources of the namespace bibs</w:t>
        </w:r>
        <w:r>
          <w:t xml:space="preserve">	</w:t>
        </w:r>
        <w:r>
          <w:t xml:space="preserve">6</w:t>
        </w:r>
      </w:hyperlink>
    </w:p>
    <w:p>
      <w:pPr>
        <w:pStyle w:val="toc2"/>
      </w:pPr>
      <w:hyperlink w:anchor="_Toc000113" w:history="1">
        <w:r>
          <w:t xml:space="preserve">4.2 Cluster prerequisites</w:t>
        </w:r>
        <w:r>
          <w:t xml:space="preserve">	</w:t>
        </w:r>
        <w:r>
          <w:t xml:space="preserve">7</w:t>
        </w:r>
      </w:hyperlink>
    </w:p>
    <w:p>
      <w:pPr>
        <w:pStyle w:val="toc2"/>
      </w:pPr>
      <w:hyperlink w:anchor="_Toc000114" w:history="1">
        <w:r>
          <w:t xml:space="preserve">4.3 Topology per environment</w:t>
        </w:r>
        <w:r>
          <w:t xml:space="preserve">	</w:t>
        </w:r>
        <w:r>
          <w:t xml:space="preserve">7</w:t>
        </w:r>
      </w:hyperlink>
    </w:p>
    <w:p>
      <w:pPr>
        <w:pStyle w:val="toc1"/>
      </w:pPr>
      <w:hyperlink w:anchor="_Toc000115" w:history="1">
        <w:r>
          <w:t xml:space="preserve">5 Gateway API routing</w:t>
        </w:r>
        <w:r>
          <w:t xml:space="preserve">	</w:t>
        </w:r>
        <w:r>
          <w:t xml:space="preserve">8</w:t>
        </w:r>
      </w:hyperlink>
    </w:p>
    <w:p>
      <w:pPr>
        <w:pStyle w:val="toc2"/>
      </w:pPr>
      <w:hyperlink w:anchor="_Toc000116" w:history="1">
        <w:r>
          <w:t xml:space="preserve">5.1 Routing</w:t>
        </w:r>
        <w:r>
          <w:t xml:space="preserve">	</w:t>
        </w:r>
        <w:r>
          <w:t xml:space="preserve">8</w:t>
        </w:r>
      </w:hyperlink>
    </w:p>
    <w:p>
      <w:pPr>
        <w:pStyle w:val="toc2"/>
      </w:pPr>
      <w:hyperlink w:anchor="_Toc000117" w:history="1">
        <w:r>
          <w:t xml:space="preserve">5.2 Load balancer and WAF settings</w:t>
        </w:r>
        <w:r>
          <w:t xml:space="preserve">	</w:t>
        </w:r>
        <w:r>
          <w:t xml:space="preserve">9</w:t>
        </w:r>
      </w:hyperlink>
    </w:p>
    <w:p>
      <w:pPr>
        <w:pStyle w:val="toc2"/>
      </w:pPr>
      <w:hyperlink w:anchor="_Toc000118" w:history="1">
        <w:r>
          <w:t xml:space="preserve">5.3 Mapping from the former Ingress rules</w:t>
        </w:r>
        <w:r>
          <w:t xml:space="preserve">	</w:t>
        </w:r>
        <w:r>
          <w:t xml:space="preserve">10</w:t>
        </w:r>
      </w:hyperlink>
    </w:p>
    <w:p>
      <w:pPr>
        <w:pStyle w:val="toc1"/>
      </w:pPr>
      <w:hyperlink w:anchor="_Toc000119" w:history="1">
        <w:r>
          <w:t xml:space="preserve">6 Scaling and availability</w:t>
        </w:r>
        <w:r>
          <w:t xml:space="preserve">	</w:t>
        </w:r>
        <w:r>
          <w:t xml:space="preserve">10</w:t>
        </w:r>
      </w:hyperlink>
    </w:p>
    <w:p>
      <w:pPr>
        <w:pStyle w:val="toc1"/>
      </w:pPr>
      <w:hyperlink w:anchor="_Toc000120" w:history="1">
        <w:r>
          <w:t xml:space="preserve">7 Configuration and secrets</w:t>
        </w:r>
        <w:r>
          <w:t xml:space="preserve">	</w:t>
        </w:r>
        <w:r>
          <w:t xml:space="preserve">11</w:t>
        </w:r>
      </w:hyperlink>
    </w:p>
    <w:p>
      <w:pPr>
        <w:pStyle w:val="toc2"/>
      </w:pPr>
      <w:hyperlink w:anchor="_Toc000121" w:history="1">
        <w:r>
          <w:t xml:space="preserve">7.1 Where settings come from</w:t>
        </w:r>
        <w:r>
          <w:t xml:space="preserve">	</w:t>
        </w:r>
        <w:r>
          <w:t xml:space="preserve">11</w:t>
        </w:r>
      </w:hyperlink>
    </w:p>
    <w:p>
      <w:pPr>
        <w:pStyle w:val="toc2"/>
      </w:pPr>
      <w:hyperlink w:anchor="_Toc000122" w:history="1">
        <w:r>
          <w:t xml:space="preserve">7.2 Secrets handling</w:t>
        </w:r>
        <w:r>
          <w:t xml:space="preserve">	</w:t>
        </w:r>
        <w:r>
          <w:t xml:space="preserve">11</w:t>
        </w:r>
      </w:hyperlink>
    </w:p>
    <w:p>
      <w:pPr>
        <w:pStyle w:val="toc2"/>
      </w:pPr>
      <w:hyperlink w:anchor="_Toc000123" w:history="1">
        <w:r>
          <w:t xml:space="preserve">7.3 Values BDO IT provides per environment</w:t>
        </w:r>
        <w:r>
          <w:t xml:space="preserve">	</w:t>
        </w:r>
        <w:r>
          <w:t xml:space="preserve">11</w:t>
        </w:r>
      </w:hyperlink>
    </w:p>
    <w:p>
      <w:pPr>
        <w:pStyle w:val="toc1"/>
      </w:pPr>
      <w:hyperlink w:anchor="_Toc000124" w:history="1">
        <w:r>
          <w:t xml:space="preserve">8 Release pipeline and promotion</w:t>
        </w:r>
        <w:r>
          <w:t xml:space="preserve">	</w:t>
        </w:r>
        <w:r>
          <w:t xml:space="preserve">12</w:t>
        </w:r>
      </w:hyperlink>
    </w:p>
    <w:p>
      <w:pPr>
        <w:pStyle w:val="toc2"/>
      </w:pPr>
      <w:hyperlink w:anchor="_Toc000125" w:history="1">
        <w:r>
          <w:t xml:space="preserve">8.1 Pipeline</w:t>
        </w:r>
        <w:r>
          <w:t xml:space="preserve">	</w:t>
        </w:r>
        <w:r>
          <w:t xml:space="preserve">12</w:t>
        </w:r>
      </w:hyperlink>
    </w:p>
    <w:p>
      <w:pPr>
        <w:pStyle w:val="toc2"/>
      </w:pPr>
      <w:hyperlink w:anchor="_Toc000126" w:history="1">
        <w:r>
          <w:t xml:space="preserve">8.2 Promotion through the environments</w:t>
        </w:r>
        <w:r>
          <w:t xml:space="preserve">	</w:t>
        </w:r>
        <w:r>
          <w:t xml:space="preserve">13</w:t>
        </w:r>
      </w:hyperlink>
    </w:p>
    <w:p>
      <w:pPr>
        <w:pStyle w:val="toc2"/>
      </w:pPr>
      <w:hyperlink w:anchor="_Toc000127" w:history="1">
        <w:r>
          <w:t xml:space="preserve">8.3 Release rules</w:t>
        </w:r>
        <w:r>
          <w:t xml:space="preserve">	</w:t>
        </w:r>
        <w:r>
          <w:t xml:space="preserve">13</w:t>
        </w:r>
      </w:hyperlink>
    </w:p>
    <w:p>
      <w:pPr>
        <w:pStyle w:val="toc1"/>
      </w:pPr>
      <w:hyperlink w:anchor="_Toc000128" w:history="1">
        <w:r>
          <w:t xml:space="preserve">9 Responsibilities</w:t>
        </w:r>
        <w:r>
          <w:t xml:space="preserve">	</w:t>
        </w:r>
        <w:r>
          <w:t xml:space="preserve">14</w:t>
        </w:r>
      </w:hyperlink>
    </w:p>
    <w:p>
      <w:pPr>
        <w:pStyle w:val="toc1"/>
      </w:pPr>
      <w:hyperlink w:anchor="_Toc000129" w:history="1">
        <w:r>
          <w:t xml:space="preserve">10 Decisions and open points for BDOI</w:t>
        </w:r>
        <w:r>
          <w:t xml:space="preserve">	</w:t>
        </w:r>
        <w:r>
          <w:t xml:space="preserve">14</w:t>
        </w:r>
      </w:hyperlink>
    </w:p>
    <w:p>
      <w:pPr>
        <w:pStyle w:val="toc1"/>
      </w:pPr>
      <w:hyperlink w:anchor="_Toc000130" w:history="1">
        <w:r>
          <w:t xml:space="preserve">Glossary</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how BIBS is packaged, deployed, configured, scaled and released on Amazon EKS, for BDO IT Cloud and Digital Operations Engineering, the network and security teams and the release team. It turns the application architecture of the Solution Architecture into the runtime components of each environment, and it sets the rules for promoting one release through SIT, UAT, Pre-Prod, production and DR. The infrastructure under the clusters (network zones, data services, sizing, backups, monitoring) is in the Infrastructure Architecture.</w:t>
      </w:r>
    </w:p>
    <w:p>
      <w:pPr>
        <w:pStyle w:val="Heading2"/>
      </w:pPr>
      <w:bookmarkStart w:id="103" w:name="_Toc000103"/>
      <w:r>
        <w:rPr/>
        <w:t>1.2 Scope</w:t>
      </w:r>
      <w:bookmarkEnd w:id="103"/>
    </w:p>
    <w:p>
      <w:r>
        <w:rPr/>
        <w:t>All environments of BIBS (DEV, SIT, UAT, Pre-Prod, PROD and DR), the two container images, the four workloads, the Kubernetes resources of the namespace bibs, the edge (Gateway API, AWS WAF, internal load balancer), configuration and secrets, and the release pipeline. The CI/CD toolchain itself is BDO's (IQ29); this document states what the pipeline must do.</w:t>
      </w:r>
    </w:p>
    <w:p>
      <w:pPr>
        <w:pStyle w:val="Heading2"/>
      </w:pPr>
      <w:bookmarkStart w:id="104" w:name="_Toc000104"/>
      <w:r>
        <w:rPr/>
        <w:t>1.3 Sources</w:t>
      </w:r>
      <w:bookmarkEnd w:id="104"/>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Application architecture option decision (confirmed 26-Sep-2026), sections 2 and 5</w:t>
            </w:r>
          </w:p>
        </w:tc>
        <w:tc>
          <w:tcPr>
            <w:tcW w:type="dxa" w:w="5439"/>
            <w:tcMar>
              <w:top w:w="50" w:type="dxa"/>
              <w:bottom w:w="50" w:type="dxa"/>
              <w:left w:w="90" w:type="dxa"/>
              <w:right w:w="90" w:type="dxa"/>
            </w:tcMar>
          </w:tcPr>
          <w:p>
            <w:pPr>
              <w:pStyle w:val="BDOITable"/>
            </w:pPr>
            <w:r>
              <w:rPr>
                <w:sz w:val="18"/>
              </w:rPr>
              <w:t>Workloads, edge, encryption in the cluster</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BIBS deployment guide, configuration reference and runbook</w:t>
            </w:r>
          </w:p>
        </w:tc>
        <w:tc>
          <w:tcPr>
            <w:tcW w:type="dxa" w:w="5439"/>
            <w:tcMar>
              <w:top w:w="50" w:type="dxa"/>
              <w:bottom w:w="50" w:type="dxa"/>
              <w:left w:w="90" w:type="dxa"/>
              <w:right w:w="90" w:type="dxa"/>
            </w:tcMar>
            <w:shd w:val="clear" w:color="auto" w:fill="E5F5FF"/>
          </w:tcPr>
          <w:p>
            <w:pPr>
              <w:pStyle w:val="BDOITable"/>
            </w:pPr>
            <w:r>
              <w:rPr>
                <w:sz w:val="18"/>
              </w:rPr>
              <w:t>Manifests, variables, probes, start-up safeguards, release rules</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Client decisions of 8-Oct-2026</w:t>
            </w:r>
          </w:p>
        </w:tc>
        <w:tc>
          <w:tcPr>
            <w:tcW w:type="dxa" w:w="5439"/>
            <w:tcMar>
              <w:top w:w="50" w:type="dxa"/>
              <w:bottom w:w="50" w:type="dxa"/>
              <w:left w:w="90" w:type="dxa"/>
              <w:right w:w="90" w:type="dxa"/>
            </w:tcMar>
          </w:tcPr>
          <w:p>
            <w:pPr>
              <w:pStyle w:val="BDOITable"/>
            </w:pPr>
            <w:r>
              <w:rPr>
                <w:sz w:val="18"/>
              </w:rPr>
              <w:t>Gateway API instead of ingress-nginx, Valkey instead of Redis, component baseline</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IER workbook v20 (Kubernetes sheets, HW and SW sheet, assumptions)</w:t>
            </w:r>
          </w:p>
        </w:tc>
        <w:tc>
          <w:tcPr>
            <w:tcW w:type="dxa" w:w="5439"/>
            <w:tcMar>
              <w:top w:w="50" w:type="dxa"/>
              <w:bottom w:w="50" w:type="dxa"/>
              <w:left w:w="90" w:type="dxa"/>
              <w:right w:w="90" w:type="dxa"/>
            </w:tcMar>
            <w:shd w:val="clear" w:color="auto" w:fill="E5F5FF"/>
          </w:tcPr>
          <w:p>
            <w:pPr>
              <w:pStyle w:val="BDOITable"/>
            </w:pPr>
            <w:r>
              <w:rPr>
                <w:sz w:val="18"/>
              </w:rPr>
              <w:t>Environments, operating hours, cluster add-ons, growth</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Quality gates and security controls</w:t>
            </w:r>
          </w:p>
        </w:tc>
        <w:tc>
          <w:tcPr>
            <w:tcW w:type="dxa" w:w="5439"/>
            <w:tcMar>
              <w:top w:w="50" w:type="dxa"/>
              <w:bottom w:w="50" w:type="dxa"/>
              <w:left w:w="90" w:type="dxa"/>
              <w:right w:w="90" w:type="dxa"/>
            </w:tcMar>
          </w:tcPr>
          <w:p>
            <w:pPr>
              <w:pStyle w:val="BDOITable"/>
            </w:pPr>
            <w:r>
              <w:rPr>
                <w:sz w:val="18"/>
              </w:rPr>
              <w:t>Pipeline stages and security gates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S6</w:t>
            </w:r>
          </w:p>
        </w:tc>
        <w:tc>
          <w:tcPr>
            <w:tcW w:type="dxa" w:w="3966"/>
            <w:tcMar>
              <w:top w:w="50" w:type="dxa"/>
              <w:bottom w:w="50" w:type="dxa"/>
              <w:left w:w="90" w:type="dxa"/>
              <w:right w:w="90" w:type="dxa"/>
            </w:tcMar>
            <w:shd w:val="clear" w:color="auto" w:fill="E5F5FF"/>
          </w:tcPr>
          <w:p>
            <w:pPr>
              <w:pStyle w:val="BDOITable"/>
            </w:pPr>
            <w:r>
              <w:rPr>
                <w:sz w:val="18"/>
              </w:rPr>
              <w:t>Programme Alignment pack v1.0 (timeline, IQ25 to IQ35)</w:t>
            </w:r>
          </w:p>
        </w:tc>
        <w:tc>
          <w:tcPr>
            <w:tcW w:type="dxa" w:w="5439"/>
            <w:tcMar>
              <w:top w:w="50" w:type="dxa"/>
              <w:bottom w:w="50" w:type="dxa"/>
              <w:left w:w="90" w:type="dxa"/>
              <w:right w:w="90" w:type="dxa"/>
            </w:tcMar>
            <w:shd w:val="clear" w:color="auto" w:fill="E5F5FF"/>
          </w:tcPr>
          <w:p>
            <w:pPr>
              <w:pStyle w:val="BDOITable"/>
            </w:pPr>
            <w:r>
              <w:rPr>
                <w:sz w:val="18"/>
              </w:rPr>
              <w:t>Environment dates, open questions</w:t>
            </w:r>
          </w:p>
        </w:tc>
      </w:tr>
    </w:tbl>
    <w:p>
      <w:pPr>
        <w:pStyle w:val="BDOISpacer"/>
      </w:pPr>
    </w:p>
    <w:p>
      <w:pPr>
        <w:pStyle w:val="Heading2"/>
      </w:pPr>
      <w:bookmarkStart w:id="105" w:name="_Toc000105"/>
      <w:r>
        <w:rPr/>
        <w:t>1.4 Conventions</w:t>
      </w:r>
      <w:bookmarkEnd w:id="105"/>
    </w:p>
    <w:p>
      <w:r>
        <w:rPr/>
        <w:t>Open points of this document are numbered DA-01 to DA-08 (chapter 10). Resource names are written as in the manifests (bibs-web, bibs-users). Times are Philippine time unless marked UTC.</w:t>
      </w:r>
    </w:p>
    <w:p>
      <w:pPr>
        <w:pStyle w:val="Heading1"/>
        <w:pBdr>
          <w:bottom w:val="single" w:sz="4" w:space="4" w:color="99C1E7"/>
        </w:pBdr>
      </w:pPr>
      <w:bookmarkStart w:id="106" w:name="_Toc000106"/>
      <w:r>
        <w:rPr/>
        <w:t>2 Deployment principles</w:t>
      </w:r>
      <w:bookmarkEnd w:id="106"/>
    </w:p>
    <w:p>
      <w:pPr>
        <w:pStyle w:val="Caption"/>
        <w:keepNext/>
        <w:spacing w:after="60"/>
      </w:pPr>
      <w:r>
        <w:rPr>
          <w:b/>
          <w:i w:val="0"/>
        </w:rPr>
        <w:t xml:space="preserve">Table 2: </w:t>
      </w:r>
      <w:r>
        <w:rPr/>
        <w:t>Deployment principles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2493"/>
        <w:gridCol w:w="6913"/>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Principle</w:t>
            </w:r>
          </w:p>
        </w:tc>
        <w:tc>
          <w:tcPr>
            <w:tcW w:type="dxa" w:w="6912"/>
            <w:shd w:val="clear" w:color="auto" w:fill="004EA8"/>
            <w:tcMar>
              <w:top w:w="50" w:type="dxa"/>
              <w:bottom w:w="50" w:type="dxa"/>
              <w:left w:w="90" w:type="dxa"/>
              <w:right w:w="90" w:type="dxa"/>
            </w:tcMar>
            <w:vAlign w:val="center"/>
          </w:tcPr>
          <w:p>
            <w:pPr>
              <w:pStyle w:val="BDOITableHeader"/>
            </w:pPr>
            <w:r>
              <w:rPr>
                <w:b/>
                <w:color w:val="FFFFFF"/>
                <w:sz w:val="17"/>
              </w:rPr>
              <w:t>Practice</w:t>
            </w:r>
          </w:p>
        </w:tc>
      </w:tr>
      <w:tr>
        <w:trPr>
          <w:cantSplit w:val="true"/>
        </w:trPr>
        <w:tc>
          <w:tcPr>
            <w:tcW w:type="dxa" w:w="567"/>
            <w:tcMar>
              <w:top w:w="50" w:type="dxa"/>
              <w:bottom w:w="50" w:type="dxa"/>
              <w:left w:w="90" w:type="dxa"/>
              <w:right w:w="90" w:type="dxa"/>
            </w:tcMar>
          </w:tcPr>
          <w:p>
            <w:pPr>
              <w:pStyle w:val="BDOITable"/>
            </w:pPr>
            <w:r>
              <w:rPr>
                <w:b/>
                <w:sz w:val="17"/>
              </w:rPr>
              <w:t>D1</w:t>
            </w:r>
          </w:p>
        </w:tc>
        <w:tc>
          <w:tcPr>
            <w:tcW w:type="dxa" w:w="2493"/>
            <w:tcMar>
              <w:top w:w="50" w:type="dxa"/>
              <w:bottom w:w="50" w:type="dxa"/>
              <w:left w:w="90" w:type="dxa"/>
              <w:right w:w="90" w:type="dxa"/>
            </w:tcMar>
          </w:tcPr>
          <w:p>
            <w:pPr>
              <w:pStyle w:val="BDOITable"/>
            </w:pPr>
            <w:r>
              <w:rPr>
                <w:sz w:val="17"/>
              </w:rPr>
              <w:t>Package once, promote by digest</w:t>
            </w:r>
          </w:p>
        </w:tc>
        <w:tc>
          <w:tcPr>
            <w:tcW w:type="dxa" w:w="6912"/>
            <w:tcMar>
              <w:top w:w="50" w:type="dxa"/>
              <w:bottom w:w="50" w:type="dxa"/>
              <w:left w:w="90" w:type="dxa"/>
              <w:right w:w="90" w:type="dxa"/>
            </w:tcMar>
          </w:tcPr>
          <w:p>
            <w:pPr>
              <w:pStyle w:val="BDOITable"/>
            </w:pPr>
            <w:r>
              <w:rPr>
                <w:sz w:val="17"/>
              </w:rPr>
              <w:t>The pipeline produces each image once per release; SIT, UAT, Pre-Prod, PROD and DR run the same image digest; only the environment overlay differs</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D2</w:t>
            </w:r>
          </w:p>
        </w:tc>
        <w:tc>
          <w:tcPr>
            <w:tcW w:type="dxa" w:w="2493"/>
            <w:tcMar>
              <w:top w:w="50" w:type="dxa"/>
              <w:bottom w:w="50" w:type="dxa"/>
              <w:left w:w="90" w:type="dxa"/>
              <w:right w:w="90" w:type="dxa"/>
            </w:tcMar>
            <w:shd w:val="clear" w:color="auto" w:fill="E5F5FF"/>
          </w:tcPr>
          <w:p>
            <w:pPr>
              <w:pStyle w:val="BDOITable"/>
            </w:pPr>
            <w:r>
              <w:rPr>
                <w:sz w:val="17"/>
              </w:rPr>
              <w:t>Everything declarative</w:t>
            </w:r>
          </w:p>
        </w:tc>
        <w:tc>
          <w:tcPr>
            <w:tcW w:type="dxa" w:w="6912"/>
            <w:tcMar>
              <w:top w:w="50" w:type="dxa"/>
              <w:bottom w:w="50" w:type="dxa"/>
              <w:left w:w="90" w:type="dxa"/>
              <w:right w:w="90" w:type="dxa"/>
            </w:tcMar>
            <w:shd w:val="clear" w:color="auto" w:fill="E5F5FF"/>
          </w:tcPr>
          <w:p>
            <w:pPr>
              <w:pStyle w:val="BDOITable"/>
            </w:pPr>
            <w:r>
              <w:rPr>
                <w:sz w:val="17"/>
              </w:rPr>
              <w:t>All Kubernetes resources come from Kustomize: one base and one overlay per environment; no manual change on a cluster survives the next apply</w:t>
            </w:r>
          </w:p>
        </w:tc>
      </w:tr>
      <w:tr>
        <w:trPr>
          <w:cantSplit w:val="true"/>
        </w:trPr>
        <w:tc>
          <w:tcPr>
            <w:tcW w:type="dxa" w:w="567"/>
            <w:tcMar>
              <w:top w:w="50" w:type="dxa"/>
              <w:bottom w:w="50" w:type="dxa"/>
              <w:left w:w="90" w:type="dxa"/>
              <w:right w:w="90" w:type="dxa"/>
            </w:tcMar>
          </w:tcPr>
          <w:p>
            <w:pPr>
              <w:pStyle w:val="BDOITable"/>
            </w:pPr>
            <w:r>
              <w:rPr>
                <w:b/>
                <w:sz w:val="17"/>
              </w:rPr>
              <w:t>D3</w:t>
            </w:r>
          </w:p>
        </w:tc>
        <w:tc>
          <w:tcPr>
            <w:tcW w:type="dxa" w:w="2493"/>
            <w:tcMar>
              <w:top w:w="50" w:type="dxa"/>
              <w:bottom w:w="50" w:type="dxa"/>
              <w:left w:w="90" w:type="dxa"/>
              <w:right w:w="90" w:type="dxa"/>
            </w:tcMar>
          </w:tcPr>
          <w:p>
            <w:pPr>
              <w:pStyle w:val="BDOITable"/>
            </w:pPr>
            <w:r>
              <w:rPr>
                <w:sz w:val="17"/>
              </w:rPr>
              <w:t>Immutable, minimal, scanned images</w:t>
            </w:r>
          </w:p>
        </w:tc>
        <w:tc>
          <w:tcPr>
            <w:tcW w:type="dxa" w:w="6912"/>
            <w:tcMar>
              <w:top w:w="50" w:type="dxa"/>
              <w:bottom w:w="50" w:type="dxa"/>
              <w:left w:w="90" w:type="dxa"/>
              <w:right w:w="90" w:type="dxa"/>
            </w:tcMar>
          </w:tcPr>
          <w:p>
            <w:pPr>
              <w:pStyle w:val="BDOITable"/>
            </w:pPr>
            <w:r>
              <w:rPr>
                <w:sz w:val="17"/>
              </w:rPr>
              <w:t>Pinned base images by digest; non-root users; read-only root file systems; Trivy scan and SBOM before push</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D4</w:t>
            </w:r>
          </w:p>
        </w:tc>
        <w:tc>
          <w:tcPr>
            <w:tcW w:type="dxa" w:w="2493"/>
            <w:tcMar>
              <w:top w:w="50" w:type="dxa"/>
              <w:bottom w:w="50" w:type="dxa"/>
              <w:left w:w="90" w:type="dxa"/>
              <w:right w:w="90" w:type="dxa"/>
            </w:tcMar>
            <w:shd w:val="clear" w:color="auto" w:fill="E5F5FF"/>
          </w:tcPr>
          <w:p>
            <w:pPr>
              <w:pStyle w:val="BDOITable"/>
            </w:pPr>
            <w:r>
              <w:rPr>
                <w:sz w:val="17"/>
              </w:rPr>
              <w:t>Zero-downtime changes</w:t>
            </w:r>
          </w:p>
        </w:tc>
        <w:tc>
          <w:tcPr>
            <w:tcW w:type="dxa" w:w="6912"/>
            <w:tcMar>
              <w:top w:w="50" w:type="dxa"/>
              <w:bottom w:w="50" w:type="dxa"/>
              <w:left w:w="90" w:type="dxa"/>
              <w:right w:w="90" w:type="dxa"/>
            </w:tcMar>
            <w:shd w:val="clear" w:color="auto" w:fill="E5F5FF"/>
          </w:tcPr>
          <w:p>
            <w:pPr>
              <w:pStyle w:val="BDOITable"/>
            </w:pPr>
            <w:r>
              <w:rPr>
                <w:sz w:val="17"/>
              </w:rPr>
              <w:t>Rolling updates with no unavailable pod, disruption budgets, a pre-stop pause, and schema changes that are backward compatible with the previous release</w:t>
            </w:r>
          </w:p>
        </w:tc>
      </w:tr>
      <w:tr>
        <w:trPr>
          <w:cantSplit w:val="true"/>
        </w:trPr>
        <w:tc>
          <w:tcPr>
            <w:tcW w:type="dxa" w:w="567"/>
            <w:tcMar>
              <w:top w:w="50" w:type="dxa"/>
              <w:bottom w:w="50" w:type="dxa"/>
              <w:left w:w="90" w:type="dxa"/>
              <w:right w:w="90" w:type="dxa"/>
            </w:tcMar>
          </w:tcPr>
          <w:p>
            <w:pPr>
              <w:pStyle w:val="BDOITable"/>
            </w:pPr>
            <w:r>
              <w:rPr>
                <w:b/>
                <w:sz w:val="17"/>
              </w:rPr>
              <w:t>D5</w:t>
            </w:r>
          </w:p>
        </w:tc>
        <w:tc>
          <w:tcPr>
            <w:tcW w:type="dxa" w:w="2493"/>
            <w:tcMar>
              <w:top w:w="50" w:type="dxa"/>
              <w:bottom w:w="50" w:type="dxa"/>
              <w:left w:w="90" w:type="dxa"/>
              <w:right w:w="90" w:type="dxa"/>
            </w:tcMar>
          </w:tcPr>
          <w:p>
            <w:pPr>
              <w:pStyle w:val="BDOITable"/>
            </w:pPr>
            <w:r>
              <w:rPr>
                <w:sz w:val="17"/>
              </w:rPr>
              <w:t>Least privilege</w:t>
            </w:r>
          </w:p>
        </w:tc>
        <w:tc>
          <w:tcPr>
            <w:tcW w:type="dxa" w:w="6912"/>
            <w:tcMar>
              <w:top w:w="50" w:type="dxa"/>
              <w:bottom w:w="50" w:type="dxa"/>
              <w:left w:w="90" w:type="dxa"/>
              <w:right w:w="90" w:type="dxa"/>
            </w:tcMar>
          </w:tcPr>
          <w:p>
            <w:pPr>
              <w:pStyle w:val="BDOITable"/>
            </w:pPr>
            <w:r>
              <w:rPr>
                <w:sz w:val="17"/>
              </w:rPr>
              <w:t>One service account and IAM role per workload; network policies deny by default; secrets only from AWS Secrets Manager</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D6</w:t>
            </w:r>
          </w:p>
        </w:tc>
        <w:tc>
          <w:tcPr>
            <w:tcW w:type="dxa" w:w="2493"/>
            <w:tcMar>
              <w:top w:w="50" w:type="dxa"/>
              <w:bottom w:w="50" w:type="dxa"/>
              <w:left w:w="90" w:type="dxa"/>
              <w:right w:w="90" w:type="dxa"/>
            </w:tcMar>
            <w:shd w:val="clear" w:color="auto" w:fill="E5F5FF"/>
          </w:tcPr>
          <w:p>
            <w:pPr>
              <w:pStyle w:val="BDOITable"/>
            </w:pPr>
            <w:r>
              <w:rPr>
                <w:sz w:val="17"/>
              </w:rPr>
              <w:t>Refuse unsafe starts</w:t>
            </w:r>
          </w:p>
        </w:tc>
        <w:tc>
          <w:tcPr>
            <w:tcW w:type="dxa" w:w="6912"/>
            <w:tcMar>
              <w:top w:w="50" w:type="dxa"/>
              <w:bottom w:w="50" w:type="dxa"/>
              <w:left w:w="90" w:type="dxa"/>
              <w:right w:w="90" w:type="dxa"/>
            </w:tcMar>
            <w:shd w:val="clear" w:color="auto" w:fill="E5F5FF"/>
          </w:tcPr>
          <w:p>
            <w:pPr>
              <w:pStyle w:val="BDOITable"/>
            </w:pPr>
            <w:r>
              <w:rPr>
                <w:sz w:val="17"/>
              </w:rPr>
              <w:t>The backend refuses to start with missing or development secrets, the seed profile in production or any plaintext connection</w:t>
            </w:r>
          </w:p>
        </w:tc>
      </w:tr>
    </w:tbl>
    <w:p>
      <w:pPr>
        <w:pStyle w:val="BDOISpacer"/>
      </w:pPr>
    </w:p>
    <w:p>
      <w:pPr>
        <w:pStyle w:val="Heading1"/>
        <w:pBdr>
          <w:bottom w:val="single" w:sz="4" w:space="4" w:color="99C1E7"/>
        </w:pBdr>
      </w:pPr>
      <w:bookmarkStart w:id="107" w:name="_Toc000107"/>
      <w:r>
        <w:rPr/>
        <w:t>3 Runtime components and containers</w:t>
      </w:r>
      <w:bookmarkEnd w:id="107"/>
    </w:p>
    <w:p>
      <w:pPr>
        <w:pStyle w:val="Heading2"/>
      </w:pPr>
      <w:bookmarkStart w:id="108" w:name="_Toc000108"/>
      <w:r>
        <w:rPr/>
        <w:t>3.1 Runtime view</w:t>
      </w:r>
      <w:bookmarkEnd w:id="108"/>
    </w:p>
    <w:p>
      <w:pPr>
        <w:keepNext/>
        <w:spacing w:before="80" w:after="0"/>
        <w:jc w:val="center"/>
      </w:pPr>
      <w:r>
        <w:drawing>
          <wp:inline xmlns:a="http://schemas.openxmlformats.org/drawingml/2006/main" xmlns:pic="http://schemas.openxmlformats.org/drawingml/2006/picture">
            <wp:extent cx="5580000" cy="2604359"/>
            <wp:docPr id="3" name="Picture 3"/>
            <wp:cNvGraphicFramePr>
              <a:graphicFrameLocks noChangeAspect="1"/>
            </wp:cNvGraphicFramePr>
            <a:graphic>
              <a:graphicData uri="http://schemas.openxmlformats.org/drawingml/2006/picture">
                <pic:pic>
                  <pic:nvPicPr>
                    <pic:cNvPr id="0" name="da_runtime_1037.jpg"/>
                    <pic:cNvPicPr/>
                  </pic:nvPicPr>
                  <pic:blipFill>
                    <a:blip r:embed="rId15"/>
                    <a:stretch>
                      <a:fillRect/>
                    </a:stretch>
                  </pic:blipFill>
                  <pic:spPr>
                    <a:xfrm>
                      <a:off x="0" y="0"/>
                      <a:ext cx="5580000" cy="2604359"/>
                    </a:xfrm>
                    <a:prstGeom prst="rect"/>
                  </pic:spPr>
                </pic:pic>
              </a:graphicData>
            </a:graphic>
          </wp:inline>
        </w:drawing>
      </w:r>
    </w:p>
    <w:p>
      <w:pPr>
        <w:pStyle w:val="Caption"/>
        <w:jc w:val="center"/>
      </w:pPr>
      <w:r>
        <w:rPr>
          <w:b/>
          <w:i w:val="0"/>
        </w:rPr>
        <w:t xml:space="preserve">Figure 1: </w:t>
      </w:r>
      <w:r>
        <w:rPr/>
        <w:t>Runtime components</w:t>
      </w:r>
    </w:p>
    <w:p>
      <w:pPr>
        <w:pStyle w:val="Heading2"/>
      </w:pPr>
      <w:bookmarkStart w:id="109" w:name="_Toc000109"/>
      <w:r>
        <w:rPr/>
        <w:t>3.2 Container images</w:t>
      </w:r>
      <w:bookmarkEnd w:id="109"/>
    </w:p>
    <w:p>
      <w:pPr>
        <w:pStyle w:val="Caption"/>
        <w:keepNext/>
        <w:spacing w:after="60"/>
      </w:pPr>
      <w:r>
        <w:rPr>
          <w:b/>
          <w:i w:val="0"/>
        </w:rPr>
        <w:t xml:space="preserve">Table 3: </w:t>
      </w:r>
      <w:r>
        <w:rPr/>
        <w:t>Container images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73"/>
        <w:gridCol w:w="2833"/>
        <w:gridCol w:w="2833"/>
        <w:gridCol w:w="2833"/>
      </w:tblGrid>
      <w:tr>
        <w:trPr>
          <w:tblHeader w:val="true"/>
          <w:cantSplit w:val="true"/>
        </w:trPr>
        <w:tc>
          <w:tcPr>
            <w:tcW w:type="dxa" w:w="1473"/>
            <w:shd w:val="clear" w:color="auto" w:fill="004EA8"/>
            <w:tcMar>
              <w:top w:w="50" w:type="dxa"/>
              <w:bottom w:w="50" w:type="dxa"/>
              <w:left w:w="90" w:type="dxa"/>
              <w:right w:w="90" w:type="dxa"/>
            </w:tcMar>
            <w:vAlign w:val="center"/>
          </w:tcPr>
          <w:p>
            <w:pPr>
              <w:pStyle w:val="BDOITableHeader"/>
            </w:pPr>
            <w:r>
              <w:rPr>
                <w:b/>
                <w:color w:val="FFFFFF"/>
                <w:sz w:val="17"/>
              </w:rPr>
              <w:t>Image</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Base and runtime</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Runs as</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Notes</w:t>
            </w:r>
          </w:p>
        </w:tc>
      </w:tr>
      <w:tr>
        <w:trPr>
          <w:cantSplit w:val="true"/>
        </w:trPr>
        <w:tc>
          <w:tcPr>
            <w:tcW w:type="dxa" w:w="1473"/>
            <w:tcMar>
              <w:top w:w="50" w:type="dxa"/>
              <w:bottom w:w="50" w:type="dxa"/>
              <w:left w:w="90" w:type="dxa"/>
              <w:right w:w="90" w:type="dxa"/>
            </w:tcMar>
          </w:tcPr>
          <w:p>
            <w:pPr>
              <w:pStyle w:val="BDOITable"/>
            </w:pPr>
            <w:r>
              <w:rPr>
                <w:b/>
                <w:sz w:val="17"/>
              </w:rPr>
              <w:t>bibs-backend</w:t>
            </w:r>
          </w:p>
        </w:tc>
        <w:tc>
          <w:tcPr>
            <w:tcW w:type="dxa" w:w="2833"/>
            <w:tcMar>
              <w:top w:w="50" w:type="dxa"/>
              <w:bottom w:w="50" w:type="dxa"/>
              <w:left w:w="90" w:type="dxa"/>
              <w:right w:w="90" w:type="dxa"/>
            </w:tcMar>
          </w:tcPr>
          <w:p>
            <w:pPr>
              <w:pStyle w:val="BDOITable"/>
            </w:pPr>
            <w:r>
              <w:rPr>
                <w:sz w:val="17"/>
              </w:rPr>
              <w:t>Eclipse Temurin 21 JRE on Alpine, pinned by digest; the Spring Boot application archive</w:t>
            </w:r>
          </w:p>
        </w:tc>
        <w:tc>
          <w:tcPr>
            <w:tcW w:type="dxa" w:w="2833"/>
            <w:tcMar>
              <w:top w:w="50" w:type="dxa"/>
              <w:bottom w:w="50" w:type="dxa"/>
              <w:left w:w="90" w:type="dxa"/>
              <w:right w:w="90" w:type="dxa"/>
            </w:tcMar>
          </w:tcPr>
          <w:p>
            <w:pPr>
              <w:pStyle w:val="BDOITable"/>
            </w:pPr>
            <w:r>
              <w:rPr>
                <w:sz w:val="17"/>
              </w:rPr>
              <w:t>User and group 10001, no shell login; JVM limited to 75 % of the container memory, exit on out-of-memory</w:t>
            </w:r>
          </w:p>
        </w:tc>
        <w:tc>
          <w:tcPr>
            <w:tcW w:type="dxa" w:w="2833"/>
            <w:tcMar>
              <w:top w:w="50" w:type="dxa"/>
              <w:bottom w:w="50" w:type="dxa"/>
              <w:left w:w="90" w:type="dxa"/>
              <w:right w:w="90" w:type="dxa"/>
            </w:tcMar>
          </w:tcPr>
          <w:p>
            <w:pPr>
              <w:pStyle w:val="BDOITable"/>
            </w:pPr>
            <w:r>
              <w:rPr>
                <w:sz w:val="17"/>
              </w:rPr>
              <w:t>Ports 8443 (HTTPS) and 9090 (management: health and Prometheus metrics). One image for the three backend workloads</w:t>
            </w:r>
          </w:p>
        </w:tc>
      </w:tr>
      <w:tr>
        <w:trPr>
          <w:cantSplit w:val="true"/>
        </w:trPr>
        <w:tc>
          <w:tcPr>
            <w:tcW w:type="dxa" w:w="1473"/>
            <w:tcMar>
              <w:top w:w="50" w:type="dxa"/>
              <w:bottom w:w="50" w:type="dxa"/>
              <w:left w:w="90" w:type="dxa"/>
              <w:right w:w="90" w:type="dxa"/>
            </w:tcMar>
            <w:shd w:val="clear" w:color="auto" w:fill="E5F5FF"/>
          </w:tcPr>
          <w:p>
            <w:pPr>
              <w:pStyle w:val="BDOITable"/>
            </w:pPr>
            <w:r>
              <w:rPr>
                <w:b/>
                <w:sz w:val="17"/>
              </w:rPr>
              <w:t>bibs-frontend</w:t>
            </w:r>
          </w:p>
        </w:tc>
        <w:tc>
          <w:tcPr>
            <w:tcW w:type="dxa" w:w="2833"/>
            <w:tcMar>
              <w:top w:w="50" w:type="dxa"/>
              <w:bottom w:w="50" w:type="dxa"/>
              <w:left w:w="90" w:type="dxa"/>
              <w:right w:w="90" w:type="dxa"/>
            </w:tcMar>
            <w:shd w:val="clear" w:color="auto" w:fill="E5F5FF"/>
          </w:tcPr>
          <w:p>
            <w:pPr>
              <w:pStyle w:val="BDOITable"/>
            </w:pPr>
            <w:r>
              <w:rPr>
                <w:sz w:val="17"/>
              </w:rPr>
              <w:t>nginx 1.30 unprivileged on Alpine, pinned by digest; the compiled React application with the BDOI theme pack</w:t>
            </w:r>
          </w:p>
        </w:tc>
        <w:tc>
          <w:tcPr>
            <w:tcW w:type="dxa" w:w="2833"/>
            <w:tcMar>
              <w:top w:w="50" w:type="dxa"/>
              <w:bottom w:w="50" w:type="dxa"/>
              <w:left w:w="90" w:type="dxa"/>
              <w:right w:w="90" w:type="dxa"/>
            </w:tcMar>
            <w:shd w:val="clear" w:color="auto" w:fill="E5F5FF"/>
          </w:tcPr>
          <w:p>
            <w:pPr>
              <w:pStyle w:val="BDOITable"/>
            </w:pPr>
            <w:r>
              <w:rPr>
                <w:sz w:val="17"/>
              </w:rPr>
              <w:t>nginx user 101</w:t>
            </w:r>
          </w:p>
        </w:tc>
        <w:tc>
          <w:tcPr>
            <w:tcW w:type="dxa" w:w="2833"/>
            <w:tcMar>
              <w:top w:w="50" w:type="dxa"/>
              <w:bottom w:w="50" w:type="dxa"/>
              <w:left w:w="90" w:type="dxa"/>
              <w:right w:w="90" w:type="dxa"/>
            </w:tcMar>
            <w:shd w:val="clear" w:color="auto" w:fill="E5F5FF"/>
          </w:tcPr>
          <w:p>
            <w:pPr>
              <w:pStyle w:val="BDOITable"/>
            </w:pPr>
            <w:r>
              <w:rPr>
                <w:sz w:val="17"/>
              </w:rPr>
              <w:t>Ports 8443 (TLS) in Kubernetes and 8080 for single-host stacks; security headers (CSP, HSTS, frame options, referrer policy)</w:t>
            </w:r>
          </w:p>
        </w:tc>
      </w:tr>
    </w:tbl>
    <w:p>
      <w:pPr>
        <w:pStyle w:val="BDOISpacer"/>
      </w:pPr>
    </w:p>
    <w:p>
      <w:pPr>
        <w:pStyle w:val="Heading2"/>
      </w:pPr>
      <w:bookmarkStart w:id="110" w:name="_Toc000110"/>
      <w:r>
        <w:rPr/>
        <w:t>3.3 Workloads</w:t>
      </w:r>
      <w:bookmarkEnd w:id="110"/>
    </w:p>
    <w:p>
      <w:pPr>
        <w:pStyle w:val="Caption"/>
        <w:keepNext/>
        <w:spacing w:after="60"/>
      </w:pPr>
      <w:r>
        <w:rPr>
          <w:b/>
          <w:i w:val="0"/>
        </w:rPr>
        <w:t xml:space="preserve">Table 4: </w:t>
      </w:r>
      <w:r>
        <w:rPr/>
        <w:t>Workloads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2"/>
        <w:gridCol w:w="1232"/>
        <w:gridCol w:w="896"/>
        <w:gridCol w:w="2353"/>
        <w:gridCol w:w="1008"/>
        <w:gridCol w:w="1008"/>
        <w:gridCol w:w="2241"/>
      </w:tblGrid>
      <w:tr>
        <w:trPr>
          <w:tblHeader w:val="true"/>
          <w:cantSplit w:val="true"/>
        </w:trPr>
        <w:tc>
          <w:tcPr>
            <w:tcW w:type="dxa" w:w="1232"/>
            <w:shd w:val="clear" w:color="auto" w:fill="004EA8"/>
            <w:tcMar>
              <w:top w:w="50" w:type="dxa"/>
              <w:bottom w:w="50" w:type="dxa"/>
              <w:left w:w="90" w:type="dxa"/>
              <w:right w:w="90" w:type="dxa"/>
            </w:tcMar>
            <w:vAlign w:val="center"/>
          </w:tcPr>
          <w:p>
            <w:pPr>
              <w:pStyle w:val="BDOITableHeader"/>
            </w:pPr>
            <w:r>
              <w:rPr>
                <w:b/>
                <w:color w:val="FFFFFF"/>
                <w:sz w:val="15"/>
              </w:rPr>
              <w:t>Workload</w:t>
            </w:r>
          </w:p>
        </w:tc>
        <w:tc>
          <w:tcPr>
            <w:tcW w:type="dxa" w:w="1232"/>
            <w:shd w:val="clear" w:color="auto" w:fill="004EA8"/>
            <w:tcMar>
              <w:top w:w="50" w:type="dxa"/>
              <w:bottom w:w="50" w:type="dxa"/>
              <w:left w:w="90" w:type="dxa"/>
              <w:right w:w="90" w:type="dxa"/>
            </w:tcMar>
            <w:vAlign w:val="center"/>
          </w:tcPr>
          <w:p>
            <w:pPr>
              <w:pStyle w:val="BDOITableHeader"/>
            </w:pPr>
            <w:r>
              <w:rPr>
                <w:b/>
                <w:color w:val="FFFFFF"/>
                <w:sz w:val="15"/>
              </w:rPr>
              <w:t>Image</w:t>
            </w:r>
          </w:p>
        </w:tc>
        <w:tc>
          <w:tcPr>
            <w:tcW w:type="dxa" w:w="896"/>
            <w:shd w:val="clear" w:color="auto" w:fill="004EA8"/>
            <w:tcMar>
              <w:top w:w="50" w:type="dxa"/>
              <w:bottom w:w="50" w:type="dxa"/>
              <w:left w:w="90" w:type="dxa"/>
              <w:right w:w="90" w:type="dxa"/>
            </w:tcMar>
            <w:vAlign w:val="center"/>
          </w:tcPr>
          <w:p>
            <w:pPr>
              <w:pStyle w:val="BDOITableHeader"/>
            </w:pPr>
            <w:r>
              <w:rPr>
                <w:b/>
                <w:color w:val="FFFFFF"/>
                <w:sz w:val="15"/>
              </w:rPr>
              <w:t>Runtime role</w:t>
            </w:r>
          </w:p>
        </w:tc>
        <w:tc>
          <w:tcPr>
            <w:tcW w:type="dxa" w:w="2353"/>
            <w:shd w:val="clear" w:color="auto" w:fill="004EA8"/>
            <w:tcMar>
              <w:top w:w="50" w:type="dxa"/>
              <w:bottom w:w="50" w:type="dxa"/>
              <w:left w:w="90" w:type="dxa"/>
              <w:right w:w="90" w:type="dxa"/>
            </w:tcMar>
            <w:vAlign w:val="center"/>
          </w:tcPr>
          <w:p>
            <w:pPr>
              <w:pStyle w:val="BDOITableHeader"/>
            </w:pPr>
            <w:r>
              <w:rPr>
                <w:b/>
                <w:color w:val="FFFFFF"/>
                <w:sz w:val="15"/>
              </w:rPr>
              <w:t>Serves</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5"/>
              </w:rPr>
              <w:t>Requests</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5"/>
              </w:rPr>
              <w:t>Limits</w:t>
            </w:r>
          </w:p>
        </w:tc>
        <w:tc>
          <w:tcPr>
            <w:tcW w:type="dxa" w:w="2241"/>
            <w:shd w:val="clear" w:color="auto" w:fill="004EA8"/>
            <w:tcMar>
              <w:top w:w="50" w:type="dxa"/>
              <w:bottom w:w="50" w:type="dxa"/>
              <w:left w:w="90" w:type="dxa"/>
              <w:right w:w="90" w:type="dxa"/>
            </w:tcMar>
            <w:vAlign w:val="center"/>
          </w:tcPr>
          <w:p>
            <w:pPr>
              <w:pStyle w:val="BDOITableHeader"/>
            </w:pPr>
            <w:r>
              <w:rPr>
                <w:b/>
                <w:color w:val="FFFFFF"/>
                <w:sz w:val="15"/>
              </w:rPr>
              <w:t>Scaling</w:t>
            </w:r>
          </w:p>
        </w:tc>
      </w:tr>
      <w:tr>
        <w:trPr>
          <w:cantSplit w:val="true"/>
        </w:trPr>
        <w:tc>
          <w:tcPr>
            <w:tcW w:type="dxa" w:w="1232"/>
            <w:tcMar>
              <w:top w:w="50" w:type="dxa"/>
              <w:bottom w:w="50" w:type="dxa"/>
              <w:left w:w="90" w:type="dxa"/>
              <w:right w:w="90" w:type="dxa"/>
            </w:tcMar>
          </w:tcPr>
          <w:p>
            <w:pPr>
              <w:pStyle w:val="BDOITable"/>
            </w:pPr>
            <w:r>
              <w:rPr>
                <w:b/>
                <w:sz w:val="15"/>
              </w:rPr>
              <w:t>bibs-web</w:t>
            </w:r>
          </w:p>
        </w:tc>
        <w:tc>
          <w:tcPr>
            <w:tcW w:type="dxa" w:w="1232"/>
            <w:tcMar>
              <w:top w:w="50" w:type="dxa"/>
              <w:bottom w:w="50" w:type="dxa"/>
              <w:left w:w="90" w:type="dxa"/>
              <w:right w:w="90" w:type="dxa"/>
            </w:tcMar>
          </w:tcPr>
          <w:p>
            <w:pPr>
              <w:pStyle w:val="BDOITable"/>
            </w:pPr>
            <w:r>
              <w:rPr>
                <w:sz w:val="15"/>
              </w:rPr>
              <w:t>bibs-backend</w:t>
            </w:r>
          </w:p>
        </w:tc>
        <w:tc>
          <w:tcPr>
            <w:tcW w:type="dxa" w:w="896"/>
            <w:tcMar>
              <w:top w:w="50" w:type="dxa"/>
              <w:bottom w:w="50" w:type="dxa"/>
              <w:left w:w="90" w:type="dxa"/>
              <w:right w:w="90" w:type="dxa"/>
            </w:tcMar>
          </w:tcPr>
          <w:p>
            <w:pPr>
              <w:pStyle w:val="BDOITable"/>
            </w:pPr>
            <w:r>
              <w:rPr>
                <w:sz w:val="15"/>
              </w:rPr>
              <w:t>web</w:t>
            </w:r>
          </w:p>
        </w:tc>
        <w:tc>
          <w:tcPr>
            <w:tcW w:type="dxa" w:w="2353"/>
            <w:tcMar>
              <w:top w:w="50" w:type="dxa"/>
              <w:bottom w:w="50" w:type="dxa"/>
              <w:left w:w="90" w:type="dxa"/>
              <w:right w:w="90" w:type="dxa"/>
            </w:tcMar>
          </w:tcPr>
          <w:p>
            <w:pPr>
              <w:pStyle w:val="BDOITable"/>
            </w:pPr>
            <w:r>
              <w:rPr>
                <w:sz w:val="15"/>
              </w:rPr>
              <w:t>Screens and user operations (prefix api)</w:t>
            </w:r>
          </w:p>
        </w:tc>
        <w:tc>
          <w:tcPr>
            <w:tcW w:type="dxa" w:w="1008"/>
            <w:tcMar>
              <w:top w:w="50" w:type="dxa"/>
              <w:bottom w:w="50" w:type="dxa"/>
              <w:left w:w="90" w:type="dxa"/>
              <w:right w:w="90" w:type="dxa"/>
            </w:tcMar>
          </w:tcPr>
          <w:p>
            <w:pPr>
              <w:pStyle w:val="BDOITable"/>
            </w:pPr>
            <w:r>
              <w:rPr>
                <w:sz w:val="15"/>
              </w:rPr>
              <w:t>1 CPU, 2 GiB</w:t>
            </w:r>
          </w:p>
        </w:tc>
        <w:tc>
          <w:tcPr>
            <w:tcW w:type="dxa" w:w="1008"/>
            <w:tcMar>
              <w:top w:w="50" w:type="dxa"/>
              <w:bottom w:w="50" w:type="dxa"/>
              <w:left w:w="90" w:type="dxa"/>
              <w:right w:w="90" w:type="dxa"/>
            </w:tcMar>
          </w:tcPr>
          <w:p>
            <w:pPr>
              <w:pStyle w:val="BDOITable"/>
            </w:pPr>
            <w:r>
              <w:rPr>
                <w:sz w:val="15"/>
              </w:rPr>
              <w:t>2 CPU, 3 GiB</w:t>
            </w:r>
          </w:p>
        </w:tc>
        <w:tc>
          <w:tcPr>
            <w:tcW w:type="dxa" w:w="2241"/>
            <w:tcMar>
              <w:top w:w="50" w:type="dxa"/>
              <w:bottom w:w="50" w:type="dxa"/>
              <w:left w:w="90" w:type="dxa"/>
              <w:right w:w="90" w:type="dxa"/>
            </w:tcMar>
          </w:tcPr>
          <w:p>
            <w:pPr>
              <w:pStyle w:val="BDOITable"/>
            </w:pPr>
            <w:r>
              <w:rPr>
                <w:sz w:val="15"/>
              </w:rPr>
              <w:t>Horizontal Pod Autoscaler on CPU 65 % and memory 80 %; pod disruption budget minimum 1; spread across zones</w:t>
            </w:r>
          </w:p>
        </w:tc>
      </w:tr>
      <w:tr>
        <w:trPr>
          <w:cantSplit w:val="true"/>
        </w:trPr>
        <w:tc>
          <w:tcPr>
            <w:tcW w:type="dxa" w:w="1232"/>
            <w:tcMar>
              <w:top w:w="50" w:type="dxa"/>
              <w:bottom w:w="50" w:type="dxa"/>
              <w:left w:w="90" w:type="dxa"/>
              <w:right w:w="90" w:type="dxa"/>
            </w:tcMar>
            <w:shd w:val="clear" w:color="auto" w:fill="E5F5FF"/>
          </w:tcPr>
          <w:p>
            <w:pPr>
              <w:pStyle w:val="BDOITable"/>
            </w:pPr>
            <w:r>
              <w:rPr>
                <w:b/>
                <w:sz w:val="15"/>
              </w:rPr>
              <w:t>bibs-jobs</w:t>
            </w:r>
          </w:p>
        </w:tc>
        <w:tc>
          <w:tcPr>
            <w:tcW w:type="dxa" w:w="1232"/>
            <w:tcMar>
              <w:top w:w="50" w:type="dxa"/>
              <w:bottom w:w="50" w:type="dxa"/>
              <w:left w:w="90" w:type="dxa"/>
              <w:right w:w="90" w:type="dxa"/>
            </w:tcMar>
            <w:shd w:val="clear" w:color="auto" w:fill="E5F5FF"/>
          </w:tcPr>
          <w:p>
            <w:pPr>
              <w:pStyle w:val="BDOITable"/>
            </w:pPr>
            <w:r>
              <w:rPr>
                <w:sz w:val="15"/>
              </w:rPr>
              <w:t>bibs-backend</w:t>
            </w:r>
          </w:p>
        </w:tc>
        <w:tc>
          <w:tcPr>
            <w:tcW w:type="dxa" w:w="896"/>
            <w:tcMar>
              <w:top w:w="50" w:type="dxa"/>
              <w:bottom w:w="50" w:type="dxa"/>
              <w:left w:w="90" w:type="dxa"/>
              <w:right w:w="90" w:type="dxa"/>
            </w:tcMar>
            <w:shd w:val="clear" w:color="auto" w:fill="E5F5FF"/>
          </w:tcPr>
          <w:p>
            <w:pPr>
              <w:pStyle w:val="BDOITable"/>
            </w:pPr>
            <w:r>
              <w:rPr>
                <w:sz w:val="15"/>
              </w:rPr>
              <w:t>jobs</w:t>
            </w:r>
          </w:p>
        </w:tc>
        <w:tc>
          <w:tcPr>
            <w:tcW w:type="dxa" w:w="2353"/>
            <w:tcMar>
              <w:top w:w="50" w:type="dxa"/>
              <w:bottom w:w="50" w:type="dxa"/>
              <w:left w:w="90" w:type="dxa"/>
              <w:right w:w="90" w:type="dxa"/>
            </w:tcMar>
            <w:shd w:val="clear" w:color="auto" w:fill="E5F5FF"/>
          </w:tcPr>
          <w:p>
            <w:pPr>
              <w:pStyle w:val="BDOITable"/>
            </w:pPr>
            <w:r>
              <w:rPr>
                <w:sz w:val="15"/>
              </w:rPr>
              <w:t>Scheduled and batch jobs; HTTP limited to the probes and metrics</w:t>
            </w:r>
          </w:p>
        </w:tc>
        <w:tc>
          <w:tcPr>
            <w:tcW w:type="dxa" w:w="1008"/>
            <w:tcMar>
              <w:top w:w="50" w:type="dxa"/>
              <w:bottom w:w="50" w:type="dxa"/>
              <w:left w:w="90" w:type="dxa"/>
              <w:right w:w="90" w:type="dxa"/>
            </w:tcMar>
            <w:shd w:val="clear" w:color="auto" w:fill="E5F5FF"/>
          </w:tcPr>
          <w:p>
            <w:pPr>
              <w:pStyle w:val="BDOITable"/>
            </w:pPr>
            <w:r>
              <w:rPr>
                <w:sz w:val="15"/>
              </w:rPr>
              <w:t>1 CPU, 3 GiB</w:t>
            </w:r>
          </w:p>
        </w:tc>
        <w:tc>
          <w:tcPr>
            <w:tcW w:type="dxa" w:w="1008"/>
            <w:tcMar>
              <w:top w:w="50" w:type="dxa"/>
              <w:bottom w:w="50" w:type="dxa"/>
              <w:left w:w="90" w:type="dxa"/>
              <w:right w:w="90" w:type="dxa"/>
            </w:tcMar>
            <w:shd w:val="clear" w:color="auto" w:fill="E5F5FF"/>
          </w:tcPr>
          <w:p>
            <w:pPr>
              <w:pStyle w:val="BDOITable"/>
            </w:pPr>
            <w:r>
              <w:rPr>
                <w:sz w:val="15"/>
              </w:rPr>
              <w:t>2 CPU, 4 GiB</w:t>
            </w:r>
          </w:p>
        </w:tc>
        <w:tc>
          <w:tcPr>
            <w:tcW w:type="dxa" w:w="2241"/>
            <w:tcMar>
              <w:top w:w="50" w:type="dxa"/>
              <w:bottom w:w="50" w:type="dxa"/>
              <w:left w:w="90" w:type="dxa"/>
              <w:right w:w="90" w:type="dxa"/>
            </w:tcMar>
            <w:shd w:val="clear" w:color="auto" w:fill="E5F5FF"/>
          </w:tcPr>
          <w:p>
            <w:pPr>
              <w:pStyle w:val="BDOITable"/>
            </w:pPr>
            <w:r>
              <w:rPr>
                <w:sz w:val="15"/>
              </w:rPr>
              <w:t>Fixed replicas; the Valkey job lock runs each job once; 120-second grace period</w:t>
            </w:r>
          </w:p>
        </w:tc>
      </w:tr>
      <w:tr>
        <w:trPr>
          <w:cantSplit w:val="true"/>
        </w:trPr>
        <w:tc>
          <w:tcPr>
            <w:tcW w:type="dxa" w:w="1232"/>
            <w:tcMar>
              <w:top w:w="50" w:type="dxa"/>
              <w:bottom w:w="50" w:type="dxa"/>
              <w:left w:w="90" w:type="dxa"/>
              <w:right w:w="90" w:type="dxa"/>
            </w:tcMar>
          </w:tcPr>
          <w:p>
            <w:pPr>
              <w:pStyle w:val="BDOITable"/>
            </w:pPr>
            <w:r>
              <w:rPr>
                <w:b/>
                <w:sz w:val="15"/>
              </w:rPr>
              <w:t>bibs-integration</w:t>
            </w:r>
          </w:p>
        </w:tc>
        <w:tc>
          <w:tcPr>
            <w:tcW w:type="dxa" w:w="1232"/>
            <w:tcMar>
              <w:top w:w="50" w:type="dxa"/>
              <w:bottom w:w="50" w:type="dxa"/>
              <w:left w:w="90" w:type="dxa"/>
              <w:right w:w="90" w:type="dxa"/>
            </w:tcMar>
          </w:tcPr>
          <w:p>
            <w:pPr>
              <w:pStyle w:val="BDOITable"/>
            </w:pPr>
            <w:r>
              <w:rPr>
                <w:sz w:val="15"/>
              </w:rPr>
              <w:t>bibs-backend</w:t>
            </w:r>
          </w:p>
        </w:tc>
        <w:tc>
          <w:tcPr>
            <w:tcW w:type="dxa" w:w="896"/>
            <w:tcMar>
              <w:top w:w="50" w:type="dxa"/>
              <w:bottom w:w="50" w:type="dxa"/>
              <w:left w:w="90" w:type="dxa"/>
              <w:right w:w="90" w:type="dxa"/>
            </w:tcMar>
          </w:tcPr>
          <w:p>
            <w:pPr>
              <w:pStyle w:val="BDOITable"/>
            </w:pPr>
            <w:r>
              <w:rPr>
                <w:sz w:val="15"/>
              </w:rPr>
              <w:t>integration</w:t>
            </w:r>
          </w:p>
        </w:tc>
        <w:tc>
          <w:tcPr>
            <w:tcW w:type="dxa" w:w="2353"/>
            <w:tcMar>
              <w:top w:w="50" w:type="dxa"/>
              <w:bottom w:w="50" w:type="dxa"/>
              <w:left w:w="90" w:type="dxa"/>
              <w:right w:w="90" w:type="dxa"/>
            </w:tcMar>
          </w:tcPr>
          <w:p>
            <w:pPr>
              <w:pStyle w:val="BDOITable"/>
            </w:pPr>
            <w:r>
              <w:rPr>
                <w:sz w:val="15"/>
              </w:rPr>
              <w:t>Outbox relay, Kafka consumers, inbound files, system integration operations (prefix integration)</w:t>
            </w:r>
          </w:p>
        </w:tc>
        <w:tc>
          <w:tcPr>
            <w:tcW w:type="dxa" w:w="1008"/>
            <w:tcMar>
              <w:top w:w="50" w:type="dxa"/>
              <w:bottom w:w="50" w:type="dxa"/>
              <w:left w:w="90" w:type="dxa"/>
              <w:right w:w="90" w:type="dxa"/>
            </w:tcMar>
          </w:tcPr>
          <w:p>
            <w:pPr>
              <w:pStyle w:val="BDOITable"/>
            </w:pPr>
            <w:r>
              <w:rPr>
                <w:sz w:val="15"/>
              </w:rPr>
              <w:t>0.5 CPU, 1.5 GiB</w:t>
            </w:r>
          </w:p>
        </w:tc>
        <w:tc>
          <w:tcPr>
            <w:tcW w:type="dxa" w:w="1008"/>
            <w:tcMar>
              <w:top w:w="50" w:type="dxa"/>
              <w:bottom w:w="50" w:type="dxa"/>
              <w:left w:w="90" w:type="dxa"/>
              <w:right w:w="90" w:type="dxa"/>
            </w:tcMar>
          </w:tcPr>
          <w:p>
            <w:pPr>
              <w:pStyle w:val="BDOITable"/>
            </w:pPr>
            <w:r>
              <w:rPr>
                <w:sz w:val="15"/>
              </w:rPr>
              <w:t>2 CPU, 2 GiB</w:t>
            </w:r>
          </w:p>
        </w:tc>
        <w:tc>
          <w:tcPr>
            <w:tcW w:type="dxa" w:w="2241"/>
            <w:tcMar>
              <w:top w:w="50" w:type="dxa"/>
              <w:bottom w:w="50" w:type="dxa"/>
              <w:left w:w="90" w:type="dxa"/>
              <w:right w:w="90" w:type="dxa"/>
            </w:tcMar>
          </w:tcPr>
          <w:p>
            <w:pPr>
              <w:pStyle w:val="BDOITable"/>
            </w:pPr>
            <w:r>
              <w:rPr>
                <w:sz w:val="15"/>
              </w:rPr>
              <w:t>Fixed replicas; consumers share their consumer groups; spread across zones</w:t>
            </w:r>
          </w:p>
        </w:tc>
      </w:tr>
      <w:tr>
        <w:trPr>
          <w:cantSplit w:val="true"/>
        </w:trPr>
        <w:tc>
          <w:tcPr>
            <w:tcW w:type="dxa" w:w="1232"/>
            <w:tcMar>
              <w:top w:w="50" w:type="dxa"/>
              <w:bottom w:w="50" w:type="dxa"/>
              <w:left w:w="90" w:type="dxa"/>
              <w:right w:w="90" w:type="dxa"/>
            </w:tcMar>
            <w:shd w:val="clear" w:color="auto" w:fill="E5F5FF"/>
          </w:tcPr>
          <w:p>
            <w:pPr>
              <w:pStyle w:val="BDOITable"/>
            </w:pPr>
            <w:r>
              <w:rPr>
                <w:b/>
                <w:sz w:val="15"/>
              </w:rPr>
              <w:t>bibs-frontend</w:t>
            </w:r>
          </w:p>
        </w:tc>
        <w:tc>
          <w:tcPr>
            <w:tcW w:type="dxa" w:w="1232"/>
            <w:tcMar>
              <w:top w:w="50" w:type="dxa"/>
              <w:bottom w:w="50" w:type="dxa"/>
              <w:left w:w="90" w:type="dxa"/>
              <w:right w:w="90" w:type="dxa"/>
            </w:tcMar>
            <w:shd w:val="clear" w:color="auto" w:fill="E5F5FF"/>
          </w:tcPr>
          <w:p>
            <w:pPr>
              <w:pStyle w:val="BDOITable"/>
            </w:pPr>
            <w:r>
              <w:rPr>
                <w:sz w:val="15"/>
              </w:rPr>
              <w:t>bibs-frontend</w:t>
            </w:r>
          </w:p>
        </w:tc>
        <w:tc>
          <w:tcPr>
            <w:tcW w:type="dxa" w:w="896"/>
            <w:tcMar>
              <w:top w:w="50" w:type="dxa"/>
              <w:bottom w:w="50" w:type="dxa"/>
              <w:left w:w="90" w:type="dxa"/>
              <w:right w:w="90" w:type="dxa"/>
            </w:tcMar>
            <w:shd w:val="clear" w:color="auto" w:fill="E5F5FF"/>
          </w:tcPr>
          <w:p>
            <w:pPr>
              <w:pStyle w:val="BDOITable"/>
            </w:pPr>
            <w:r>
              <w:rPr>
                <w:sz w:val="15"/>
              </w:rPr>
              <w:t>-</w:t>
            </w:r>
          </w:p>
        </w:tc>
        <w:tc>
          <w:tcPr>
            <w:tcW w:type="dxa" w:w="2353"/>
            <w:tcMar>
              <w:top w:w="50" w:type="dxa"/>
              <w:bottom w:w="50" w:type="dxa"/>
              <w:left w:w="90" w:type="dxa"/>
              <w:right w:w="90" w:type="dxa"/>
            </w:tcMar>
            <w:shd w:val="clear" w:color="auto" w:fill="E5F5FF"/>
          </w:tcPr>
          <w:p>
            <w:pPr>
              <w:pStyle w:val="BDOITable"/>
            </w:pPr>
            <w:r>
              <w:rPr>
                <w:sz w:val="15"/>
              </w:rPr>
              <w:t>nginx serving the React single-page application over TLS</w:t>
            </w:r>
          </w:p>
        </w:tc>
        <w:tc>
          <w:tcPr>
            <w:tcW w:type="dxa" w:w="1008"/>
            <w:tcMar>
              <w:top w:w="50" w:type="dxa"/>
              <w:bottom w:w="50" w:type="dxa"/>
              <w:left w:w="90" w:type="dxa"/>
              <w:right w:w="90" w:type="dxa"/>
            </w:tcMar>
            <w:shd w:val="clear" w:color="auto" w:fill="E5F5FF"/>
          </w:tcPr>
          <w:p>
            <w:pPr>
              <w:pStyle w:val="BDOITable"/>
            </w:pPr>
            <w:r>
              <w:rPr>
                <w:sz w:val="15"/>
              </w:rPr>
              <w:t>0.05 CPU, 64 MiB</w:t>
            </w:r>
          </w:p>
        </w:tc>
        <w:tc>
          <w:tcPr>
            <w:tcW w:type="dxa" w:w="1008"/>
            <w:tcMar>
              <w:top w:w="50" w:type="dxa"/>
              <w:bottom w:w="50" w:type="dxa"/>
              <w:left w:w="90" w:type="dxa"/>
              <w:right w:w="90" w:type="dxa"/>
            </w:tcMar>
            <w:shd w:val="clear" w:color="auto" w:fill="E5F5FF"/>
          </w:tcPr>
          <w:p>
            <w:pPr>
              <w:pStyle w:val="BDOITable"/>
            </w:pPr>
            <w:r>
              <w:rPr>
                <w:sz w:val="15"/>
              </w:rPr>
              <w:t>0.5 CPU, 256 MiB</w:t>
            </w:r>
          </w:p>
        </w:tc>
        <w:tc>
          <w:tcPr>
            <w:tcW w:type="dxa" w:w="2241"/>
            <w:tcMar>
              <w:top w:w="50" w:type="dxa"/>
              <w:bottom w:w="50" w:type="dxa"/>
              <w:left w:w="90" w:type="dxa"/>
              <w:right w:w="90" w:type="dxa"/>
            </w:tcMar>
            <w:shd w:val="clear" w:color="auto" w:fill="E5F5FF"/>
          </w:tcPr>
          <w:p>
            <w:pPr>
              <w:pStyle w:val="BDOITable"/>
            </w:pPr>
            <w:r>
              <w:rPr>
                <w:sz w:val="15"/>
              </w:rPr>
              <w:t>Horizontal Pod Autoscaler on CPU 70 %; spread across zones</w:t>
            </w:r>
          </w:p>
        </w:tc>
      </w:tr>
    </w:tbl>
    <w:p>
      <w:pPr>
        <w:pStyle w:val="BDOISpacer"/>
      </w:pPr>
    </w:p>
    <w:p>
      <w:r>
        <w:rPr/>
        <w:t>All pods serve HTTPS on 8443 with startup, readiness and liveness probes over HTTPS (livez and readyz on the backend, healthz on the frontend), run as non-root users with a read-only root file system, no Linux capabilities, no privilege escalation and the RuntimeDefault seccomp profile; the namespace enforces the restricted Pod Security level. Writable paths are emptyDir volumes (temporary files of the backend, up to 4 GiB for report and extraction files on bibs-jobs). Every container declares CPU, memory and ephemeral-storage requests and limits; a LimitRange bounds any other container of the namespace.</w:t>
      </w:r>
    </w:p>
    <w:p>
      <w:pPr>
        <w:pStyle w:val="Caption"/>
        <w:keepNext/>
        <w:spacing w:after="60"/>
      </w:pPr>
      <w:r>
        <w:rPr>
          <w:b/>
          <w:i w:val="0"/>
        </w:rPr>
        <w:t xml:space="preserve">Table 5: </w:t>
      </w:r>
      <w:r>
        <w:rPr/>
        <w:t>Probes and shutdown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1813"/>
        <w:gridCol w:w="1813"/>
        <w:gridCol w:w="1813"/>
        <w:gridCol w:w="283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7"/>
              </w:rPr>
              <w:t>Workload</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7"/>
              </w:rPr>
              <w:t>Startup</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7"/>
              </w:rPr>
              <w:t>Readiness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7"/>
              </w:rPr>
              <w:t>Liveness</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Shutdown</w:t>
            </w:r>
          </w:p>
        </w:tc>
      </w:tr>
      <w:tr>
        <w:trPr>
          <w:cantSplit w:val="true"/>
        </w:trPr>
        <w:tc>
          <w:tcPr>
            <w:tcW w:type="dxa" w:w="1700"/>
            <w:tcMar>
              <w:top w:w="50" w:type="dxa"/>
              <w:bottom w:w="50" w:type="dxa"/>
              <w:left w:w="90" w:type="dxa"/>
              <w:right w:w="90" w:type="dxa"/>
            </w:tcMar>
          </w:tcPr>
          <w:p>
            <w:pPr>
              <w:pStyle w:val="BDOITable"/>
            </w:pPr>
            <w:r>
              <w:rPr>
                <w:b/>
                <w:sz w:val="17"/>
              </w:rPr>
              <w:t>bibs-web</w:t>
            </w:r>
          </w:p>
        </w:tc>
        <w:tc>
          <w:tcPr>
            <w:tcW w:type="dxa" w:w="1813"/>
            <w:tcMar>
              <w:top w:w="50" w:type="dxa"/>
              <w:bottom w:w="50" w:type="dxa"/>
              <w:left w:w="90" w:type="dxa"/>
              <w:right w:w="90" w:type="dxa"/>
            </w:tcMar>
          </w:tcPr>
          <w:p>
            <w:pPr>
              <w:pStyle w:val="BDOITable"/>
            </w:pPr>
            <w:r>
              <w:rPr>
                <w:sz w:val="17"/>
              </w:rPr>
              <w:t>livez every 10 s, up to 30 failures (5 minutes for schema migration)</w:t>
            </w:r>
          </w:p>
        </w:tc>
        <w:tc>
          <w:tcPr>
            <w:tcW w:type="dxa" w:w="1813"/>
            <w:tcMar>
              <w:top w:w="50" w:type="dxa"/>
              <w:bottom w:w="50" w:type="dxa"/>
              <w:left w:w="90" w:type="dxa"/>
              <w:right w:w="90" w:type="dxa"/>
            </w:tcMar>
          </w:tcPr>
          <w:p>
            <w:pPr>
              <w:pStyle w:val="BDOITable"/>
            </w:pPr>
            <w:r>
              <w:rPr>
                <w:sz w:val="17"/>
              </w:rPr>
              <w:t>readyz every 10 s, 3 failures</w:t>
            </w:r>
          </w:p>
        </w:tc>
        <w:tc>
          <w:tcPr>
            <w:tcW w:type="dxa" w:w="1813"/>
            <w:tcMar>
              <w:top w:w="50" w:type="dxa"/>
              <w:bottom w:w="50" w:type="dxa"/>
              <w:left w:w="90" w:type="dxa"/>
              <w:right w:w="90" w:type="dxa"/>
            </w:tcMar>
          </w:tcPr>
          <w:p>
            <w:pPr>
              <w:pStyle w:val="BDOITable"/>
            </w:pPr>
            <w:r>
              <w:rPr>
                <w:sz w:val="17"/>
              </w:rPr>
              <w:t>livez every 20 s, 3 failures</w:t>
            </w:r>
          </w:p>
        </w:tc>
        <w:tc>
          <w:tcPr>
            <w:tcW w:type="dxa" w:w="2833"/>
            <w:tcMar>
              <w:top w:w="50" w:type="dxa"/>
              <w:bottom w:w="50" w:type="dxa"/>
              <w:left w:w="90" w:type="dxa"/>
              <w:right w:w="90" w:type="dxa"/>
            </w:tcMar>
          </w:tcPr>
          <w:p>
            <w:pPr>
              <w:pStyle w:val="BDOITable"/>
            </w:pPr>
            <w:r>
              <w:rPr>
                <w:sz w:val="17"/>
              </w:rPr>
              <w:t>Pre-stop pause 15 s so the load balancer deregisters the pod; 45 s grace</w:t>
            </w:r>
          </w:p>
        </w:tc>
      </w:tr>
      <w:tr>
        <w:trPr>
          <w:cantSplit w:val="true"/>
        </w:trPr>
        <w:tc>
          <w:tcPr>
            <w:tcW w:type="dxa" w:w="1700"/>
            <w:tcMar>
              <w:top w:w="50" w:type="dxa"/>
              <w:bottom w:w="50" w:type="dxa"/>
              <w:left w:w="90" w:type="dxa"/>
              <w:right w:w="90" w:type="dxa"/>
            </w:tcMar>
            <w:shd w:val="clear" w:color="auto" w:fill="E5F5FF"/>
          </w:tcPr>
          <w:p>
            <w:pPr>
              <w:pStyle w:val="BDOITable"/>
            </w:pPr>
            <w:r>
              <w:rPr>
                <w:b/>
                <w:sz w:val="17"/>
              </w:rPr>
              <w:t>bibs-jobs</w:t>
            </w:r>
          </w:p>
        </w:tc>
        <w:tc>
          <w:tcPr>
            <w:tcW w:type="dxa" w:w="1813"/>
            <w:tcMar>
              <w:top w:w="50" w:type="dxa"/>
              <w:bottom w:w="50" w:type="dxa"/>
              <w:left w:w="90" w:type="dxa"/>
              <w:right w:w="90" w:type="dxa"/>
            </w:tcMar>
            <w:shd w:val="clear" w:color="auto" w:fill="E5F5FF"/>
          </w:tcPr>
          <w:p>
            <w:pPr>
              <w:pStyle w:val="BDOITable"/>
            </w:pPr>
            <w:r>
              <w:rPr>
                <w:sz w:val="17"/>
              </w:rPr>
              <w:t>as bibs-web</w:t>
            </w:r>
          </w:p>
        </w:tc>
        <w:tc>
          <w:tcPr>
            <w:tcW w:type="dxa" w:w="1813"/>
            <w:tcMar>
              <w:top w:w="50" w:type="dxa"/>
              <w:bottom w:w="50" w:type="dxa"/>
              <w:left w:w="90" w:type="dxa"/>
              <w:right w:w="90" w:type="dxa"/>
            </w:tcMar>
            <w:shd w:val="clear" w:color="auto" w:fill="E5F5FF"/>
          </w:tcPr>
          <w:p>
            <w:pPr>
              <w:pStyle w:val="BDOITable"/>
            </w:pPr>
            <w:r>
              <w:rPr>
                <w:sz w:val="17"/>
              </w:rPr>
              <w:t>readyz every 15 s</w:t>
            </w:r>
          </w:p>
        </w:tc>
        <w:tc>
          <w:tcPr>
            <w:tcW w:type="dxa" w:w="1813"/>
            <w:tcMar>
              <w:top w:w="50" w:type="dxa"/>
              <w:bottom w:w="50" w:type="dxa"/>
              <w:left w:w="90" w:type="dxa"/>
              <w:right w:w="90" w:type="dxa"/>
            </w:tcMar>
            <w:shd w:val="clear" w:color="auto" w:fill="E5F5FF"/>
          </w:tcPr>
          <w:p>
            <w:pPr>
              <w:pStyle w:val="BDOITable"/>
            </w:pPr>
            <w:r>
              <w:rPr>
                <w:sz w:val="17"/>
              </w:rPr>
              <w:t>livez every 30 s, 4 failures</w:t>
            </w:r>
          </w:p>
        </w:tc>
        <w:tc>
          <w:tcPr>
            <w:tcW w:type="dxa" w:w="2833"/>
            <w:tcMar>
              <w:top w:w="50" w:type="dxa"/>
              <w:bottom w:w="50" w:type="dxa"/>
              <w:left w:w="90" w:type="dxa"/>
              <w:right w:w="90" w:type="dxa"/>
            </w:tcMar>
            <w:shd w:val="clear" w:color="auto" w:fill="E5F5FF"/>
          </w:tcPr>
          <w:p>
            <w:pPr>
              <w:pStyle w:val="BDOITable"/>
            </w:pPr>
            <w:r>
              <w:rPr>
                <w:sz w:val="17"/>
              </w:rPr>
              <w:t>120 s grace: a running job finishes its unit of work; an interrupted job runs again on its next schedule</w:t>
            </w:r>
          </w:p>
        </w:tc>
      </w:tr>
      <w:tr>
        <w:trPr>
          <w:cantSplit w:val="true"/>
        </w:trPr>
        <w:tc>
          <w:tcPr>
            <w:tcW w:type="dxa" w:w="1700"/>
            <w:tcMar>
              <w:top w:w="50" w:type="dxa"/>
              <w:bottom w:w="50" w:type="dxa"/>
              <w:left w:w="90" w:type="dxa"/>
              <w:right w:w="90" w:type="dxa"/>
            </w:tcMar>
          </w:tcPr>
          <w:p>
            <w:pPr>
              <w:pStyle w:val="BDOITable"/>
            </w:pPr>
            <w:r>
              <w:rPr>
                <w:b/>
                <w:sz w:val="17"/>
              </w:rPr>
              <w:t>bibs-integration</w:t>
            </w:r>
          </w:p>
        </w:tc>
        <w:tc>
          <w:tcPr>
            <w:tcW w:type="dxa" w:w="1813"/>
            <w:tcMar>
              <w:top w:w="50" w:type="dxa"/>
              <w:bottom w:w="50" w:type="dxa"/>
              <w:left w:w="90" w:type="dxa"/>
              <w:right w:w="90" w:type="dxa"/>
            </w:tcMar>
          </w:tcPr>
          <w:p>
            <w:pPr>
              <w:pStyle w:val="BDOITable"/>
            </w:pPr>
            <w:r>
              <w:rPr>
                <w:sz w:val="17"/>
              </w:rPr>
              <w:t>as bibs-web</w:t>
            </w:r>
          </w:p>
        </w:tc>
        <w:tc>
          <w:tcPr>
            <w:tcW w:type="dxa" w:w="1813"/>
            <w:tcMar>
              <w:top w:w="50" w:type="dxa"/>
              <w:bottom w:w="50" w:type="dxa"/>
              <w:left w:w="90" w:type="dxa"/>
              <w:right w:w="90" w:type="dxa"/>
            </w:tcMar>
          </w:tcPr>
          <w:p>
            <w:pPr>
              <w:pStyle w:val="BDOITable"/>
            </w:pPr>
            <w:r>
              <w:rPr>
                <w:sz w:val="17"/>
              </w:rPr>
              <w:t>readyz every 10 s, 3 failures</w:t>
            </w:r>
          </w:p>
        </w:tc>
        <w:tc>
          <w:tcPr>
            <w:tcW w:type="dxa" w:w="1813"/>
            <w:tcMar>
              <w:top w:w="50" w:type="dxa"/>
              <w:bottom w:w="50" w:type="dxa"/>
              <w:left w:w="90" w:type="dxa"/>
              <w:right w:w="90" w:type="dxa"/>
            </w:tcMar>
          </w:tcPr>
          <w:p>
            <w:pPr>
              <w:pStyle w:val="BDOITable"/>
            </w:pPr>
            <w:r>
              <w:rPr>
                <w:sz w:val="17"/>
              </w:rPr>
              <w:t>livez every 20 s, 3 failures</w:t>
            </w:r>
          </w:p>
        </w:tc>
        <w:tc>
          <w:tcPr>
            <w:tcW w:type="dxa" w:w="2833"/>
            <w:tcMar>
              <w:top w:w="50" w:type="dxa"/>
              <w:bottom w:w="50" w:type="dxa"/>
              <w:left w:w="90" w:type="dxa"/>
              <w:right w:w="90" w:type="dxa"/>
            </w:tcMar>
          </w:tcPr>
          <w:p>
            <w:pPr>
              <w:pStyle w:val="BDOITable"/>
            </w:pPr>
            <w:r>
              <w:rPr>
                <w:sz w:val="17"/>
              </w:rPr>
              <w:t>Pre-stop pause 15 s; 60 s grace; consumers stop and leave their groups</w:t>
            </w:r>
          </w:p>
        </w:tc>
      </w:tr>
      <w:tr>
        <w:trPr>
          <w:cantSplit w:val="true"/>
        </w:trPr>
        <w:tc>
          <w:tcPr>
            <w:tcW w:type="dxa" w:w="1700"/>
            <w:tcMar>
              <w:top w:w="50" w:type="dxa"/>
              <w:bottom w:w="50" w:type="dxa"/>
              <w:left w:w="90" w:type="dxa"/>
              <w:right w:w="90" w:type="dxa"/>
            </w:tcMar>
            <w:shd w:val="clear" w:color="auto" w:fill="E5F5FF"/>
          </w:tcPr>
          <w:p>
            <w:pPr>
              <w:pStyle w:val="BDOITable"/>
            </w:pPr>
            <w:r>
              <w:rPr>
                <w:b/>
                <w:sz w:val="17"/>
              </w:rPr>
              <w:t>bibs-frontend</w:t>
            </w:r>
          </w:p>
        </w:tc>
        <w:tc>
          <w:tcPr>
            <w:tcW w:type="dxa" w:w="1813"/>
            <w:tcMar>
              <w:top w:w="50" w:type="dxa"/>
              <w:bottom w:w="50" w:type="dxa"/>
              <w:left w:w="90" w:type="dxa"/>
              <w:right w:w="90" w:type="dxa"/>
            </w:tcMar>
            <w:shd w:val="clear" w:color="auto" w:fill="E5F5FF"/>
          </w:tcPr>
          <w:p>
            <w:pPr>
              <w:pStyle w:val="BDOITable"/>
            </w:pPr>
            <w:r>
              <w:rPr>
                <w:sz w:val="17"/>
              </w:rPr>
              <w:t>- (nginx starts in seconds)</w:t>
            </w:r>
          </w:p>
        </w:tc>
        <w:tc>
          <w:tcPr>
            <w:tcW w:type="dxa" w:w="1813"/>
            <w:tcMar>
              <w:top w:w="50" w:type="dxa"/>
              <w:bottom w:w="50" w:type="dxa"/>
              <w:left w:w="90" w:type="dxa"/>
              <w:right w:w="90" w:type="dxa"/>
            </w:tcMar>
            <w:shd w:val="clear" w:color="auto" w:fill="E5F5FF"/>
          </w:tcPr>
          <w:p>
            <w:pPr>
              <w:pStyle w:val="BDOITable"/>
            </w:pPr>
            <w:r>
              <w:rPr>
                <w:sz w:val="17"/>
              </w:rPr>
              <w:t>healthz every 10 s</w:t>
            </w:r>
          </w:p>
        </w:tc>
        <w:tc>
          <w:tcPr>
            <w:tcW w:type="dxa" w:w="1813"/>
            <w:tcMar>
              <w:top w:w="50" w:type="dxa"/>
              <w:bottom w:w="50" w:type="dxa"/>
              <w:left w:w="90" w:type="dxa"/>
              <w:right w:w="90" w:type="dxa"/>
            </w:tcMar>
            <w:shd w:val="clear" w:color="auto" w:fill="E5F5FF"/>
          </w:tcPr>
          <w:p>
            <w:pPr>
              <w:pStyle w:val="BDOITable"/>
            </w:pPr>
            <w:r>
              <w:rPr>
                <w:sz w:val="17"/>
              </w:rPr>
              <w:t>healthz every 20 s</w:t>
            </w:r>
          </w:p>
        </w:tc>
        <w:tc>
          <w:tcPr>
            <w:tcW w:type="dxa" w:w="2833"/>
            <w:tcMar>
              <w:top w:w="50" w:type="dxa"/>
              <w:bottom w:w="50" w:type="dxa"/>
              <w:left w:w="90" w:type="dxa"/>
              <w:right w:w="90" w:type="dxa"/>
            </w:tcMar>
            <w:shd w:val="clear" w:color="auto" w:fill="E5F5FF"/>
          </w:tcPr>
          <w:p>
            <w:pPr>
              <w:pStyle w:val="BDOITable"/>
            </w:pPr>
            <w:r>
              <w:rPr>
                <w:sz w:val="17"/>
              </w:rPr>
              <w:t>Pre-stop pause 10 s; nginx drains connections</w:t>
            </w:r>
          </w:p>
        </w:tc>
      </w:tr>
    </w:tbl>
    <w:p>
      <w:pPr>
        <w:pStyle w:val="BDOISpacer"/>
      </w:pPr>
    </w:p>
    <w:p>
      <w:pPr>
        <w:pStyle w:val="Heading1"/>
        <w:pBdr>
          <w:bottom w:val="single" w:sz="4" w:space="4" w:color="99C1E7"/>
        </w:pBdr>
      </w:pPr>
      <w:bookmarkStart w:id="111" w:name="_Toc000111"/>
      <w:r>
        <w:rPr/>
        <w:t>4 Kubernetes topology</w:t>
      </w:r>
      <w:bookmarkEnd w:id="111"/>
    </w:p>
    <w:p>
      <w:pPr>
        <w:pStyle w:val="Heading2"/>
      </w:pPr>
      <w:bookmarkStart w:id="112" w:name="_Toc000112"/>
      <w:r>
        <w:rPr/>
        <w:t>4.1 Resources of the namespace bibs</w:t>
      </w:r>
      <w:bookmarkEnd w:id="112"/>
    </w:p>
    <w:p>
      <w:pPr>
        <w:pStyle w:val="Caption"/>
        <w:keepNext/>
        <w:spacing w:after="60"/>
      </w:pPr>
      <w:r>
        <w:rPr>
          <w:b/>
          <w:i w:val="0"/>
        </w:rPr>
        <w:t xml:space="preserve">Table 6: </w:t>
      </w:r>
      <w:r>
        <w:rPr/>
        <w:t>Kubernetes resources of BIBS (Kustomize base)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7"/>
              </w:rPr>
              <w:t>Resource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380"/>
            <w:tcMar>
              <w:top w:w="50" w:type="dxa"/>
              <w:bottom w:w="50" w:type="dxa"/>
              <w:left w:w="90" w:type="dxa"/>
              <w:right w:w="90" w:type="dxa"/>
            </w:tcMar>
          </w:tcPr>
          <w:p>
            <w:pPr>
              <w:pStyle w:val="BDOITable"/>
            </w:pPr>
            <w:r>
              <w:rPr>
                <w:b/>
                <w:sz w:val="17"/>
              </w:rPr>
              <w:t>Namespace</w:t>
            </w:r>
          </w:p>
        </w:tc>
        <w:tc>
          <w:tcPr>
            <w:tcW w:type="dxa" w:w="7592"/>
            <w:tcMar>
              <w:top w:w="50" w:type="dxa"/>
              <w:bottom w:w="50" w:type="dxa"/>
              <w:left w:w="90" w:type="dxa"/>
              <w:right w:w="90" w:type="dxa"/>
            </w:tcMar>
          </w:tcPr>
          <w:p>
            <w:pPr>
              <w:pStyle w:val="BDOITable"/>
            </w:pPr>
            <w:r>
              <w:rPr>
                <w:sz w:val="17"/>
              </w:rPr>
              <w:t>bibs, Pod Security level restricted</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Deployments and Services</w:t>
            </w:r>
          </w:p>
        </w:tc>
        <w:tc>
          <w:tcPr>
            <w:tcW w:type="dxa" w:w="7592"/>
            <w:tcMar>
              <w:top w:w="50" w:type="dxa"/>
              <w:bottom w:w="50" w:type="dxa"/>
              <w:left w:w="90" w:type="dxa"/>
              <w:right w:w="90" w:type="dxa"/>
            </w:tcMar>
            <w:shd w:val="clear" w:color="auto" w:fill="E5F5FF"/>
          </w:tcPr>
          <w:p>
            <w:pPr>
              <w:pStyle w:val="BDOITable"/>
            </w:pPr>
            <w:r>
              <w:rPr>
                <w:sz w:val="17"/>
              </w:rPr>
              <w:t>bibs-web, bibs-jobs, bibs-integration (image bibs-backend, runtime role per deployment), bibs-frontend; one ClusterIP service each on 8443</w:t>
            </w:r>
          </w:p>
        </w:tc>
      </w:tr>
      <w:tr>
        <w:trPr>
          <w:cantSplit w:val="true"/>
        </w:trPr>
        <w:tc>
          <w:tcPr>
            <w:tcW w:type="dxa" w:w="2380"/>
            <w:tcMar>
              <w:top w:w="50" w:type="dxa"/>
              <w:bottom w:w="50" w:type="dxa"/>
              <w:left w:w="90" w:type="dxa"/>
              <w:right w:w="90" w:type="dxa"/>
            </w:tcMar>
          </w:tcPr>
          <w:p>
            <w:pPr>
              <w:pStyle w:val="BDOITable"/>
            </w:pPr>
            <w:r>
              <w:rPr>
                <w:b/>
                <w:sz w:val="17"/>
              </w:rPr>
              <w:t>Horizontal Pod Autoscalers</w:t>
            </w:r>
          </w:p>
        </w:tc>
        <w:tc>
          <w:tcPr>
            <w:tcW w:type="dxa" w:w="7592"/>
            <w:tcMar>
              <w:top w:w="50" w:type="dxa"/>
              <w:bottom w:w="50" w:type="dxa"/>
              <w:left w:w="90" w:type="dxa"/>
              <w:right w:w="90" w:type="dxa"/>
            </w:tcMar>
          </w:tcPr>
          <w:p>
            <w:pPr>
              <w:pStyle w:val="BDOITable"/>
            </w:pPr>
            <w:r>
              <w:rPr>
                <w:sz w:val="17"/>
              </w:rPr>
              <w:t>bibs-web (CPU 65 %, memory 80 %), bibs-frontend (CPU 70 %); bibs-jobs and bibs-integration keep a fixed replica count per overlay</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Pod disruption budgets</w:t>
            </w:r>
          </w:p>
        </w:tc>
        <w:tc>
          <w:tcPr>
            <w:tcW w:type="dxa" w:w="7592"/>
            <w:tcMar>
              <w:top w:w="50" w:type="dxa"/>
              <w:bottom w:w="50" w:type="dxa"/>
              <w:left w:w="90" w:type="dxa"/>
              <w:right w:w="90" w:type="dxa"/>
            </w:tcMar>
            <w:shd w:val="clear" w:color="auto" w:fill="E5F5FF"/>
          </w:tcPr>
          <w:p>
            <w:pPr>
              <w:pStyle w:val="BDOITable"/>
            </w:pPr>
            <w:r>
              <w:rPr>
                <w:sz w:val="17"/>
              </w:rPr>
              <w:t>Minimum 1 available for bibs-web, bibs-frontend and bibs-integration; at most 1 unavailable for bibs-jobs; unhealthy pods never block a node drain</w:t>
            </w:r>
          </w:p>
        </w:tc>
      </w:tr>
      <w:tr>
        <w:trPr>
          <w:cantSplit w:val="true"/>
        </w:trPr>
        <w:tc>
          <w:tcPr>
            <w:tcW w:type="dxa" w:w="2380"/>
            <w:tcMar>
              <w:top w:w="50" w:type="dxa"/>
              <w:bottom w:w="50" w:type="dxa"/>
              <w:left w:w="90" w:type="dxa"/>
              <w:right w:w="90" w:type="dxa"/>
            </w:tcMar>
          </w:tcPr>
          <w:p>
            <w:pPr>
              <w:pStyle w:val="BDOITable"/>
            </w:pPr>
            <w:r>
              <w:rPr>
                <w:b/>
                <w:sz w:val="17"/>
              </w:rPr>
              <w:t>NetworkPolicies</w:t>
            </w:r>
          </w:p>
        </w:tc>
        <w:tc>
          <w:tcPr>
            <w:tcW w:type="dxa" w:w="7592"/>
            <w:tcMar>
              <w:top w:w="50" w:type="dxa"/>
              <w:bottom w:w="50" w:type="dxa"/>
              <w:left w:w="90" w:type="dxa"/>
              <w:right w:w="90" w:type="dxa"/>
            </w:tcMar>
          </w:tcPr>
          <w:p>
            <w:pPr>
              <w:pStyle w:val="BDOITable"/>
            </w:pPr>
            <w:r>
              <w:rPr>
                <w:sz w:val="17"/>
              </w:rPr>
              <w:t>Deny all by default; open only DNS, load balancer to the three served workloads on 8443, monitoring namespace to the backend metrics on 9090, backend to the data subnets (5432, 6379, 9096, 9098), backend to the PrivateLink interfaces of the AWS services (443), backend to the BDO private route (443, 587)</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Service accounts</w:t>
            </w:r>
          </w:p>
        </w:tc>
        <w:tc>
          <w:tcPr>
            <w:tcW w:type="dxa" w:w="7592"/>
            <w:tcMar>
              <w:top w:w="50" w:type="dxa"/>
              <w:bottom w:w="50" w:type="dxa"/>
              <w:left w:w="90" w:type="dxa"/>
              <w:right w:w="90" w:type="dxa"/>
            </w:tcMar>
            <w:shd w:val="clear" w:color="auto" w:fill="E5F5FF"/>
          </w:tcPr>
          <w:p>
            <w:pPr>
              <w:pStyle w:val="BDOITable"/>
            </w:pPr>
            <w:r>
              <w:rPr>
                <w:sz w:val="17"/>
              </w:rPr>
              <w:t>One per workload; the three backend accounts carry an IAM role through IRSA; the frontend gets no token and no AWS access</w:t>
            </w:r>
          </w:p>
        </w:tc>
      </w:tr>
      <w:tr>
        <w:trPr>
          <w:cantSplit w:val="true"/>
        </w:trPr>
        <w:tc>
          <w:tcPr>
            <w:tcW w:type="dxa" w:w="2380"/>
            <w:tcMar>
              <w:top w:w="50" w:type="dxa"/>
              <w:bottom w:w="50" w:type="dxa"/>
              <w:left w:w="90" w:type="dxa"/>
              <w:right w:w="90" w:type="dxa"/>
            </w:tcMar>
          </w:tcPr>
          <w:p>
            <w:pPr>
              <w:pStyle w:val="BDOITable"/>
            </w:pPr>
            <w:r>
              <w:rPr>
                <w:b/>
                <w:sz w:val="17"/>
              </w:rPr>
              <w:t>Certificates</w:t>
            </w:r>
          </w:p>
        </w:tc>
        <w:tc>
          <w:tcPr>
            <w:tcW w:type="dxa" w:w="7592"/>
            <w:tcMar>
              <w:top w:w="50" w:type="dxa"/>
              <w:bottom w:w="50" w:type="dxa"/>
              <w:left w:w="90" w:type="dxa"/>
              <w:right w:w="90" w:type="dxa"/>
            </w:tcMar>
          </w:tcPr>
          <w:p>
            <w:pPr>
              <w:pStyle w:val="BDOITable"/>
            </w:pPr>
            <w:r>
              <w:rPr>
                <w:sz w:val="17"/>
              </w:rPr>
              <w:t>cert-manager certificates for the four services from AWS Private CA (90 days, renewed 15 days before expiry, new key each time)</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Configuration</w:t>
            </w:r>
          </w:p>
        </w:tc>
        <w:tc>
          <w:tcPr>
            <w:tcW w:type="dxa" w:w="7592"/>
            <w:tcMar>
              <w:top w:w="50" w:type="dxa"/>
              <w:bottom w:w="50" w:type="dxa"/>
              <w:left w:w="90" w:type="dxa"/>
              <w:right w:w="90" w:type="dxa"/>
            </w:tcMar>
            <w:shd w:val="clear" w:color="auto" w:fill="E5F5FF"/>
          </w:tcPr>
          <w:p>
            <w:pPr>
              <w:pStyle w:val="BDOITable"/>
            </w:pPr>
            <w:r>
              <w:rPr>
                <w:sz w:val="17"/>
              </w:rPr>
              <w:t>ConfigMap bibs-backend-config (non-secret settings), secret bibs-backend-secrets (from AWS Secrets Manager), ConfigMap of the RDS CA bundle, nginx TLS configuration</w:t>
            </w:r>
          </w:p>
        </w:tc>
      </w:tr>
      <w:tr>
        <w:trPr>
          <w:cantSplit w:val="true"/>
        </w:trPr>
        <w:tc>
          <w:tcPr>
            <w:tcW w:type="dxa" w:w="2380"/>
            <w:tcMar>
              <w:top w:w="50" w:type="dxa"/>
              <w:bottom w:w="50" w:type="dxa"/>
              <w:left w:w="90" w:type="dxa"/>
              <w:right w:w="90" w:type="dxa"/>
            </w:tcMar>
          </w:tcPr>
          <w:p>
            <w:pPr>
              <w:pStyle w:val="BDOITable"/>
            </w:pPr>
            <w:r>
              <w:rPr>
                <w:b/>
                <w:sz w:val="17"/>
              </w:rPr>
              <w:t>Edge</w:t>
            </w:r>
          </w:p>
        </w:tc>
        <w:tc>
          <w:tcPr>
            <w:tcW w:type="dxa" w:w="7592"/>
            <w:tcMar>
              <w:top w:w="50" w:type="dxa"/>
              <w:bottom w:w="50" w:type="dxa"/>
              <w:left w:w="90" w:type="dxa"/>
              <w:right w:w="90" w:type="dxa"/>
            </w:tcMar>
          </w:tcPr>
          <w:p>
            <w:pPr>
              <w:pStyle w:val="BDOITable"/>
            </w:pPr>
            <w:r>
              <w:rPr>
                <w:sz w:val="17"/>
              </w:rPr>
              <w:t>Gateway bibs and the HTTPRoutes bibs-users and bibs-integration (chapter 5)</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LimitRange</w:t>
            </w:r>
          </w:p>
        </w:tc>
        <w:tc>
          <w:tcPr>
            <w:tcW w:type="dxa" w:w="7592"/>
            <w:tcMar>
              <w:top w:w="50" w:type="dxa"/>
              <w:bottom w:w="50" w:type="dxa"/>
              <w:left w:w="90" w:type="dxa"/>
              <w:right w:w="90" w:type="dxa"/>
            </w:tcMar>
            <w:shd w:val="clear" w:color="auto" w:fill="E5F5FF"/>
          </w:tcPr>
          <w:p>
            <w:pPr>
              <w:pStyle w:val="BDOITable"/>
            </w:pPr>
            <w:r>
              <w:rPr>
                <w:sz w:val="17"/>
              </w:rPr>
              <w:t>Default requests and limits for any other container of the namespace</w:t>
            </w:r>
          </w:p>
        </w:tc>
      </w:tr>
    </w:tbl>
    <w:p>
      <w:pPr>
        <w:pStyle w:val="BDOISpacer"/>
      </w:pPr>
    </w:p>
    <w:p>
      <w:r>
        <w:rPr/>
        <w:t>Kustomize assembles them: the base holds the resources above; a component per gateway controller (AWS Load Balancer Controller by default, Envoy Gateway as the alternative); a component copies the values of the environment (host name, certificate and WAF identifiers, network ranges, IAM roles, private CA) into the base; and one overlay per environment sets the images by digest, the profile, the sizing and the gateway component. The base keeps documentation-only network ranges that match nothing, so an overlay that forgets a range stays closed instead of opening traffic.</w:t>
      </w:r>
    </w:p>
    <w:p>
      <w:pPr>
        <w:pStyle w:val="Heading2"/>
      </w:pPr>
      <w:bookmarkStart w:id="113" w:name="_Toc000113"/>
      <w:r>
        <w:rPr/>
        <w:t>4.2 Cluster prerequisites</w:t>
      </w:r>
      <w:bookmarkEnd w:id="113"/>
    </w:p>
    <w:p>
      <w:r>
        <w:rPr/>
        <w:t>Each EKS cluster needs: the Gateway API standard CRDs (v1) and the gateway controller of its overlay (AWS Load Balancer Controller 2.14 or later with Gateway support); cert-manager with the AWS Private CA issuer; the metrics server; network policy enforcement (VPC CNI network policy support or Calico); the cluster autoscaler (or Karpenter); the External Secrets Operator (DA-02); and the BDO add-ons of the IER sheets (Dynatrace, CrowdStrike Falcon, CoreDNS, kube-proxy, VPC CNI). The EFS CSI controller of the IER sheets is not needed: pods are stateless and files are in S3.</w:t>
      </w:r>
    </w:p>
    <w:p>
      <w:pPr>
        <w:pStyle w:val="Heading2"/>
      </w:pPr>
      <w:bookmarkStart w:id="114" w:name="_Toc000114"/>
      <w:r>
        <w:rPr/>
        <w:t>4.3 Topology per environment</w:t>
      </w:r>
      <w:bookmarkEnd w:id="114"/>
    </w:p>
    <w:p>
      <w:pPr>
        <w:pStyle w:val="Caption"/>
        <w:keepNext/>
        <w:spacing w:after="60"/>
      </w:pPr>
      <w:r>
        <w:rPr>
          <w:b/>
          <w:i w:val="0"/>
        </w:rPr>
        <w:t xml:space="preserve">Table 7: </w:t>
      </w:r>
      <w:r>
        <w:rPr/>
        <w:t>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88"/>
        <w:gridCol w:w="2689"/>
        <w:gridCol w:w="1848"/>
        <w:gridCol w:w="1568"/>
        <w:gridCol w:w="1288"/>
        <w:gridCol w:w="1288"/>
      </w:tblGrid>
      <w:tr>
        <w:trPr>
          <w:tblHeader w:val="true"/>
          <w:cantSplit w:val="true"/>
        </w:trPr>
        <w:tc>
          <w:tcPr>
            <w:tcW w:type="dxa" w:w="1289"/>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Purpose</w:t>
            </w:r>
          </w:p>
        </w:tc>
        <w:tc>
          <w:tcPr>
            <w:tcW w:type="dxa" w:w="1849"/>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1569"/>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289"/>
            <w:shd w:val="clear" w:color="auto" w:fill="004EA8"/>
            <w:tcMar>
              <w:top w:w="50" w:type="dxa"/>
              <w:bottom w:w="50" w:type="dxa"/>
              <w:left w:w="90" w:type="dxa"/>
              <w:right w:w="90" w:type="dxa"/>
            </w:tcMar>
            <w:vAlign w:val="center"/>
          </w:tcPr>
          <w:p>
            <w:pPr>
              <w:pStyle w:val="BDOITableHeader"/>
            </w:pPr>
            <w:r>
              <w:rPr>
                <w:b/>
                <w:color w:val="FFFFFF"/>
                <w:sz w:val="16"/>
              </w:rPr>
              <w:t>Availability</w:t>
            </w:r>
          </w:p>
        </w:tc>
        <w:tc>
          <w:tcPr>
            <w:tcW w:type="dxa" w:w="1289"/>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1289"/>
            <w:tcMar>
              <w:top w:w="50" w:type="dxa"/>
              <w:bottom w:w="50" w:type="dxa"/>
              <w:left w:w="90" w:type="dxa"/>
              <w:right w:w="90" w:type="dxa"/>
            </w:tcMar>
          </w:tcPr>
          <w:p>
            <w:pPr>
              <w:pStyle w:val="BDOITable"/>
            </w:pPr>
            <w:r>
              <w:rPr>
                <w:b/>
                <w:sz w:val="16"/>
              </w:rPr>
              <w:t>DEV</w:t>
            </w:r>
          </w:p>
        </w:tc>
        <w:tc>
          <w:tcPr>
            <w:tcW w:type="dxa" w:w="2689"/>
            <w:tcMar>
              <w:top w:w="50" w:type="dxa"/>
              <w:bottom w:w="50" w:type="dxa"/>
              <w:left w:w="90" w:type="dxa"/>
              <w:right w:w="90" w:type="dxa"/>
            </w:tcMar>
          </w:tcPr>
          <w:p>
            <w:pPr>
              <w:pStyle w:val="BDOITable"/>
            </w:pPr>
            <w:r>
              <w:rPr>
                <w:sz w:val="16"/>
              </w:rPr>
              <w:t>Development and integration of changes by the project team</w:t>
            </w:r>
          </w:p>
        </w:tc>
        <w:tc>
          <w:tcPr>
            <w:tcW w:type="dxa" w:w="1849"/>
            <w:tcMar>
              <w:top w:w="50" w:type="dxa"/>
              <w:bottom w:w="50" w:type="dxa"/>
              <w:left w:w="90" w:type="dxa"/>
              <w:right w:w="90" w:type="dxa"/>
            </w:tcMar>
          </w:tcPr>
          <w:p>
            <w:pPr>
              <w:pStyle w:val="BDOITable"/>
            </w:pPr>
            <w:r>
              <w:rPr>
                <w:sz w:val="16"/>
              </w:rPr>
              <w:t>Seed data (SIT/UAT users)</w:t>
            </w:r>
          </w:p>
        </w:tc>
        <w:tc>
          <w:tcPr>
            <w:tcW w:type="dxa" w:w="1569"/>
            <w:tcMar>
              <w:top w:w="50" w:type="dxa"/>
              <w:bottom w:w="50" w:type="dxa"/>
              <w:left w:w="90" w:type="dxa"/>
              <w:right w:w="90" w:type="dxa"/>
            </w:tcMar>
          </w:tcPr>
          <w:p>
            <w:pPr>
              <w:pStyle w:val="BDOITable"/>
            </w:pPr>
            <w:r>
              <w:rPr>
                <w:sz w:val="16"/>
              </w:rPr>
              <w:t>12 x 5</w:t>
            </w:r>
          </w:p>
        </w:tc>
        <w:tc>
          <w:tcPr>
            <w:tcW w:type="dxa" w:w="1289"/>
            <w:tcMar>
              <w:top w:w="50" w:type="dxa"/>
              <w:bottom w:w="50" w:type="dxa"/>
              <w:left w:w="90" w:type="dxa"/>
              <w:right w:w="90" w:type="dxa"/>
            </w:tcMar>
          </w:tcPr>
          <w:p>
            <w:pPr>
              <w:pStyle w:val="BDOITable"/>
            </w:pPr>
            <w:r>
              <w:rPr>
                <w:sz w:val="16"/>
              </w:rPr>
              <w:t>Single-AZ</w:t>
            </w:r>
          </w:p>
        </w:tc>
        <w:tc>
          <w:tcPr>
            <w:tcW w:type="dxa" w:w="1289"/>
            <w:tcMar>
              <w:top w:w="50" w:type="dxa"/>
              <w:bottom w:w="50" w:type="dxa"/>
              <w:left w:w="90" w:type="dxa"/>
              <w:right w:w="90" w:type="dxa"/>
            </w:tcMar>
          </w:tcPr>
          <w:p>
            <w:pPr>
              <w:pStyle w:val="BDOITable"/>
            </w:pPr>
            <w:r>
              <w:rPr>
                <w:sz w:val="16"/>
              </w:rPr>
              <w:t>iorta TechNXT</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SIT</w:t>
            </w:r>
          </w:p>
        </w:tc>
        <w:tc>
          <w:tcPr>
            <w:tcW w:type="dxa" w:w="2689"/>
            <w:tcMar>
              <w:top w:w="50" w:type="dxa"/>
              <w:bottom w:w="50" w:type="dxa"/>
              <w:left w:w="90" w:type="dxa"/>
              <w:right w:w="90" w:type="dxa"/>
            </w:tcMar>
            <w:shd w:val="clear" w:color="auto" w:fill="E5F5FF"/>
          </w:tcPr>
          <w:p>
            <w:pPr>
              <w:pStyle w:val="BDOITable"/>
            </w:pPr>
            <w:r>
              <w:rPr>
                <w:sz w:val="16"/>
              </w:rPr>
              <w:t>System integration test per drop; trial migrations 1 and 2</w:t>
            </w:r>
          </w:p>
        </w:tc>
        <w:tc>
          <w:tcPr>
            <w:tcW w:type="dxa" w:w="1849"/>
            <w:tcMar>
              <w:top w:w="50" w:type="dxa"/>
              <w:bottom w:w="50" w:type="dxa"/>
              <w:left w:w="90" w:type="dxa"/>
              <w:right w:w="90" w:type="dxa"/>
            </w:tcMar>
            <w:shd w:val="clear" w:color="auto" w:fill="E5F5FF"/>
          </w:tcPr>
          <w:p>
            <w:pPr>
              <w:pStyle w:val="BDOITable"/>
            </w:pPr>
            <w:r>
              <w:rPr>
                <w:sz w:val="16"/>
              </w:rPr>
              <w:t>Seed data and masked trial-migration data</w:t>
            </w:r>
          </w:p>
        </w:tc>
        <w:tc>
          <w:tcPr>
            <w:tcW w:type="dxa" w:w="1569"/>
            <w:tcMar>
              <w:top w:w="50" w:type="dxa"/>
              <w:bottom w:w="50" w:type="dxa"/>
              <w:left w:w="90" w:type="dxa"/>
              <w:right w:w="90" w:type="dxa"/>
            </w:tcMar>
            <w:shd w:val="clear" w:color="auto" w:fill="E5F5FF"/>
          </w:tcPr>
          <w:p>
            <w:pPr>
              <w:pStyle w:val="BDOITable"/>
            </w:pPr>
            <w:r>
              <w:rPr>
                <w:sz w:val="16"/>
              </w:rPr>
              <w:t>12 x 5, extended for batch and trial migrations</w:t>
            </w:r>
          </w:p>
        </w:tc>
        <w:tc>
          <w:tcPr>
            <w:tcW w:type="dxa" w:w="1289"/>
            <w:tcMar>
              <w:top w:w="50" w:type="dxa"/>
              <w:bottom w:w="50" w:type="dxa"/>
              <w:left w:w="90" w:type="dxa"/>
              <w:right w:w="90" w:type="dxa"/>
            </w:tcMar>
            <w:shd w:val="clear" w:color="auto" w:fill="E5F5FF"/>
          </w:tcPr>
          <w:p>
            <w:pPr>
              <w:pStyle w:val="BDOITable"/>
            </w:pPr>
            <w:r>
              <w:rPr>
                <w:sz w:val="16"/>
              </w:rPr>
              <w:t>Single-AZ</w:t>
            </w:r>
          </w:p>
        </w:tc>
        <w:tc>
          <w:tcPr>
            <w:tcW w:type="dxa" w:w="1289"/>
            <w:tcMar>
              <w:top w:w="50" w:type="dxa"/>
              <w:bottom w:w="50" w:type="dxa"/>
              <w:left w:w="90" w:type="dxa"/>
              <w:right w:w="90" w:type="dxa"/>
            </w:tcMar>
            <w:shd w:val="clear" w:color="auto" w:fill="E5F5FF"/>
          </w:tcPr>
          <w:p>
            <w:pPr>
              <w:pStyle w:val="BDOITable"/>
            </w:pPr>
            <w:r>
              <w:rPr>
                <w:sz w:val="16"/>
              </w:rPr>
              <w:t>iorta TechNXT, BDOI IT for the interfaces</w:t>
            </w:r>
          </w:p>
        </w:tc>
      </w:tr>
      <w:tr>
        <w:trPr>
          <w:cantSplit w:val="true"/>
        </w:trPr>
        <w:tc>
          <w:tcPr>
            <w:tcW w:type="dxa" w:w="1289"/>
            <w:tcMar>
              <w:top w:w="50" w:type="dxa"/>
              <w:bottom w:w="50" w:type="dxa"/>
              <w:left w:w="90" w:type="dxa"/>
              <w:right w:w="90" w:type="dxa"/>
            </w:tcMar>
          </w:tcPr>
          <w:p>
            <w:pPr>
              <w:pStyle w:val="BDOITable"/>
            </w:pPr>
            <w:r>
              <w:rPr>
                <w:b/>
                <w:sz w:val="16"/>
              </w:rPr>
              <w:t>UAT</w:t>
            </w:r>
          </w:p>
        </w:tc>
        <w:tc>
          <w:tcPr>
            <w:tcW w:type="dxa" w:w="2689"/>
            <w:tcMar>
              <w:top w:w="50" w:type="dxa"/>
              <w:bottom w:w="50" w:type="dxa"/>
              <w:left w:w="90" w:type="dxa"/>
              <w:right w:w="90" w:type="dxa"/>
            </w:tcMar>
          </w:tcPr>
          <w:p>
            <w:pPr>
              <w:pStyle w:val="BDOITable"/>
            </w:pPr>
            <w:r>
              <w:rPr>
                <w:sz w:val="16"/>
              </w:rPr>
              <w:t>User acceptance test end to end; trial migration 3 and the re-load</w:t>
            </w:r>
          </w:p>
        </w:tc>
        <w:tc>
          <w:tcPr>
            <w:tcW w:type="dxa" w:w="1849"/>
            <w:tcMar>
              <w:top w:w="50" w:type="dxa"/>
              <w:bottom w:w="50" w:type="dxa"/>
              <w:left w:w="90" w:type="dxa"/>
              <w:right w:w="90" w:type="dxa"/>
            </w:tcMar>
          </w:tcPr>
          <w:p>
            <w:pPr>
              <w:pStyle w:val="BDOITable"/>
            </w:pPr>
            <w:r>
              <w:rPr>
                <w:sz w:val="16"/>
              </w:rPr>
              <w:t>Masked migrated data</w:t>
            </w:r>
          </w:p>
        </w:tc>
        <w:tc>
          <w:tcPr>
            <w:tcW w:type="dxa" w:w="1569"/>
            <w:tcMar>
              <w:top w:w="50" w:type="dxa"/>
              <w:bottom w:w="50" w:type="dxa"/>
              <w:left w:w="90" w:type="dxa"/>
              <w:right w:w="90" w:type="dxa"/>
            </w:tcMar>
          </w:tcPr>
          <w:p>
            <w:pPr>
              <w:pStyle w:val="BDOITable"/>
            </w:pPr>
            <w:r>
              <w:rPr>
                <w:sz w:val="16"/>
              </w:rPr>
              <w:t>12 x 5, extended for month-end cycles</w:t>
            </w:r>
          </w:p>
        </w:tc>
        <w:tc>
          <w:tcPr>
            <w:tcW w:type="dxa" w:w="1289"/>
            <w:tcMar>
              <w:top w:w="50" w:type="dxa"/>
              <w:bottom w:w="50" w:type="dxa"/>
              <w:left w:w="90" w:type="dxa"/>
              <w:right w:w="90" w:type="dxa"/>
            </w:tcMar>
          </w:tcPr>
          <w:p>
            <w:pPr>
              <w:pStyle w:val="BDOITable"/>
            </w:pPr>
            <w:r>
              <w:rPr>
                <w:sz w:val="16"/>
              </w:rPr>
              <w:t>Single-AZ</w:t>
            </w:r>
          </w:p>
        </w:tc>
        <w:tc>
          <w:tcPr>
            <w:tcW w:type="dxa" w:w="1289"/>
            <w:tcMar>
              <w:top w:w="50" w:type="dxa"/>
              <w:bottom w:w="50" w:type="dxa"/>
              <w:left w:w="90" w:type="dxa"/>
              <w:right w:w="90" w:type="dxa"/>
            </w:tcMar>
          </w:tcPr>
          <w:p>
            <w:pPr>
              <w:pStyle w:val="BDOITable"/>
            </w:pPr>
            <w:r>
              <w:rPr>
                <w:sz w:val="16"/>
              </w:rPr>
              <w:t>BDOI business owners</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Pre-Prod</w:t>
            </w:r>
          </w:p>
        </w:tc>
        <w:tc>
          <w:tcPr>
            <w:tcW w:type="dxa" w:w="2689"/>
            <w:tcMar>
              <w:top w:w="50" w:type="dxa"/>
              <w:bottom w:w="50" w:type="dxa"/>
              <w:left w:w="90" w:type="dxa"/>
              <w:right w:w="90" w:type="dxa"/>
            </w:tcMar>
            <w:shd w:val="clear" w:color="auto" w:fill="E5F5FF"/>
          </w:tcPr>
          <w:p>
            <w:pPr>
              <w:pStyle w:val="BDOITable"/>
            </w:pPr>
            <w:r>
              <w:rPr>
                <w:sz w:val="16"/>
              </w:rPr>
              <w:t>Performance and penetration tests, dress rehearsal of the cut-over</w:t>
            </w:r>
          </w:p>
        </w:tc>
        <w:tc>
          <w:tcPr>
            <w:tcW w:type="dxa" w:w="1849"/>
            <w:tcMar>
              <w:top w:w="50" w:type="dxa"/>
              <w:bottom w:w="50" w:type="dxa"/>
              <w:left w:w="90" w:type="dxa"/>
              <w:right w:w="90" w:type="dxa"/>
            </w:tcMar>
            <w:shd w:val="clear" w:color="auto" w:fill="E5F5FF"/>
          </w:tcPr>
          <w:p>
            <w:pPr>
              <w:pStyle w:val="BDOITable"/>
            </w:pPr>
            <w:r>
              <w:rPr>
                <w:sz w:val="16"/>
              </w:rPr>
              <w:t>Production-sized, masked</w:t>
            </w:r>
          </w:p>
        </w:tc>
        <w:tc>
          <w:tcPr>
            <w:tcW w:type="dxa" w:w="1569"/>
            <w:tcMar>
              <w:top w:w="50" w:type="dxa"/>
              <w:bottom w:w="50" w:type="dxa"/>
              <w:left w:w="90" w:type="dxa"/>
              <w:right w:w="90" w:type="dxa"/>
            </w:tcMar>
            <w:shd w:val="clear" w:color="auto" w:fill="E5F5FF"/>
          </w:tcPr>
          <w:p>
            <w:pPr>
              <w:pStyle w:val="BDOITable"/>
            </w:pPr>
            <w:r>
              <w:rPr>
                <w:sz w:val="16"/>
              </w:rPr>
              <w:t>12 x 5, extended for tests and rehearsal</w:t>
            </w:r>
          </w:p>
        </w:tc>
        <w:tc>
          <w:tcPr>
            <w:tcW w:type="dxa" w:w="1289"/>
            <w:tcMar>
              <w:top w:w="50" w:type="dxa"/>
              <w:bottom w:w="50" w:type="dxa"/>
              <w:left w:w="90" w:type="dxa"/>
              <w:right w:w="90" w:type="dxa"/>
            </w:tcMar>
            <w:shd w:val="clear" w:color="auto" w:fill="E5F5FF"/>
          </w:tcPr>
          <w:p>
            <w:pPr>
              <w:pStyle w:val="BDOITable"/>
            </w:pPr>
            <w:r>
              <w:rPr>
                <w:sz w:val="16"/>
              </w:rPr>
              <w:t>Multi-AZ</w:t>
            </w:r>
          </w:p>
        </w:tc>
        <w:tc>
          <w:tcPr>
            <w:tcW w:type="dxa" w:w="1289"/>
            <w:tcMar>
              <w:top w:w="50" w:type="dxa"/>
              <w:bottom w:w="50" w:type="dxa"/>
              <w:left w:w="90" w:type="dxa"/>
              <w:right w:w="90" w:type="dxa"/>
            </w:tcMar>
            <w:shd w:val="clear" w:color="auto" w:fill="E5F5FF"/>
          </w:tcPr>
          <w:p>
            <w:pPr>
              <w:pStyle w:val="BDOITable"/>
            </w:pPr>
            <w:r>
              <w:rPr>
                <w:sz w:val="16"/>
              </w:rPr>
              <w:t>BDOI IT</w:t>
            </w:r>
          </w:p>
        </w:tc>
      </w:tr>
      <w:tr>
        <w:trPr>
          <w:cantSplit w:val="true"/>
        </w:trPr>
        <w:tc>
          <w:tcPr>
            <w:tcW w:type="dxa" w:w="1289"/>
            <w:tcMar>
              <w:top w:w="50" w:type="dxa"/>
              <w:bottom w:w="50" w:type="dxa"/>
              <w:left w:w="90" w:type="dxa"/>
              <w:right w:w="90" w:type="dxa"/>
            </w:tcMar>
          </w:tcPr>
          <w:p>
            <w:pPr>
              <w:pStyle w:val="BDOITable"/>
            </w:pPr>
            <w:r>
              <w:rPr>
                <w:b/>
                <w:sz w:val="16"/>
              </w:rPr>
              <w:t>PROD</w:t>
            </w:r>
          </w:p>
        </w:tc>
        <w:tc>
          <w:tcPr>
            <w:tcW w:type="dxa" w:w="2689"/>
            <w:tcMar>
              <w:top w:w="50" w:type="dxa"/>
              <w:bottom w:w="50" w:type="dxa"/>
              <w:left w:w="90" w:type="dxa"/>
              <w:right w:w="90" w:type="dxa"/>
            </w:tcMar>
          </w:tcPr>
          <w:p>
            <w:pPr>
              <w:pStyle w:val="BDOITable"/>
            </w:pPr>
            <w:r>
              <w:rPr>
                <w:sz w:val="16"/>
              </w:rPr>
              <w:t>Production</w:t>
            </w:r>
          </w:p>
        </w:tc>
        <w:tc>
          <w:tcPr>
            <w:tcW w:type="dxa" w:w="1849"/>
            <w:tcMar>
              <w:top w:w="50" w:type="dxa"/>
              <w:bottom w:w="50" w:type="dxa"/>
              <w:left w:w="90" w:type="dxa"/>
              <w:right w:w="90" w:type="dxa"/>
            </w:tcMar>
          </w:tcPr>
          <w:p>
            <w:pPr>
              <w:pStyle w:val="BDOITable"/>
            </w:pPr>
            <w:r>
              <w:rPr>
                <w:sz w:val="16"/>
              </w:rPr>
              <w:t>Production data</w:t>
            </w:r>
          </w:p>
        </w:tc>
        <w:tc>
          <w:tcPr>
            <w:tcW w:type="dxa" w:w="1569"/>
            <w:tcMar>
              <w:top w:w="50" w:type="dxa"/>
              <w:bottom w:w="50" w:type="dxa"/>
              <w:left w:w="90" w:type="dxa"/>
              <w:right w:w="90" w:type="dxa"/>
            </w:tcMar>
          </w:tcPr>
          <w:p>
            <w:pPr>
              <w:pStyle w:val="BDOITable"/>
            </w:pPr>
            <w:r>
              <w:rPr>
                <w:sz w:val="16"/>
              </w:rPr>
              <w:t>24 x 7</w:t>
            </w:r>
          </w:p>
        </w:tc>
        <w:tc>
          <w:tcPr>
            <w:tcW w:type="dxa" w:w="1289"/>
            <w:tcMar>
              <w:top w:w="50" w:type="dxa"/>
              <w:bottom w:w="50" w:type="dxa"/>
              <w:left w:w="90" w:type="dxa"/>
              <w:right w:w="90" w:type="dxa"/>
            </w:tcMar>
          </w:tcPr>
          <w:p>
            <w:pPr>
              <w:pStyle w:val="BDOITable"/>
            </w:pPr>
            <w:r>
              <w:rPr>
                <w:sz w:val="16"/>
              </w:rPr>
              <w:t>Multi-AZ, three availability zones</w:t>
            </w:r>
          </w:p>
        </w:tc>
        <w:tc>
          <w:tcPr>
            <w:tcW w:type="dxa" w:w="1289"/>
            <w:tcMar>
              <w:top w:w="50" w:type="dxa"/>
              <w:bottom w:w="50" w:type="dxa"/>
              <w:left w:w="90" w:type="dxa"/>
              <w:right w:w="90" w:type="dxa"/>
            </w:tcMar>
          </w:tcPr>
          <w:p>
            <w:pPr>
              <w:pStyle w:val="BDOITable"/>
            </w:pPr>
            <w:r>
              <w:rPr>
                <w:sz w:val="16"/>
              </w:rPr>
              <w:t>BDOI IT operations</w:t>
            </w:r>
          </w:p>
        </w:tc>
      </w:tr>
      <w:tr>
        <w:trPr>
          <w:cantSplit w:val="true"/>
        </w:trPr>
        <w:tc>
          <w:tcPr>
            <w:tcW w:type="dxa" w:w="1289"/>
            <w:tcMar>
              <w:top w:w="50" w:type="dxa"/>
              <w:bottom w:w="50" w:type="dxa"/>
              <w:left w:w="90" w:type="dxa"/>
              <w:right w:w="90" w:type="dxa"/>
            </w:tcMar>
            <w:shd w:val="clear" w:color="auto" w:fill="E5F5FF"/>
          </w:tcPr>
          <w:p>
            <w:pPr>
              <w:pStyle w:val="BDOITable"/>
            </w:pPr>
            <w:r>
              <w:rPr>
                <w:b/>
                <w:sz w:val="16"/>
              </w:rPr>
              <w:t>DR</w:t>
            </w:r>
          </w:p>
        </w:tc>
        <w:tc>
          <w:tcPr>
            <w:tcW w:type="dxa" w:w="2689"/>
            <w:tcMar>
              <w:top w:w="50" w:type="dxa"/>
              <w:bottom w:w="50" w:type="dxa"/>
              <w:left w:w="90" w:type="dxa"/>
              <w:right w:w="90" w:type="dxa"/>
            </w:tcMar>
            <w:shd w:val="clear" w:color="auto" w:fill="E5F5FF"/>
          </w:tcPr>
          <w:p>
            <w:pPr>
              <w:pStyle w:val="BDOITable"/>
            </w:pPr>
            <w:r>
              <w:rPr>
                <w:sz w:val="16"/>
              </w:rPr>
              <w:t>Warm standby of production in the DR region</w:t>
            </w:r>
          </w:p>
        </w:tc>
        <w:tc>
          <w:tcPr>
            <w:tcW w:type="dxa" w:w="1849"/>
            <w:tcMar>
              <w:top w:w="50" w:type="dxa"/>
              <w:bottom w:w="50" w:type="dxa"/>
              <w:left w:w="90" w:type="dxa"/>
              <w:right w:w="90" w:type="dxa"/>
            </w:tcMar>
            <w:shd w:val="clear" w:color="auto" w:fill="E5F5FF"/>
          </w:tcPr>
          <w:p>
            <w:pPr>
              <w:pStyle w:val="BDOITable"/>
            </w:pPr>
            <w:r>
              <w:rPr>
                <w:sz w:val="16"/>
              </w:rPr>
              <w:t>Replica of production</w:t>
            </w:r>
          </w:p>
        </w:tc>
        <w:tc>
          <w:tcPr>
            <w:tcW w:type="dxa" w:w="1569"/>
            <w:tcMar>
              <w:top w:w="50" w:type="dxa"/>
              <w:bottom w:w="50" w:type="dxa"/>
              <w:left w:w="90" w:type="dxa"/>
              <w:right w:w="90" w:type="dxa"/>
            </w:tcMar>
            <w:shd w:val="clear" w:color="auto" w:fill="E5F5FF"/>
          </w:tcPr>
          <w:p>
            <w:pPr>
              <w:pStyle w:val="BDOITable"/>
            </w:pPr>
            <w:r>
              <w:rPr>
                <w:sz w:val="16"/>
              </w:rPr>
              <w:t>12 x 7 standby; 24 x 7 after failover</w:t>
            </w:r>
          </w:p>
        </w:tc>
        <w:tc>
          <w:tcPr>
            <w:tcW w:type="dxa" w:w="1289"/>
            <w:tcMar>
              <w:top w:w="50" w:type="dxa"/>
              <w:bottom w:w="50" w:type="dxa"/>
              <w:left w:w="90" w:type="dxa"/>
              <w:right w:w="90" w:type="dxa"/>
            </w:tcMar>
            <w:shd w:val="clear" w:color="auto" w:fill="E5F5FF"/>
          </w:tcPr>
          <w:p>
            <w:pPr>
              <w:pStyle w:val="BDOITable"/>
            </w:pPr>
            <w:r>
              <w:rPr>
                <w:sz w:val="16"/>
              </w:rPr>
              <w:t>Multi-AZ after failover</w:t>
            </w:r>
          </w:p>
        </w:tc>
        <w:tc>
          <w:tcPr>
            <w:tcW w:type="dxa" w:w="1289"/>
            <w:tcMar>
              <w:top w:w="50" w:type="dxa"/>
              <w:bottom w:w="50" w:type="dxa"/>
              <w:left w:w="90" w:type="dxa"/>
              <w:right w:w="90" w:type="dxa"/>
            </w:tcMar>
            <w:shd w:val="clear" w:color="auto" w:fill="E5F5FF"/>
          </w:tcPr>
          <w:p>
            <w:pPr>
              <w:pStyle w:val="BDOITable"/>
            </w:pPr>
            <w:r>
              <w:rPr>
                <w:sz w:val="16"/>
              </w:rPr>
              <w:t>BDOI IT operations</w:t>
            </w:r>
          </w:p>
        </w:tc>
      </w:tr>
    </w:tbl>
    <w:p>
      <w:pPr>
        <w:pStyle w:val="BDOISpacer"/>
      </w:pPr>
    </w:p>
    <w:p>
      <w:pPr>
        <w:pStyle w:val="Caption"/>
        <w:keepNext/>
        <w:spacing w:after="60"/>
      </w:pPr>
      <w:r>
        <w:rPr>
          <w:b/>
          <w:i w:val="0"/>
        </w:rPr>
        <w:t xml:space="preserve">Table 8: </w:t>
      </w:r>
      <w:r>
        <w:rPr/>
        <w:t>Proposed Kubernetes sizing per environment (pods and nodes)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1359"/>
        <w:gridCol w:w="1019"/>
        <w:gridCol w:w="1246"/>
        <w:gridCol w:w="1359"/>
        <w:gridCol w:w="3626"/>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bibs-web pods (min / max)</w:t>
            </w:r>
          </w:p>
        </w:tc>
        <w:tc>
          <w:tcPr>
            <w:tcW w:type="dxa" w:w="1020"/>
            <w:shd w:val="clear" w:color="auto" w:fill="004EA8"/>
            <w:tcMar>
              <w:top w:w="50" w:type="dxa"/>
              <w:bottom w:w="50" w:type="dxa"/>
              <w:left w:w="90" w:type="dxa"/>
              <w:right w:w="90" w:type="dxa"/>
            </w:tcMar>
            <w:vAlign w:val="center"/>
          </w:tcPr>
          <w:p>
            <w:pPr>
              <w:pStyle w:val="BDOITableHeader"/>
            </w:pPr>
            <w:r>
              <w:rPr>
                <w:b/>
                <w:color w:val="FFFFFF"/>
                <w:sz w:val="16"/>
              </w:rPr>
              <w:t>bibs-jobs pods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bibs-integration pods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bibs-frontend pods (min / max)</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6"/>
              </w:rPr>
              <w:t>Worker nodes</w:t>
            </w:r>
          </w:p>
        </w:tc>
      </w:tr>
      <w:tr>
        <w:trPr>
          <w:cantSplit w:val="true"/>
        </w:trPr>
        <w:tc>
          <w:tcPr>
            <w:tcW w:type="dxa" w:w="1360"/>
            <w:tcMar>
              <w:top w:w="50" w:type="dxa"/>
              <w:bottom w:w="50" w:type="dxa"/>
              <w:left w:w="90" w:type="dxa"/>
              <w:right w:w="90" w:type="dxa"/>
            </w:tcMar>
          </w:tcPr>
          <w:p>
            <w:pPr>
              <w:pStyle w:val="BDOITable"/>
            </w:pPr>
            <w:r>
              <w:rPr>
                <w:b/>
                <w:sz w:val="16"/>
              </w:rPr>
              <w:t>DEV</w:t>
            </w:r>
          </w:p>
        </w:tc>
        <w:tc>
          <w:tcPr>
            <w:tcW w:type="dxa" w:w="1360"/>
            <w:tcMar>
              <w:top w:w="50" w:type="dxa"/>
              <w:bottom w:w="50" w:type="dxa"/>
              <w:left w:w="90" w:type="dxa"/>
              <w:right w:w="90" w:type="dxa"/>
            </w:tcMar>
          </w:tcPr>
          <w:p>
            <w:pPr>
              <w:pStyle w:val="BDOITable"/>
            </w:pPr>
            <w:r>
              <w:rPr>
                <w:sz w:val="16"/>
              </w:rPr>
              <w:t>1 / 2</w:t>
            </w:r>
          </w:p>
        </w:tc>
        <w:tc>
          <w:tcPr>
            <w:tcW w:type="dxa" w:w="1020"/>
            <w:tcMar>
              <w:top w:w="50" w:type="dxa"/>
              <w:bottom w:w="50" w:type="dxa"/>
              <w:left w:w="90" w:type="dxa"/>
              <w:right w:w="90" w:type="dxa"/>
            </w:tcMar>
          </w:tcPr>
          <w:p>
            <w:pPr>
              <w:pStyle w:val="BDOITable"/>
            </w:pPr>
            <w:r>
              <w:rPr>
                <w:sz w:val="16"/>
              </w:rPr>
              <w:t>1</w:t>
            </w:r>
          </w:p>
        </w:tc>
        <w:tc>
          <w:tcPr>
            <w:tcW w:type="dxa" w:w="1246"/>
            <w:tcMar>
              <w:top w:w="50" w:type="dxa"/>
              <w:bottom w:w="50" w:type="dxa"/>
              <w:left w:w="90" w:type="dxa"/>
              <w:right w:w="90" w:type="dxa"/>
            </w:tcMar>
          </w:tcPr>
          <w:p>
            <w:pPr>
              <w:pStyle w:val="BDOITable"/>
            </w:pPr>
            <w:r>
              <w:rPr>
                <w:sz w:val="16"/>
              </w:rPr>
              <w:t>1</w:t>
            </w:r>
          </w:p>
        </w:tc>
        <w:tc>
          <w:tcPr>
            <w:tcW w:type="dxa" w:w="1360"/>
            <w:tcMar>
              <w:top w:w="50" w:type="dxa"/>
              <w:bottom w:w="50" w:type="dxa"/>
              <w:left w:w="90" w:type="dxa"/>
              <w:right w:w="90" w:type="dxa"/>
            </w:tcMar>
          </w:tcPr>
          <w:p>
            <w:pPr>
              <w:pStyle w:val="BDOITable"/>
            </w:pPr>
            <w:r>
              <w:rPr>
                <w:sz w:val="16"/>
              </w:rPr>
              <w:t>1 / 2</w:t>
            </w:r>
          </w:p>
        </w:tc>
        <w:tc>
          <w:tcPr>
            <w:tcW w:type="dxa" w:w="3626"/>
            <w:tcMar>
              <w:top w:w="50" w:type="dxa"/>
              <w:bottom w:w="50" w:type="dxa"/>
              <w:left w:w="90" w:type="dxa"/>
              <w:right w:w="90" w:type="dxa"/>
            </w:tcMar>
          </w:tcPr>
          <w:p>
            <w:pPr>
              <w:pStyle w:val="BDOITable"/>
            </w:pPr>
            <w:r>
              <w:rPr>
                <w:sz w:val="16"/>
              </w:rPr>
              <w:t>2 x m5.xlarge (4 vCPU, 16 GiB)</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SIT</w:t>
            </w:r>
          </w:p>
        </w:tc>
        <w:tc>
          <w:tcPr>
            <w:tcW w:type="dxa" w:w="1360"/>
            <w:tcMar>
              <w:top w:w="50" w:type="dxa"/>
              <w:bottom w:w="50" w:type="dxa"/>
              <w:left w:w="90" w:type="dxa"/>
              <w:right w:w="90" w:type="dxa"/>
            </w:tcMar>
            <w:shd w:val="clear" w:color="auto" w:fill="E5F5FF"/>
          </w:tcPr>
          <w:p>
            <w:pPr>
              <w:pStyle w:val="BDOITable"/>
            </w:pPr>
            <w:r>
              <w:rPr>
                <w:sz w:val="16"/>
              </w:rPr>
              <w:t>2 / 3</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1</w:t>
            </w:r>
          </w:p>
        </w:tc>
        <w:tc>
          <w:tcPr>
            <w:tcW w:type="dxa" w:w="1360"/>
            <w:tcMar>
              <w:top w:w="50" w:type="dxa"/>
              <w:bottom w:w="50" w:type="dxa"/>
              <w:left w:w="90" w:type="dxa"/>
              <w:right w:w="90" w:type="dxa"/>
            </w:tcMar>
            <w:shd w:val="clear" w:color="auto" w:fill="E5F5FF"/>
          </w:tcPr>
          <w:p>
            <w:pPr>
              <w:pStyle w:val="BDOITable"/>
            </w:pPr>
            <w:r>
              <w:rPr>
                <w:sz w:val="16"/>
              </w:rPr>
              <w:t>2 / 2</w:t>
            </w:r>
          </w:p>
        </w:tc>
        <w:tc>
          <w:tcPr>
            <w:tcW w:type="dxa" w:w="3626"/>
            <w:tcMar>
              <w:top w:w="50" w:type="dxa"/>
              <w:bottom w:w="50" w:type="dxa"/>
              <w:left w:w="90" w:type="dxa"/>
              <w:right w:w="90" w:type="dxa"/>
            </w:tcMar>
            <w:shd w:val="clear" w:color="auto" w:fill="E5F5FF"/>
          </w:tcPr>
          <w:p>
            <w:pPr>
              <w:pStyle w:val="BDOITable"/>
            </w:pPr>
            <w:r>
              <w:rPr>
                <w:sz w:val="16"/>
              </w:rPr>
              <w:t>2 to 3 x m5.xlarge (4 vCPU, 16 GiB)</w:t>
            </w:r>
          </w:p>
        </w:tc>
      </w:tr>
      <w:tr>
        <w:trPr>
          <w:cantSplit w:val="true"/>
        </w:trPr>
        <w:tc>
          <w:tcPr>
            <w:tcW w:type="dxa" w:w="1360"/>
            <w:tcMar>
              <w:top w:w="50" w:type="dxa"/>
              <w:bottom w:w="50" w:type="dxa"/>
              <w:left w:w="90" w:type="dxa"/>
              <w:right w:w="90" w:type="dxa"/>
            </w:tcMar>
          </w:tcPr>
          <w:p>
            <w:pPr>
              <w:pStyle w:val="BDOITable"/>
            </w:pPr>
            <w:r>
              <w:rPr>
                <w:b/>
                <w:sz w:val="16"/>
              </w:rPr>
              <w:t>UAT</w:t>
            </w:r>
          </w:p>
        </w:tc>
        <w:tc>
          <w:tcPr>
            <w:tcW w:type="dxa" w:w="1360"/>
            <w:tcMar>
              <w:top w:w="50" w:type="dxa"/>
              <w:bottom w:w="50" w:type="dxa"/>
              <w:left w:w="90" w:type="dxa"/>
              <w:right w:w="90" w:type="dxa"/>
            </w:tcMar>
          </w:tcPr>
          <w:p>
            <w:pPr>
              <w:pStyle w:val="BDOITable"/>
            </w:pPr>
            <w:r>
              <w:rPr>
                <w:sz w:val="16"/>
              </w:rPr>
              <w:t>2 / 4</w:t>
            </w:r>
          </w:p>
        </w:tc>
        <w:tc>
          <w:tcPr>
            <w:tcW w:type="dxa" w:w="1020"/>
            <w:tcMar>
              <w:top w:w="50" w:type="dxa"/>
              <w:bottom w:w="50" w:type="dxa"/>
              <w:left w:w="90" w:type="dxa"/>
              <w:right w:w="90" w:type="dxa"/>
            </w:tcMar>
          </w:tcPr>
          <w:p>
            <w:pPr>
              <w:pStyle w:val="BDOITable"/>
            </w:pPr>
            <w:r>
              <w:rPr>
                <w:sz w:val="16"/>
              </w:rPr>
              <w:t>2</w:t>
            </w:r>
          </w:p>
        </w:tc>
        <w:tc>
          <w:tcPr>
            <w:tcW w:type="dxa" w:w="1246"/>
            <w:tcMar>
              <w:top w:w="50" w:type="dxa"/>
              <w:bottom w:w="50" w:type="dxa"/>
              <w:left w:w="90" w:type="dxa"/>
              <w:right w:w="90" w:type="dxa"/>
            </w:tcMar>
          </w:tcPr>
          <w:p>
            <w:pPr>
              <w:pStyle w:val="BDOITable"/>
            </w:pPr>
            <w:r>
              <w:rPr>
                <w:sz w:val="16"/>
              </w:rPr>
              <w:t>2</w:t>
            </w:r>
          </w:p>
        </w:tc>
        <w:tc>
          <w:tcPr>
            <w:tcW w:type="dxa" w:w="1360"/>
            <w:tcMar>
              <w:top w:w="50" w:type="dxa"/>
              <w:bottom w:w="50" w:type="dxa"/>
              <w:left w:w="90" w:type="dxa"/>
              <w:right w:w="90" w:type="dxa"/>
            </w:tcMar>
          </w:tcPr>
          <w:p>
            <w:pPr>
              <w:pStyle w:val="BDOITable"/>
            </w:pPr>
            <w:r>
              <w:rPr>
                <w:sz w:val="16"/>
              </w:rPr>
              <w:t>2 / 4</w:t>
            </w:r>
          </w:p>
        </w:tc>
        <w:tc>
          <w:tcPr>
            <w:tcW w:type="dxa" w:w="3626"/>
            <w:tcMar>
              <w:top w:w="50" w:type="dxa"/>
              <w:bottom w:w="50" w:type="dxa"/>
              <w:left w:w="90" w:type="dxa"/>
              <w:right w:w="90" w:type="dxa"/>
            </w:tcMar>
          </w:tcPr>
          <w:p>
            <w:pPr>
              <w:pStyle w:val="BDOITable"/>
            </w:pPr>
            <w:r>
              <w:rPr>
                <w:sz w:val="16"/>
              </w:rPr>
              <w:t>3 x m5.xlarge (4 vCPU, 16 GiB), one per zone</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Pre-Prod</w:t>
            </w:r>
          </w:p>
        </w:tc>
        <w:tc>
          <w:tcPr>
            <w:tcW w:type="dxa" w:w="1360"/>
            <w:tcMar>
              <w:top w:w="50" w:type="dxa"/>
              <w:bottom w:w="50" w:type="dxa"/>
              <w:left w:w="90" w:type="dxa"/>
              <w:right w:w="90" w:type="dxa"/>
            </w:tcMar>
            <w:shd w:val="clear" w:color="auto" w:fill="E5F5FF"/>
          </w:tcPr>
          <w:p>
            <w:pPr>
              <w:pStyle w:val="BDOITable"/>
            </w:pPr>
            <w:r>
              <w:rPr>
                <w:sz w:val="16"/>
              </w:rPr>
              <w:t>3 / 10</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2</w:t>
            </w:r>
          </w:p>
        </w:tc>
        <w:tc>
          <w:tcPr>
            <w:tcW w:type="dxa" w:w="1360"/>
            <w:tcMar>
              <w:top w:w="50" w:type="dxa"/>
              <w:bottom w:w="50" w:type="dxa"/>
              <w:left w:w="90" w:type="dxa"/>
              <w:right w:w="90" w:type="dxa"/>
            </w:tcMar>
            <w:shd w:val="clear" w:color="auto" w:fill="E5F5FF"/>
          </w:tcPr>
          <w:p>
            <w:pPr>
              <w:pStyle w:val="BDOITable"/>
            </w:pPr>
            <w:r>
              <w:rPr>
                <w:sz w:val="16"/>
              </w:rPr>
              <w:t>2 / 4</w:t>
            </w:r>
          </w:p>
        </w:tc>
        <w:tc>
          <w:tcPr>
            <w:tcW w:type="dxa" w:w="3626"/>
            <w:tcMar>
              <w:top w:w="50" w:type="dxa"/>
              <w:bottom w:w="50" w:type="dxa"/>
              <w:left w:w="90" w:type="dxa"/>
              <w:right w:w="90" w:type="dxa"/>
            </w:tcMar>
            <w:shd w:val="clear" w:color="auto" w:fill="E5F5FF"/>
          </w:tcPr>
          <w:p>
            <w:pPr>
              <w:pStyle w:val="BDOITable"/>
            </w:pPr>
            <w:r>
              <w:rPr>
                <w:sz w:val="16"/>
              </w:rPr>
              <w:t>3 to 6 x m5.2xlarge (8 vCPU, 32 GiB)</w:t>
            </w:r>
          </w:p>
        </w:tc>
      </w:tr>
      <w:tr>
        <w:trPr>
          <w:cantSplit w:val="true"/>
        </w:trPr>
        <w:tc>
          <w:tcPr>
            <w:tcW w:type="dxa" w:w="1360"/>
            <w:tcMar>
              <w:top w:w="50" w:type="dxa"/>
              <w:bottom w:w="50" w:type="dxa"/>
              <w:left w:w="90" w:type="dxa"/>
              <w:right w:w="90" w:type="dxa"/>
            </w:tcMar>
          </w:tcPr>
          <w:p>
            <w:pPr>
              <w:pStyle w:val="BDOITable"/>
            </w:pPr>
            <w:r>
              <w:rPr>
                <w:b/>
                <w:sz w:val="16"/>
              </w:rPr>
              <w:t>PROD Y1</w:t>
            </w:r>
          </w:p>
        </w:tc>
        <w:tc>
          <w:tcPr>
            <w:tcW w:type="dxa" w:w="1360"/>
            <w:tcMar>
              <w:top w:w="50" w:type="dxa"/>
              <w:bottom w:w="50" w:type="dxa"/>
              <w:left w:w="90" w:type="dxa"/>
              <w:right w:w="90" w:type="dxa"/>
            </w:tcMar>
          </w:tcPr>
          <w:p>
            <w:pPr>
              <w:pStyle w:val="BDOITable"/>
            </w:pPr>
            <w:r>
              <w:rPr>
                <w:sz w:val="16"/>
              </w:rPr>
              <w:t>3 / 10</w:t>
            </w:r>
          </w:p>
        </w:tc>
        <w:tc>
          <w:tcPr>
            <w:tcW w:type="dxa" w:w="1020"/>
            <w:tcMar>
              <w:top w:w="50" w:type="dxa"/>
              <w:bottom w:w="50" w:type="dxa"/>
              <w:left w:w="90" w:type="dxa"/>
              <w:right w:w="90" w:type="dxa"/>
            </w:tcMar>
          </w:tcPr>
          <w:p>
            <w:pPr>
              <w:pStyle w:val="BDOITable"/>
            </w:pPr>
            <w:r>
              <w:rPr>
                <w:sz w:val="16"/>
              </w:rPr>
              <w:t>2</w:t>
            </w:r>
          </w:p>
        </w:tc>
        <w:tc>
          <w:tcPr>
            <w:tcW w:type="dxa" w:w="1246"/>
            <w:tcMar>
              <w:top w:w="50" w:type="dxa"/>
              <w:bottom w:w="50" w:type="dxa"/>
              <w:left w:w="90" w:type="dxa"/>
              <w:right w:w="90" w:type="dxa"/>
            </w:tcMar>
          </w:tcPr>
          <w:p>
            <w:pPr>
              <w:pStyle w:val="BDOITable"/>
            </w:pPr>
            <w:r>
              <w:rPr>
                <w:sz w:val="16"/>
              </w:rPr>
              <w:t>2</w:t>
            </w:r>
          </w:p>
        </w:tc>
        <w:tc>
          <w:tcPr>
            <w:tcW w:type="dxa" w:w="1360"/>
            <w:tcMar>
              <w:top w:w="50" w:type="dxa"/>
              <w:bottom w:w="50" w:type="dxa"/>
              <w:left w:w="90" w:type="dxa"/>
              <w:right w:w="90" w:type="dxa"/>
            </w:tcMar>
          </w:tcPr>
          <w:p>
            <w:pPr>
              <w:pStyle w:val="BDOITable"/>
            </w:pPr>
            <w:r>
              <w:rPr>
                <w:sz w:val="16"/>
              </w:rPr>
              <w:t>2 / 4</w:t>
            </w:r>
          </w:p>
        </w:tc>
        <w:tc>
          <w:tcPr>
            <w:tcW w:type="dxa" w:w="3626"/>
            <w:tcMar>
              <w:top w:w="50" w:type="dxa"/>
              <w:bottom w:w="50" w:type="dxa"/>
              <w:left w:w="90" w:type="dxa"/>
              <w:right w:w="90" w:type="dxa"/>
            </w:tcMar>
          </w:tcPr>
          <w:p>
            <w:pPr>
              <w:pStyle w:val="BDOITable"/>
            </w:pPr>
            <w:r>
              <w:rPr>
                <w:sz w:val="16"/>
              </w:rPr>
              <w:t>3 to 6 x m5.2xlarge (8 vCPU, 32 GiB), one or more per zone</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PROD Y5</w:t>
            </w:r>
          </w:p>
        </w:tc>
        <w:tc>
          <w:tcPr>
            <w:tcW w:type="dxa" w:w="1360"/>
            <w:tcMar>
              <w:top w:w="50" w:type="dxa"/>
              <w:bottom w:w="50" w:type="dxa"/>
              <w:left w:w="90" w:type="dxa"/>
              <w:right w:w="90" w:type="dxa"/>
            </w:tcMar>
            <w:shd w:val="clear" w:color="auto" w:fill="E5F5FF"/>
          </w:tcPr>
          <w:p>
            <w:pPr>
              <w:pStyle w:val="BDOITable"/>
            </w:pPr>
            <w:r>
              <w:rPr>
                <w:sz w:val="16"/>
              </w:rPr>
              <w:t>4 / 12</w:t>
            </w:r>
          </w:p>
        </w:tc>
        <w:tc>
          <w:tcPr>
            <w:tcW w:type="dxa" w:w="1020"/>
            <w:tcMar>
              <w:top w:w="50" w:type="dxa"/>
              <w:bottom w:w="50" w:type="dxa"/>
              <w:left w:w="90" w:type="dxa"/>
              <w:right w:w="90" w:type="dxa"/>
            </w:tcMar>
            <w:shd w:val="clear" w:color="auto" w:fill="E5F5FF"/>
          </w:tcPr>
          <w:p>
            <w:pPr>
              <w:pStyle w:val="BDOITable"/>
            </w:pPr>
            <w:r>
              <w:rPr>
                <w:sz w:val="16"/>
              </w:rPr>
              <w:t>2</w:t>
            </w:r>
          </w:p>
        </w:tc>
        <w:tc>
          <w:tcPr>
            <w:tcW w:type="dxa" w:w="1246"/>
            <w:tcMar>
              <w:top w:w="50" w:type="dxa"/>
              <w:bottom w:w="50" w:type="dxa"/>
              <w:left w:w="90" w:type="dxa"/>
              <w:right w:w="90" w:type="dxa"/>
            </w:tcMar>
            <w:shd w:val="clear" w:color="auto" w:fill="E5F5FF"/>
          </w:tcPr>
          <w:p>
            <w:pPr>
              <w:pStyle w:val="BDOITable"/>
            </w:pPr>
            <w:r>
              <w:rPr>
                <w:sz w:val="16"/>
              </w:rPr>
              <w:t>2</w:t>
            </w:r>
          </w:p>
        </w:tc>
        <w:tc>
          <w:tcPr>
            <w:tcW w:type="dxa" w:w="1360"/>
            <w:tcMar>
              <w:top w:w="50" w:type="dxa"/>
              <w:bottom w:w="50" w:type="dxa"/>
              <w:left w:w="90" w:type="dxa"/>
              <w:right w:w="90" w:type="dxa"/>
            </w:tcMar>
            <w:shd w:val="clear" w:color="auto" w:fill="E5F5FF"/>
          </w:tcPr>
          <w:p>
            <w:pPr>
              <w:pStyle w:val="BDOITable"/>
            </w:pPr>
            <w:r>
              <w:rPr>
                <w:sz w:val="16"/>
              </w:rPr>
              <w:t>2 / 4</w:t>
            </w:r>
          </w:p>
        </w:tc>
        <w:tc>
          <w:tcPr>
            <w:tcW w:type="dxa" w:w="3626"/>
            <w:tcMar>
              <w:top w:w="50" w:type="dxa"/>
              <w:bottom w:w="50" w:type="dxa"/>
              <w:left w:w="90" w:type="dxa"/>
              <w:right w:w="90" w:type="dxa"/>
            </w:tcMar>
            <w:shd w:val="clear" w:color="auto" w:fill="E5F5FF"/>
          </w:tcPr>
          <w:p>
            <w:pPr>
              <w:pStyle w:val="BDOITable"/>
            </w:pPr>
            <w:r>
              <w:rPr>
                <w:sz w:val="16"/>
              </w:rPr>
              <w:t>4 to 8 x m5.2xlarge (15 % growth a year, proved by the performance test)</w:t>
            </w:r>
          </w:p>
        </w:tc>
      </w:tr>
      <w:tr>
        <w:trPr>
          <w:cantSplit w:val="true"/>
        </w:trPr>
        <w:tc>
          <w:tcPr>
            <w:tcW w:type="dxa" w:w="1360"/>
            <w:tcMar>
              <w:top w:w="50" w:type="dxa"/>
              <w:bottom w:w="50" w:type="dxa"/>
              <w:left w:w="90" w:type="dxa"/>
              <w:right w:w="90" w:type="dxa"/>
            </w:tcMar>
          </w:tcPr>
          <w:p>
            <w:pPr>
              <w:pStyle w:val="BDOITable"/>
            </w:pPr>
            <w:r>
              <w:rPr>
                <w:b/>
                <w:sz w:val="16"/>
              </w:rPr>
              <w:t>DR standby</w:t>
            </w:r>
          </w:p>
        </w:tc>
        <w:tc>
          <w:tcPr>
            <w:tcW w:type="dxa" w:w="1360"/>
            <w:tcMar>
              <w:top w:w="50" w:type="dxa"/>
              <w:bottom w:w="50" w:type="dxa"/>
              <w:left w:w="90" w:type="dxa"/>
              <w:right w:w="90" w:type="dxa"/>
            </w:tcMar>
          </w:tcPr>
          <w:p>
            <w:pPr>
              <w:pStyle w:val="BDOITable"/>
            </w:pPr>
            <w:r>
              <w:rPr>
                <w:sz w:val="16"/>
              </w:rPr>
              <w:t>1 / 10</w:t>
            </w:r>
          </w:p>
        </w:tc>
        <w:tc>
          <w:tcPr>
            <w:tcW w:type="dxa" w:w="1020"/>
            <w:tcMar>
              <w:top w:w="50" w:type="dxa"/>
              <w:bottom w:w="50" w:type="dxa"/>
              <w:left w:w="90" w:type="dxa"/>
              <w:right w:w="90" w:type="dxa"/>
            </w:tcMar>
          </w:tcPr>
          <w:p>
            <w:pPr>
              <w:pStyle w:val="BDOITable"/>
            </w:pPr>
            <w:r>
              <w:rPr>
                <w:sz w:val="16"/>
              </w:rPr>
              <w:t>0</w:t>
            </w:r>
          </w:p>
        </w:tc>
        <w:tc>
          <w:tcPr>
            <w:tcW w:type="dxa" w:w="1246"/>
            <w:tcMar>
              <w:top w:w="50" w:type="dxa"/>
              <w:bottom w:w="50" w:type="dxa"/>
              <w:left w:w="90" w:type="dxa"/>
              <w:right w:w="90" w:type="dxa"/>
            </w:tcMar>
          </w:tcPr>
          <w:p>
            <w:pPr>
              <w:pStyle w:val="BDOITable"/>
            </w:pPr>
            <w:r>
              <w:rPr>
                <w:sz w:val="16"/>
              </w:rPr>
              <w:t>0</w:t>
            </w:r>
          </w:p>
        </w:tc>
        <w:tc>
          <w:tcPr>
            <w:tcW w:type="dxa" w:w="1360"/>
            <w:tcMar>
              <w:top w:w="50" w:type="dxa"/>
              <w:bottom w:w="50" w:type="dxa"/>
              <w:left w:w="90" w:type="dxa"/>
              <w:right w:w="90" w:type="dxa"/>
            </w:tcMar>
          </w:tcPr>
          <w:p>
            <w:pPr>
              <w:pStyle w:val="BDOITable"/>
            </w:pPr>
            <w:r>
              <w:rPr>
                <w:sz w:val="16"/>
              </w:rPr>
              <w:t>1 / 4</w:t>
            </w:r>
          </w:p>
        </w:tc>
        <w:tc>
          <w:tcPr>
            <w:tcW w:type="dxa" w:w="3626"/>
            <w:tcMar>
              <w:top w:w="50" w:type="dxa"/>
              <w:bottom w:w="50" w:type="dxa"/>
              <w:left w:w="90" w:type="dxa"/>
              <w:right w:w="90" w:type="dxa"/>
            </w:tcMar>
          </w:tcPr>
          <w:p>
            <w:pPr>
              <w:pStyle w:val="BDOITable"/>
            </w:pPr>
            <w:r>
              <w:rPr>
                <w:sz w:val="16"/>
              </w:rPr>
              <w:t>2 x m5.2xlarge, scaled to the PROD node count at failover</w:t>
            </w:r>
          </w:p>
        </w:tc>
      </w:tr>
    </w:tbl>
    <w:p>
      <w:pPr>
        <w:pStyle w:val="BDOISpacer"/>
      </w:pPr>
    </w:p>
    <w:p>
      <w:r>
        <w:rPr/>
        <w:t>The node sizes follow from the requests of the workloads. In PROD at the peak of 10 bibs-web pods the four workloads request 13.2 vCPU and about 30 GiB; with the cluster add-ons about 16 vCPU and 34 GiB, which three m5.2xlarge nodes (24 vCPU, 96 GiB) carry at about two thirds of their CPU. The IER asks for three m5.4xlarge nodes (48 vCPU, 192 GiB) in PROD year 1, sized for ten microservices; the smaller nodes are proposed (DA-05) and proved by the performance test on Pre-Prod.</w:t>
      </w:r>
    </w:p>
    <w:p>
      <w:pPr>
        <w:keepNext/>
        <w:spacing w:before="80" w:after="0"/>
        <w:jc w:val="center"/>
      </w:pPr>
      <w:r>
        <w:drawing>
          <wp:inline xmlns:a="http://schemas.openxmlformats.org/drawingml/2006/main" xmlns:pic="http://schemas.openxmlformats.org/drawingml/2006/picture">
            <wp:extent cx="5760000" cy="2390131"/>
            <wp:docPr id="4" name="Picture 4"/>
            <wp:cNvGraphicFramePr>
              <a:graphicFrameLocks noChangeAspect="1"/>
            </wp:cNvGraphicFramePr>
            <a:graphic>
              <a:graphicData uri="http://schemas.openxmlformats.org/drawingml/2006/picture">
                <pic:pic>
                  <pic:nvPicPr>
                    <pic:cNvPr id="0" name="da_topology_1070.jpg"/>
                    <pic:cNvPicPr/>
                  </pic:nvPicPr>
                  <pic:blipFill>
                    <a:blip r:embed="rId16"/>
                    <a:stretch>
                      <a:fillRect/>
                    </a:stretch>
                  </pic:blipFill>
                  <pic:spPr>
                    <a:xfrm>
                      <a:off x="0" y="0"/>
                      <a:ext cx="5760000" cy="2390131"/>
                    </a:xfrm>
                    <a:prstGeom prst="rect"/>
                  </pic:spPr>
                </pic:pic>
              </a:graphicData>
            </a:graphic>
          </wp:inline>
        </w:drawing>
      </w:r>
    </w:p>
    <w:p>
      <w:pPr>
        <w:pStyle w:val="Caption"/>
        <w:jc w:val="center"/>
      </w:pPr>
      <w:r>
        <w:rPr>
          <w:b/>
          <w:i w:val="0"/>
        </w:rPr>
        <w:t xml:space="preserve">Figure 2: </w:t>
      </w:r>
      <w:r>
        <w:rPr/>
        <w:t>Production cluster topology</w:t>
      </w:r>
    </w:p>
    <w:p>
      <w:pPr>
        <w:pStyle w:val="Heading1"/>
        <w:pBdr>
          <w:bottom w:val="single" w:sz="4" w:space="4" w:color="99C1E7"/>
        </w:pBdr>
      </w:pPr>
      <w:bookmarkStart w:id="115" w:name="_Toc000115"/>
      <w:r>
        <w:rPr/>
        <w:t>5 Gateway API routing</w:t>
      </w:r>
      <w:bookmarkEnd w:id="115"/>
    </w:p>
    <w:p>
      <w:pPr>
        <w:pStyle w:val="Heading2"/>
      </w:pPr>
      <w:bookmarkStart w:id="116" w:name="_Toc000116"/>
      <w:r>
        <w:rPr/>
        <w:t>5.1 Routing</w:t>
      </w:r>
      <w:bookmarkEnd w:id="116"/>
    </w:p>
    <w:p>
      <w:r>
        <w:rPr/>
        <w:t>The edge uses the Kubernetes Gateway API (ADR-06). The Kubernetes project retired ingress-nginx in March 2026; BIBS uses neither ingress-nginx nor Ingress resources.</w:t>
      </w:r>
    </w:p>
    <w:p>
      <w:pPr>
        <w:keepNext/>
        <w:spacing w:before="80" w:after="0"/>
        <w:jc w:val="center"/>
      </w:pPr>
      <w:r>
        <w:drawing>
          <wp:inline xmlns:a="http://schemas.openxmlformats.org/drawingml/2006/main" xmlns:pic="http://schemas.openxmlformats.org/drawingml/2006/picture">
            <wp:extent cx="5400000" cy="3757926"/>
            <wp:docPr id="5" name="Picture 5"/>
            <wp:cNvGraphicFramePr>
              <a:graphicFrameLocks noChangeAspect="1"/>
            </wp:cNvGraphicFramePr>
            <a:graphic>
              <a:graphicData uri="http://schemas.openxmlformats.org/drawingml/2006/picture">
                <pic:pic>
                  <pic:nvPicPr>
                    <pic:cNvPr id="0" name="da_gateway_1003.jpg"/>
                    <pic:cNvPicPr/>
                  </pic:nvPicPr>
                  <pic:blipFill>
                    <a:blip r:embed="rId17"/>
                    <a:stretch>
                      <a:fillRect/>
                    </a:stretch>
                  </pic:blipFill>
                  <pic:spPr>
                    <a:xfrm>
                      <a:off x="0" y="0"/>
                      <a:ext cx="5400000" cy="3757926"/>
                    </a:xfrm>
                    <a:prstGeom prst="rect"/>
                  </pic:spPr>
                </pic:pic>
              </a:graphicData>
            </a:graphic>
          </wp:inline>
        </w:drawing>
      </w:r>
    </w:p>
    <w:p>
      <w:pPr>
        <w:pStyle w:val="Caption"/>
        <w:jc w:val="center"/>
      </w:pPr>
      <w:r>
        <w:rPr>
          <w:b/>
          <w:i w:val="0"/>
        </w:rPr>
        <w:t xml:space="preserve">Figure 3: </w:t>
      </w:r>
      <w:r>
        <w:rPr/>
        <w:t>Edge routing with the Kubernetes Gateway API</w:t>
      </w:r>
    </w:p>
    <w:p>
      <w:pPr>
        <w:pStyle w:val="Caption"/>
        <w:keepNext/>
        <w:spacing w:after="60"/>
      </w:pPr>
      <w:r>
        <w:rPr>
          <w:b/>
          <w:i w:val="0"/>
        </w:rPr>
        <w:t xml:space="preserve">Table 9: </w:t>
      </w:r>
      <w:r>
        <w:rPr/>
        <w:t>Gateway API resources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2379"/>
        <w:gridCol w:w="2379"/>
        <w:gridCol w:w="317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Resource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7"/>
              </w:rPr>
              <w:t>Target</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7"/>
              </w:rPr>
              <w:t>Notes</w:t>
            </w:r>
          </w:p>
        </w:tc>
      </w:tr>
      <w:tr>
        <w:trPr>
          <w:cantSplit w:val="true"/>
        </w:trPr>
        <w:tc>
          <w:tcPr>
            <w:tcW w:type="dxa" w:w="2040"/>
            <w:tcMar>
              <w:top w:w="50" w:type="dxa"/>
              <w:bottom w:w="50" w:type="dxa"/>
              <w:left w:w="90" w:type="dxa"/>
              <w:right w:w="90" w:type="dxa"/>
            </w:tcMar>
          </w:tcPr>
          <w:p>
            <w:pPr>
              <w:pStyle w:val="BDOITable"/>
            </w:pPr>
            <w:r>
              <w:rPr>
                <w:b/>
                <w:sz w:val="17"/>
              </w:rPr>
              <w:t>Gateway bibs</w:t>
            </w:r>
          </w:p>
        </w:tc>
        <w:tc>
          <w:tcPr>
            <w:tcW w:type="dxa" w:w="2380"/>
            <w:tcMar>
              <w:top w:w="50" w:type="dxa"/>
              <w:bottom w:w="50" w:type="dxa"/>
              <w:left w:w="90" w:type="dxa"/>
              <w:right w:w="90" w:type="dxa"/>
            </w:tcMar>
          </w:tcPr>
          <w:p>
            <w:pPr>
              <w:pStyle w:val="BDOITable"/>
            </w:pPr>
            <w:r>
              <w:rPr>
                <w:sz w:val="17"/>
              </w:rPr>
              <w:t>Listener https, HTTPS on 443, host name of BIBS, routes from the same namespace only</w:t>
            </w:r>
          </w:p>
        </w:tc>
        <w:tc>
          <w:tcPr>
            <w:tcW w:type="dxa" w:w="2380"/>
            <w:tcMar>
              <w:top w:w="50" w:type="dxa"/>
              <w:bottom w:w="50" w:type="dxa"/>
              <w:left w:w="90" w:type="dxa"/>
              <w:right w:w="90" w:type="dxa"/>
            </w:tcMar>
          </w:tcPr>
          <w:p>
            <w:pPr>
              <w:pStyle w:val="BDOITable"/>
            </w:pPr>
            <w:r>
              <w:rPr>
                <w:sz w:val="17"/>
              </w:rPr>
              <w:t>-</w:t>
            </w:r>
          </w:p>
        </w:tc>
        <w:tc>
          <w:tcPr>
            <w:tcW w:type="dxa" w:w="3173"/>
            <w:tcMar>
              <w:top w:w="50" w:type="dxa"/>
              <w:bottom w:w="50" w:type="dxa"/>
              <w:left w:w="90" w:type="dxa"/>
              <w:right w:w="90" w:type="dxa"/>
            </w:tcMar>
          </w:tcPr>
          <w:p>
            <w:pPr>
              <w:pStyle w:val="BDOITable"/>
            </w:pPr>
            <w:r>
              <w:rPr>
                <w:sz w:val="17"/>
              </w:rPr>
              <w:t>GatewayClass bibs-alb (default) or bibs-envoy, chosen by the overlay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HTTPRoute bibs-users</w:t>
            </w:r>
          </w:p>
        </w:tc>
        <w:tc>
          <w:tcPr>
            <w:tcW w:type="dxa" w:w="2380"/>
            <w:tcMar>
              <w:top w:w="50" w:type="dxa"/>
              <w:bottom w:w="50" w:type="dxa"/>
              <w:left w:w="90" w:type="dxa"/>
              <w:right w:w="90" w:type="dxa"/>
            </w:tcMar>
            <w:shd w:val="clear" w:color="auto" w:fill="E5F5FF"/>
          </w:tcPr>
          <w:p>
            <w:pPr>
              <w:pStyle w:val="BDOITable"/>
            </w:pPr>
            <w:r>
              <w:rPr>
                <w:sz w:val="17"/>
              </w:rPr>
              <w:t>Path prefix api</w:t>
            </w:r>
          </w:p>
        </w:tc>
        <w:tc>
          <w:tcPr>
            <w:tcW w:type="dxa" w:w="2380"/>
            <w:tcMar>
              <w:top w:w="50" w:type="dxa"/>
              <w:bottom w:w="50" w:type="dxa"/>
              <w:left w:w="90" w:type="dxa"/>
              <w:right w:w="90" w:type="dxa"/>
            </w:tcMar>
            <w:shd w:val="clear" w:color="auto" w:fill="E5F5FF"/>
          </w:tcPr>
          <w:p>
            <w:pPr>
              <w:pStyle w:val="BDOITable"/>
            </w:pPr>
            <w:r>
              <w:rPr>
                <w:sz w:val="17"/>
              </w:rPr>
              <w:t>bibs-web:8443</w:t>
            </w:r>
          </w:p>
        </w:tc>
        <w:tc>
          <w:tcPr>
            <w:tcW w:type="dxa" w:w="3173"/>
            <w:tcMar>
              <w:top w:w="50" w:type="dxa"/>
              <w:bottom w:w="50" w:type="dxa"/>
              <w:left w:w="90" w:type="dxa"/>
              <w:right w:w="90" w:type="dxa"/>
            </w:tcMar>
            <w:shd w:val="clear" w:color="auto" w:fill="E5F5FF"/>
          </w:tcPr>
          <w:p>
            <w:pPr>
              <w:pStyle w:val="BDOITable"/>
            </w:pPr>
            <w:r>
              <w:rPr>
                <w:sz w:val="17"/>
              </w:rPr>
              <w:t>Screens' calls to the backend</w:t>
            </w:r>
          </w:p>
        </w:tc>
      </w:tr>
      <w:tr>
        <w:trPr>
          <w:cantSplit w:val="true"/>
        </w:trPr>
        <w:tc>
          <w:tcPr>
            <w:tcW w:type="dxa" w:w="2040"/>
            <w:tcMar>
              <w:top w:w="50" w:type="dxa"/>
              <w:bottom w:w="50" w:type="dxa"/>
              <w:left w:w="90" w:type="dxa"/>
              <w:right w:w="90" w:type="dxa"/>
            </w:tcMar>
          </w:tcPr>
          <w:p>
            <w:pPr>
              <w:pStyle w:val="BDOITable"/>
            </w:pPr>
            <w:r>
              <w:rPr>
                <w:b/>
                <w:sz w:val="17"/>
              </w:rPr>
              <w:t>HTTPRoute bibs-users</w:t>
            </w:r>
          </w:p>
        </w:tc>
        <w:tc>
          <w:tcPr>
            <w:tcW w:type="dxa" w:w="2380"/>
            <w:tcMar>
              <w:top w:w="50" w:type="dxa"/>
              <w:bottom w:w="50" w:type="dxa"/>
              <w:left w:w="90" w:type="dxa"/>
              <w:right w:w="90" w:type="dxa"/>
            </w:tcMar>
          </w:tcPr>
          <w:p>
            <w:pPr>
              <w:pStyle w:val="BDOITable"/>
            </w:pPr>
            <w:r>
              <w:rPr>
                <w:sz w:val="17"/>
              </w:rPr>
              <w:t>Path prefix /</w:t>
            </w:r>
          </w:p>
        </w:tc>
        <w:tc>
          <w:tcPr>
            <w:tcW w:type="dxa" w:w="2380"/>
            <w:tcMar>
              <w:top w:w="50" w:type="dxa"/>
              <w:bottom w:w="50" w:type="dxa"/>
              <w:left w:w="90" w:type="dxa"/>
              <w:right w:w="90" w:type="dxa"/>
            </w:tcMar>
          </w:tcPr>
          <w:p>
            <w:pPr>
              <w:pStyle w:val="BDOITable"/>
            </w:pPr>
            <w:r>
              <w:rPr>
                <w:sz w:val="17"/>
              </w:rPr>
              <w:t>bibs-frontend:8443</w:t>
            </w:r>
          </w:p>
        </w:tc>
        <w:tc>
          <w:tcPr>
            <w:tcW w:type="dxa" w:w="3173"/>
            <w:tcMar>
              <w:top w:w="50" w:type="dxa"/>
              <w:bottom w:w="50" w:type="dxa"/>
              <w:left w:w="90" w:type="dxa"/>
              <w:right w:w="90" w:type="dxa"/>
            </w:tcMar>
          </w:tcPr>
          <w:p>
            <w:pPr>
              <w:pStyle w:val="BDOITable"/>
            </w:pPr>
            <w:r>
              <w:rPr>
                <w:sz w:val="17"/>
              </w:rPr>
              <w:t>The web client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HTTPRoute bibs-integration</w:t>
            </w:r>
          </w:p>
        </w:tc>
        <w:tc>
          <w:tcPr>
            <w:tcW w:type="dxa" w:w="2380"/>
            <w:tcMar>
              <w:top w:w="50" w:type="dxa"/>
              <w:bottom w:w="50" w:type="dxa"/>
              <w:left w:w="90" w:type="dxa"/>
              <w:right w:w="90" w:type="dxa"/>
            </w:tcMar>
            <w:shd w:val="clear" w:color="auto" w:fill="E5F5FF"/>
          </w:tcPr>
          <w:p>
            <w:pPr>
              <w:pStyle w:val="BDOITable"/>
            </w:pPr>
            <w:r>
              <w:rPr>
                <w:sz w:val="17"/>
              </w:rPr>
              <w:t>Path prefix integration</w:t>
            </w:r>
          </w:p>
        </w:tc>
        <w:tc>
          <w:tcPr>
            <w:tcW w:type="dxa" w:w="2380"/>
            <w:tcMar>
              <w:top w:w="50" w:type="dxa"/>
              <w:bottom w:w="50" w:type="dxa"/>
              <w:left w:w="90" w:type="dxa"/>
              <w:right w:w="90" w:type="dxa"/>
            </w:tcMar>
            <w:shd w:val="clear" w:color="auto" w:fill="E5F5FF"/>
          </w:tcPr>
          <w:p>
            <w:pPr>
              <w:pStyle w:val="BDOITable"/>
            </w:pPr>
            <w:r>
              <w:rPr>
                <w:sz w:val="17"/>
              </w:rPr>
              <w:t>bibs-integration:8443</w:t>
            </w:r>
          </w:p>
        </w:tc>
        <w:tc>
          <w:tcPr>
            <w:tcW w:type="dxa" w:w="3173"/>
            <w:tcMar>
              <w:top w:w="50" w:type="dxa"/>
              <w:bottom w:w="50" w:type="dxa"/>
              <w:left w:w="90" w:type="dxa"/>
              <w:right w:w="90" w:type="dxa"/>
            </w:tcMar>
            <w:shd w:val="clear" w:color="auto" w:fill="E5F5FF"/>
          </w:tcPr>
          <w:p>
            <w:pPr>
              <w:pStyle w:val="BDOITable"/>
            </w:pPr>
            <w:r>
              <w:rPr>
                <w:sz w:val="17"/>
              </w:rPr>
              <w:t>System integration through Apigee X only</w:t>
            </w:r>
          </w:p>
        </w:tc>
      </w:tr>
    </w:tbl>
    <w:p>
      <w:pPr>
        <w:pStyle w:val="BDOISpacer"/>
      </w:pPr>
    </w:p>
    <w:p>
      <w:r>
        <w:rPr/>
        <w:t>The longest matching prefix wins, so the api and integration prefixes never reach the frontend route and no rule ordering is needed. Inside BIBS, the runtime role filter answers 404 for a path that the workload does not serve.</w:t>
      </w:r>
    </w:p>
    <w:p>
      <w:pPr>
        <w:pStyle w:val="Heading2"/>
      </w:pPr>
      <w:bookmarkStart w:id="117" w:name="_Toc000117"/>
      <w:r>
        <w:rPr/>
        <w:t>5.2 Load balancer and WAF settings</w:t>
      </w:r>
      <w:bookmarkEnd w:id="117"/>
    </w:p>
    <w:p>
      <w:pPr>
        <w:pStyle w:val="Caption"/>
        <w:keepNext/>
        <w:spacing w:after="60"/>
      </w:pPr>
      <w:r>
        <w:rPr>
          <w:b/>
          <w:i w:val="0"/>
        </w:rPr>
        <w:t xml:space="preserve">Table 10: </w:t>
      </w:r>
      <w:r>
        <w:rPr/>
        <w:t>Settings of the default controller (AWS Load Balancer Controller)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736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7"/>
              </w:rPr>
              <w:t>Setting</w:t>
            </w:r>
          </w:p>
        </w:tc>
        <w:tc>
          <w:tcPr>
            <w:tcW w:type="dxa" w:w="7366"/>
            <w:shd w:val="clear" w:color="auto" w:fill="004EA8"/>
            <w:tcMar>
              <w:top w:w="50" w:type="dxa"/>
              <w:bottom w:w="50" w:type="dxa"/>
              <w:left w:w="90" w:type="dxa"/>
              <w:right w:w="90" w:type="dxa"/>
            </w:tcMar>
            <w:vAlign w:val="center"/>
          </w:tcPr>
          <w:p>
            <w:pPr>
              <w:pStyle w:val="BDOITableHeader"/>
            </w:pPr>
            <w:r>
              <w:rPr>
                <w:b/>
                <w:color w:val="FFFFFF"/>
                <w:sz w:val="17"/>
              </w:rPr>
              <w:t>Value</w:t>
            </w:r>
          </w:p>
        </w:tc>
      </w:tr>
      <w:tr>
        <w:trPr>
          <w:cantSplit w:val="true"/>
        </w:trPr>
        <w:tc>
          <w:tcPr>
            <w:tcW w:type="dxa" w:w="2606"/>
            <w:tcMar>
              <w:top w:w="50" w:type="dxa"/>
              <w:bottom w:w="50" w:type="dxa"/>
              <w:left w:w="90" w:type="dxa"/>
              <w:right w:w="90" w:type="dxa"/>
            </w:tcMar>
          </w:tcPr>
          <w:p>
            <w:pPr>
              <w:pStyle w:val="BDOITable"/>
            </w:pPr>
            <w:r>
              <w:rPr>
                <w:b/>
                <w:sz w:val="17"/>
              </w:rPr>
              <w:t>Scheme</w:t>
            </w:r>
          </w:p>
        </w:tc>
        <w:tc>
          <w:tcPr>
            <w:tcW w:type="dxa" w:w="7366"/>
            <w:tcMar>
              <w:top w:w="50" w:type="dxa"/>
              <w:bottom w:w="50" w:type="dxa"/>
              <w:left w:w="90" w:type="dxa"/>
              <w:right w:w="90" w:type="dxa"/>
            </w:tcMar>
          </w:tcPr>
          <w:p>
            <w:pPr>
              <w:pStyle w:val="BDOITable"/>
            </w:pPr>
            <w:r>
              <w:rPr>
                <w:sz w:val="17"/>
              </w:rPr>
              <w:t>Internal Application Load Balancer; no public exposure</w:t>
            </w:r>
          </w:p>
        </w:tc>
      </w:tr>
      <w:tr>
        <w:trPr>
          <w:cantSplit w:val="true"/>
        </w:trPr>
        <w:tc>
          <w:tcPr>
            <w:tcW w:type="dxa" w:w="2606"/>
            <w:tcMar>
              <w:top w:w="50" w:type="dxa"/>
              <w:bottom w:w="50" w:type="dxa"/>
              <w:left w:w="90" w:type="dxa"/>
              <w:right w:w="90" w:type="dxa"/>
            </w:tcMar>
            <w:shd w:val="clear" w:color="auto" w:fill="E5F5FF"/>
          </w:tcPr>
          <w:p>
            <w:pPr>
              <w:pStyle w:val="BDOITable"/>
            </w:pPr>
            <w:r>
              <w:rPr>
                <w:b/>
                <w:sz w:val="17"/>
              </w:rPr>
              <w:t>Listener</w:t>
            </w:r>
          </w:p>
        </w:tc>
        <w:tc>
          <w:tcPr>
            <w:tcW w:type="dxa" w:w="7366"/>
            <w:tcMar>
              <w:top w:w="50" w:type="dxa"/>
              <w:bottom w:w="50" w:type="dxa"/>
              <w:left w:w="90" w:type="dxa"/>
              <w:right w:w="90" w:type="dxa"/>
            </w:tcMar>
            <w:shd w:val="clear" w:color="auto" w:fill="E5F5FF"/>
          </w:tcPr>
          <w:p>
            <w:pPr>
              <w:pStyle w:val="BDOITable"/>
            </w:pPr>
            <w:r>
              <w:rPr>
                <w:sz w:val="17"/>
              </w:rPr>
              <w:t>HTTPS 443 only; ACM certificate on the BDO domain (issued under the BDO corporate PKI or by ACM, DA-03); TLS policy ELBSecurityPolicy-TLS13-1-2-2021-06</w:t>
            </w:r>
          </w:p>
        </w:tc>
      </w:tr>
      <w:tr>
        <w:trPr>
          <w:cantSplit w:val="true"/>
        </w:trPr>
        <w:tc>
          <w:tcPr>
            <w:tcW w:type="dxa" w:w="2606"/>
            <w:tcMar>
              <w:top w:w="50" w:type="dxa"/>
              <w:bottom w:w="50" w:type="dxa"/>
              <w:left w:w="90" w:type="dxa"/>
              <w:right w:w="90" w:type="dxa"/>
            </w:tcMar>
          </w:tcPr>
          <w:p>
            <w:pPr>
              <w:pStyle w:val="BDOITable"/>
            </w:pPr>
            <w:r>
              <w:rPr>
                <w:b/>
                <w:sz w:val="17"/>
              </w:rPr>
              <w:t>Target groups</w:t>
            </w:r>
          </w:p>
        </w:tc>
        <w:tc>
          <w:tcPr>
            <w:tcW w:type="dxa" w:w="7366"/>
            <w:tcMar>
              <w:top w:w="50" w:type="dxa"/>
              <w:bottom w:w="50" w:type="dxa"/>
              <w:left w:w="90" w:type="dxa"/>
              <w:right w:w="90" w:type="dxa"/>
            </w:tcMar>
          </w:tcPr>
          <w:p>
            <w:pPr>
              <w:pStyle w:val="BDOITable"/>
            </w:pPr>
            <w:r>
              <w:rPr>
                <w:sz w:val="17"/>
              </w:rPr>
              <w:t>Target type ip; HTTPS to the pods; health checks readyz (backend) and healthz (frontend)</w:t>
            </w:r>
          </w:p>
        </w:tc>
      </w:tr>
      <w:tr>
        <w:trPr>
          <w:cantSplit w:val="true"/>
        </w:trPr>
        <w:tc>
          <w:tcPr>
            <w:tcW w:type="dxa" w:w="2606"/>
            <w:tcMar>
              <w:top w:w="50" w:type="dxa"/>
              <w:bottom w:w="50" w:type="dxa"/>
              <w:left w:w="90" w:type="dxa"/>
              <w:right w:w="90" w:type="dxa"/>
            </w:tcMar>
            <w:shd w:val="clear" w:color="auto" w:fill="E5F5FF"/>
          </w:tcPr>
          <w:p>
            <w:pPr>
              <w:pStyle w:val="BDOITable"/>
            </w:pPr>
            <w:r>
              <w:rPr>
                <w:b/>
                <w:sz w:val="17"/>
              </w:rPr>
              <w:t>Source ranges</w:t>
            </w:r>
          </w:p>
        </w:tc>
        <w:tc>
          <w:tcPr>
            <w:tcW w:type="dxa" w:w="7366"/>
            <w:tcMar>
              <w:top w:w="50" w:type="dxa"/>
              <w:bottom w:w="50" w:type="dxa"/>
              <w:left w:w="90" w:type="dxa"/>
              <w:right w:w="90" w:type="dxa"/>
            </w:tcMar>
            <w:shd w:val="clear" w:color="auto" w:fill="E5F5FF"/>
          </w:tcPr>
          <w:p>
            <w:pPr>
              <w:pStyle w:val="BDOITable"/>
            </w:pPr>
            <w:r>
              <w:rPr>
                <w:sz w:val="17"/>
              </w:rPr>
              <w:t>BDO client networks (Direct Connect, VPN, VDI) and the Apigee X private route, one aggregate range each</w:t>
            </w:r>
          </w:p>
        </w:tc>
      </w:tr>
      <w:tr>
        <w:trPr>
          <w:cantSplit w:val="true"/>
        </w:trPr>
        <w:tc>
          <w:tcPr>
            <w:tcW w:type="dxa" w:w="2606"/>
            <w:tcMar>
              <w:top w:w="50" w:type="dxa"/>
              <w:bottom w:w="50" w:type="dxa"/>
              <w:left w:w="90" w:type="dxa"/>
              <w:right w:w="90" w:type="dxa"/>
            </w:tcMar>
          </w:tcPr>
          <w:p>
            <w:pPr>
              <w:pStyle w:val="BDOITable"/>
            </w:pPr>
            <w:r>
              <w:rPr>
                <w:b/>
                <w:sz w:val="17"/>
              </w:rPr>
              <w:t>Attributes</w:t>
            </w:r>
          </w:p>
        </w:tc>
        <w:tc>
          <w:tcPr>
            <w:tcW w:type="dxa" w:w="7366"/>
            <w:tcMar>
              <w:top w:w="50" w:type="dxa"/>
              <w:bottom w:w="50" w:type="dxa"/>
              <w:left w:w="90" w:type="dxa"/>
              <w:right w:w="90" w:type="dxa"/>
            </w:tcMar>
          </w:tcPr>
          <w:p>
            <w:pPr>
              <w:pStyle w:val="BDOITable"/>
            </w:pPr>
            <w:r>
              <w:rPr>
                <w:sz w:val="17"/>
              </w:rPr>
              <w:t>Invalid header fields dropped; idle time-out 300 s (long reports and uploads)</w:t>
            </w:r>
          </w:p>
        </w:tc>
      </w:tr>
      <w:tr>
        <w:trPr>
          <w:cantSplit w:val="true"/>
        </w:trPr>
        <w:tc>
          <w:tcPr>
            <w:tcW w:type="dxa" w:w="2606"/>
            <w:tcMar>
              <w:top w:w="50" w:type="dxa"/>
              <w:bottom w:w="50" w:type="dxa"/>
              <w:left w:w="90" w:type="dxa"/>
              <w:right w:w="90" w:type="dxa"/>
            </w:tcMar>
            <w:shd w:val="clear" w:color="auto" w:fill="E5F5FF"/>
          </w:tcPr>
          <w:p>
            <w:pPr>
              <w:pStyle w:val="BDOITable"/>
            </w:pPr>
            <w:r>
              <w:rPr>
                <w:b/>
                <w:sz w:val="17"/>
              </w:rPr>
              <w:t>AWS WAF web ACL</w:t>
            </w:r>
          </w:p>
        </w:tc>
        <w:tc>
          <w:tcPr>
            <w:tcW w:type="dxa" w:w="7366"/>
            <w:tcMar>
              <w:top w:w="50" w:type="dxa"/>
              <w:bottom w:w="50" w:type="dxa"/>
              <w:left w:w="90" w:type="dxa"/>
              <w:right w:w="90" w:type="dxa"/>
            </w:tcMar>
            <w:shd w:val="clear" w:color="auto" w:fill="E5F5FF"/>
          </w:tcPr>
          <w:p>
            <w:pPr>
              <w:pStyle w:val="BDOITable"/>
            </w:pPr>
            <w:r>
              <w:rPr>
                <w:sz w:val="17"/>
              </w:rPr>
              <w:t>AWS managed rule groups (core rule set, known bad inputs, SQL injection); rate-based rule on the sign-in path on top of the in-application limit (20 per minute per address); the integration prefix admitted only from the Apigee ranges; the body-size rule of the core set counted for multipart uploads and replaced there by a 26 MB rule</w:t>
            </w:r>
          </w:p>
        </w:tc>
      </w:tr>
      <w:tr>
        <w:trPr>
          <w:cantSplit w:val="true"/>
        </w:trPr>
        <w:tc>
          <w:tcPr>
            <w:tcW w:type="dxa" w:w="2606"/>
            <w:tcMar>
              <w:top w:w="50" w:type="dxa"/>
              <w:bottom w:w="50" w:type="dxa"/>
              <w:left w:w="90" w:type="dxa"/>
              <w:right w:w="90" w:type="dxa"/>
            </w:tcMar>
          </w:tcPr>
          <w:p>
            <w:pPr>
              <w:pStyle w:val="BDOITable"/>
            </w:pPr>
            <w:r>
              <w:rPr>
                <w:b/>
                <w:sz w:val="17"/>
              </w:rPr>
              <w:t>Upload size</w:t>
            </w:r>
          </w:p>
        </w:tc>
        <w:tc>
          <w:tcPr>
            <w:tcW w:type="dxa" w:w="7366"/>
            <w:tcMar>
              <w:top w:w="50" w:type="dxa"/>
              <w:bottom w:w="50" w:type="dxa"/>
              <w:left w:w="90" w:type="dxa"/>
              <w:right w:w="90" w:type="dxa"/>
            </w:tcMar>
          </w:tcPr>
          <w:p>
            <w:pPr>
              <w:pStyle w:val="BDOITable"/>
            </w:pPr>
            <w:r>
              <w:rPr>
                <w:sz w:val="17"/>
              </w:rPr>
              <w:t>25 MB per file through the application (26 MB request); larger inbound files by presigned upload straight to S3 (up to 5 GB)</w:t>
            </w:r>
          </w:p>
        </w:tc>
      </w:tr>
    </w:tbl>
    <w:p>
      <w:pPr>
        <w:pStyle w:val="BDOISpacer"/>
      </w:pPr>
    </w:p>
    <w:p>
      <w:r>
        <w:rPr>
          <w:b/>
        </w:rPr>
        <w:t>Alternative controller.</w:t>
      </w:r>
      <w:r>
        <w:rPr/>
        <w:t xml:space="preserve"> An environment that cannot use the AWS Load Balancer Controller's Gateway support lists the Envoy Gateway component instead: an internal NLB limited to the same source ranges, the listener certificate from a TLS secret, HTTPS to the pods verified against the private CA, and 300-second route time-outs. An NLB carries no AWS WAF web ACL, so this variant is used only with the agreement of the BDO security team and with the WAF rules applied in front of it.</w:t>
      </w:r>
    </w:p>
    <w:p>
      <w:pPr>
        <w:pStyle w:val="Heading2"/>
      </w:pPr>
      <w:bookmarkStart w:id="118" w:name="_Toc000118"/>
      <w:r>
        <w:rPr/>
        <w:t>5.3 Mapping from the former Ingress rules</w:t>
      </w:r>
      <w:bookmarkEnd w:id="118"/>
    </w:p>
    <w:p>
      <w:pPr>
        <w:pStyle w:val="Caption"/>
        <w:keepNext/>
        <w:spacing w:after="60"/>
      </w:pPr>
      <w:r>
        <w:rPr>
          <w:b/>
          <w:i w:val="0"/>
        </w:rPr>
        <w:t xml:space="preserve">Table 11: </w:t>
      </w:r>
      <w:r>
        <w:rPr/>
        <w:t>Ingress rules replaced by Gateway API resources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73"/>
        <w:gridCol w:w="3399"/>
        <w:gridCol w:w="3399"/>
      </w:tblGrid>
      <w:tr>
        <w:trPr>
          <w:tblHeader w:val="true"/>
          <w:cantSplit w:val="true"/>
        </w:trPr>
        <w:tc>
          <w:tcPr>
            <w:tcW w:type="dxa" w:w="3173"/>
            <w:shd w:val="clear" w:color="auto" w:fill="004EA8"/>
            <w:tcMar>
              <w:top w:w="50" w:type="dxa"/>
              <w:bottom w:w="50" w:type="dxa"/>
              <w:left w:w="90" w:type="dxa"/>
              <w:right w:w="90" w:type="dxa"/>
            </w:tcMar>
            <w:vAlign w:val="center"/>
          </w:tcPr>
          <w:p>
            <w:pPr>
              <w:pStyle w:val="BDOITableHeader"/>
            </w:pPr>
            <w:r>
              <w:rPr>
                <w:b/>
                <w:color w:val="FFFFFF"/>
                <w:sz w:val="17"/>
              </w:rPr>
              <w:t>Former Ingress rule</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Gateway API</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Controller settings</w:t>
            </w:r>
          </w:p>
        </w:tc>
      </w:tr>
      <w:tr>
        <w:trPr>
          <w:cantSplit w:val="true"/>
        </w:trPr>
        <w:tc>
          <w:tcPr>
            <w:tcW w:type="dxa" w:w="3173"/>
            <w:tcMar>
              <w:top w:w="50" w:type="dxa"/>
              <w:bottom w:w="50" w:type="dxa"/>
              <w:left w:w="90" w:type="dxa"/>
              <w:right w:w="90" w:type="dxa"/>
            </w:tcMar>
          </w:tcPr>
          <w:p>
            <w:pPr>
              <w:pStyle w:val="BDOITable"/>
            </w:pPr>
            <w:r>
              <w:rPr>
                <w:b/>
                <w:sz w:val="17"/>
              </w:rPr>
              <w:t>bibs-users: host, prefix api to bibs-web</w:t>
            </w:r>
          </w:p>
        </w:tc>
        <w:tc>
          <w:tcPr>
            <w:tcW w:type="dxa" w:w="3400"/>
            <w:tcMar>
              <w:top w:w="50" w:type="dxa"/>
              <w:bottom w:w="50" w:type="dxa"/>
              <w:left w:w="90" w:type="dxa"/>
              <w:right w:w="90" w:type="dxa"/>
            </w:tcMar>
          </w:tcPr>
          <w:p>
            <w:pPr>
              <w:pStyle w:val="BDOITable"/>
            </w:pPr>
            <w:r>
              <w:rPr>
                <w:sz w:val="17"/>
              </w:rPr>
              <w:t>HTTPRoute bibs-users, PathPrefix api to bibs-web:8443</w:t>
            </w:r>
          </w:p>
        </w:tc>
        <w:tc>
          <w:tcPr>
            <w:tcW w:type="dxa" w:w="3400"/>
            <w:tcMar>
              <w:top w:w="50" w:type="dxa"/>
              <w:bottom w:w="50" w:type="dxa"/>
              <w:left w:w="90" w:type="dxa"/>
              <w:right w:w="90" w:type="dxa"/>
            </w:tcMar>
          </w:tcPr>
          <w:p>
            <w:pPr>
              <w:pStyle w:val="BDOITable"/>
            </w:pPr>
            <w:r>
              <w:rPr>
                <w:sz w:val="17"/>
              </w:rPr>
              <w:t>Target group ip, HTTPS, health check readyz</w:t>
            </w:r>
          </w:p>
        </w:tc>
      </w:tr>
      <w:tr>
        <w:trPr>
          <w:cantSplit w:val="true"/>
        </w:trPr>
        <w:tc>
          <w:tcPr>
            <w:tcW w:type="dxa" w:w="3173"/>
            <w:tcMar>
              <w:top w:w="50" w:type="dxa"/>
              <w:bottom w:w="50" w:type="dxa"/>
              <w:left w:w="90" w:type="dxa"/>
              <w:right w:w="90" w:type="dxa"/>
            </w:tcMar>
            <w:shd w:val="clear" w:color="auto" w:fill="E5F5FF"/>
          </w:tcPr>
          <w:p>
            <w:pPr>
              <w:pStyle w:val="BDOITable"/>
            </w:pPr>
            <w:r>
              <w:rPr>
                <w:b/>
                <w:sz w:val="17"/>
              </w:rPr>
              <w:t>bibs-users: prefix / to bibs-frontend</w:t>
            </w:r>
          </w:p>
        </w:tc>
        <w:tc>
          <w:tcPr>
            <w:tcW w:type="dxa" w:w="3400"/>
            <w:tcMar>
              <w:top w:w="50" w:type="dxa"/>
              <w:bottom w:w="50" w:type="dxa"/>
              <w:left w:w="90" w:type="dxa"/>
              <w:right w:w="90" w:type="dxa"/>
            </w:tcMar>
            <w:shd w:val="clear" w:color="auto" w:fill="E5F5FF"/>
          </w:tcPr>
          <w:p>
            <w:pPr>
              <w:pStyle w:val="BDOITable"/>
            </w:pPr>
            <w:r>
              <w:rPr>
                <w:sz w:val="17"/>
              </w:rPr>
              <w:t>HTTPRoute bibs-users, PathPrefix / to bibs-frontend:8443</w:t>
            </w:r>
          </w:p>
        </w:tc>
        <w:tc>
          <w:tcPr>
            <w:tcW w:type="dxa" w:w="3400"/>
            <w:tcMar>
              <w:top w:w="50" w:type="dxa"/>
              <w:bottom w:w="50" w:type="dxa"/>
              <w:left w:w="90" w:type="dxa"/>
              <w:right w:w="90" w:type="dxa"/>
            </w:tcMar>
            <w:shd w:val="clear" w:color="auto" w:fill="E5F5FF"/>
          </w:tcPr>
          <w:p>
            <w:pPr>
              <w:pStyle w:val="BDOITable"/>
            </w:pPr>
            <w:r>
              <w:rPr>
                <w:sz w:val="17"/>
              </w:rPr>
              <w:t>Target group ip, HTTPS, health check healthz</w:t>
            </w:r>
          </w:p>
        </w:tc>
      </w:tr>
      <w:tr>
        <w:trPr>
          <w:cantSplit w:val="true"/>
        </w:trPr>
        <w:tc>
          <w:tcPr>
            <w:tcW w:type="dxa" w:w="3173"/>
            <w:tcMar>
              <w:top w:w="50" w:type="dxa"/>
              <w:bottom w:w="50" w:type="dxa"/>
              <w:left w:w="90" w:type="dxa"/>
              <w:right w:w="90" w:type="dxa"/>
            </w:tcMar>
          </w:tcPr>
          <w:p>
            <w:pPr>
              <w:pStyle w:val="BDOITable"/>
            </w:pPr>
            <w:r>
              <w:rPr>
                <w:b/>
                <w:sz w:val="17"/>
              </w:rPr>
              <w:t>bibs-integration (evaluated first), prefix integration</w:t>
            </w:r>
          </w:p>
        </w:tc>
        <w:tc>
          <w:tcPr>
            <w:tcW w:type="dxa" w:w="3400"/>
            <w:tcMar>
              <w:top w:w="50" w:type="dxa"/>
              <w:bottom w:w="50" w:type="dxa"/>
              <w:left w:w="90" w:type="dxa"/>
              <w:right w:w="90" w:type="dxa"/>
            </w:tcMar>
          </w:tcPr>
          <w:p>
            <w:pPr>
              <w:pStyle w:val="BDOITable"/>
            </w:pPr>
            <w:r>
              <w:rPr>
                <w:sz w:val="17"/>
              </w:rPr>
              <w:t>HTTPRoute bibs-integration; longest prefix wins</w:t>
            </w:r>
          </w:p>
        </w:tc>
        <w:tc>
          <w:tcPr>
            <w:tcW w:type="dxa" w:w="3400"/>
            <w:tcMar>
              <w:top w:w="50" w:type="dxa"/>
              <w:bottom w:w="50" w:type="dxa"/>
              <w:left w:w="90" w:type="dxa"/>
              <w:right w:w="90" w:type="dxa"/>
            </w:tcMar>
          </w:tcPr>
          <w:p>
            <w:pPr>
              <w:pStyle w:val="BDOITable"/>
            </w:pPr>
            <w:r>
              <w:rPr>
                <w:sz w:val="17"/>
              </w:rPr>
              <w:t>Target group ip, HTTPS, health check readyz</w:t>
            </w:r>
          </w:p>
        </w:tc>
      </w:tr>
      <w:tr>
        <w:trPr>
          <w:cantSplit w:val="true"/>
        </w:trPr>
        <w:tc>
          <w:tcPr>
            <w:tcW w:type="dxa" w:w="3173"/>
            <w:tcMar>
              <w:top w:w="50" w:type="dxa"/>
              <w:bottom w:w="50" w:type="dxa"/>
              <w:left w:w="90" w:type="dxa"/>
              <w:right w:w="90" w:type="dxa"/>
            </w:tcMar>
            <w:shd w:val="clear" w:color="auto" w:fill="E5F5FF"/>
          </w:tcPr>
          <w:p>
            <w:pPr>
              <w:pStyle w:val="BDOITable"/>
            </w:pPr>
            <w:r>
              <w:rPr>
                <w:b/>
                <w:sz w:val="17"/>
              </w:rPr>
              <w:t>Annotations: internal scheme, certificate, TLS policy, WAF, inbound ranges</w:t>
            </w:r>
          </w:p>
        </w:tc>
        <w:tc>
          <w:tcPr>
            <w:tcW w:type="dxa" w:w="3400"/>
            <w:tcMar>
              <w:top w:w="50" w:type="dxa"/>
              <w:bottom w:w="50" w:type="dxa"/>
              <w:left w:w="90" w:type="dxa"/>
              <w:right w:w="90" w:type="dxa"/>
            </w:tcMar>
            <w:shd w:val="clear" w:color="auto" w:fill="E5F5FF"/>
          </w:tcPr>
          <w:p>
            <w:pPr>
              <w:pStyle w:val="BDOITable"/>
            </w:pPr>
            <w:r>
              <w:rPr>
                <w:sz w:val="17"/>
              </w:rPr>
              <w:t>Gateway listener https</w:t>
            </w:r>
          </w:p>
        </w:tc>
        <w:tc>
          <w:tcPr>
            <w:tcW w:type="dxa" w:w="3400"/>
            <w:tcMar>
              <w:top w:w="50" w:type="dxa"/>
              <w:bottom w:w="50" w:type="dxa"/>
              <w:left w:w="90" w:type="dxa"/>
              <w:right w:w="90" w:type="dxa"/>
            </w:tcMar>
            <w:shd w:val="clear" w:color="auto" w:fill="E5F5FF"/>
          </w:tcPr>
          <w:p>
            <w:pPr>
              <w:pStyle w:val="BDOITable"/>
            </w:pPr>
            <w:r>
              <w:rPr>
                <w:sz w:val="17"/>
              </w:rPr>
              <w:t>Load balancer configuration of the gateway class: scheme, listener certificate and policy, WAF web ACL, source ranges</w:t>
            </w:r>
          </w:p>
        </w:tc>
      </w:tr>
    </w:tbl>
    <w:p>
      <w:pPr>
        <w:pStyle w:val="BDOISpacer"/>
      </w:pPr>
    </w:p>
    <w:p>
      <w:pPr>
        <w:pStyle w:val="Heading1"/>
        <w:pBdr>
          <w:bottom w:val="single" w:sz="4" w:space="4" w:color="99C1E7"/>
        </w:pBdr>
      </w:pPr>
      <w:bookmarkStart w:id="119" w:name="_Toc000119"/>
      <w:r>
        <w:rPr/>
        <w:t>6 Scaling and availability</w:t>
      </w:r>
      <w:bookmarkEnd w:id="119"/>
    </w:p>
    <w:p>
      <w:pPr>
        <w:pStyle w:val="Caption"/>
        <w:keepNext/>
        <w:spacing w:after="60"/>
      </w:pPr>
      <w:r>
        <w:rPr>
          <w:b/>
          <w:i w:val="0"/>
        </w:rPr>
        <w:t xml:space="preserve">Table 12: </w:t>
      </w:r>
      <w:r>
        <w:rPr/>
        <w:t>Scaling and availability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804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Mechanism</w:t>
            </w:r>
          </w:p>
        </w:tc>
        <w:tc>
          <w:tcPr>
            <w:tcW w:type="dxa" w:w="8046"/>
            <w:shd w:val="clear" w:color="auto" w:fill="004EA8"/>
            <w:tcMar>
              <w:top w:w="50" w:type="dxa"/>
              <w:bottom w:w="50" w:type="dxa"/>
              <w:left w:w="90" w:type="dxa"/>
              <w:right w:w="90" w:type="dxa"/>
            </w:tcMar>
            <w:vAlign w:val="center"/>
          </w:tcPr>
          <w:p>
            <w:pPr>
              <w:pStyle w:val="BDOITableHeader"/>
            </w:pPr>
            <w:r>
              <w:rPr>
                <w:b/>
                <w:color w:val="FFFFFF"/>
                <w:sz w:val="17"/>
              </w:rPr>
              <w:t>Rule</w:t>
            </w:r>
          </w:p>
        </w:tc>
      </w:tr>
      <w:tr>
        <w:trPr>
          <w:cantSplit w:val="true"/>
        </w:trPr>
        <w:tc>
          <w:tcPr>
            <w:tcW w:type="dxa" w:w="1926"/>
            <w:tcMar>
              <w:top w:w="50" w:type="dxa"/>
              <w:bottom w:w="50" w:type="dxa"/>
              <w:left w:w="90" w:type="dxa"/>
              <w:right w:w="90" w:type="dxa"/>
            </w:tcMar>
          </w:tcPr>
          <w:p>
            <w:pPr>
              <w:pStyle w:val="BDOITable"/>
            </w:pPr>
            <w:r>
              <w:rPr>
                <w:b/>
                <w:sz w:val="17"/>
              </w:rPr>
              <w:t>Horizontal Pod Autoscaler</w:t>
            </w:r>
          </w:p>
        </w:tc>
        <w:tc>
          <w:tcPr>
            <w:tcW w:type="dxa" w:w="8046"/>
            <w:tcMar>
              <w:top w:w="50" w:type="dxa"/>
              <w:bottom w:w="50" w:type="dxa"/>
              <w:left w:w="90" w:type="dxa"/>
              <w:right w:w="90" w:type="dxa"/>
            </w:tcMar>
          </w:tcPr>
          <w:p>
            <w:pPr>
              <w:pStyle w:val="BDOITable"/>
            </w:pPr>
            <w:r>
              <w:rPr>
                <w:sz w:val="17"/>
              </w:rPr>
              <w:t>bibs-web: minimum 3, maximum 10 in PROD (UAT 2 to 4); target CPU 65 %, memory 80 %; scale up at most 2 pods a minute after 60 s; scale down 1 pod every 2 minutes after 5 minutes. bibs-frontend: 2 to 4 at CPU 70 %</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Fixed replicas</w:t>
            </w:r>
          </w:p>
        </w:tc>
        <w:tc>
          <w:tcPr>
            <w:tcW w:type="dxa" w:w="8046"/>
            <w:tcMar>
              <w:top w:w="50" w:type="dxa"/>
              <w:bottom w:w="50" w:type="dxa"/>
              <w:left w:w="90" w:type="dxa"/>
              <w:right w:w="90" w:type="dxa"/>
            </w:tcMar>
            <w:shd w:val="clear" w:color="auto" w:fill="E5F5FF"/>
          </w:tcPr>
          <w:p>
            <w:pPr>
              <w:pStyle w:val="BDOITable"/>
            </w:pPr>
            <w:r>
              <w:rPr>
                <w:sz w:val="17"/>
              </w:rPr>
              <w:t>bibs-jobs 2 pods across zones; the Valkey job lock runs each job once per schedule (one pod records SUCCEEDED, the other SKIPPED_LOCKED). bibs-integration 2 pods; the relay runs under the same lock and consumers share their groups</w:t>
            </w:r>
          </w:p>
        </w:tc>
      </w:tr>
      <w:tr>
        <w:trPr>
          <w:cantSplit w:val="true"/>
        </w:trPr>
        <w:tc>
          <w:tcPr>
            <w:tcW w:type="dxa" w:w="1926"/>
            <w:tcMar>
              <w:top w:w="50" w:type="dxa"/>
              <w:bottom w:w="50" w:type="dxa"/>
              <w:left w:w="90" w:type="dxa"/>
              <w:right w:w="90" w:type="dxa"/>
            </w:tcMar>
          </w:tcPr>
          <w:p>
            <w:pPr>
              <w:pStyle w:val="BDOITable"/>
            </w:pPr>
            <w:r>
              <w:rPr>
                <w:b/>
                <w:sz w:val="17"/>
              </w:rPr>
              <w:t>Batch windows</w:t>
            </w:r>
          </w:p>
        </w:tc>
        <w:tc>
          <w:tcPr>
            <w:tcW w:type="dxa" w:w="8046"/>
            <w:tcMar>
              <w:top w:w="50" w:type="dxa"/>
              <w:bottom w:w="50" w:type="dxa"/>
              <w:left w:w="90" w:type="dxa"/>
              <w:right w:w="90" w:type="dxa"/>
            </w:tcMar>
          </w:tcPr>
          <w:p>
            <w:pPr>
              <w:pStyle w:val="BDOITable"/>
            </w:pPr>
            <w:r>
              <w:rPr>
                <w:sz w:val="17"/>
              </w:rPr>
              <w:t>Month-end and the nightly windows (20:00 booking batch and remittance extraction, 22:15-23:00 collection runs, 05:00 application file) are sized by the bibs-jobs requests; more jobs pods do not speed up one job, so a heavy window is given more CPU and memory per pod by a scheduled overlay change if the performance test shows the need</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Spread and disruption</w:t>
            </w:r>
          </w:p>
        </w:tc>
        <w:tc>
          <w:tcPr>
            <w:tcW w:type="dxa" w:w="8046"/>
            <w:tcMar>
              <w:top w:w="50" w:type="dxa"/>
              <w:bottom w:w="50" w:type="dxa"/>
              <w:left w:w="90" w:type="dxa"/>
              <w:right w:w="90" w:type="dxa"/>
            </w:tcMar>
            <w:shd w:val="clear" w:color="auto" w:fill="E5F5FF"/>
          </w:tcPr>
          <w:p>
            <w:pPr>
              <w:pStyle w:val="BDOITable"/>
            </w:pPr>
            <w:r>
              <w:rPr>
                <w:sz w:val="17"/>
              </w:rPr>
              <w:t>Topology spread across zones (maximum skew 1) and hosts; disruption budgets keep at least one pod of each served workload during node drains and cluster upgrades</w:t>
            </w:r>
          </w:p>
        </w:tc>
      </w:tr>
      <w:tr>
        <w:trPr>
          <w:cantSplit w:val="true"/>
        </w:trPr>
        <w:tc>
          <w:tcPr>
            <w:tcW w:type="dxa" w:w="1926"/>
            <w:tcMar>
              <w:top w:w="50" w:type="dxa"/>
              <w:bottom w:w="50" w:type="dxa"/>
              <w:left w:w="90" w:type="dxa"/>
              <w:right w:w="90" w:type="dxa"/>
            </w:tcMar>
          </w:tcPr>
          <w:p>
            <w:pPr>
              <w:pStyle w:val="BDOITable"/>
            </w:pPr>
            <w:r>
              <w:rPr>
                <w:b/>
                <w:sz w:val="17"/>
              </w:rPr>
              <w:t>Rolling update</w:t>
            </w:r>
          </w:p>
        </w:tc>
        <w:tc>
          <w:tcPr>
            <w:tcW w:type="dxa" w:w="8046"/>
            <w:tcMar>
              <w:top w:w="50" w:type="dxa"/>
              <w:bottom w:w="50" w:type="dxa"/>
              <w:left w:w="90" w:type="dxa"/>
              <w:right w:w="90" w:type="dxa"/>
            </w:tcMar>
          </w:tcPr>
          <w:p>
            <w:pPr>
              <w:pStyle w:val="BDOITable"/>
            </w:pPr>
            <w:r>
              <w:rPr>
                <w:sz w:val="17"/>
              </w:rPr>
              <w:t>Maximum unavailable 0, maximum surge 1; the new pod must be ready before an old one stops</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Node scaling</w:t>
            </w:r>
          </w:p>
        </w:tc>
        <w:tc>
          <w:tcPr>
            <w:tcW w:type="dxa" w:w="8046"/>
            <w:tcMar>
              <w:top w:w="50" w:type="dxa"/>
              <w:bottom w:w="50" w:type="dxa"/>
              <w:left w:w="90" w:type="dxa"/>
              <w:right w:w="90" w:type="dxa"/>
            </w:tcMar>
            <w:shd w:val="clear" w:color="auto" w:fill="E5F5FF"/>
          </w:tcPr>
          <w:p>
            <w:pPr>
              <w:pStyle w:val="BDOITable"/>
            </w:pPr>
            <w:r>
              <w:rPr>
                <w:sz w:val="17"/>
              </w:rPr>
              <w:t>Cluster autoscaler (or Karpenter) adds nodes when pods are pending; node groups span three zones</w:t>
            </w:r>
          </w:p>
        </w:tc>
      </w:tr>
      <w:tr>
        <w:trPr>
          <w:cantSplit w:val="true"/>
        </w:trPr>
        <w:tc>
          <w:tcPr>
            <w:tcW w:type="dxa" w:w="1926"/>
            <w:tcMar>
              <w:top w:w="50" w:type="dxa"/>
              <w:bottom w:w="50" w:type="dxa"/>
              <w:left w:w="90" w:type="dxa"/>
              <w:right w:w="90" w:type="dxa"/>
            </w:tcMar>
          </w:tcPr>
          <w:p>
            <w:pPr>
              <w:pStyle w:val="BDOITable"/>
            </w:pPr>
            <w:r>
              <w:rPr>
                <w:b/>
                <w:sz w:val="17"/>
              </w:rPr>
              <w:t>Database connections</w:t>
            </w:r>
          </w:p>
        </w:tc>
        <w:tc>
          <w:tcPr>
            <w:tcW w:type="dxa" w:w="8046"/>
            <w:tcMar>
              <w:top w:w="50" w:type="dxa"/>
              <w:bottom w:w="50" w:type="dxa"/>
              <w:left w:w="90" w:type="dxa"/>
              <w:right w:w="90" w:type="dxa"/>
            </w:tcMar>
          </w:tcPr>
          <w:p>
            <w:pPr>
              <w:pStyle w:val="BDOITable"/>
            </w:pPr>
            <w:r>
              <w:rPr>
                <w:sz w:val="17"/>
              </w:rPr>
              <w:t>Pool of 30 connections per pod in PROD (10 in UAT); at 10 web, 2 jobs and 2 integration pods the database sees at most 420 connections, within the limit of the PROD instance class</w:t>
            </w:r>
          </w:p>
        </w:tc>
      </w:tr>
    </w:tbl>
    <w:p>
      <w:pPr>
        <w:pStyle w:val="BDOISpacer"/>
      </w:pPr>
    </w:p>
    <w:p>
      <w:pPr>
        <w:pStyle w:val="Heading1"/>
        <w:pBdr>
          <w:bottom w:val="single" w:sz="4" w:space="4" w:color="99C1E7"/>
        </w:pBdr>
      </w:pPr>
      <w:bookmarkStart w:id="120" w:name="_Toc000120"/>
      <w:r>
        <w:rPr/>
        <w:t>7 Configuration and secrets</w:t>
      </w:r>
      <w:bookmarkEnd w:id="120"/>
    </w:p>
    <w:p>
      <w:pPr>
        <w:pStyle w:val="Heading2"/>
      </w:pPr>
      <w:bookmarkStart w:id="121" w:name="_Toc000121"/>
      <w:r>
        <w:rPr/>
        <w:t>7.1 Where settings come from</w:t>
      </w:r>
      <w:bookmarkEnd w:id="121"/>
    </w:p>
    <w:p>
      <w:pPr>
        <w:pStyle w:val="Caption"/>
        <w:keepNext/>
        <w:spacing w:after="60"/>
      </w:pPr>
      <w:r>
        <w:rPr>
          <w:b/>
          <w:i w:val="0"/>
        </w:rPr>
        <w:t xml:space="preserve">Table 13: </w:t>
      </w:r>
      <w:r>
        <w:rPr/>
        <w:t>Configuration 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3626"/>
        <w:gridCol w:w="430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Source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7"/>
              </w:rPr>
              <w:t>Holds</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7"/>
              </w:rPr>
              <w:t>Changed by</w:t>
            </w:r>
          </w:p>
        </w:tc>
      </w:tr>
      <w:tr>
        <w:trPr>
          <w:cantSplit w:val="true"/>
        </w:trPr>
        <w:tc>
          <w:tcPr>
            <w:tcW w:type="dxa" w:w="2040"/>
            <w:tcMar>
              <w:top w:w="50" w:type="dxa"/>
              <w:bottom w:w="50" w:type="dxa"/>
              <w:left w:w="90" w:type="dxa"/>
              <w:right w:w="90" w:type="dxa"/>
            </w:tcMar>
          </w:tcPr>
          <w:p>
            <w:pPr>
              <w:pStyle w:val="BDOITable"/>
            </w:pPr>
            <w:r>
              <w:rPr>
                <w:b/>
                <w:sz w:val="17"/>
              </w:rPr>
              <w:t>Overlay of the environment</w:t>
            </w:r>
          </w:p>
        </w:tc>
        <w:tc>
          <w:tcPr>
            <w:tcW w:type="dxa" w:w="3626"/>
            <w:tcMar>
              <w:top w:w="50" w:type="dxa"/>
              <w:bottom w:w="50" w:type="dxa"/>
              <w:left w:w="90" w:type="dxa"/>
              <w:right w:w="90" w:type="dxa"/>
            </w:tcMar>
          </w:tcPr>
          <w:p>
            <w:pPr>
              <w:pStyle w:val="BDOITable"/>
            </w:pPr>
            <w:r>
              <w:rPr>
                <w:sz w:val="17"/>
              </w:rPr>
              <w:t>Image digests, profile (prod, or seed in SIT and UAT), environment name, allowed origin, pool size, sizing, gateway component, host name, certificate and WAF identifiers, network ranges, IAM roles</w:t>
            </w:r>
          </w:p>
        </w:tc>
        <w:tc>
          <w:tcPr>
            <w:tcW w:type="dxa" w:w="4306"/>
            <w:tcMar>
              <w:top w:w="50" w:type="dxa"/>
              <w:bottom w:w="50" w:type="dxa"/>
              <w:left w:w="90" w:type="dxa"/>
              <w:right w:w="90" w:type="dxa"/>
            </w:tcMar>
          </w:tcPr>
          <w:p>
            <w:pPr>
              <w:pStyle w:val="BDOITable"/>
            </w:pPr>
            <w:r>
              <w:rPr>
                <w:sz w:val="17"/>
              </w:rPr>
              <w:t>Release team through the pipeline, after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ConfigMap bibs-backend-config</w:t>
            </w:r>
          </w:p>
        </w:tc>
        <w:tc>
          <w:tcPr>
            <w:tcW w:type="dxa" w:w="3626"/>
            <w:tcMar>
              <w:top w:w="50" w:type="dxa"/>
              <w:bottom w:w="50" w:type="dxa"/>
              <w:left w:w="90" w:type="dxa"/>
              <w:right w:w="90" w:type="dxa"/>
            </w:tcMar>
            <w:shd w:val="clear" w:color="auto" w:fill="E5F5FF"/>
          </w:tcPr>
          <w:p>
            <w:pPr>
              <w:pStyle w:val="BDOITable"/>
            </w:pPr>
            <w:r>
              <w:rPr>
                <w:sz w:val="17"/>
              </w:rPr>
              <w:t>Non-secret settings: TLS modes, Valkey and Kafka addresses, storage buckets and KMS key identifiers, management port, business zone, job schedules (UTC cron)</w:t>
            </w:r>
          </w:p>
        </w:tc>
        <w:tc>
          <w:tcPr>
            <w:tcW w:type="dxa" w:w="4306"/>
            <w:tcMar>
              <w:top w:w="50" w:type="dxa"/>
              <w:bottom w:w="50" w:type="dxa"/>
              <w:left w:w="90" w:type="dxa"/>
              <w:right w:w="90" w:type="dxa"/>
            </w:tcMar>
            <w:shd w:val="clear" w:color="auto" w:fill="E5F5FF"/>
          </w:tcPr>
          <w:p>
            <w:pPr>
              <w:pStyle w:val="BDOITable"/>
            </w:pPr>
            <w:r>
              <w:rPr>
                <w:sz w:val="17"/>
              </w:rPr>
              <w:t>Release team</w:t>
            </w:r>
          </w:p>
        </w:tc>
      </w:tr>
      <w:tr>
        <w:trPr>
          <w:cantSplit w:val="true"/>
        </w:trPr>
        <w:tc>
          <w:tcPr>
            <w:tcW w:type="dxa" w:w="2040"/>
            <w:tcMar>
              <w:top w:w="50" w:type="dxa"/>
              <w:bottom w:w="50" w:type="dxa"/>
              <w:left w:w="90" w:type="dxa"/>
              <w:right w:w="90" w:type="dxa"/>
            </w:tcMar>
          </w:tcPr>
          <w:p>
            <w:pPr>
              <w:pStyle w:val="BDOITable"/>
            </w:pPr>
            <w:r>
              <w:rPr>
                <w:b/>
                <w:sz w:val="17"/>
              </w:rPr>
              <w:t>Secret bibs-backend-secrets</w:t>
            </w:r>
          </w:p>
        </w:tc>
        <w:tc>
          <w:tcPr>
            <w:tcW w:type="dxa" w:w="3626"/>
            <w:tcMar>
              <w:top w:w="50" w:type="dxa"/>
              <w:bottom w:w="50" w:type="dxa"/>
              <w:left w:w="90" w:type="dxa"/>
              <w:right w:w="90" w:type="dxa"/>
            </w:tcMar>
          </w:tcPr>
          <w:p>
            <w:pPr>
              <w:pStyle w:val="BDOITable"/>
            </w:pPr>
            <w:r>
              <w:rPr>
                <w:sz w:val="17"/>
              </w:rPr>
              <w:t>Database logins of the application and of the schema owner, access-token signing key, second-factor encryption key, masking key, Valkey token, Kafka SASL credentials, SMTP credentials, OIDC client secret, initial administrator password (first start only)</w:t>
            </w:r>
          </w:p>
        </w:tc>
        <w:tc>
          <w:tcPr>
            <w:tcW w:type="dxa" w:w="4306"/>
            <w:tcMar>
              <w:top w:w="50" w:type="dxa"/>
              <w:bottom w:w="50" w:type="dxa"/>
              <w:left w:w="90" w:type="dxa"/>
              <w:right w:w="90" w:type="dxa"/>
            </w:tcMar>
          </w:tcPr>
          <w:p>
            <w:pPr>
              <w:pStyle w:val="BDOITable"/>
            </w:pPr>
            <w:r>
              <w:rPr>
                <w:sz w:val="17"/>
              </w:rPr>
              <w:t>Created from AWS Secrets Manager by the External Secrets Operator (DA-02); never in a manifest or an image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System parameters in the database</w:t>
            </w:r>
          </w:p>
        </w:tc>
        <w:tc>
          <w:tcPr>
            <w:tcW w:type="dxa" w:w="3626"/>
            <w:tcMar>
              <w:top w:w="50" w:type="dxa"/>
              <w:bottom w:w="50" w:type="dxa"/>
              <w:left w:w="90" w:type="dxa"/>
              <w:right w:w="90" w:type="dxa"/>
            </w:tcMar>
            <w:shd w:val="clear" w:color="auto" w:fill="E5F5FF"/>
          </w:tcPr>
          <w:p>
            <w:pPr>
              <w:pStyle w:val="BDOITable"/>
            </w:pPr>
            <w:r>
              <w:rPr>
                <w:sz w:val="17"/>
              </w:rPr>
              <w:t>Business rules and security parameters (Solution Architecture, chapter 9)</w:t>
            </w:r>
          </w:p>
        </w:tc>
        <w:tc>
          <w:tcPr>
            <w:tcW w:type="dxa" w:w="4306"/>
            <w:tcMar>
              <w:top w:w="50" w:type="dxa"/>
              <w:bottom w:w="50" w:type="dxa"/>
              <w:left w:w="90" w:type="dxa"/>
              <w:right w:w="90" w:type="dxa"/>
            </w:tcMar>
            <w:shd w:val="clear" w:color="auto" w:fill="E5F5FF"/>
          </w:tcPr>
          <w:p>
            <w:pPr>
              <w:pStyle w:val="BDOITable"/>
            </w:pPr>
            <w:r>
              <w:rPr>
                <w:sz w:val="17"/>
              </w:rPr>
              <w:t>BDOI administrators on screen, maker-checker</w:t>
            </w:r>
          </w:p>
        </w:tc>
      </w:tr>
    </w:tbl>
    <w:p>
      <w:pPr>
        <w:pStyle w:val="BDOISpacer"/>
      </w:pPr>
    </w:p>
    <w:p>
      <w:pPr>
        <w:pStyle w:val="Heading2"/>
      </w:pPr>
      <w:bookmarkStart w:id="122" w:name="_Toc000122"/>
      <w:r>
        <w:rPr/>
        <w:t>7.2 Secrets handling</w:t>
      </w:r>
      <w:bookmarkEnd w:id="122"/>
    </w:p>
    <w:p>
      <w:pPr>
        <w:tabs>
          <w:tab w:pos="312" w:val="left"/>
        </w:tabs>
        <w:spacing w:after="40"/>
        <w:ind w:left="312" w:hanging="283"/>
      </w:pPr>
      <w:r>
        <w:rPr>
          <w:color w:val="004EA8"/>
        </w:rPr>
        <w:t>•</w:t>
        <w:tab/>
      </w:r>
      <w:r>
        <w:rPr/>
        <w:t>Every secret lives in AWS Secrets Manager in the account of the environment, encrypted with a BDOI-owned KMS key; the External Secrets Operator writes the Kubernetes secret, and rotation in Secrets Manager reaches the pods at their next restart.</w:t>
      </w:r>
    </w:p>
    <w:p>
      <w:pPr>
        <w:tabs>
          <w:tab w:pos="312" w:val="left"/>
        </w:tabs>
        <w:spacing w:after="40"/>
        <w:ind w:left="312" w:hanging="283"/>
      </w:pPr>
      <w:r>
        <w:rPr>
          <w:color w:val="004EA8"/>
        </w:rPr>
        <w:t>•</w:t>
        <w:tab/>
      </w:r>
      <w:r>
        <w:rPr/>
        <w:t>The backend refuses to start outside a developer machine when a secret is missing, too short (the signing key needs at least 32 characters), a development value or, in production, when any connection could run in plaintext, when the seed profile is active, or when the schema owner and the application login are the same.</w:t>
      </w:r>
    </w:p>
    <w:p>
      <w:pPr>
        <w:tabs>
          <w:tab w:pos="312" w:val="left"/>
        </w:tabs>
        <w:spacing w:after="40"/>
        <w:ind w:left="312" w:hanging="283"/>
      </w:pPr>
      <w:r>
        <w:rPr>
          <w:color w:val="004EA8"/>
        </w:rPr>
        <w:t>•</w:t>
        <w:tab/>
      </w:r>
      <w:r>
        <w:rPr/>
        <w:t>Keys rotate without sign-out loss where possible: the second-factor key keeps a previous key during rotation; rotating the token signing key signs everyone out once.</w:t>
      </w:r>
    </w:p>
    <w:p>
      <w:pPr>
        <w:tabs>
          <w:tab w:pos="312" w:val="left"/>
        </w:tabs>
        <w:spacing w:after="120"/>
        <w:ind w:left="312" w:hanging="283"/>
      </w:pPr>
      <w:r>
        <w:rPr>
          <w:color w:val="004EA8"/>
        </w:rPr>
        <w:t>•</w:t>
        <w:tab/>
      </w:r>
      <w:r>
        <w:rPr/>
        <w:t>AWS access uses IRSA only: no AWS keys in variables or secrets.</w:t>
      </w:r>
    </w:p>
    <w:p>
      <w:pPr>
        <w:pStyle w:val="Heading2"/>
      </w:pPr>
      <w:bookmarkStart w:id="123" w:name="_Toc000123"/>
      <w:r>
        <w:rPr/>
        <w:t>7.3 Values BDO IT provides per environment</w:t>
      </w:r>
      <w:bookmarkEnd w:id="123"/>
    </w:p>
    <w:p>
      <w:pPr>
        <w:pStyle w:val="Caption"/>
        <w:keepNext/>
        <w:spacing w:after="60"/>
      </w:pPr>
      <w:r>
        <w:rPr>
          <w:b/>
          <w:i w:val="0"/>
        </w:rPr>
        <w:t xml:space="preserve">Table 14: </w:t>
      </w:r>
      <w:r>
        <w:rPr/>
        <w:t>Values provided by BDO 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39"/>
        <w:gridCol w:w="4533"/>
      </w:tblGrid>
      <w:tr>
        <w:trPr>
          <w:tblHeader w:val="true"/>
          <w:cantSplit w:val="true"/>
        </w:trPr>
        <w:tc>
          <w:tcPr>
            <w:tcW w:type="dxa" w:w="5439"/>
            <w:shd w:val="clear" w:color="auto" w:fill="004EA8"/>
            <w:tcMar>
              <w:top w:w="50" w:type="dxa"/>
              <w:bottom w:w="50" w:type="dxa"/>
              <w:left w:w="90" w:type="dxa"/>
              <w:right w:w="90" w:type="dxa"/>
            </w:tcMar>
            <w:vAlign w:val="center"/>
          </w:tcPr>
          <w:p>
            <w:pPr>
              <w:pStyle w:val="BDOITableHeader"/>
            </w:pPr>
            <w:r>
              <w:rPr>
                <w:b/>
                <w:color w:val="FFFFFF"/>
                <w:sz w:val="17"/>
              </w:rPr>
              <w:t>Value</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5439"/>
            <w:tcMar>
              <w:top w:w="50" w:type="dxa"/>
              <w:bottom w:w="50" w:type="dxa"/>
              <w:left w:w="90" w:type="dxa"/>
              <w:right w:w="90" w:type="dxa"/>
            </w:tcMar>
          </w:tcPr>
          <w:p>
            <w:pPr>
              <w:pStyle w:val="BDOITable"/>
            </w:pPr>
            <w:r>
              <w:rPr>
                <w:b/>
                <w:sz w:val="17"/>
              </w:rPr>
              <w:t>Host name on the BDO domain and its certificate</w:t>
            </w:r>
          </w:p>
        </w:tc>
        <w:tc>
          <w:tcPr>
            <w:tcW w:type="dxa" w:w="4533"/>
            <w:tcMar>
              <w:top w:w="50" w:type="dxa"/>
              <w:bottom w:w="50" w:type="dxa"/>
              <w:left w:w="90" w:type="dxa"/>
              <w:right w:w="90" w:type="dxa"/>
            </w:tcMar>
          </w:tcPr>
          <w:p>
            <w:pPr>
              <w:pStyle w:val="BDOITable"/>
            </w:pPr>
            <w:r>
              <w:rPr>
                <w:sz w:val="17"/>
              </w:rPr>
              <w:t>BDO PKI and network team</w:t>
            </w:r>
          </w:p>
        </w:tc>
      </w:tr>
      <w:tr>
        <w:trPr>
          <w:cantSplit w:val="true"/>
        </w:trPr>
        <w:tc>
          <w:tcPr>
            <w:tcW w:type="dxa" w:w="5439"/>
            <w:tcMar>
              <w:top w:w="50" w:type="dxa"/>
              <w:bottom w:w="50" w:type="dxa"/>
              <w:left w:w="90" w:type="dxa"/>
              <w:right w:w="90" w:type="dxa"/>
            </w:tcMar>
            <w:shd w:val="clear" w:color="auto" w:fill="E5F5FF"/>
          </w:tcPr>
          <w:p>
            <w:pPr>
              <w:pStyle w:val="BDOITable"/>
            </w:pPr>
            <w:r>
              <w:rPr>
                <w:b/>
                <w:sz w:val="17"/>
              </w:rPr>
              <w:t>AWS WAF web ACL (managed rule groups, rate rule, Apigee-only rule)</w:t>
            </w:r>
          </w:p>
        </w:tc>
        <w:tc>
          <w:tcPr>
            <w:tcW w:type="dxa" w:w="4533"/>
            <w:tcMar>
              <w:top w:w="50" w:type="dxa"/>
              <w:bottom w:w="50" w:type="dxa"/>
              <w:left w:w="90" w:type="dxa"/>
              <w:right w:w="90" w:type="dxa"/>
            </w:tcMar>
            <w:shd w:val="clear" w:color="auto" w:fill="E5F5FF"/>
          </w:tcPr>
          <w:p>
            <w:pPr>
              <w:pStyle w:val="BDOITable"/>
            </w:pPr>
            <w:r>
              <w:rPr>
                <w:sz w:val="17"/>
              </w:rPr>
              <w:t>BDO security team</w:t>
            </w:r>
          </w:p>
        </w:tc>
      </w:tr>
      <w:tr>
        <w:trPr>
          <w:cantSplit w:val="true"/>
        </w:trPr>
        <w:tc>
          <w:tcPr>
            <w:tcW w:type="dxa" w:w="5439"/>
            <w:tcMar>
              <w:top w:w="50" w:type="dxa"/>
              <w:bottom w:w="50" w:type="dxa"/>
              <w:left w:w="90" w:type="dxa"/>
              <w:right w:w="90" w:type="dxa"/>
            </w:tcMar>
          </w:tcPr>
          <w:p>
            <w:pPr>
              <w:pStyle w:val="BDOITable"/>
            </w:pPr>
            <w:r>
              <w:rPr>
                <w:b/>
                <w:sz w:val="17"/>
              </w:rPr>
              <w:t>Client network range and the Apigee X source range of the private route</w:t>
            </w:r>
          </w:p>
        </w:tc>
        <w:tc>
          <w:tcPr>
            <w:tcW w:type="dxa" w:w="4533"/>
            <w:tcMar>
              <w:top w:w="50" w:type="dxa"/>
              <w:bottom w:w="50" w:type="dxa"/>
              <w:left w:w="90" w:type="dxa"/>
              <w:right w:w="90" w:type="dxa"/>
            </w:tcMar>
          </w:tcPr>
          <w:p>
            <w:pPr>
              <w:pStyle w:val="BDOITable"/>
            </w:pPr>
            <w:r>
              <w:rPr>
                <w:sz w:val="17"/>
              </w:rPr>
              <w:t>BDO network team</w:t>
            </w:r>
          </w:p>
        </w:tc>
      </w:tr>
      <w:tr>
        <w:trPr>
          <w:cantSplit w:val="true"/>
        </w:trPr>
        <w:tc>
          <w:tcPr>
            <w:tcW w:type="dxa" w:w="5439"/>
            <w:tcMar>
              <w:top w:w="50" w:type="dxa"/>
              <w:bottom w:w="50" w:type="dxa"/>
              <w:left w:w="90" w:type="dxa"/>
              <w:right w:w="90" w:type="dxa"/>
            </w:tcMar>
            <w:shd w:val="clear" w:color="auto" w:fill="E5F5FF"/>
          </w:tcPr>
          <w:p>
            <w:pPr>
              <w:pStyle w:val="BDOITable"/>
            </w:pPr>
            <w:r>
              <w:rPr>
                <w:b/>
                <w:sz w:val="17"/>
              </w:rPr>
              <w:t>Subnet ranges of the load balancer, data services and PrivateLink interfaces</w:t>
            </w:r>
          </w:p>
        </w:tc>
        <w:tc>
          <w:tcPr>
            <w:tcW w:type="dxa" w:w="4533"/>
            <w:tcMar>
              <w:top w:w="50" w:type="dxa"/>
              <w:bottom w:w="50" w:type="dxa"/>
              <w:left w:w="90" w:type="dxa"/>
              <w:right w:w="90" w:type="dxa"/>
            </w:tcMar>
            <w:shd w:val="clear" w:color="auto" w:fill="E5F5FF"/>
          </w:tcPr>
          <w:p>
            <w:pPr>
              <w:pStyle w:val="BDOITable"/>
            </w:pPr>
            <w:r>
              <w:rPr>
                <w:sz w:val="17"/>
              </w:rPr>
              <w:t>BDO cloud platform team</w:t>
            </w:r>
          </w:p>
        </w:tc>
      </w:tr>
      <w:tr>
        <w:trPr>
          <w:cantSplit w:val="true"/>
        </w:trPr>
        <w:tc>
          <w:tcPr>
            <w:tcW w:type="dxa" w:w="5439"/>
            <w:tcMar>
              <w:top w:w="50" w:type="dxa"/>
              <w:bottom w:w="50" w:type="dxa"/>
              <w:left w:w="90" w:type="dxa"/>
              <w:right w:w="90" w:type="dxa"/>
            </w:tcMar>
          </w:tcPr>
          <w:p>
            <w:pPr>
              <w:pStyle w:val="BDOITable"/>
            </w:pPr>
            <w:r>
              <w:rPr>
                <w:b/>
                <w:sz w:val="17"/>
              </w:rPr>
              <w:t>AWS Private CA for in-cluster certificates; IAM roles of the three backend service accounts</w:t>
            </w:r>
          </w:p>
        </w:tc>
        <w:tc>
          <w:tcPr>
            <w:tcW w:type="dxa" w:w="4533"/>
            <w:tcMar>
              <w:top w:w="50" w:type="dxa"/>
              <w:bottom w:w="50" w:type="dxa"/>
              <w:left w:w="90" w:type="dxa"/>
              <w:right w:w="90" w:type="dxa"/>
            </w:tcMar>
          </w:tcPr>
          <w:p>
            <w:pPr>
              <w:pStyle w:val="BDOITable"/>
            </w:pPr>
            <w:r>
              <w:rPr>
                <w:sz w:val="17"/>
              </w:rPr>
              <w:t>BDO cloud platform and security teams</w:t>
            </w:r>
          </w:p>
        </w:tc>
      </w:tr>
      <w:tr>
        <w:trPr>
          <w:cantSplit w:val="true"/>
        </w:trPr>
        <w:tc>
          <w:tcPr>
            <w:tcW w:type="dxa" w:w="5439"/>
            <w:tcMar>
              <w:top w:w="50" w:type="dxa"/>
              <w:bottom w:w="50" w:type="dxa"/>
              <w:left w:w="90" w:type="dxa"/>
              <w:right w:w="90" w:type="dxa"/>
            </w:tcMar>
            <w:shd w:val="clear" w:color="auto" w:fill="E5F5FF"/>
          </w:tcPr>
          <w:p>
            <w:pPr>
              <w:pStyle w:val="BDOITable"/>
            </w:pPr>
            <w:r>
              <w:rPr>
                <w:b/>
                <w:sz w:val="17"/>
              </w:rPr>
              <w:t>Apigee X key set address, token issuer and audience; scopes per published API</w:t>
            </w:r>
          </w:p>
        </w:tc>
        <w:tc>
          <w:tcPr>
            <w:tcW w:type="dxa" w:w="4533"/>
            <w:tcMar>
              <w:top w:w="50" w:type="dxa"/>
              <w:bottom w:w="50" w:type="dxa"/>
              <w:left w:w="90" w:type="dxa"/>
              <w:right w:w="90" w:type="dxa"/>
            </w:tcMar>
            <w:shd w:val="clear" w:color="auto" w:fill="E5F5FF"/>
          </w:tcPr>
          <w:p>
            <w:pPr>
              <w:pStyle w:val="BDOITable"/>
            </w:pPr>
            <w:r>
              <w:rPr>
                <w:sz w:val="17"/>
              </w:rPr>
              <w:t>BDO API team</w:t>
            </w:r>
          </w:p>
        </w:tc>
      </w:tr>
      <w:tr>
        <w:trPr>
          <w:cantSplit w:val="true"/>
        </w:trPr>
        <w:tc>
          <w:tcPr>
            <w:tcW w:type="dxa" w:w="5439"/>
            <w:tcMar>
              <w:top w:w="50" w:type="dxa"/>
              <w:bottom w:w="50" w:type="dxa"/>
              <w:left w:w="90" w:type="dxa"/>
              <w:right w:w="90" w:type="dxa"/>
            </w:tcMar>
          </w:tcPr>
          <w:p>
            <w:pPr>
              <w:pStyle w:val="BDOITable"/>
            </w:pPr>
            <w:r>
              <w:rPr>
                <w:b/>
                <w:sz w:val="17"/>
              </w:rPr>
              <w:t>ECR registry; secrets in AWS Secrets Manager</w:t>
            </w:r>
          </w:p>
        </w:tc>
        <w:tc>
          <w:tcPr>
            <w:tcW w:type="dxa" w:w="4533"/>
            <w:tcMar>
              <w:top w:w="50" w:type="dxa"/>
              <w:bottom w:w="50" w:type="dxa"/>
              <w:left w:w="90" w:type="dxa"/>
              <w:right w:w="90" w:type="dxa"/>
            </w:tcMar>
          </w:tcPr>
          <w:p>
            <w:pPr>
              <w:pStyle w:val="BDOITable"/>
            </w:pPr>
            <w:r>
              <w:rPr>
                <w:sz w:val="17"/>
              </w:rPr>
              <w:t>Release team</w:t>
            </w:r>
          </w:p>
        </w:tc>
      </w:tr>
      <w:tr>
        <w:trPr>
          <w:cantSplit w:val="true"/>
        </w:trPr>
        <w:tc>
          <w:tcPr>
            <w:tcW w:type="dxa" w:w="5439"/>
            <w:tcMar>
              <w:top w:w="50" w:type="dxa"/>
              <w:bottom w:w="50" w:type="dxa"/>
              <w:left w:w="90" w:type="dxa"/>
              <w:right w:w="90" w:type="dxa"/>
            </w:tcMar>
            <w:shd w:val="clear" w:color="auto" w:fill="E5F5FF"/>
          </w:tcPr>
          <w:p>
            <w:pPr>
              <w:pStyle w:val="BDOITable"/>
            </w:pPr>
            <w:r>
              <w:rPr>
                <w:b/>
                <w:sz w:val="17"/>
              </w:rPr>
              <w:t>Database logins: schema owner and least-privilege application login</w:t>
            </w:r>
          </w:p>
        </w:tc>
        <w:tc>
          <w:tcPr>
            <w:tcW w:type="dxa" w:w="4533"/>
            <w:tcMar>
              <w:top w:w="50" w:type="dxa"/>
              <w:bottom w:w="50" w:type="dxa"/>
              <w:left w:w="90" w:type="dxa"/>
              <w:right w:w="90" w:type="dxa"/>
            </w:tcMar>
            <w:shd w:val="clear" w:color="auto" w:fill="E5F5FF"/>
          </w:tcPr>
          <w:p>
            <w:pPr>
              <w:pStyle w:val="BDOITable"/>
            </w:pPr>
            <w:r>
              <w:rPr>
                <w:sz w:val="17"/>
              </w:rPr>
              <w:t>DBA</w:t>
            </w:r>
          </w:p>
        </w:tc>
      </w:tr>
    </w:tbl>
    <w:p>
      <w:pPr>
        <w:pStyle w:val="BDOISpacer"/>
      </w:pPr>
    </w:p>
    <w:p>
      <w:pPr>
        <w:pStyle w:val="Heading1"/>
        <w:pBdr>
          <w:bottom w:val="single" w:sz="4" w:space="4" w:color="99C1E7"/>
        </w:pBdr>
      </w:pPr>
      <w:bookmarkStart w:id="124" w:name="_Toc000124"/>
      <w:r>
        <w:rPr/>
        <w:t>8 Release pipeline and promotion</w:t>
      </w:r>
      <w:bookmarkEnd w:id="124"/>
    </w:p>
    <w:p>
      <w:pPr>
        <w:pStyle w:val="Heading2"/>
      </w:pPr>
      <w:bookmarkStart w:id="125" w:name="_Toc000125"/>
      <w:r>
        <w:rPr/>
        <w:t>8.1 Pipeline</w:t>
      </w:r>
      <w:bookmarkEnd w:id="125"/>
    </w:p>
    <w:p>
      <w:pPr>
        <w:keepNext/>
        <w:spacing w:before="80" w:after="0"/>
        <w:jc w:val="center"/>
      </w:pPr>
      <w:r>
        <w:drawing>
          <wp:inline xmlns:a="http://schemas.openxmlformats.org/drawingml/2006/main" xmlns:pic="http://schemas.openxmlformats.org/drawingml/2006/picture">
            <wp:extent cx="5220000" cy="4256722"/>
            <wp:docPr id="6" name="Picture 6"/>
            <wp:cNvGraphicFramePr>
              <a:graphicFrameLocks noChangeAspect="1"/>
            </wp:cNvGraphicFramePr>
            <a:graphic>
              <a:graphicData uri="http://schemas.openxmlformats.org/drawingml/2006/picture">
                <pic:pic>
                  <pic:nvPicPr>
                    <pic:cNvPr id="0" name="da_pipeline_970.jpg"/>
                    <pic:cNvPicPr/>
                  </pic:nvPicPr>
                  <pic:blipFill>
                    <a:blip r:embed="rId18"/>
                    <a:stretch>
                      <a:fillRect/>
                    </a:stretch>
                  </pic:blipFill>
                  <pic:spPr>
                    <a:xfrm>
                      <a:off x="0" y="0"/>
                      <a:ext cx="5220000" cy="4256722"/>
                    </a:xfrm>
                    <a:prstGeom prst="rect"/>
                  </pic:spPr>
                </pic:pic>
              </a:graphicData>
            </a:graphic>
          </wp:inline>
        </w:drawing>
      </w:r>
    </w:p>
    <w:p>
      <w:pPr>
        <w:pStyle w:val="Caption"/>
        <w:jc w:val="center"/>
      </w:pPr>
      <w:r>
        <w:rPr>
          <w:b/>
          <w:i w:val="0"/>
        </w:rPr>
        <w:t xml:space="preserve">Figure 4: </w:t>
      </w:r>
      <w:r>
        <w:rPr/>
        <w:t>Release pipeline and promotion</w:t>
      </w:r>
    </w:p>
    <w:p>
      <w:pPr>
        <w:pStyle w:val="Caption"/>
        <w:keepNext/>
        <w:spacing w:after="60"/>
      </w:pPr>
      <w:r>
        <w:rPr>
          <w:b/>
          <w:i w:val="0"/>
        </w:rPr>
        <w:t xml:space="preserve">Table 15: </w:t>
      </w:r>
      <w:r>
        <w:rPr/>
        <w:t>Pipeline stages (every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5099"/>
        <w:gridCol w:w="317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7"/>
              </w:rPr>
              <w:t>Fails on</w:t>
            </w:r>
          </w:p>
        </w:tc>
      </w:tr>
      <w:tr>
        <w:trPr>
          <w:cantSplit w:val="true"/>
        </w:trPr>
        <w:tc>
          <w:tcPr>
            <w:tcW w:type="dxa" w:w="1700"/>
            <w:tcMar>
              <w:top w:w="50" w:type="dxa"/>
              <w:bottom w:w="50" w:type="dxa"/>
              <w:left w:w="90" w:type="dxa"/>
              <w:right w:w="90" w:type="dxa"/>
            </w:tcMar>
          </w:tcPr>
          <w:p>
            <w:pPr>
              <w:pStyle w:val="BDOITable"/>
            </w:pPr>
            <w:r>
              <w:rPr>
                <w:b/>
                <w:sz w:val="17"/>
              </w:rPr>
              <w:t>Compile and verify (backend)</w:t>
            </w:r>
          </w:p>
        </w:tc>
        <w:tc>
          <w:tcPr>
            <w:tcW w:type="dxa" w:w="5099"/>
            <w:tcMar>
              <w:top w:w="50" w:type="dxa"/>
              <w:bottom w:w="50" w:type="dxa"/>
              <w:left w:w="90" w:type="dxa"/>
              <w:right w:w="90" w:type="dxa"/>
            </w:tcMar>
          </w:tcPr>
          <w:p>
            <w:pPr>
              <w:pStyle w:val="BDOITable"/>
            </w:pPr>
            <w:r>
              <w:rPr>
                <w:sz w:val="17"/>
              </w:rPr>
              <w:t>Formatting, compile with all warnings as errors, test suites on a real PostgreSQL, coverage, Checkstyle, PMD and copy-paste detection, SpotBugs with its security rule set, architecture rules, CycloneDX SBOM</w:t>
            </w:r>
          </w:p>
        </w:tc>
        <w:tc>
          <w:tcPr>
            <w:tcW w:type="dxa" w:w="3173"/>
            <w:tcMar>
              <w:top w:w="50" w:type="dxa"/>
              <w:bottom w:w="50" w:type="dxa"/>
              <w:left w:w="90" w:type="dxa"/>
              <w:right w:w="90" w:type="dxa"/>
            </w:tcMar>
          </w:tcPr>
          <w:p>
            <w:pPr>
              <w:pStyle w:val="BDOITable"/>
            </w:pPr>
            <w:r>
              <w:rPr>
                <w:sz w:val="17"/>
              </w:rPr>
              <w:t>Any finding; coverage under 80 % of lines or 65 % of branches</w:t>
            </w:r>
          </w:p>
        </w:tc>
      </w:tr>
      <w:tr>
        <w:trPr>
          <w:cantSplit w:val="true"/>
        </w:trPr>
        <w:tc>
          <w:tcPr>
            <w:tcW w:type="dxa" w:w="1700"/>
            <w:tcMar>
              <w:top w:w="50" w:type="dxa"/>
              <w:bottom w:w="50" w:type="dxa"/>
              <w:left w:w="90" w:type="dxa"/>
              <w:right w:w="90" w:type="dxa"/>
            </w:tcMar>
            <w:shd w:val="clear" w:color="auto" w:fill="E5F5FF"/>
          </w:tcPr>
          <w:p>
            <w:pPr>
              <w:pStyle w:val="BDOITable"/>
            </w:pPr>
            <w:r>
              <w:rPr>
                <w:b/>
                <w:sz w:val="17"/>
              </w:rPr>
              <w:t>Compile and verify (web client)</w:t>
            </w:r>
          </w:p>
        </w:tc>
        <w:tc>
          <w:tcPr>
            <w:tcW w:type="dxa" w:w="5099"/>
            <w:tcMar>
              <w:top w:w="50" w:type="dxa"/>
              <w:bottom w:w="50" w:type="dxa"/>
              <w:left w:w="90" w:type="dxa"/>
              <w:right w:w="90" w:type="dxa"/>
            </w:tcMar>
            <w:shd w:val="clear" w:color="auto" w:fill="E5F5FF"/>
          </w:tcPr>
          <w:p>
            <w:pPr>
              <w:pStyle w:val="BDOITable"/>
            </w:pPr>
            <w:r>
              <w:rPr>
                <w:sz w:val="17"/>
              </w:rPr>
              <w:t>Formatting, lint with the SonarJS, accessibility and React rules, strict type check, tests with coverage, packaging, SBOM</w:t>
            </w:r>
          </w:p>
        </w:tc>
        <w:tc>
          <w:tcPr>
            <w:tcW w:type="dxa" w:w="3173"/>
            <w:tcMar>
              <w:top w:w="50" w:type="dxa"/>
              <w:bottom w:w="50" w:type="dxa"/>
              <w:left w:w="90" w:type="dxa"/>
              <w:right w:w="90" w:type="dxa"/>
            </w:tcMar>
            <w:shd w:val="clear" w:color="auto" w:fill="E5F5FF"/>
          </w:tcPr>
          <w:p>
            <w:pPr>
              <w:pStyle w:val="BDOITable"/>
            </w:pPr>
            <w:r>
              <w:rPr>
                <w:sz w:val="17"/>
              </w:rPr>
              <w:t>Any finding</w:t>
            </w:r>
          </w:p>
        </w:tc>
      </w:tr>
      <w:tr>
        <w:trPr>
          <w:cantSplit w:val="true"/>
        </w:trPr>
        <w:tc>
          <w:tcPr>
            <w:tcW w:type="dxa" w:w="1700"/>
            <w:tcMar>
              <w:top w:w="50" w:type="dxa"/>
              <w:bottom w:w="50" w:type="dxa"/>
              <w:left w:w="90" w:type="dxa"/>
              <w:right w:w="90" w:type="dxa"/>
            </w:tcMar>
          </w:tcPr>
          <w:p>
            <w:pPr>
              <w:pStyle w:val="BDOITable"/>
            </w:pPr>
            <w:r>
              <w:rPr>
                <w:b/>
                <w:sz w:val="17"/>
              </w:rPr>
              <w:t>Quality</w:t>
            </w:r>
          </w:p>
        </w:tc>
        <w:tc>
          <w:tcPr>
            <w:tcW w:type="dxa" w:w="5099"/>
            <w:tcMar>
              <w:top w:w="50" w:type="dxa"/>
              <w:bottom w:w="50" w:type="dxa"/>
              <w:left w:w="90" w:type="dxa"/>
              <w:right w:w="90" w:type="dxa"/>
            </w:tcMar>
          </w:tcPr>
          <w:p>
            <w:pPr>
              <w:pStyle w:val="BDOITable"/>
            </w:pPr>
            <w:r>
              <w:rPr>
                <w:sz w:val="17"/>
              </w:rPr>
              <w:t>SonarQube analysis of backend and web client, quality gate</w:t>
            </w:r>
          </w:p>
        </w:tc>
        <w:tc>
          <w:tcPr>
            <w:tcW w:type="dxa" w:w="3173"/>
            <w:tcMar>
              <w:top w:w="50" w:type="dxa"/>
              <w:bottom w:w="50" w:type="dxa"/>
              <w:left w:w="90" w:type="dxa"/>
              <w:right w:w="90" w:type="dxa"/>
            </w:tcMar>
          </w:tcPr>
          <w:p>
            <w:pPr>
              <w:pStyle w:val="BDOITable"/>
            </w:pPr>
            <w:r>
              <w:rPr>
                <w:sz w:val="17"/>
              </w:rPr>
              <w:t>Quality gate failed</w:t>
            </w:r>
          </w:p>
        </w:tc>
      </w:tr>
      <w:tr>
        <w:trPr>
          <w:cantSplit w:val="true"/>
        </w:trPr>
        <w:tc>
          <w:tcPr>
            <w:tcW w:type="dxa" w:w="1700"/>
            <w:tcMar>
              <w:top w:w="50" w:type="dxa"/>
              <w:bottom w:w="50" w:type="dxa"/>
              <w:left w:w="90" w:type="dxa"/>
              <w:right w:w="90" w:type="dxa"/>
            </w:tcMar>
            <w:shd w:val="clear" w:color="auto" w:fill="E5F5FF"/>
          </w:tcPr>
          <w:p>
            <w:pPr>
              <w:pStyle w:val="BDOITable"/>
            </w:pPr>
            <w:r>
              <w:rPr>
                <w:b/>
                <w:sz w:val="17"/>
              </w:rPr>
              <w:t>Security</w:t>
            </w:r>
          </w:p>
        </w:tc>
        <w:tc>
          <w:tcPr>
            <w:tcW w:type="dxa" w:w="5099"/>
            <w:tcMar>
              <w:top w:w="50" w:type="dxa"/>
              <w:bottom w:w="50" w:type="dxa"/>
              <w:left w:w="90" w:type="dxa"/>
              <w:right w:w="90" w:type="dxa"/>
            </w:tcMar>
            <w:shd w:val="clear" w:color="auto" w:fill="E5F5FF"/>
          </w:tcPr>
          <w:p>
            <w:pPr>
              <w:pStyle w:val="BDOITable"/>
            </w:pPr>
            <w:r>
              <w:rPr>
                <w:sz w:val="17"/>
              </w:rPr>
              <w:t>CodeQL and SAST for Java and TypeScript; OWASP dependency-check; npm audit; gitleaks over the whole history</w:t>
            </w:r>
          </w:p>
        </w:tc>
        <w:tc>
          <w:tcPr>
            <w:tcW w:type="dxa" w:w="3173"/>
            <w:tcMar>
              <w:top w:w="50" w:type="dxa"/>
              <w:bottom w:w="50" w:type="dxa"/>
              <w:left w:w="90" w:type="dxa"/>
              <w:right w:w="90" w:type="dxa"/>
            </w:tcMar>
            <w:shd w:val="clear" w:color="auto" w:fill="E5F5FF"/>
          </w:tcPr>
          <w:p>
            <w:pPr>
              <w:pStyle w:val="BDOITable"/>
            </w:pPr>
            <w:r>
              <w:rPr>
                <w:sz w:val="17"/>
              </w:rPr>
              <w:t>CVSS 7.0 or higher; high or critical advisory; any secret, unless accepted under ADR-14</w:t>
            </w:r>
          </w:p>
        </w:tc>
      </w:tr>
      <w:tr>
        <w:trPr>
          <w:cantSplit w:val="true"/>
        </w:trPr>
        <w:tc>
          <w:tcPr>
            <w:tcW w:type="dxa" w:w="1700"/>
            <w:tcMar>
              <w:top w:w="50" w:type="dxa"/>
              <w:bottom w:w="50" w:type="dxa"/>
              <w:left w:w="90" w:type="dxa"/>
              <w:right w:w="90" w:type="dxa"/>
            </w:tcMar>
          </w:tcPr>
          <w:p>
            <w:pPr>
              <w:pStyle w:val="BDOITable"/>
            </w:pPr>
            <w:r>
              <w:rPr>
                <w:b/>
                <w:sz w:val="17"/>
              </w:rPr>
              <w:t>Images</w:t>
            </w:r>
          </w:p>
        </w:tc>
        <w:tc>
          <w:tcPr>
            <w:tcW w:type="dxa" w:w="5099"/>
            <w:tcMar>
              <w:top w:w="50" w:type="dxa"/>
              <w:bottom w:w="50" w:type="dxa"/>
              <w:left w:w="90" w:type="dxa"/>
              <w:right w:w="90" w:type="dxa"/>
            </w:tcMar>
          </w:tcPr>
          <w:p>
            <w:pPr>
              <w:pStyle w:val="BDOITable"/>
            </w:pPr>
            <w:r>
              <w:rPr>
                <w:sz w:val="17"/>
              </w:rPr>
              <w:t>bibs-backend and bibs-frontend on pinned base digests</w:t>
            </w:r>
          </w:p>
        </w:tc>
        <w:tc>
          <w:tcPr>
            <w:tcW w:type="dxa" w:w="3173"/>
            <w:tcMar>
              <w:top w:w="50" w:type="dxa"/>
              <w:bottom w:w="50" w:type="dxa"/>
              <w:left w:w="90" w:type="dxa"/>
              <w:right w:w="90" w:type="dxa"/>
            </w:tcMar>
          </w:tcPr>
          <w:p>
            <w:pPr>
              <w:pStyle w:val="BDOITable"/>
            </w:pPr>
            <w:r>
              <w:rPr>
                <w:sz w:val="17"/>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7"/>
              </w:rPr>
              <w:t>Image scan</w:t>
            </w:r>
          </w:p>
        </w:tc>
        <w:tc>
          <w:tcPr>
            <w:tcW w:type="dxa" w:w="5099"/>
            <w:tcMar>
              <w:top w:w="50" w:type="dxa"/>
              <w:bottom w:w="50" w:type="dxa"/>
              <w:left w:w="90" w:type="dxa"/>
              <w:right w:w="90" w:type="dxa"/>
            </w:tcMar>
            <w:shd w:val="clear" w:color="auto" w:fill="E5F5FF"/>
          </w:tcPr>
          <w:p>
            <w:pPr>
              <w:pStyle w:val="BDOITable"/>
            </w:pPr>
            <w:r>
              <w:rPr>
                <w:sz w:val="17"/>
              </w:rPr>
              <w:t>Trivy on both images (OS packages, application archive, secrets)</w:t>
            </w:r>
          </w:p>
        </w:tc>
        <w:tc>
          <w:tcPr>
            <w:tcW w:type="dxa" w:w="3173"/>
            <w:tcMar>
              <w:top w:w="50" w:type="dxa"/>
              <w:bottom w:w="50" w:type="dxa"/>
              <w:left w:w="90" w:type="dxa"/>
              <w:right w:w="90" w:type="dxa"/>
            </w:tcMar>
            <w:shd w:val="clear" w:color="auto" w:fill="E5F5FF"/>
          </w:tcPr>
          <w:p>
            <w:pPr>
              <w:pStyle w:val="BDOITable"/>
            </w:pPr>
            <w:r>
              <w:rPr>
                <w:sz w:val="17"/>
              </w:rPr>
              <w:t>High or critical finding with a fix available, unless accepted under ADR-14</w:t>
            </w:r>
          </w:p>
        </w:tc>
      </w:tr>
      <w:tr>
        <w:trPr>
          <w:cantSplit w:val="true"/>
        </w:trPr>
        <w:tc>
          <w:tcPr>
            <w:tcW w:type="dxa" w:w="1700"/>
            <w:tcMar>
              <w:top w:w="50" w:type="dxa"/>
              <w:bottom w:w="50" w:type="dxa"/>
              <w:left w:w="90" w:type="dxa"/>
              <w:right w:w="90" w:type="dxa"/>
            </w:tcMar>
          </w:tcPr>
          <w:p>
            <w:pPr>
              <w:pStyle w:val="BDOITable"/>
            </w:pPr>
            <w:r>
              <w:rPr>
                <w:b/>
                <w:sz w:val="17"/>
              </w:rPr>
              <w:t>Client documents</w:t>
            </w:r>
          </w:p>
        </w:tc>
        <w:tc>
          <w:tcPr>
            <w:tcW w:type="dxa" w:w="5099"/>
            <w:tcMar>
              <w:top w:w="50" w:type="dxa"/>
              <w:bottom w:w="50" w:type="dxa"/>
              <w:left w:w="90" w:type="dxa"/>
              <w:right w:w="90" w:type="dxa"/>
            </w:tcMar>
          </w:tcPr>
          <w:p>
            <w:pPr>
              <w:pStyle w:val="BDOITable"/>
            </w:pPr>
            <w:r>
              <w:rPr>
                <w:sz w:val="17"/>
              </w:rPr>
              <w:t>Pack check of the client documents</w:t>
            </w:r>
          </w:p>
        </w:tc>
        <w:tc>
          <w:tcPr>
            <w:tcW w:type="dxa" w:w="3173"/>
            <w:tcMar>
              <w:top w:w="50" w:type="dxa"/>
              <w:bottom w:w="50" w:type="dxa"/>
              <w:left w:w="90" w:type="dxa"/>
              <w:right w:w="90" w:type="dxa"/>
            </w:tcMar>
          </w:tcPr>
          <w:p>
            <w:pPr>
              <w:pStyle w:val="BDOITable"/>
            </w:pPr>
            <w:r>
              <w:rPr>
                <w:sz w:val="17"/>
              </w:rPr>
              <w:t>Duplicates, older versions, restricted wording</w:t>
            </w:r>
          </w:p>
        </w:tc>
      </w:tr>
    </w:tbl>
    <w:p>
      <w:pPr>
        <w:pStyle w:val="BDOISpacer"/>
      </w:pPr>
    </w:p>
    <w:p>
      <w:pPr>
        <w:pStyle w:val="Heading2"/>
      </w:pPr>
      <w:bookmarkStart w:id="126" w:name="_Toc000126"/>
      <w:r>
        <w:rPr/>
        <w:t>8.2 Promotion through the environments</w:t>
      </w:r>
      <w:bookmarkEnd w:id="126"/>
    </w:p>
    <w:p>
      <w:pPr>
        <w:pStyle w:val="Caption"/>
        <w:keepNext/>
        <w:spacing w:after="60"/>
      </w:pPr>
      <w:r>
        <w:rPr>
          <w:b/>
          <w:i w:val="0"/>
        </w:rPr>
        <w:t xml:space="preserve">Table 16: </w:t>
      </w:r>
      <w:r>
        <w:rPr/>
        <w:t>Promotion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606"/>
        <w:gridCol w:w="3059"/>
        <w:gridCol w:w="305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7"/>
              </w:rPr>
              <w:t>Environment</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7"/>
              </w:rPr>
              <w:t>Deployed</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7"/>
              </w:rPr>
              <w:t>Entry gate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7"/>
              </w:rPr>
              <w:t>Exit gate</w:t>
            </w:r>
          </w:p>
        </w:tc>
      </w:tr>
      <w:tr>
        <w:trPr>
          <w:cantSplit w:val="true"/>
        </w:trPr>
        <w:tc>
          <w:tcPr>
            <w:tcW w:type="dxa" w:w="1246"/>
            <w:tcMar>
              <w:top w:w="50" w:type="dxa"/>
              <w:bottom w:w="50" w:type="dxa"/>
              <w:left w:w="90" w:type="dxa"/>
              <w:right w:w="90" w:type="dxa"/>
            </w:tcMar>
          </w:tcPr>
          <w:p>
            <w:pPr>
              <w:pStyle w:val="BDOITable"/>
            </w:pPr>
            <w:r>
              <w:rPr>
                <w:b/>
                <w:sz w:val="17"/>
              </w:rPr>
              <w:t>DEV</w:t>
            </w:r>
          </w:p>
        </w:tc>
        <w:tc>
          <w:tcPr>
            <w:tcW w:type="dxa" w:w="2606"/>
            <w:tcMar>
              <w:top w:w="50" w:type="dxa"/>
              <w:bottom w:w="50" w:type="dxa"/>
              <w:left w:w="90" w:type="dxa"/>
              <w:right w:w="90" w:type="dxa"/>
            </w:tcMar>
          </w:tcPr>
          <w:p>
            <w:pPr>
              <w:pStyle w:val="BDOITable"/>
            </w:pPr>
            <w:r>
              <w:rPr>
                <w:sz w:val="17"/>
              </w:rPr>
              <w:t>Every change that passed the pipeline</w:t>
            </w:r>
          </w:p>
        </w:tc>
        <w:tc>
          <w:tcPr>
            <w:tcW w:type="dxa" w:w="3060"/>
            <w:tcMar>
              <w:top w:w="50" w:type="dxa"/>
              <w:bottom w:w="50" w:type="dxa"/>
              <w:left w:w="90" w:type="dxa"/>
              <w:right w:w="90" w:type="dxa"/>
            </w:tcMar>
          </w:tcPr>
          <w:p>
            <w:pPr>
              <w:pStyle w:val="BDOITable"/>
            </w:pPr>
            <w:r>
              <w:rPr>
                <w:sz w:val="17"/>
              </w:rPr>
              <w:t>Pipeline green</w:t>
            </w:r>
          </w:p>
        </w:tc>
        <w:tc>
          <w:tcPr>
            <w:tcW w:type="dxa" w:w="3060"/>
            <w:tcMar>
              <w:top w:w="50" w:type="dxa"/>
              <w:bottom w:w="50" w:type="dxa"/>
              <w:left w:w="90" w:type="dxa"/>
              <w:right w:w="90" w:type="dxa"/>
            </w:tcMar>
          </w:tcPr>
          <w:p>
            <w:pPr>
              <w:pStyle w:val="BDOITable"/>
            </w:pPr>
            <w:r>
              <w:rPr>
                <w:sz w:val="17"/>
              </w:rPr>
              <w:t>-</w:t>
            </w:r>
          </w:p>
        </w:tc>
      </w:tr>
      <w:tr>
        <w:trPr>
          <w:cantSplit w:val="true"/>
        </w:trPr>
        <w:tc>
          <w:tcPr>
            <w:tcW w:type="dxa" w:w="1246"/>
            <w:tcMar>
              <w:top w:w="50" w:type="dxa"/>
              <w:bottom w:w="50" w:type="dxa"/>
              <w:left w:w="90" w:type="dxa"/>
              <w:right w:w="90" w:type="dxa"/>
            </w:tcMar>
            <w:shd w:val="clear" w:color="auto" w:fill="E5F5FF"/>
          </w:tcPr>
          <w:p>
            <w:pPr>
              <w:pStyle w:val="BDOITable"/>
            </w:pPr>
            <w:r>
              <w:rPr>
                <w:b/>
                <w:sz w:val="17"/>
              </w:rPr>
              <w:t>SIT</w:t>
            </w:r>
          </w:p>
        </w:tc>
        <w:tc>
          <w:tcPr>
            <w:tcW w:type="dxa" w:w="2606"/>
            <w:tcMar>
              <w:top w:w="50" w:type="dxa"/>
              <w:bottom w:w="50" w:type="dxa"/>
              <w:left w:w="90" w:type="dxa"/>
              <w:right w:w="90" w:type="dxa"/>
            </w:tcMar>
            <w:shd w:val="clear" w:color="auto" w:fill="E5F5FF"/>
          </w:tcPr>
          <w:p>
            <w:pPr>
              <w:pStyle w:val="BDOITable"/>
            </w:pPr>
            <w:r>
              <w:rPr>
                <w:sz w:val="17"/>
              </w:rPr>
              <w:t>A release candidate (release tag)</w:t>
            </w:r>
          </w:p>
        </w:tc>
        <w:tc>
          <w:tcPr>
            <w:tcW w:type="dxa" w:w="3060"/>
            <w:tcMar>
              <w:top w:w="50" w:type="dxa"/>
              <w:bottom w:w="50" w:type="dxa"/>
              <w:left w:w="90" w:type="dxa"/>
              <w:right w:w="90" w:type="dxa"/>
            </w:tcMar>
            <w:shd w:val="clear" w:color="auto" w:fill="E5F5FF"/>
          </w:tcPr>
          <w:p>
            <w:pPr>
              <w:pStyle w:val="BDOITable"/>
            </w:pPr>
            <w:r>
              <w:rPr>
                <w:sz w:val="17"/>
              </w:rPr>
              <w:t>Pipeline green; release note with the migrations and configuration changes</w:t>
            </w:r>
          </w:p>
        </w:tc>
        <w:tc>
          <w:tcPr>
            <w:tcW w:type="dxa" w:w="3060"/>
            <w:tcMar>
              <w:top w:w="50" w:type="dxa"/>
              <w:bottom w:w="50" w:type="dxa"/>
              <w:left w:w="90" w:type="dxa"/>
              <w:right w:w="90" w:type="dxa"/>
            </w:tcMar>
            <w:shd w:val="clear" w:color="auto" w:fill="E5F5FF"/>
          </w:tcPr>
          <w:p>
            <w:pPr>
              <w:pStyle w:val="BDOITable"/>
            </w:pPr>
            <w:r>
              <w:rPr>
                <w:sz w:val="17"/>
              </w:rPr>
              <w:t>SIT exit criteria of the drop's test plan; no open severity 1 or 2 finding</w:t>
            </w:r>
          </w:p>
        </w:tc>
      </w:tr>
      <w:tr>
        <w:trPr>
          <w:cantSplit w:val="true"/>
        </w:trPr>
        <w:tc>
          <w:tcPr>
            <w:tcW w:type="dxa" w:w="1246"/>
            <w:tcMar>
              <w:top w:w="50" w:type="dxa"/>
              <w:bottom w:w="50" w:type="dxa"/>
              <w:left w:w="90" w:type="dxa"/>
              <w:right w:w="90" w:type="dxa"/>
            </w:tcMar>
          </w:tcPr>
          <w:p>
            <w:pPr>
              <w:pStyle w:val="BDOITable"/>
            </w:pPr>
            <w:r>
              <w:rPr>
                <w:b/>
                <w:sz w:val="17"/>
              </w:rPr>
              <w:t>UAT</w:t>
            </w:r>
          </w:p>
        </w:tc>
        <w:tc>
          <w:tcPr>
            <w:tcW w:type="dxa" w:w="2606"/>
            <w:tcMar>
              <w:top w:w="50" w:type="dxa"/>
              <w:bottom w:w="50" w:type="dxa"/>
              <w:left w:w="90" w:type="dxa"/>
              <w:right w:w="90" w:type="dxa"/>
            </w:tcMar>
          </w:tcPr>
          <w:p>
            <w:pPr>
              <w:pStyle w:val="BDOITable"/>
            </w:pPr>
            <w:r>
              <w:rPr>
                <w:sz w:val="17"/>
              </w:rPr>
              <w:t>The same digest as SIT</w:t>
            </w:r>
          </w:p>
        </w:tc>
        <w:tc>
          <w:tcPr>
            <w:tcW w:type="dxa" w:w="3060"/>
            <w:tcMar>
              <w:top w:w="50" w:type="dxa"/>
              <w:bottom w:w="50" w:type="dxa"/>
              <w:left w:w="90" w:type="dxa"/>
              <w:right w:w="90" w:type="dxa"/>
            </w:tcMar>
          </w:tcPr>
          <w:p>
            <w:pPr>
              <w:pStyle w:val="BDOITable"/>
            </w:pPr>
            <w:r>
              <w:rPr>
                <w:sz w:val="17"/>
              </w:rPr>
              <w:t>SIT exit report; UAT readiness statement (Drop 1 by 30-Jul-2027, Drop 2 by 30-Sep-2027)</w:t>
            </w:r>
          </w:p>
        </w:tc>
        <w:tc>
          <w:tcPr>
            <w:tcW w:type="dxa" w:w="3060"/>
            <w:tcMar>
              <w:top w:w="50" w:type="dxa"/>
              <w:bottom w:w="50" w:type="dxa"/>
              <w:left w:w="90" w:type="dxa"/>
              <w:right w:w="90" w:type="dxa"/>
            </w:tcMar>
          </w:tcPr>
          <w:p>
            <w:pPr>
              <w:pStyle w:val="BDOITable"/>
            </w:pPr>
            <w:r>
              <w:rPr>
                <w:sz w:val="17"/>
              </w:rPr>
              <w:t>BDOI UAT sign-off per drop</w:t>
            </w:r>
          </w:p>
        </w:tc>
      </w:tr>
      <w:tr>
        <w:trPr>
          <w:cantSplit w:val="true"/>
        </w:trPr>
        <w:tc>
          <w:tcPr>
            <w:tcW w:type="dxa" w:w="1246"/>
            <w:tcMar>
              <w:top w:w="50" w:type="dxa"/>
              <w:bottom w:w="50" w:type="dxa"/>
              <w:left w:w="90" w:type="dxa"/>
              <w:right w:w="90" w:type="dxa"/>
            </w:tcMar>
            <w:shd w:val="clear" w:color="auto" w:fill="E5F5FF"/>
          </w:tcPr>
          <w:p>
            <w:pPr>
              <w:pStyle w:val="BDOITable"/>
            </w:pPr>
            <w:r>
              <w:rPr>
                <w:b/>
                <w:sz w:val="17"/>
              </w:rPr>
              <w:t>Pre-Prod</w:t>
            </w:r>
          </w:p>
        </w:tc>
        <w:tc>
          <w:tcPr>
            <w:tcW w:type="dxa" w:w="2606"/>
            <w:tcMar>
              <w:top w:w="50" w:type="dxa"/>
              <w:bottom w:w="50" w:type="dxa"/>
              <w:left w:w="90" w:type="dxa"/>
              <w:right w:w="90" w:type="dxa"/>
            </w:tcMar>
            <w:shd w:val="clear" w:color="auto" w:fill="E5F5FF"/>
          </w:tcPr>
          <w:p>
            <w:pPr>
              <w:pStyle w:val="BDOITable"/>
            </w:pPr>
            <w:r>
              <w:rPr>
                <w:sz w:val="17"/>
              </w:rPr>
              <w:t>The same digest as UAT</w:t>
            </w:r>
          </w:p>
        </w:tc>
        <w:tc>
          <w:tcPr>
            <w:tcW w:type="dxa" w:w="3060"/>
            <w:tcMar>
              <w:top w:w="50" w:type="dxa"/>
              <w:bottom w:w="50" w:type="dxa"/>
              <w:left w:w="90" w:type="dxa"/>
              <w:right w:w="90" w:type="dxa"/>
            </w:tcMar>
            <w:shd w:val="clear" w:color="auto" w:fill="E5F5FF"/>
          </w:tcPr>
          <w:p>
            <w:pPr>
              <w:pStyle w:val="BDOITable"/>
            </w:pPr>
            <w:r>
              <w:rPr>
                <w:sz w:val="17"/>
              </w:rPr>
              <w:t>UAT sign-off</w:t>
            </w:r>
          </w:p>
        </w:tc>
        <w:tc>
          <w:tcPr>
            <w:tcW w:type="dxa" w:w="3060"/>
            <w:tcMar>
              <w:top w:w="50" w:type="dxa"/>
              <w:bottom w:w="50" w:type="dxa"/>
              <w:left w:w="90" w:type="dxa"/>
              <w:right w:w="90" w:type="dxa"/>
            </w:tcMar>
            <w:shd w:val="clear" w:color="auto" w:fill="E5F5FF"/>
          </w:tcPr>
          <w:p>
            <w:pPr>
              <w:pStyle w:val="BDOITable"/>
            </w:pPr>
            <w:r>
              <w:rPr>
                <w:sz w:val="17"/>
              </w:rPr>
              <w:t>Performance test at 429 concurrent sessions; penetration test findings closed or accepted; cut-over dress rehearsal</w:t>
            </w:r>
          </w:p>
        </w:tc>
      </w:tr>
      <w:tr>
        <w:trPr>
          <w:cantSplit w:val="true"/>
        </w:trPr>
        <w:tc>
          <w:tcPr>
            <w:tcW w:type="dxa" w:w="1246"/>
            <w:tcMar>
              <w:top w:w="50" w:type="dxa"/>
              <w:bottom w:w="50" w:type="dxa"/>
              <w:left w:w="90" w:type="dxa"/>
              <w:right w:w="90" w:type="dxa"/>
            </w:tcMar>
          </w:tcPr>
          <w:p>
            <w:pPr>
              <w:pStyle w:val="BDOITable"/>
            </w:pPr>
            <w:r>
              <w:rPr>
                <w:b/>
                <w:sz w:val="17"/>
              </w:rPr>
              <w:t>PROD</w:t>
            </w:r>
          </w:p>
        </w:tc>
        <w:tc>
          <w:tcPr>
            <w:tcW w:type="dxa" w:w="2606"/>
            <w:tcMar>
              <w:top w:w="50" w:type="dxa"/>
              <w:bottom w:w="50" w:type="dxa"/>
              <w:left w:w="90" w:type="dxa"/>
              <w:right w:w="90" w:type="dxa"/>
            </w:tcMar>
          </w:tcPr>
          <w:p>
            <w:pPr>
              <w:pStyle w:val="BDOITable"/>
            </w:pPr>
            <w:r>
              <w:rPr>
                <w:sz w:val="17"/>
              </w:rPr>
              <w:t>The same digest as Pre-Prod</w:t>
            </w:r>
          </w:p>
        </w:tc>
        <w:tc>
          <w:tcPr>
            <w:tcW w:type="dxa" w:w="3060"/>
            <w:tcMar>
              <w:top w:w="50" w:type="dxa"/>
              <w:bottom w:w="50" w:type="dxa"/>
              <w:left w:w="90" w:type="dxa"/>
              <w:right w:w="90" w:type="dxa"/>
            </w:tcMar>
          </w:tcPr>
          <w:p>
            <w:pPr>
              <w:pStyle w:val="BDOITable"/>
            </w:pPr>
            <w:r>
              <w:rPr>
                <w:sz w:val="17"/>
              </w:rPr>
              <w:t>Change approval (CAB), ORR / PRR evidence, go / no-go</w:t>
            </w:r>
          </w:p>
        </w:tc>
        <w:tc>
          <w:tcPr>
            <w:tcW w:type="dxa" w:w="3060"/>
            <w:tcMar>
              <w:top w:w="50" w:type="dxa"/>
              <w:bottom w:w="50" w:type="dxa"/>
              <w:left w:w="90" w:type="dxa"/>
              <w:right w:w="90" w:type="dxa"/>
            </w:tcMar>
          </w:tcPr>
          <w:p>
            <w:pPr>
              <w:pStyle w:val="BDOITable"/>
            </w:pPr>
            <w:r>
              <w:rPr>
                <w:sz w:val="17"/>
              </w:rPr>
              <w:t>Post-deployment checks: health of every workload, smoke test by BDOI key users, no error-rate increase in the first hour</w:t>
            </w:r>
          </w:p>
        </w:tc>
      </w:tr>
      <w:tr>
        <w:trPr>
          <w:cantSplit w:val="true"/>
        </w:trPr>
        <w:tc>
          <w:tcPr>
            <w:tcW w:type="dxa" w:w="1246"/>
            <w:tcMar>
              <w:top w:w="50" w:type="dxa"/>
              <w:bottom w:w="50" w:type="dxa"/>
              <w:left w:w="90" w:type="dxa"/>
              <w:right w:w="90" w:type="dxa"/>
            </w:tcMar>
            <w:shd w:val="clear" w:color="auto" w:fill="E5F5FF"/>
          </w:tcPr>
          <w:p>
            <w:pPr>
              <w:pStyle w:val="BDOITable"/>
            </w:pPr>
            <w:r>
              <w:rPr>
                <w:b/>
                <w:sz w:val="17"/>
              </w:rPr>
              <w:t>DR</w:t>
            </w:r>
          </w:p>
        </w:tc>
        <w:tc>
          <w:tcPr>
            <w:tcW w:type="dxa" w:w="2606"/>
            <w:tcMar>
              <w:top w:w="50" w:type="dxa"/>
              <w:bottom w:w="50" w:type="dxa"/>
              <w:left w:w="90" w:type="dxa"/>
              <w:right w:w="90" w:type="dxa"/>
            </w:tcMar>
            <w:shd w:val="clear" w:color="auto" w:fill="E5F5FF"/>
          </w:tcPr>
          <w:p>
            <w:pPr>
              <w:pStyle w:val="BDOITable"/>
            </w:pPr>
            <w:r>
              <w:rPr>
                <w:sz w:val="17"/>
              </w:rPr>
              <w:t>The same digest as PROD, right after PROD</w:t>
            </w:r>
          </w:p>
        </w:tc>
        <w:tc>
          <w:tcPr>
            <w:tcW w:type="dxa" w:w="3060"/>
            <w:tcMar>
              <w:top w:w="50" w:type="dxa"/>
              <w:bottom w:w="50" w:type="dxa"/>
              <w:left w:w="90" w:type="dxa"/>
              <w:right w:w="90" w:type="dxa"/>
            </w:tcMar>
            <w:shd w:val="clear" w:color="auto" w:fill="E5F5FF"/>
          </w:tcPr>
          <w:p>
            <w:pPr>
              <w:pStyle w:val="BDOITable"/>
            </w:pPr>
            <w:r>
              <w:rPr>
                <w:sz w:val="17"/>
              </w:rPr>
              <w:t>PROD deployed</w:t>
            </w:r>
          </w:p>
        </w:tc>
        <w:tc>
          <w:tcPr>
            <w:tcW w:type="dxa" w:w="3060"/>
            <w:tcMar>
              <w:top w:w="50" w:type="dxa"/>
              <w:bottom w:w="50" w:type="dxa"/>
              <w:left w:w="90" w:type="dxa"/>
              <w:right w:w="90" w:type="dxa"/>
            </w:tcMar>
            <w:shd w:val="clear" w:color="auto" w:fill="E5F5FF"/>
          </w:tcPr>
          <w:p>
            <w:pPr>
              <w:pStyle w:val="BDOITable"/>
            </w:pPr>
            <w:r>
              <w:rPr>
                <w:sz w:val="17"/>
              </w:rPr>
              <w:t>DR overlay current; standby pods healthy</w:t>
            </w:r>
          </w:p>
        </w:tc>
      </w:tr>
    </w:tbl>
    <w:p>
      <w:pPr>
        <w:pStyle w:val="BDOISpacer"/>
      </w:pPr>
    </w:p>
    <w:p>
      <w:pPr>
        <w:pStyle w:val="Heading2"/>
      </w:pPr>
      <w:bookmarkStart w:id="127" w:name="_Toc000127"/>
      <w:r>
        <w:rPr/>
        <w:t>8.3 Release rules</w:t>
      </w:r>
      <w:bookmarkEnd w:id="127"/>
    </w:p>
    <w:p>
      <w:pPr>
        <w:tabs>
          <w:tab w:pos="312" w:val="left"/>
        </w:tabs>
        <w:spacing w:after="40"/>
        <w:ind w:left="312" w:hanging="283"/>
      </w:pPr>
      <w:r>
        <w:rPr>
          <w:color w:val="004EA8"/>
        </w:rPr>
        <w:t>•</w:t>
        <w:tab/>
      </w:r>
      <w:r>
        <w:rPr>
          <w:b/>
        </w:rPr>
        <w:t>Versioning.</w:t>
      </w:r>
      <w:r>
        <w:rPr/>
        <w:t xml:space="preserve"> Each release carries a semantic version and a release tag; images are pushed to ECR with immutable tags and promoted by digest. The release record holds the digests, the SBOMs, the scan results, the list of schema migrations and the configuration changes.</w:t>
      </w:r>
    </w:p>
    <w:p>
      <w:pPr>
        <w:tabs>
          <w:tab w:pos="312" w:val="left"/>
        </w:tabs>
        <w:spacing w:after="40"/>
        <w:ind w:left="312" w:hanging="283"/>
      </w:pPr>
      <w:r>
        <w:rPr>
          <w:color w:val="004EA8"/>
        </w:rPr>
        <w:t>•</w:t>
        <w:tab/>
      </w:r>
      <w:r>
        <w:rPr>
          <w:b/>
        </w:rPr>
        <w:t>Schema changes.</w:t>
      </w:r>
      <w:r>
        <w:rPr/>
        <w:t xml:space="preserve"> Migrations run at start-up of the first pod (others wait on the migration lock), as the schema owner login. They are backward compatible with the previous release (expand, migrate, contract over two releases), so the rolling update can run old and new pods together. A manual RDS snapshot is taken before every PROD release.</w:t>
      </w:r>
    </w:p>
    <w:p>
      <w:pPr>
        <w:tabs>
          <w:tab w:pos="312" w:val="left"/>
        </w:tabs>
        <w:spacing w:after="40"/>
        <w:ind w:left="312" w:hanging="283"/>
      </w:pPr>
      <w:r>
        <w:rPr>
          <w:color w:val="004EA8"/>
        </w:rPr>
        <w:t>•</w:t>
        <w:tab/>
      </w:r>
      <w:r>
        <w:rPr>
          <w:b/>
        </w:rPr>
        <w:t>Window.</w:t>
      </w:r>
      <w:r>
        <w:rPr/>
        <w:t xml:space="preserve"> Production releases run in the maintenance window 00:00-04:00 (SA-11), outside the night jobs; urgent fixes follow the same pipeline with an emergency CAB.</w:t>
      </w:r>
    </w:p>
    <w:p>
      <w:pPr>
        <w:tabs>
          <w:tab w:pos="312" w:val="left"/>
        </w:tabs>
        <w:spacing w:after="40"/>
        <w:ind w:left="312" w:hanging="283"/>
      </w:pPr>
      <w:r>
        <w:rPr>
          <w:color w:val="004EA8"/>
        </w:rPr>
        <w:t>•</w:t>
        <w:tab/>
      </w:r>
      <w:r>
        <w:rPr>
          <w:b/>
        </w:rPr>
        <w:t>Rollback.</w:t>
      </w:r>
      <w:r>
        <w:rPr/>
        <w:t xml:space="preserve"> Redeploy the previous digest with the previous overlay. A migration is never rolled back by hand: a fix is a new migration. If a release must be withdrawn with its schema change, the RDS snapshot of the release is the fallback, decided by the go / no-go owner.</w:t>
      </w:r>
    </w:p>
    <w:p>
      <w:pPr>
        <w:tabs>
          <w:tab w:pos="312" w:val="left"/>
        </w:tabs>
        <w:spacing w:after="120"/>
        <w:ind w:left="312" w:hanging="283"/>
      </w:pPr>
      <w:r>
        <w:rPr>
          <w:color w:val="004EA8"/>
        </w:rPr>
        <w:t>•</w:t>
        <w:tab/>
      </w:r>
      <w:r>
        <w:rPr>
          <w:b/>
        </w:rPr>
        <w:t>Deployment tool.</w:t>
      </w:r>
      <w:r>
        <w:rPr/>
        <w:t xml:space="preserve"> The pipeline applies the overlay with kubectl through the bastion (SSM) or hands it to the GitOps tool BDO standardises on (Argo CD in the IER diagram); the manifests are the same (DA-01, IQ29).</w:t>
      </w:r>
    </w:p>
    <w:p>
      <w:pPr>
        <w:pStyle w:val="Heading1"/>
        <w:pBdr>
          <w:bottom w:val="single" w:sz="4" w:space="4" w:color="99C1E7"/>
        </w:pBdr>
      </w:pPr>
      <w:bookmarkStart w:id="128" w:name="_Toc000128"/>
      <w:r>
        <w:rPr/>
        <w:t>9 Responsibilities</w:t>
      </w:r>
      <w:bookmarkEnd w:id="128"/>
    </w:p>
    <w:p>
      <w:pPr>
        <w:pStyle w:val="Caption"/>
        <w:keepNext/>
        <w:spacing w:after="60"/>
      </w:pPr>
      <w:r>
        <w:rPr>
          <w:b/>
          <w:i w:val="0"/>
        </w:rPr>
        <w:t xml:space="preserve">Table 17: </w:t>
      </w:r>
      <w:r>
        <w:rPr/>
        <w:t>Deployment responsibilities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73"/>
        <w:gridCol w:w="1359"/>
        <w:gridCol w:w="1359"/>
        <w:gridCol w:w="1359"/>
        <w:gridCol w:w="1359"/>
        <w:gridCol w:w="1359"/>
      </w:tblGrid>
      <w:tr>
        <w:trPr>
          <w:tblHeader w:val="true"/>
          <w:cantSplit w:val="true"/>
        </w:trPr>
        <w:tc>
          <w:tcPr>
            <w:tcW w:type="dxa" w:w="317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IT Cloud and Digital Operations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network and security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IT Operations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iorta TechNXT DevOps</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iorta TechNXT Tech Lead</w:t>
            </w:r>
          </w:p>
        </w:tc>
      </w:tr>
      <w:tr>
        <w:trPr>
          <w:cantSplit w:val="true"/>
        </w:trPr>
        <w:tc>
          <w:tcPr>
            <w:tcW w:type="dxa" w:w="3173"/>
            <w:tcMar>
              <w:top w:w="50" w:type="dxa"/>
              <w:bottom w:w="50" w:type="dxa"/>
              <w:left w:w="90" w:type="dxa"/>
              <w:right w:w="90" w:type="dxa"/>
            </w:tcMar>
          </w:tcPr>
          <w:p>
            <w:pPr>
              <w:pStyle w:val="BDOITable"/>
            </w:pPr>
            <w:r>
              <w:rPr>
                <w:b/>
                <w:sz w:val="16"/>
              </w:rPr>
              <w:t>EKS clusters, node groups, add-ons</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Gateway controller, WAF, certificates, source ranges</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173"/>
            <w:tcMar>
              <w:top w:w="50" w:type="dxa"/>
              <w:bottom w:w="50" w:type="dxa"/>
              <w:left w:w="90" w:type="dxa"/>
              <w:right w:w="90" w:type="dxa"/>
            </w:tcMar>
          </w:tcPr>
          <w:p>
            <w:pPr>
              <w:pStyle w:val="BDOITable"/>
            </w:pPr>
            <w:r>
              <w:rPr>
                <w:b/>
                <w:sz w:val="16"/>
              </w:rPr>
              <w:t>Manifests (base, components, overlays)</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A</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Secrets in AWS Secrets Manager</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173"/>
            <w:tcMar>
              <w:top w:w="50" w:type="dxa"/>
              <w:bottom w:w="50" w:type="dxa"/>
              <w:left w:w="90" w:type="dxa"/>
              <w:right w:w="90" w:type="dxa"/>
            </w:tcMar>
          </w:tcPr>
          <w:p>
            <w:pPr>
              <w:pStyle w:val="BDOITable"/>
            </w:pPr>
            <w:r>
              <w:rPr>
                <w:b/>
                <w:sz w:val="16"/>
              </w:rPr>
              <w:t>Pipeline definition on the BDO toolchain</w:t>
            </w:r>
          </w:p>
        </w:tc>
        <w:tc>
          <w:tcPr>
            <w:tcW w:type="dxa" w:w="1360"/>
            <w:tcMar>
              <w:top w:w="50" w:type="dxa"/>
              <w:bottom w:w="50" w:type="dxa"/>
              <w:left w:w="90" w:type="dxa"/>
              <w:right w:w="90" w:type="dxa"/>
            </w:tcMar>
          </w:tcPr>
          <w:p>
            <w:pPr>
              <w:pStyle w:val="BDOITable"/>
            </w:pPr>
            <w:r>
              <w:rPr>
                <w:sz w:val="16"/>
              </w:rPr>
              <w:t>A</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Deployment to SIT and UAT</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173"/>
            <w:tcMar>
              <w:top w:w="50" w:type="dxa"/>
              <w:bottom w:w="50" w:type="dxa"/>
              <w:left w:w="90" w:type="dxa"/>
              <w:right w:w="90" w:type="dxa"/>
            </w:tcMar>
          </w:tcPr>
          <w:p>
            <w:pPr>
              <w:pStyle w:val="BDOITable"/>
            </w:pPr>
            <w:r>
              <w:rPr>
                <w:b/>
                <w:sz w:val="16"/>
              </w:rPr>
              <w:t>Deployment to Pre-Prod, PROD and DR</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A</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Rollback decision in PROD</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R</w:t>
            </w:r>
          </w:p>
        </w:tc>
      </w:tr>
    </w:tbl>
    <w:p>
      <w:pPr>
        <w:pStyle w:val="BDOISpacer"/>
      </w:pPr>
    </w:p>
    <w:p>
      <w:pPr>
        <w:pStyle w:val="Heading1"/>
        <w:pBdr>
          <w:bottom w:val="single" w:sz="4" w:space="4" w:color="99C1E7"/>
        </w:pBdr>
      </w:pPr>
      <w:bookmarkStart w:id="129" w:name="_Toc000129"/>
      <w:r>
        <w:rPr/>
        <w:t>10 Decisions and open points for BDOI</w:t>
      </w:r>
      <w:bookmarkEnd w:id="129"/>
    </w:p>
    <w:p>
      <w:pPr>
        <w:pStyle w:val="Caption"/>
        <w:keepNext/>
        <w:spacing w:after="60"/>
      </w:pPr>
      <w:r>
        <w:rPr>
          <w:b/>
          <w:i w:val="0"/>
        </w:rPr>
        <w:t xml:space="preserve">Table 18: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DA-01</w:t>
            </w:r>
          </w:p>
        </w:tc>
        <w:tc>
          <w:tcPr>
            <w:tcW w:type="dxa" w:w="1700"/>
            <w:tcMar>
              <w:top w:w="50" w:type="dxa"/>
              <w:bottom w:w="50" w:type="dxa"/>
              <w:left w:w="90" w:type="dxa"/>
              <w:right w:w="90" w:type="dxa"/>
            </w:tcMar>
          </w:tcPr>
          <w:p>
            <w:pPr>
              <w:pStyle w:val="BDOITable"/>
            </w:pPr>
            <w:r>
              <w:rPr>
                <w:sz w:val="16"/>
              </w:rPr>
              <w:t>CI/CD toolchain and deployment tool</w:t>
            </w:r>
          </w:p>
        </w:tc>
        <w:tc>
          <w:tcPr>
            <w:tcW w:type="dxa" w:w="4759"/>
            <w:tcMar>
              <w:top w:w="50" w:type="dxa"/>
              <w:bottom w:w="50" w:type="dxa"/>
              <w:left w:w="90" w:type="dxa"/>
              <w:right w:w="90" w:type="dxa"/>
            </w:tcMar>
          </w:tcPr>
          <w:p>
            <w:pPr>
              <w:pStyle w:val="BDOITable"/>
            </w:pPr>
            <w:r>
              <w:rPr>
                <w:sz w:val="16"/>
              </w:rPr>
              <w:t>Run the pipeline on the BDO toolchain named in the IER; apply overlays from the pipeline through the SSM bastion; adopt Argo CD later if BDO standardises on GitOps (IQ29)</w:t>
            </w:r>
          </w:p>
        </w:tc>
        <w:tc>
          <w:tcPr>
            <w:tcW w:type="dxa" w:w="1586"/>
            <w:tcMar>
              <w:top w:w="50" w:type="dxa"/>
              <w:bottom w:w="50" w:type="dxa"/>
              <w:left w:w="90" w:type="dxa"/>
              <w:right w:w="90" w:type="dxa"/>
            </w:tcMar>
          </w:tcPr>
          <w:p>
            <w:pPr>
              <w:pStyle w:val="BDOITable"/>
            </w:pPr>
            <w:r>
              <w:rPr>
                <w:sz w:val="16"/>
              </w:rPr>
              <w:t>BDO IT Cloud and Digital Operations</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DA-02</w:t>
            </w:r>
          </w:p>
        </w:tc>
        <w:tc>
          <w:tcPr>
            <w:tcW w:type="dxa" w:w="1700"/>
            <w:tcMar>
              <w:top w:w="50" w:type="dxa"/>
              <w:bottom w:w="50" w:type="dxa"/>
              <w:left w:w="90" w:type="dxa"/>
              <w:right w:w="90" w:type="dxa"/>
            </w:tcMar>
            <w:shd w:val="clear" w:color="auto" w:fill="E5F5FF"/>
          </w:tcPr>
          <w:p>
            <w:pPr>
              <w:pStyle w:val="BDOITable"/>
            </w:pPr>
            <w:r>
              <w:rPr>
                <w:sz w:val="16"/>
              </w:rPr>
              <w:t>Secrets delivery</w:t>
            </w:r>
          </w:p>
        </w:tc>
        <w:tc>
          <w:tcPr>
            <w:tcW w:type="dxa" w:w="4759"/>
            <w:tcMar>
              <w:top w:w="50" w:type="dxa"/>
              <w:bottom w:w="50" w:type="dxa"/>
              <w:left w:w="90" w:type="dxa"/>
              <w:right w:w="90" w:type="dxa"/>
            </w:tcMar>
            <w:shd w:val="clear" w:color="auto" w:fill="E5F5FF"/>
          </w:tcPr>
          <w:p>
            <w:pPr>
              <w:pStyle w:val="BDOITable"/>
            </w:pPr>
            <w:r>
              <w:rPr>
                <w:sz w:val="16"/>
              </w:rPr>
              <w:t>External Secrets Operator reading AWS Secrets Manager in each environment</w:t>
            </w:r>
          </w:p>
        </w:tc>
        <w:tc>
          <w:tcPr>
            <w:tcW w:type="dxa" w:w="1586"/>
            <w:tcMar>
              <w:top w:w="50" w:type="dxa"/>
              <w:bottom w:w="50" w:type="dxa"/>
              <w:left w:w="90" w:type="dxa"/>
              <w:right w:w="90" w:type="dxa"/>
            </w:tcMar>
            <w:shd w:val="clear" w:color="auto" w:fill="E5F5FF"/>
          </w:tcPr>
          <w:p>
            <w:pPr>
              <w:pStyle w:val="BDOITable"/>
            </w:pPr>
            <w:r>
              <w:rPr>
                <w:sz w:val="16"/>
              </w:rPr>
              <w:t>BDO IT Cloud and security</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DA-03</w:t>
            </w:r>
          </w:p>
        </w:tc>
        <w:tc>
          <w:tcPr>
            <w:tcW w:type="dxa" w:w="1700"/>
            <w:tcMar>
              <w:top w:w="50" w:type="dxa"/>
              <w:bottom w:w="50" w:type="dxa"/>
              <w:left w:w="90" w:type="dxa"/>
              <w:right w:w="90" w:type="dxa"/>
            </w:tcMar>
          </w:tcPr>
          <w:p>
            <w:pPr>
              <w:pStyle w:val="BDOITable"/>
            </w:pPr>
            <w:r>
              <w:rPr>
                <w:sz w:val="16"/>
              </w:rPr>
              <w:t>Certificates</w:t>
            </w:r>
          </w:p>
        </w:tc>
        <w:tc>
          <w:tcPr>
            <w:tcW w:type="dxa" w:w="4759"/>
            <w:tcMar>
              <w:top w:w="50" w:type="dxa"/>
              <w:bottom w:w="50" w:type="dxa"/>
              <w:left w:w="90" w:type="dxa"/>
              <w:right w:w="90" w:type="dxa"/>
            </w:tcMar>
          </w:tcPr>
          <w:p>
            <w:pPr>
              <w:pStyle w:val="BDOITable"/>
            </w:pPr>
            <w:r>
              <w:rPr>
                <w:sz w:val="16"/>
              </w:rPr>
              <w:t>Browser-facing certificate under the BDO corporate PKI imported in ACM; in-cluster certificates from AWS Private CA through cert-manager</w:t>
            </w:r>
          </w:p>
        </w:tc>
        <w:tc>
          <w:tcPr>
            <w:tcW w:type="dxa" w:w="1586"/>
            <w:tcMar>
              <w:top w:w="50" w:type="dxa"/>
              <w:bottom w:w="50" w:type="dxa"/>
              <w:left w:w="90" w:type="dxa"/>
              <w:right w:w="90" w:type="dxa"/>
            </w:tcMar>
          </w:tcPr>
          <w:p>
            <w:pPr>
              <w:pStyle w:val="BDOITable"/>
            </w:pPr>
            <w:r>
              <w:rPr>
                <w:sz w:val="16"/>
              </w:rPr>
              <w:t>BDO PKI team</w:t>
            </w:r>
          </w:p>
        </w:tc>
        <w:tc>
          <w:tcPr>
            <w:tcW w:type="dxa" w:w="1246"/>
            <w:tcMar>
              <w:top w:w="50" w:type="dxa"/>
              <w:bottom w:w="50" w:type="dxa"/>
              <w:left w:w="90" w:type="dxa"/>
              <w:right w:w="90" w:type="dxa"/>
            </w:tcMar>
          </w:tcPr>
          <w:p>
            <w:pPr>
              <w:pStyle w:val="BDOITable"/>
            </w:pPr>
            <w:r>
              <w:rPr>
                <w:sz w:val="16"/>
              </w:rPr>
              <w:t>18-Dec-2026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DA-04</w:t>
            </w:r>
          </w:p>
        </w:tc>
        <w:tc>
          <w:tcPr>
            <w:tcW w:type="dxa" w:w="1700"/>
            <w:tcMar>
              <w:top w:w="50" w:type="dxa"/>
              <w:bottom w:w="50" w:type="dxa"/>
              <w:left w:w="90" w:type="dxa"/>
              <w:right w:w="90" w:type="dxa"/>
            </w:tcMar>
            <w:shd w:val="clear" w:color="auto" w:fill="E5F5FF"/>
          </w:tcPr>
          <w:p>
            <w:pPr>
              <w:pStyle w:val="BDOITable"/>
            </w:pPr>
            <w:r>
              <w:rPr>
                <w:sz w:val="16"/>
              </w:rPr>
              <w:t>Gateway controller</w:t>
            </w:r>
          </w:p>
        </w:tc>
        <w:tc>
          <w:tcPr>
            <w:tcW w:type="dxa" w:w="4759"/>
            <w:tcMar>
              <w:top w:w="50" w:type="dxa"/>
              <w:bottom w:w="50" w:type="dxa"/>
              <w:left w:w="90" w:type="dxa"/>
              <w:right w:w="90" w:type="dxa"/>
            </w:tcMar>
            <w:shd w:val="clear" w:color="auto" w:fill="E5F5FF"/>
          </w:tcPr>
          <w:p>
            <w:pPr>
              <w:pStyle w:val="BDOITable"/>
            </w:pPr>
            <w:r>
              <w:rPr>
                <w:sz w:val="16"/>
              </w:rPr>
              <w:t>AWS Load Balancer Controller (internal ALB with WAF) in every environment; Envoy Gateway only with the security team's agreement</w:t>
            </w:r>
          </w:p>
        </w:tc>
        <w:tc>
          <w:tcPr>
            <w:tcW w:type="dxa" w:w="1586"/>
            <w:tcMar>
              <w:top w:w="50" w:type="dxa"/>
              <w:bottom w:w="50" w:type="dxa"/>
              <w:left w:w="90" w:type="dxa"/>
              <w:right w:w="90" w:type="dxa"/>
            </w:tcMar>
            <w:shd w:val="clear" w:color="auto" w:fill="E5F5FF"/>
          </w:tcPr>
          <w:p>
            <w:pPr>
              <w:pStyle w:val="BDOITable"/>
            </w:pPr>
            <w:r>
              <w:rPr>
                <w:sz w:val="16"/>
              </w:rPr>
              <w:t>BDO network and security</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DA-05</w:t>
            </w:r>
          </w:p>
        </w:tc>
        <w:tc>
          <w:tcPr>
            <w:tcW w:type="dxa" w:w="1700"/>
            <w:tcMar>
              <w:top w:w="50" w:type="dxa"/>
              <w:bottom w:w="50" w:type="dxa"/>
              <w:left w:w="90" w:type="dxa"/>
              <w:right w:w="90" w:type="dxa"/>
            </w:tcMar>
          </w:tcPr>
          <w:p>
            <w:pPr>
              <w:pStyle w:val="BDOITable"/>
            </w:pPr>
            <w:r>
              <w:rPr>
                <w:sz w:val="16"/>
              </w:rPr>
              <w:t>Node sizes</w:t>
            </w:r>
          </w:p>
        </w:tc>
        <w:tc>
          <w:tcPr>
            <w:tcW w:type="dxa" w:w="4759"/>
            <w:tcMar>
              <w:top w:w="50" w:type="dxa"/>
              <w:bottom w:w="50" w:type="dxa"/>
              <w:left w:w="90" w:type="dxa"/>
              <w:right w:w="90" w:type="dxa"/>
            </w:tcMar>
          </w:tcPr>
          <w:p>
            <w:pPr>
              <w:pStyle w:val="BDOITable"/>
            </w:pPr>
            <w:r>
              <w:rPr>
                <w:sz w:val="16"/>
              </w:rPr>
              <w:t>3 to 6 m5.2xlarge nodes in PROD and Pre-Prod instead of 3 m5.4xlarge; confirmed by the performance test</w:t>
            </w:r>
          </w:p>
        </w:tc>
        <w:tc>
          <w:tcPr>
            <w:tcW w:type="dxa" w:w="1586"/>
            <w:tcMar>
              <w:top w:w="50" w:type="dxa"/>
              <w:bottom w:w="50" w:type="dxa"/>
              <w:left w:w="90" w:type="dxa"/>
              <w:right w:w="90" w:type="dxa"/>
            </w:tcMar>
          </w:tcPr>
          <w:p>
            <w:pPr>
              <w:pStyle w:val="BDOITable"/>
            </w:pPr>
            <w:r>
              <w:rPr>
                <w:sz w:val="16"/>
              </w:rPr>
              <w:t>BDO IT Cloud and Digital Operations</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DA-06</w:t>
            </w:r>
          </w:p>
        </w:tc>
        <w:tc>
          <w:tcPr>
            <w:tcW w:type="dxa" w:w="1700"/>
            <w:tcMar>
              <w:top w:w="50" w:type="dxa"/>
              <w:bottom w:w="50" w:type="dxa"/>
              <w:left w:w="90" w:type="dxa"/>
              <w:right w:w="90" w:type="dxa"/>
            </w:tcMar>
            <w:shd w:val="clear" w:color="auto" w:fill="E5F5FF"/>
          </w:tcPr>
          <w:p>
            <w:pPr>
              <w:pStyle w:val="BDOITable"/>
            </w:pPr>
            <w:r>
              <w:rPr>
                <w:sz w:val="16"/>
              </w:rPr>
              <w:t>Container base images</w:t>
            </w:r>
          </w:p>
        </w:tc>
        <w:tc>
          <w:tcPr>
            <w:tcW w:type="dxa" w:w="4759"/>
            <w:tcMar>
              <w:top w:w="50" w:type="dxa"/>
              <w:bottom w:w="50" w:type="dxa"/>
              <w:left w:w="90" w:type="dxa"/>
              <w:right w:w="90" w:type="dxa"/>
            </w:tcMar>
            <w:shd w:val="clear" w:color="auto" w:fill="E5F5FF"/>
          </w:tcPr>
          <w:p>
            <w:pPr>
              <w:pStyle w:val="BDOITable"/>
            </w:pPr>
            <w:r>
              <w:rPr>
                <w:sz w:val="16"/>
              </w:rPr>
              <w:t>Keep Eclipse Temurin and nginx unprivileged on Alpine, pinned by digest; switch to RHEL UBI 9 only if BDO requires it (IQ29)</w:t>
            </w:r>
          </w:p>
        </w:tc>
        <w:tc>
          <w:tcPr>
            <w:tcW w:type="dxa" w:w="1586"/>
            <w:tcMar>
              <w:top w:w="50" w:type="dxa"/>
              <w:bottom w:w="50" w:type="dxa"/>
              <w:left w:w="90" w:type="dxa"/>
              <w:right w:w="90" w:type="dxa"/>
            </w:tcMar>
            <w:shd w:val="clear" w:color="auto" w:fill="E5F5FF"/>
          </w:tcPr>
          <w:p>
            <w:pPr>
              <w:pStyle w:val="BDOITable"/>
            </w:pPr>
            <w:r>
              <w:rPr>
                <w:sz w:val="16"/>
              </w:rPr>
              <w:t>BDOI Enterprise Architecture</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DA-07</w:t>
            </w:r>
          </w:p>
        </w:tc>
        <w:tc>
          <w:tcPr>
            <w:tcW w:type="dxa" w:w="1700"/>
            <w:tcMar>
              <w:top w:w="50" w:type="dxa"/>
              <w:bottom w:w="50" w:type="dxa"/>
              <w:left w:w="90" w:type="dxa"/>
              <w:right w:w="90" w:type="dxa"/>
            </w:tcMar>
          </w:tcPr>
          <w:p>
            <w:pPr>
              <w:pStyle w:val="BDOITable"/>
            </w:pPr>
            <w:r>
              <w:rPr>
                <w:sz w:val="16"/>
              </w:rPr>
              <w:t>Non-production hours</w:t>
            </w:r>
          </w:p>
        </w:tc>
        <w:tc>
          <w:tcPr>
            <w:tcW w:type="dxa" w:w="4759"/>
            <w:tcMar>
              <w:top w:w="50" w:type="dxa"/>
              <w:bottom w:w="50" w:type="dxa"/>
              <w:left w:w="90" w:type="dxa"/>
              <w:right w:w="90" w:type="dxa"/>
            </w:tcMar>
          </w:tcPr>
          <w:p>
            <w:pPr>
              <w:pStyle w:val="BDOITable"/>
            </w:pPr>
            <w:r>
              <w:rPr>
                <w:sz w:val="16"/>
              </w:rPr>
              <w:t>12 x 5 for the EKS nodes and RDS of DEV, SIT, UAT and Pre-Prod, with extended hours booked for batch and month-end cycles, trial migrations and the dress rehearsal; job schedules moved into the window by configuration (IQ27)</w:t>
            </w:r>
          </w:p>
        </w:tc>
        <w:tc>
          <w:tcPr>
            <w:tcW w:type="dxa" w:w="1586"/>
            <w:tcMar>
              <w:top w:w="50" w:type="dxa"/>
              <w:bottom w:w="50" w:type="dxa"/>
              <w:left w:w="90" w:type="dxa"/>
              <w:right w:w="90" w:type="dxa"/>
            </w:tcMar>
          </w:tcPr>
          <w:p>
            <w:pPr>
              <w:pStyle w:val="BDOITable"/>
            </w:pPr>
            <w:r>
              <w:rPr>
                <w:sz w:val="16"/>
              </w:rPr>
              <w:t>BDOI IT</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DA-08</w:t>
            </w:r>
          </w:p>
        </w:tc>
        <w:tc>
          <w:tcPr>
            <w:tcW w:type="dxa" w:w="1700"/>
            <w:tcMar>
              <w:top w:w="50" w:type="dxa"/>
              <w:bottom w:w="50" w:type="dxa"/>
              <w:left w:w="90" w:type="dxa"/>
              <w:right w:w="90" w:type="dxa"/>
            </w:tcMar>
            <w:shd w:val="clear" w:color="auto" w:fill="E5F5FF"/>
          </w:tcPr>
          <w:p>
            <w:pPr>
              <w:pStyle w:val="BDOITable"/>
            </w:pPr>
            <w:r>
              <w:rPr>
                <w:sz w:val="16"/>
              </w:rPr>
              <w:t>Release window and cadence</w:t>
            </w:r>
          </w:p>
        </w:tc>
        <w:tc>
          <w:tcPr>
            <w:tcW w:type="dxa" w:w="4759"/>
            <w:tcMar>
              <w:top w:w="50" w:type="dxa"/>
              <w:bottom w:w="50" w:type="dxa"/>
              <w:left w:w="90" w:type="dxa"/>
              <w:right w:w="90" w:type="dxa"/>
            </w:tcMar>
            <w:shd w:val="clear" w:color="auto" w:fill="E5F5FF"/>
          </w:tcPr>
          <w:p>
            <w:pPr>
              <w:pStyle w:val="BDOITable"/>
            </w:pPr>
            <w:r>
              <w:rPr>
                <w:sz w:val="16"/>
              </w:rPr>
              <w:t>Production releases in the 00:00-04:00 window; after go-live a monthly release and emergency fixes through the same pipeline</w:t>
            </w:r>
          </w:p>
        </w:tc>
        <w:tc>
          <w:tcPr>
            <w:tcW w:type="dxa" w:w="1586"/>
            <w:tcMar>
              <w:top w:w="50" w:type="dxa"/>
              <w:bottom w:w="50" w:type="dxa"/>
              <w:left w:w="90" w:type="dxa"/>
              <w:right w:w="90" w:type="dxa"/>
            </w:tcMar>
            <w:shd w:val="clear" w:color="auto" w:fill="E5F5FF"/>
          </w:tcPr>
          <w:p>
            <w:pPr>
              <w:pStyle w:val="BDOITable"/>
            </w:pPr>
            <w:r>
              <w:rPr>
                <w:sz w:val="16"/>
              </w:rPr>
              <w:t>BDOI IT Operations</w:t>
            </w:r>
          </w:p>
        </w:tc>
        <w:tc>
          <w:tcPr>
            <w:tcW w:type="dxa" w:w="1246"/>
            <w:tcMar>
              <w:top w:w="50" w:type="dxa"/>
              <w:bottom w:w="50" w:type="dxa"/>
              <w:left w:w="90" w:type="dxa"/>
              <w:right w:w="90" w:type="dxa"/>
            </w:tcMar>
            <w:shd w:val="clear" w:color="auto" w:fill="E5F5FF"/>
          </w:tcPr>
          <w:p>
            <w:pPr>
              <w:pStyle w:val="BDOITable"/>
            </w:pPr>
            <w:r>
              <w:rPr>
                <w:sz w:val="16"/>
              </w:rPr>
              <w:t>30-Sep-2027</w:t>
            </w:r>
          </w:p>
        </w:tc>
      </w:tr>
    </w:tbl>
    <w:p>
      <w:pPr>
        <w:pStyle w:val="BDOISpacer"/>
      </w:pPr>
    </w:p>
    <w:p>
      <w:pPr>
        <w:pStyle w:val="Heading1"/>
        <w:pBdr>
          <w:bottom w:val="single" w:sz="4" w:space="4" w:color="99C1E7"/>
        </w:pBdr>
      </w:pPr>
      <w:bookmarkStart w:id="130" w:name="_Toc000130"/>
      <w:r>
        <w:rPr/>
        <w:t>Glossary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ACM</w:t>
            </w:r>
          </w:p>
        </w:tc>
        <w:tc>
          <w:tcPr>
            <w:tcW w:type="dxa" w:w="7932"/>
            <w:tcMar>
              <w:top w:w="50" w:type="dxa"/>
              <w:bottom w:w="50" w:type="dxa"/>
              <w:left w:w="90" w:type="dxa"/>
              <w:right w:w="90" w:type="dxa"/>
            </w:tcMar>
          </w:tcPr>
          <w:p>
            <w:pPr>
              <w:pStyle w:val="BDOITable"/>
            </w:pPr>
            <w:r>
              <w:rPr>
                <w:sz w:val="18"/>
              </w:rPr>
              <w:t>AWS Certificate Manager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CAB</w:t>
            </w:r>
          </w:p>
        </w:tc>
        <w:tc>
          <w:tcPr>
            <w:tcW w:type="dxa" w:w="7932"/>
            <w:tcMar>
              <w:top w:w="50" w:type="dxa"/>
              <w:bottom w:w="50" w:type="dxa"/>
              <w:left w:w="90" w:type="dxa"/>
              <w:right w:w="90" w:type="dxa"/>
            </w:tcMar>
            <w:shd w:val="clear" w:color="auto" w:fill="E5F5FF"/>
          </w:tcPr>
          <w:p>
            <w:pPr>
              <w:pStyle w:val="BDOITable"/>
            </w:pPr>
            <w:r>
              <w:rPr>
                <w:sz w:val="18"/>
              </w:rPr>
              <w:t>Change Advisory Board</w:t>
            </w:r>
          </w:p>
        </w:tc>
      </w:tr>
      <w:tr>
        <w:trPr>
          <w:cantSplit w:val="true"/>
        </w:trPr>
        <w:tc>
          <w:tcPr>
            <w:tcW w:type="dxa" w:w="2040"/>
            <w:tcMar>
              <w:top w:w="50" w:type="dxa"/>
              <w:bottom w:w="50" w:type="dxa"/>
              <w:left w:w="90" w:type="dxa"/>
              <w:right w:w="90" w:type="dxa"/>
            </w:tcMar>
          </w:tcPr>
          <w:p>
            <w:pPr>
              <w:pStyle w:val="BDOITable"/>
            </w:pPr>
            <w:r>
              <w:rPr>
                <w:b/>
                <w:sz w:val="18"/>
              </w:rPr>
              <w:t>CRD</w:t>
            </w:r>
          </w:p>
        </w:tc>
        <w:tc>
          <w:tcPr>
            <w:tcW w:type="dxa" w:w="7932"/>
            <w:tcMar>
              <w:top w:w="50" w:type="dxa"/>
              <w:bottom w:w="50" w:type="dxa"/>
              <w:left w:w="90" w:type="dxa"/>
              <w:right w:w="90" w:type="dxa"/>
            </w:tcMar>
          </w:tcPr>
          <w:p>
            <w:pPr>
              <w:pStyle w:val="BDOITable"/>
            </w:pPr>
            <w:r>
              <w:rPr>
                <w:sz w:val="18"/>
              </w:rPr>
              <w:t>Custom resource definition (Kubernetes)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ECR</w:t>
            </w:r>
          </w:p>
        </w:tc>
        <w:tc>
          <w:tcPr>
            <w:tcW w:type="dxa" w:w="7932"/>
            <w:tcMar>
              <w:top w:w="50" w:type="dxa"/>
              <w:bottom w:w="50" w:type="dxa"/>
              <w:left w:w="90" w:type="dxa"/>
              <w:right w:w="90" w:type="dxa"/>
            </w:tcMar>
            <w:shd w:val="clear" w:color="auto" w:fill="E5F5FF"/>
          </w:tcPr>
          <w:p>
            <w:pPr>
              <w:pStyle w:val="BDOITable"/>
            </w:pPr>
            <w:r>
              <w:rPr>
                <w:sz w:val="18"/>
              </w:rPr>
              <w:t>Amazon Elastic Container Registry</w:t>
            </w:r>
          </w:p>
        </w:tc>
      </w:tr>
      <w:tr>
        <w:trPr>
          <w:cantSplit w:val="true"/>
        </w:trPr>
        <w:tc>
          <w:tcPr>
            <w:tcW w:type="dxa" w:w="2040"/>
            <w:tcMar>
              <w:top w:w="50" w:type="dxa"/>
              <w:bottom w:w="50" w:type="dxa"/>
              <w:left w:w="90" w:type="dxa"/>
              <w:right w:w="90" w:type="dxa"/>
            </w:tcMar>
          </w:tcPr>
          <w:p>
            <w:pPr>
              <w:pStyle w:val="BDOITable"/>
            </w:pPr>
            <w:r>
              <w:rPr>
                <w:b/>
                <w:sz w:val="18"/>
              </w:rPr>
              <w:t>EKS</w:t>
            </w:r>
          </w:p>
        </w:tc>
        <w:tc>
          <w:tcPr>
            <w:tcW w:type="dxa" w:w="7932"/>
            <w:tcMar>
              <w:top w:w="50" w:type="dxa"/>
              <w:bottom w:w="50" w:type="dxa"/>
              <w:left w:w="90" w:type="dxa"/>
              <w:right w:w="90" w:type="dxa"/>
            </w:tcMar>
          </w:tcPr>
          <w:p>
            <w:pPr>
              <w:pStyle w:val="BDOITable"/>
            </w:pPr>
            <w:r>
              <w:rPr>
                <w:sz w:val="18"/>
              </w:rPr>
              <w:t>Amazon Elastic Kubernetes Service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HPA</w:t>
            </w:r>
          </w:p>
        </w:tc>
        <w:tc>
          <w:tcPr>
            <w:tcW w:type="dxa" w:w="7932"/>
            <w:tcMar>
              <w:top w:w="50" w:type="dxa"/>
              <w:bottom w:w="50" w:type="dxa"/>
              <w:left w:w="90" w:type="dxa"/>
              <w:right w:w="90" w:type="dxa"/>
            </w:tcMar>
            <w:shd w:val="clear" w:color="auto" w:fill="E5F5FF"/>
          </w:tcPr>
          <w:p>
            <w:pPr>
              <w:pStyle w:val="BDOITable"/>
            </w:pPr>
            <w:r>
              <w:rPr>
                <w:sz w:val="18"/>
              </w:rPr>
              <w:t>Horizontal Pod Autoscaler</w:t>
            </w:r>
          </w:p>
        </w:tc>
      </w:tr>
      <w:tr>
        <w:trPr>
          <w:cantSplit w:val="true"/>
        </w:trPr>
        <w:tc>
          <w:tcPr>
            <w:tcW w:type="dxa" w:w="2040"/>
            <w:tcMar>
              <w:top w:w="50" w:type="dxa"/>
              <w:bottom w:w="50" w:type="dxa"/>
              <w:left w:w="90" w:type="dxa"/>
              <w:right w:w="90" w:type="dxa"/>
            </w:tcMar>
          </w:tcPr>
          <w:p>
            <w:pPr>
              <w:pStyle w:val="BDOITable"/>
            </w:pPr>
            <w:r>
              <w:rPr>
                <w:b/>
                <w:sz w:val="18"/>
              </w:rPr>
              <w:t>IRSA</w:t>
            </w:r>
          </w:p>
        </w:tc>
        <w:tc>
          <w:tcPr>
            <w:tcW w:type="dxa" w:w="7932"/>
            <w:tcMar>
              <w:top w:w="50" w:type="dxa"/>
              <w:bottom w:w="50" w:type="dxa"/>
              <w:left w:w="90" w:type="dxa"/>
              <w:right w:w="90" w:type="dxa"/>
            </w:tcMar>
          </w:tcPr>
          <w:p>
            <w:pPr>
              <w:pStyle w:val="BDOITable"/>
            </w:pPr>
            <w:r>
              <w:rPr>
                <w:sz w:val="18"/>
              </w:rPr>
              <w:t>IAM roles for service accounts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NLB</w:t>
            </w:r>
          </w:p>
        </w:tc>
        <w:tc>
          <w:tcPr>
            <w:tcW w:type="dxa" w:w="7932"/>
            <w:tcMar>
              <w:top w:w="50" w:type="dxa"/>
              <w:bottom w:w="50" w:type="dxa"/>
              <w:left w:w="90" w:type="dxa"/>
              <w:right w:w="90" w:type="dxa"/>
            </w:tcMar>
            <w:shd w:val="clear" w:color="auto" w:fill="E5F5FF"/>
          </w:tcPr>
          <w:p>
            <w:pPr>
              <w:pStyle w:val="BDOITable"/>
            </w:pPr>
            <w:r>
              <w:rPr>
                <w:sz w:val="18"/>
              </w:rPr>
              <w:t>Network Load Balancer</w:t>
            </w:r>
          </w:p>
        </w:tc>
      </w:tr>
      <w:tr>
        <w:trPr>
          <w:cantSplit w:val="true"/>
        </w:trPr>
        <w:tc>
          <w:tcPr>
            <w:tcW w:type="dxa" w:w="2040"/>
            <w:tcMar>
              <w:top w:w="50" w:type="dxa"/>
              <w:bottom w:w="50" w:type="dxa"/>
              <w:left w:w="90" w:type="dxa"/>
              <w:right w:w="90" w:type="dxa"/>
            </w:tcMar>
          </w:tcPr>
          <w:p>
            <w:pPr>
              <w:pStyle w:val="BDOITable"/>
            </w:pPr>
            <w:r>
              <w:rPr>
                <w:b/>
                <w:sz w:val="18"/>
              </w:rPr>
              <w:t>ORR / PRR</w:t>
            </w:r>
          </w:p>
        </w:tc>
        <w:tc>
          <w:tcPr>
            <w:tcW w:type="dxa" w:w="7932"/>
            <w:tcMar>
              <w:top w:w="50" w:type="dxa"/>
              <w:bottom w:w="50" w:type="dxa"/>
              <w:left w:w="90" w:type="dxa"/>
              <w:right w:w="90" w:type="dxa"/>
            </w:tcMar>
          </w:tcPr>
          <w:p>
            <w:pPr>
              <w:pStyle w:val="BDOITable"/>
            </w:pPr>
            <w:r>
              <w:rPr>
                <w:sz w:val="18"/>
              </w:rPr>
              <w:t>Operational / production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PDB</w:t>
            </w:r>
          </w:p>
        </w:tc>
        <w:tc>
          <w:tcPr>
            <w:tcW w:type="dxa" w:w="7932"/>
            <w:tcMar>
              <w:top w:w="50" w:type="dxa"/>
              <w:bottom w:w="50" w:type="dxa"/>
              <w:left w:w="90" w:type="dxa"/>
              <w:right w:w="90" w:type="dxa"/>
            </w:tcMar>
            <w:shd w:val="clear" w:color="auto" w:fill="E5F5FF"/>
          </w:tcPr>
          <w:p>
            <w:pPr>
              <w:pStyle w:val="BDOITable"/>
            </w:pPr>
            <w:r>
              <w:rPr>
                <w:sz w:val="18"/>
              </w:rPr>
              <w:t>Pod disruption budget</w:t>
            </w:r>
          </w:p>
        </w:tc>
      </w:tr>
      <w:tr>
        <w:trPr>
          <w:cantSplit w:val="true"/>
        </w:trPr>
        <w:tc>
          <w:tcPr>
            <w:tcW w:type="dxa" w:w="2040"/>
            <w:tcMar>
              <w:top w:w="50" w:type="dxa"/>
              <w:bottom w:w="50" w:type="dxa"/>
              <w:left w:w="90" w:type="dxa"/>
              <w:right w:w="90" w:type="dxa"/>
            </w:tcMar>
          </w:tcPr>
          <w:p>
            <w:pPr>
              <w:pStyle w:val="BDOITable"/>
            </w:pPr>
            <w:r>
              <w:rPr>
                <w:b/>
                <w:sz w:val="18"/>
              </w:rPr>
              <w:t>SBOM</w:t>
            </w:r>
          </w:p>
        </w:tc>
        <w:tc>
          <w:tcPr>
            <w:tcW w:type="dxa" w:w="7932"/>
            <w:tcMar>
              <w:top w:w="50" w:type="dxa"/>
              <w:bottom w:w="50" w:type="dxa"/>
              <w:left w:w="90" w:type="dxa"/>
              <w:right w:w="90" w:type="dxa"/>
            </w:tcMar>
          </w:tcPr>
          <w:p>
            <w:pPr>
              <w:pStyle w:val="BDOITable"/>
            </w:pPr>
            <w:r>
              <w:rPr>
                <w:sz w:val="18"/>
              </w:rPr>
              <w:t>Software bill of materials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SSM</w:t>
            </w:r>
          </w:p>
        </w:tc>
        <w:tc>
          <w:tcPr>
            <w:tcW w:type="dxa" w:w="7932"/>
            <w:tcMar>
              <w:top w:w="50" w:type="dxa"/>
              <w:bottom w:w="50" w:type="dxa"/>
              <w:left w:w="90" w:type="dxa"/>
              <w:right w:w="90" w:type="dxa"/>
            </w:tcMar>
            <w:shd w:val="clear" w:color="auto" w:fill="E5F5FF"/>
          </w:tcPr>
          <w:p>
            <w:pPr>
              <w:pStyle w:val="BDOITable"/>
            </w:pPr>
            <w:r>
              <w:rPr>
                <w:sz w:val="18"/>
              </w:rPr>
              <w:t>AWS Systems Manager (session access without inbound ports)</w:t>
            </w:r>
          </w:p>
        </w:tc>
      </w:tr>
      <w:tr>
        <w:trPr>
          <w:cantSplit w:val="true"/>
        </w:trPr>
        <w:tc>
          <w:tcPr>
            <w:tcW w:type="dxa" w:w="2040"/>
            <w:tcMar>
              <w:top w:w="50" w:type="dxa"/>
              <w:bottom w:w="50" w:type="dxa"/>
              <w:left w:w="90" w:type="dxa"/>
              <w:right w:w="90" w:type="dxa"/>
            </w:tcMar>
          </w:tcPr>
          <w:p>
            <w:pPr>
              <w:pStyle w:val="BDOITable"/>
            </w:pPr>
            <w:r>
              <w:rPr>
                <w:b/>
                <w:sz w:val="18"/>
              </w:rPr>
              <w:t>WAF</w:t>
            </w:r>
          </w:p>
        </w:tc>
        <w:tc>
          <w:tcPr>
            <w:tcW w:type="dxa" w:w="7932"/>
            <w:tcMar>
              <w:top w:w="50" w:type="dxa"/>
              <w:bottom w:w="50" w:type="dxa"/>
              <w:left w:w="90" w:type="dxa"/>
              <w:right w:w="90" w:type="dxa"/>
            </w:tcMar>
          </w:tcPr>
          <w:p>
            <w:pPr>
              <w:pStyle w:val="BDOITable"/>
            </w:pPr>
            <w:r>
              <w:rPr>
                <w:sz w:val="18"/>
              </w:rPr>
              <w:t>Web application firewall</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2 of 6</w:t>
    </w:r>
    <w:r>
      <w:rPr>
        <w:color w:val="656565"/>
        <w:sz w:val="16"/>
      </w:rPr>
      <w:t xml:space="preserve">   Deployment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Deployment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