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SOLUTION ARCHITECTURE</w:t>
      </w:r>
    </w:p>
    <w:p>
      <w:pPr>
        <w:spacing w:after="80" w:line="240" w:lineRule="auto"/>
      </w:pPr>
      <w:r>
        <w:rPr>
          <w:b/>
          <w:color w:val="004EA8"/>
          <w:sz w:val="56"/>
        </w:rPr>
        <w:t>Solution Architecture</w:t>
      </w:r>
    </w:p>
    <w:p>
      <w:pPr>
        <w:spacing w:after="40"/>
      </w:pPr>
      <w:r>
        <w:rPr>
          <w:color w:val="2E2E2E"/>
          <w:sz w:val="28"/>
        </w:rPr>
        <w:t>Business and application architecture of BIBS, the BDOI Broker System on iNXT BrokerVerse</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BIBS-ARC-01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Tech Lead; iorta TechNXT Project Manager</w:t>
            </w:r>
          </w:p>
        </w:tc>
        <w:tc>
          <w:tcPr>
            <w:tcW w:type="dxa" w:w="1700"/>
            <w:tcMar>
              <w:top w:w="50" w:type="dxa"/>
              <w:bottom w:w="50" w:type="dxa"/>
              <w:left w:w="90" w:type="dxa"/>
              <w:right w:w="90" w:type="dxa"/>
            </w:tcMar>
          </w:tcPr>
          <w:p>
            <w:pPr>
              <w:pStyle w:val="BDOITable"/>
            </w:pPr>
            <w:r>
              <w:rPr>
                <w:sz w:val="18"/>
              </w:rPr>
              <w:t>BDOI Enterprise Architecture (pending)</w:t>
            </w:r>
          </w:p>
        </w:tc>
        <w:tc>
          <w:tcPr>
            <w:tcW w:type="dxa" w:w="2606"/>
            <w:tcMar>
              <w:top w:w="50" w:type="dxa"/>
              <w:bottom w:w="50" w:type="dxa"/>
              <w:left w:w="90" w:type="dxa"/>
              <w:right w:w="90" w:type="dxa"/>
            </w:tcMar>
          </w:tcPr>
          <w:p>
            <w:pPr>
              <w:pStyle w:val="BDOITable"/>
            </w:pPr>
            <w:r>
              <w:rPr>
                <w:sz w:val="18"/>
              </w:rPr>
              <w:t>First issue, on the component baseline and the client decisions of 8 October 2026 (Valkey, Gateway API, broker-only scope)</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Enterprise Architecture</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 IT</w:t>
            </w:r>
          </w:p>
        </w:tc>
        <w:tc>
          <w:tcPr>
            <w:tcW w:type="dxa" w:w="2833"/>
            <w:tcMar>
              <w:top w:w="50" w:type="dxa"/>
              <w:bottom w:w="50" w:type="dxa"/>
              <w:left w:w="90" w:type="dxa"/>
              <w:right w:w="90" w:type="dxa"/>
            </w:tcMar>
          </w:tcPr>
          <w:p>
            <w:pPr>
              <w:pStyle w:val="BDOITable"/>
            </w:pPr>
            <w:r>
              <w:rPr>
                <w:sz w:val="18"/>
              </w:rPr>
              <w:t>Architecture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Information Security Office</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 IT</w:t>
            </w:r>
          </w:p>
        </w:tc>
        <w:tc>
          <w:tcPr>
            <w:tcW w:type="dxa" w:w="2833"/>
            <w:tcMar>
              <w:top w:w="50" w:type="dxa"/>
              <w:bottom w:w="50" w:type="dxa"/>
              <w:left w:w="90" w:type="dxa"/>
              <w:right w:w="90" w:type="dxa"/>
            </w:tcMar>
            <w:shd w:val="clear" w:color="auto" w:fill="E5F5FF"/>
          </w:tcPr>
          <w:p>
            <w:pPr>
              <w:pStyle w:val="BDOITable"/>
            </w:pPr>
            <w:r>
              <w:rPr>
                <w:sz w:val="18"/>
              </w:rPr>
              <w:t>Security architecture, data scope, identity</w:t>
            </w:r>
          </w:p>
        </w:tc>
      </w:tr>
      <w:tr>
        <w:trPr>
          <w:cantSplit w:val="true"/>
        </w:trPr>
        <w:tc>
          <w:tcPr>
            <w:tcW w:type="dxa" w:w="2606"/>
            <w:tcMar>
              <w:top w:w="50" w:type="dxa"/>
              <w:bottom w:w="50" w:type="dxa"/>
              <w:left w:w="90" w:type="dxa"/>
              <w:right w:w="90" w:type="dxa"/>
            </w:tcMar>
          </w:tcPr>
          <w:p>
            <w:pPr>
              <w:pStyle w:val="BDOITable"/>
            </w:pPr>
            <w:r>
              <w:rPr>
                <w:sz w:val="18"/>
              </w:rPr>
              <w:t>Application Development and Integration</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 IT</w:t>
            </w:r>
          </w:p>
        </w:tc>
        <w:tc>
          <w:tcPr>
            <w:tcW w:type="dxa" w:w="2833"/>
            <w:tcMar>
              <w:top w:w="50" w:type="dxa"/>
              <w:bottom w:w="50" w:type="dxa"/>
              <w:left w:w="90" w:type="dxa"/>
              <w:right w:w="90" w:type="dxa"/>
            </w:tcMar>
          </w:tcPr>
          <w:p>
            <w:pPr>
              <w:pStyle w:val="BDOITable"/>
            </w:pPr>
            <w:r>
              <w:rPr>
                <w:sz w:val="18"/>
              </w:rPr>
              <w:t>Interfaces, configuration ownership</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Cloud and Digital Operations Engineering</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 Unibank IT</w:t>
            </w:r>
          </w:p>
        </w:tc>
        <w:tc>
          <w:tcPr>
            <w:tcW w:type="dxa" w:w="2833"/>
            <w:tcMar>
              <w:top w:w="50" w:type="dxa"/>
              <w:bottom w:w="50" w:type="dxa"/>
              <w:left w:w="90" w:type="dxa"/>
              <w:right w:w="90" w:type="dxa"/>
            </w:tcMar>
            <w:shd w:val="clear" w:color="auto" w:fill="E5F5FF"/>
          </w:tcPr>
          <w:p>
            <w:pPr>
              <w:pStyle w:val="BDOITable"/>
            </w:pPr>
            <w:r>
              <w:rPr>
                <w:sz w:val="18"/>
              </w:rPr>
              <w:t>Hosting, IER alignment</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Informed</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Business capability map</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Architecture baseline for delivery and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 and audience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1.3 Sources</w:t>
        </w:r>
        <w:r>
          <w:t xml:space="preserve">	</w:t>
        </w:r>
        <w:r>
          <w:t xml:space="preserve">4</w:t>
        </w:r>
      </w:hyperlink>
    </w:p>
    <w:p>
      <w:pPr>
        <w:pStyle w:val="toc2"/>
      </w:pPr>
      <w:hyperlink w:anchor="_Toc000105" w:history="1">
        <w:r>
          <w:t xml:space="preserve">1.4 Conventions</w:t>
        </w:r>
        <w:r>
          <w:t xml:space="preserve">	</w:t>
        </w:r>
        <w:r>
          <w:t xml:space="preserve">5</w:t>
        </w:r>
      </w:hyperlink>
    </w:p>
    <w:p>
      <w:pPr>
        <w:pStyle w:val="toc1"/>
      </w:pPr>
      <w:hyperlink w:anchor="_Toc000106" w:history="1">
        <w:r>
          <w:t xml:space="preserve">2 Business architecture</w:t>
        </w:r>
        <w:r>
          <w:t xml:space="preserve">	</w:t>
        </w:r>
        <w:r>
          <w:t xml:space="preserve">5</w:t>
        </w:r>
      </w:hyperlink>
    </w:p>
    <w:p>
      <w:pPr>
        <w:pStyle w:val="toc2"/>
      </w:pPr>
      <w:hyperlink w:anchor="_Toc000107" w:history="1">
        <w:r>
          <w:t xml:space="preserve">2.1 BDOI's business in one view</w:t>
        </w:r>
        <w:r>
          <w:t xml:space="preserve">	</w:t>
        </w:r>
        <w:r>
          <w:t xml:space="preserve">5</w:t>
        </w:r>
      </w:hyperlink>
    </w:p>
    <w:p>
      <w:pPr>
        <w:pStyle w:val="toc2"/>
      </w:pPr>
      <w:hyperlink w:anchor="_Toc000108" w:history="1">
        <w:r>
          <w:t xml:space="preserve">2.2 Business capabilities and where they live</w:t>
        </w:r>
        <w:r>
          <w:t xml:space="preserve">	</w:t>
        </w:r>
        <w:r>
          <w:t xml:space="preserve">6</w:t>
        </w:r>
      </w:hyperlink>
    </w:p>
    <w:p>
      <w:pPr>
        <w:pStyle w:val="toc2"/>
      </w:pPr>
      <w:hyperlink w:anchor="_Toc000109" w:history="1">
        <w:r>
          <w:t xml:space="preserve">2.3 Users and usage</w:t>
        </w:r>
        <w:r>
          <w:t xml:space="preserve">	</w:t>
        </w:r>
        <w:r>
          <w:t xml:space="preserve">6</w:t>
        </w:r>
      </w:hyperlink>
    </w:p>
    <w:p>
      <w:pPr>
        <w:pStyle w:val="toc1"/>
      </w:pPr>
      <w:hyperlink w:anchor="_Toc000110" w:history="1">
        <w:r>
          <w:t xml:space="preserve">3 Application architecture</w:t>
        </w:r>
        <w:r>
          <w:t xml:space="preserve">	</w:t>
        </w:r>
        <w:r>
          <w:t xml:space="preserve">7</w:t>
        </w:r>
      </w:hyperlink>
    </w:p>
    <w:p>
      <w:pPr>
        <w:pStyle w:val="toc2"/>
      </w:pPr>
      <w:hyperlink w:anchor="_Toc000111" w:history="1">
        <w:r>
          <w:t xml:space="preserve">3.1 Architecture at a glance</w:t>
        </w:r>
        <w:r>
          <w:t xml:space="preserve">	</w:t>
        </w:r>
        <w:r>
          <w:t xml:space="preserve">7</w:t>
        </w:r>
      </w:hyperlink>
    </w:p>
    <w:p>
      <w:pPr>
        <w:pStyle w:val="toc2"/>
      </w:pPr>
      <w:hyperlink w:anchor="_Toc000112" w:history="1">
        <w:r>
          <w:t xml:space="preserve">3.2 Architecture principles</w:t>
        </w:r>
        <w:r>
          <w:t xml:space="preserve">	</w:t>
        </w:r>
        <w:r>
          <w:t xml:space="preserve">8</w:t>
        </w:r>
      </w:hyperlink>
    </w:p>
    <w:p>
      <w:pPr>
        <w:pStyle w:val="toc2"/>
      </w:pPr>
      <w:hyperlink w:anchor="_Toc000113" w:history="1">
        <w:r>
          <w:t xml:space="preserve">3.3 Logical components</w:t>
        </w:r>
        <w:r>
          <w:t xml:space="preserve">	</w:t>
        </w:r>
        <w:r>
          <w:t xml:space="preserve">8</w:t>
        </w:r>
      </w:hyperlink>
    </w:p>
    <w:p>
      <w:pPr>
        <w:pStyle w:val="toc1"/>
      </w:pPr>
      <w:hyperlink w:anchor="_Toc000114" w:history="1">
        <w:r>
          <w:t xml:space="preserve">4 Domain model and bounded contexts</w:t>
        </w:r>
        <w:r>
          <w:t xml:space="preserve">	</w:t>
        </w:r>
        <w:r>
          <w:t xml:space="preserve">9</w:t>
        </w:r>
      </w:hyperlink>
    </w:p>
    <w:p>
      <w:pPr>
        <w:pStyle w:val="toc2"/>
      </w:pPr>
      <w:hyperlink w:anchor="_Toc000115" w:history="1">
        <w:r>
          <w:t xml:space="preserve">4.1 Bounded contexts</w:t>
        </w:r>
        <w:r>
          <w:t xml:space="preserve">	</w:t>
        </w:r>
        <w:r>
          <w:t xml:space="preserve">9</w:t>
        </w:r>
      </w:hyperlink>
    </w:p>
    <w:p>
      <w:pPr>
        <w:pStyle w:val="toc2"/>
      </w:pPr>
      <w:hyperlink w:anchor="_Toc000116" w:history="1">
        <w:r>
          <w:t xml:space="preserve">4.2 Context map</w:t>
        </w:r>
        <w:r>
          <w:t xml:space="preserve">	</w:t>
        </w:r>
        <w:r>
          <w:t xml:space="preserve">11</w:t>
        </w:r>
      </w:hyperlink>
    </w:p>
    <w:p>
      <w:pPr>
        <w:pStyle w:val="toc2"/>
      </w:pPr>
      <w:hyperlink w:anchor="_Toc000117" w:history="1">
        <w:r>
          <w:t xml:space="preserve">4.3 Shared language</w:t>
        </w:r>
        <w:r>
          <w:t xml:space="preserve">	</w:t>
        </w:r>
        <w:r>
          <w:t xml:space="preserve">11</w:t>
        </w:r>
      </w:hyperlink>
    </w:p>
    <w:p>
      <w:pPr>
        <w:pStyle w:val="toc2"/>
      </w:pPr>
      <w:hyperlink w:anchor="_Toc000118" w:history="1">
        <w:r>
          <w:t xml:space="preserve">4.4 Operations per bounded context</w:t>
        </w:r>
        <w:r>
          <w:t xml:space="preserve">	</w:t>
        </w:r>
        <w:r>
          <w:t xml:space="preserve">12</w:t>
        </w:r>
      </w:hyperlink>
    </w:p>
    <w:p>
      <w:pPr>
        <w:pStyle w:val="toc1"/>
      </w:pPr>
      <w:hyperlink w:anchor="_Toc000119" w:history="1">
        <w:r>
          <w:t xml:space="preserve">5 Clean and hexagonal architecture as applied</w:t>
        </w:r>
        <w:r>
          <w:t xml:space="preserve">	</w:t>
        </w:r>
        <w:r>
          <w:t xml:space="preserve">12</w:t>
        </w:r>
      </w:hyperlink>
    </w:p>
    <w:p>
      <w:pPr>
        <w:pStyle w:val="toc2"/>
      </w:pPr>
      <w:hyperlink w:anchor="_Toc000120" w:history="1">
        <w:r>
          <w:t xml:space="preserve">5.1 Layers inside a module</w:t>
        </w:r>
        <w:r>
          <w:t xml:space="preserve">	</w:t>
        </w:r>
        <w:r>
          <w:t xml:space="preserve">12</w:t>
        </w:r>
      </w:hyperlink>
    </w:p>
    <w:p>
      <w:pPr>
        <w:pStyle w:val="toc2"/>
      </w:pPr>
      <w:hyperlink w:anchor="_Toc000121" w:history="1">
        <w:r>
          <w:t xml:space="preserve">5.2 Rules checked at every compile</w:t>
        </w:r>
        <w:r>
          <w:t xml:space="preserve">	</w:t>
        </w:r>
        <w:r>
          <w:t xml:space="preserve">13</w:t>
        </w:r>
      </w:hyperlink>
    </w:p>
    <w:p>
      <w:pPr>
        <w:pStyle w:val="toc2"/>
      </w:pPr>
      <w:hyperlink w:anchor="_Toc000122" w:history="1">
        <w:r>
          <w:t xml:space="preserve">5.3 Ports and connectors</w:t>
        </w:r>
        <w:r>
          <w:t xml:space="preserve">	</w:t>
        </w:r>
        <w:r>
          <w:t xml:space="preserve">14</w:t>
        </w:r>
      </w:hyperlink>
    </w:p>
    <w:p>
      <w:pPr>
        <w:pStyle w:val="toc2"/>
      </w:pPr>
      <w:hyperlink w:anchor="_Toc000123" w:history="1">
        <w:r>
          <w:t xml:space="preserve">5.4 Workloads by runtime role</w:t>
        </w:r>
        <w:r>
          <w:t xml:space="preserve">	</w:t>
        </w:r>
        <w:r>
          <w:t xml:space="preserve">15</w:t>
        </w:r>
      </w:hyperlink>
    </w:p>
    <w:p>
      <w:pPr>
        <w:pStyle w:val="toc1"/>
      </w:pPr>
      <w:hyperlink w:anchor="_Toc000124" w:history="1">
        <w:r>
          <w:t xml:space="preserve">6 Event-driven architecture</w:t>
        </w:r>
        <w:r>
          <w:t xml:space="preserve">	</w:t>
        </w:r>
        <w:r>
          <w:t xml:space="preserve">15</w:t>
        </w:r>
      </w:hyperlink>
    </w:p>
    <w:p>
      <w:pPr>
        <w:pStyle w:val="toc2"/>
      </w:pPr>
      <w:hyperlink w:anchor="_Toc000125" w:history="1">
        <w:r>
          <w:t xml:space="preserve">6.1 Two kinds of events</w:t>
        </w:r>
        <w:r>
          <w:t xml:space="preserve">	</w:t>
        </w:r>
        <w:r>
          <w:t xml:space="preserve">15</w:t>
        </w:r>
      </w:hyperlink>
    </w:p>
    <w:p>
      <w:pPr>
        <w:pStyle w:val="toc2"/>
      </w:pPr>
      <w:hyperlink w:anchor="_Toc000126" w:history="1">
        <w:r>
          <w:t xml:space="preserve">6.2 Transactional outbox to Kafka</w:t>
        </w:r>
        <w:r>
          <w:t xml:space="preserve">	</w:t>
        </w:r>
        <w:r>
          <w:t xml:space="preserve">15</w:t>
        </w:r>
      </w:hyperlink>
    </w:p>
    <w:p>
      <w:pPr>
        <w:pStyle w:val="toc2"/>
      </w:pPr>
      <w:hyperlink w:anchor="_Toc000127" w:history="1">
        <w:r>
          <w:t xml:space="preserve">6.3 Consumers, idempotency and dead letters</w:t>
        </w:r>
        <w:r>
          <w:t xml:space="preserve">	</w:t>
        </w:r>
        <w:r>
          <w:t xml:space="preserve">16</w:t>
        </w:r>
      </w:hyperlink>
    </w:p>
    <w:p>
      <w:pPr>
        <w:pStyle w:val="toc2"/>
      </w:pPr>
      <w:hyperlink w:anchor="_Toc000128" w:history="1">
        <w:r>
          <w:t xml:space="preserve">6.4 Behaviour under failure</w:t>
        </w:r>
        <w:r>
          <w:t xml:space="preserve">	</w:t>
        </w:r>
        <w:r>
          <w:t xml:space="preserve">17</w:t>
        </w:r>
      </w:hyperlink>
    </w:p>
    <w:p>
      <w:pPr>
        <w:pStyle w:val="toc1"/>
      </w:pPr>
      <w:hyperlink w:anchor="_Toc000129" w:history="1">
        <w:r>
          <w:t xml:space="preserve">7 API-first</w:t>
        </w:r>
        <w:r>
          <w:t xml:space="preserve">	</w:t>
        </w:r>
        <w:r>
          <w:t xml:space="preserve">17</w:t>
        </w:r>
      </w:hyperlink>
    </w:p>
    <w:p>
      <w:pPr>
        <w:pStyle w:val="toc1"/>
      </w:pPr>
      <w:hyperlink w:anchor="_Toc000130" w:history="1">
        <w:r>
          <w:t xml:space="preserve">8 Cloud-native design</w:t>
        </w:r>
        <w:r>
          <w:t xml:space="preserve">	</w:t>
        </w:r>
        <w:r>
          <w:t xml:space="preserve">17</w:t>
        </w:r>
      </w:hyperlink>
    </w:p>
    <w:p>
      <w:pPr>
        <w:pStyle w:val="toc1"/>
      </w:pPr>
      <w:hyperlink w:anchor="_Toc000131" w:history="1">
        <w:r>
          <w:t xml:space="preserve">9 Configurable business rules</w:t>
        </w:r>
        <w:r>
          <w:t xml:space="preserve">	</w:t>
        </w:r>
        <w:r>
          <w:t xml:space="preserve">18</w:t>
        </w:r>
      </w:hyperlink>
    </w:p>
    <w:p>
      <w:pPr>
        <w:pStyle w:val="toc2"/>
      </w:pPr>
      <w:hyperlink w:anchor="_Toc000132" w:history="1">
        <w:r>
          <w:t xml:space="preserve">9.1 Where business rules are configured</w:t>
        </w:r>
        <w:r>
          <w:t xml:space="preserve">	</w:t>
        </w:r>
        <w:r>
          <w:t xml:space="preserve">18</w:t>
        </w:r>
      </w:hyperlink>
    </w:p>
    <w:p>
      <w:pPr>
        <w:pStyle w:val="toc2"/>
      </w:pPr>
      <w:hyperlink w:anchor="_Toc000133" w:history="1">
        <w:r>
          <w:t xml:space="preserve">9.2 What stays in the program logic</w:t>
        </w:r>
        <w:r>
          <w:t xml:space="preserve">	</w:t>
        </w:r>
        <w:r>
          <w:t xml:space="preserve">19</w:t>
        </w:r>
      </w:hyperlink>
    </w:p>
    <w:p>
      <w:pPr>
        <w:pStyle w:val="toc2"/>
      </w:pPr>
      <w:hyperlink w:anchor="_Toc000134" w:history="1">
        <w:r>
          <w:t xml:space="preserve">9.3 How configuration reaches production</w:t>
        </w:r>
        <w:r>
          <w:t xml:space="preserve">	</w:t>
        </w:r>
        <w:r>
          <w:t xml:space="preserve">19</w:t>
        </w:r>
      </w:hyperlink>
    </w:p>
    <w:p>
      <w:pPr>
        <w:pStyle w:val="toc1"/>
      </w:pPr>
      <w:hyperlink w:anchor="_Toc000135" w:history="1">
        <w:r>
          <w:t xml:space="preserve">10 Multi-company, multi-product, multi-channel and multi-country readiness</w:t>
        </w:r>
        <w:r>
          <w:t xml:space="preserve">	</w:t>
        </w:r>
        <w:r>
          <w:t xml:space="preserve">19</w:t>
        </w:r>
      </w:hyperlink>
    </w:p>
    <w:p>
      <w:pPr>
        <w:pStyle w:val="toc1"/>
      </w:pPr>
      <w:hyperlink w:anchor="_Toc000136" w:history="1">
        <w:r>
          <w:t xml:space="preserve">11 Quality attributes</w:t>
        </w:r>
        <w:r>
          <w:t xml:space="preserve">	</w:t>
        </w:r>
        <w:r>
          <w:t xml:space="preserve">20</w:t>
        </w:r>
      </w:hyperlink>
    </w:p>
    <w:p>
      <w:pPr>
        <w:pStyle w:val="toc1"/>
      </w:pPr>
      <w:hyperlink w:anchor="_Toc000137" w:history="1">
        <w:r>
          <w:t xml:space="preserve">12 Security architecture summary</w:t>
        </w:r>
        <w:r>
          <w:t xml:space="preserve">	</w:t>
        </w:r>
        <w:r>
          <w:t xml:space="preserve">21</w:t>
        </w:r>
      </w:hyperlink>
    </w:p>
    <w:p>
      <w:pPr>
        <w:pStyle w:val="toc1"/>
      </w:pPr>
      <w:hyperlink w:anchor="_Toc000138" w:history="1">
        <w:r>
          <w:t xml:space="preserve">13 Roles and responsibilities</w:t>
        </w:r>
        <w:r>
          <w:t xml:space="preserve">	</w:t>
        </w:r>
        <w:r>
          <w:t xml:space="preserve">21</w:t>
        </w:r>
      </w:hyperlink>
    </w:p>
    <w:p>
      <w:pPr>
        <w:pStyle w:val="toc1"/>
      </w:pPr>
      <w:hyperlink w:anchor="_Toc000139" w:history="1">
        <w:r>
          <w:t xml:space="preserve">14 Decisions and open points for BDOI</w:t>
        </w:r>
        <w:r>
          <w:t xml:space="preserve">	</w:t>
        </w:r>
        <w:r>
          <w:t xml:space="preserve">21</w:t>
        </w:r>
      </w:hyperlink>
    </w:p>
    <w:p>
      <w:pPr>
        <w:pStyle w:val="toc1"/>
      </w:pPr>
      <w:hyperlink w:anchor="_Toc000140" w:history="1">
        <w:r>
          <w:t xml:space="preserve">Glossary</w:t>
        </w:r>
        <w:r>
          <w:t xml:space="preserve">	</w:t>
        </w:r>
        <w:r>
          <w:t xml:space="preserve">22</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 and audience</w:t>
      </w:r>
      <w:bookmarkEnd w:id="102"/>
    </w:p>
    <w:p>
      <w:r>
        <w:rPr/>
        <w:t>This document describes the solution architecture of BIBS, the BDOI Broker System on iNXT BrokerVerse, for BDOI IT Enterprise Architecture, the Information Security Office and the application and integration teams. It explains how the business of BDO Insurance and Reinsurance Brokers, Inc. (BDOI) maps to the application, how the application is structured, how business rules are kept out of the program logic, and how the quality targets are met. It is the parent of the five other documents of the architecture set:</w:t>
      </w:r>
    </w:p>
    <w:p>
      <w:pPr>
        <w:pStyle w:val="Caption"/>
        <w:keepNext/>
        <w:spacing w:after="60"/>
      </w:pPr>
      <w:r>
        <w:rPr>
          <w:b/>
          <w:i w:val="0"/>
        </w:rPr>
        <w:t xml:space="preserve">Table 1: </w:t>
      </w:r>
      <w:r>
        <w:rPr/>
        <w:t>The architecture document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66"/>
        <w:gridCol w:w="2833"/>
        <w:gridCol w:w="6573"/>
      </w:tblGrid>
      <w:tr>
        <w:trPr>
          <w:tblHeader w:val="true"/>
          <w:cantSplit w:val="true"/>
        </w:trPr>
        <w:tc>
          <w:tcPr>
            <w:tcW w:type="dxa" w:w="56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6572"/>
            <w:shd w:val="clear" w:color="auto" w:fill="004EA8"/>
            <w:tcMar>
              <w:top w:w="50" w:type="dxa"/>
              <w:bottom w:w="50" w:type="dxa"/>
              <w:left w:w="90" w:type="dxa"/>
              <w:right w:w="90" w:type="dxa"/>
            </w:tcMar>
            <w:vAlign w:val="center"/>
          </w:tcPr>
          <w:p>
            <w:pPr>
              <w:pStyle w:val="BDOITableHeader"/>
            </w:pPr>
            <w:r>
              <w:rPr>
                <w:b/>
                <w:color w:val="FFFFFF"/>
                <w:sz w:val="18"/>
              </w:rPr>
              <w:t>What it covers</w:t>
            </w:r>
          </w:p>
        </w:tc>
      </w:tr>
      <w:tr>
        <w:trPr>
          <w:cantSplit w:val="true"/>
        </w:trPr>
        <w:tc>
          <w:tcPr>
            <w:tcW w:type="dxa" w:w="567"/>
            <w:tcMar>
              <w:top w:w="50" w:type="dxa"/>
              <w:bottom w:w="50" w:type="dxa"/>
              <w:left w:w="90" w:type="dxa"/>
              <w:right w:w="90" w:type="dxa"/>
            </w:tcMar>
          </w:tcPr>
          <w:p>
            <w:pPr>
              <w:pStyle w:val="BDOITable"/>
            </w:pPr>
            <w:r>
              <w:rPr>
                <w:b/>
                <w:sz w:val="18"/>
              </w:rPr>
              <w:t>1</w:t>
            </w:r>
          </w:p>
        </w:tc>
        <w:tc>
          <w:tcPr>
            <w:tcW w:type="dxa" w:w="2833"/>
            <w:tcMar>
              <w:top w:w="50" w:type="dxa"/>
              <w:bottom w:w="50" w:type="dxa"/>
              <w:left w:w="90" w:type="dxa"/>
              <w:right w:w="90" w:type="dxa"/>
            </w:tcMar>
          </w:tcPr>
          <w:p>
            <w:pPr>
              <w:pStyle w:val="BDOITable"/>
            </w:pPr>
            <w:r>
              <w:rPr>
                <w:sz w:val="18"/>
              </w:rPr>
              <w:t>Solution Architecture (this document)</w:t>
            </w:r>
          </w:p>
        </w:tc>
        <w:tc>
          <w:tcPr>
            <w:tcW w:type="dxa" w:w="6572"/>
            <w:tcMar>
              <w:top w:w="50" w:type="dxa"/>
              <w:bottom w:w="50" w:type="dxa"/>
              <w:left w:w="90" w:type="dxa"/>
              <w:right w:w="90" w:type="dxa"/>
            </w:tcMar>
          </w:tcPr>
          <w:p>
            <w:pPr>
              <w:pStyle w:val="BDOITable"/>
            </w:pPr>
            <w:r>
              <w:rPr>
                <w:sz w:val="18"/>
              </w:rPr>
              <w:t>Business and application architecture, bounded contexts, ports and connectors, events, API-first, cloud native, configurable rules, multi-entity readiness, quality attributes</w:t>
            </w:r>
          </w:p>
        </w:tc>
      </w:tr>
      <w:tr>
        <w:trPr>
          <w:cantSplit w:val="true"/>
        </w:trPr>
        <w:tc>
          <w:tcPr>
            <w:tcW w:type="dxa" w:w="567"/>
            <w:tcMar>
              <w:top w:w="50" w:type="dxa"/>
              <w:bottom w:w="50" w:type="dxa"/>
              <w:left w:w="90" w:type="dxa"/>
              <w:right w:w="90" w:type="dxa"/>
            </w:tcMar>
            <w:shd w:val="clear" w:color="auto" w:fill="E5F5FF"/>
          </w:tcPr>
          <w:p>
            <w:pPr>
              <w:pStyle w:val="BDOITable"/>
            </w:pPr>
            <w:r>
              <w:rPr>
                <w:b/>
                <w:sz w:val="18"/>
              </w:rPr>
              <w:t>2</w:t>
            </w:r>
          </w:p>
        </w:tc>
        <w:tc>
          <w:tcPr>
            <w:tcW w:type="dxa" w:w="2833"/>
            <w:tcMar>
              <w:top w:w="50" w:type="dxa"/>
              <w:bottom w:w="50" w:type="dxa"/>
              <w:left w:w="90" w:type="dxa"/>
              <w:right w:w="90" w:type="dxa"/>
            </w:tcMar>
            <w:shd w:val="clear" w:color="auto" w:fill="E5F5FF"/>
          </w:tcPr>
          <w:p>
            <w:pPr>
              <w:pStyle w:val="BDOITable"/>
            </w:pPr>
            <w:r>
              <w:rPr>
                <w:sz w:val="18"/>
              </w:rPr>
              <w:t>Deployment Architecture</w:t>
            </w:r>
          </w:p>
        </w:tc>
        <w:tc>
          <w:tcPr>
            <w:tcW w:type="dxa" w:w="6572"/>
            <w:tcMar>
              <w:top w:w="50" w:type="dxa"/>
              <w:bottom w:w="50" w:type="dxa"/>
              <w:left w:w="90" w:type="dxa"/>
              <w:right w:w="90" w:type="dxa"/>
            </w:tcMar>
            <w:shd w:val="clear" w:color="auto" w:fill="E5F5FF"/>
          </w:tcPr>
          <w:p>
            <w:pPr>
              <w:pStyle w:val="BDOITable"/>
            </w:pPr>
            <w:r>
              <w:rPr>
                <w:sz w:val="18"/>
              </w:rPr>
              <w:t>Runtime components, containers, Kubernetes topology per environment, Gateway API routing, scaling, configuration and secrets, release pipeline and promotion</w:t>
            </w:r>
          </w:p>
        </w:tc>
      </w:tr>
      <w:tr>
        <w:trPr>
          <w:cantSplit w:val="true"/>
        </w:trPr>
        <w:tc>
          <w:tcPr>
            <w:tcW w:type="dxa" w:w="567"/>
            <w:tcMar>
              <w:top w:w="50" w:type="dxa"/>
              <w:bottom w:w="50" w:type="dxa"/>
              <w:left w:w="90" w:type="dxa"/>
              <w:right w:w="90" w:type="dxa"/>
            </w:tcMar>
          </w:tcPr>
          <w:p>
            <w:pPr>
              <w:pStyle w:val="BDOITable"/>
            </w:pPr>
            <w:r>
              <w:rPr>
                <w:b/>
                <w:sz w:val="18"/>
              </w:rPr>
              <w:t>3</w:t>
            </w:r>
          </w:p>
        </w:tc>
        <w:tc>
          <w:tcPr>
            <w:tcW w:type="dxa" w:w="2833"/>
            <w:tcMar>
              <w:top w:w="50" w:type="dxa"/>
              <w:bottom w:w="50" w:type="dxa"/>
              <w:left w:w="90" w:type="dxa"/>
              <w:right w:w="90" w:type="dxa"/>
            </w:tcMar>
          </w:tcPr>
          <w:p>
            <w:pPr>
              <w:pStyle w:val="BDOITable"/>
            </w:pPr>
            <w:r>
              <w:rPr>
                <w:sz w:val="18"/>
              </w:rPr>
              <w:t>Infrastructure Architecture</w:t>
            </w:r>
          </w:p>
        </w:tc>
        <w:tc>
          <w:tcPr>
            <w:tcW w:type="dxa" w:w="6572"/>
            <w:tcMar>
              <w:top w:w="50" w:type="dxa"/>
              <w:bottom w:w="50" w:type="dxa"/>
              <w:left w:w="90" w:type="dxa"/>
              <w:right w:w="90" w:type="dxa"/>
            </w:tcMar>
          </w:tcPr>
          <w:p>
            <w:pPr>
              <w:pStyle w:val="BDOITable"/>
            </w:pPr>
            <w:r>
              <w:rPr>
                <w:sz w:val="18"/>
              </w:rPr>
              <w:t>Hosting, network zones and trust boundaries, sizing, PostgreSQL high availability and backups, Valkey, Kafka, object storage, monitoring, environments, component baseline</w:t>
            </w:r>
          </w:p>
        </w:tc>
      </w:tr>
      <w:tr>
        <w:trPr>
          <w:cantSplit w:val="true"/>
        </w:trPr>
        <w:tc>
          <w:tcPr>
            <w:tcW w:type="dxa" w:w="567"/>
            <w:tcMar>
              <w:top w:w="50" w:type="dxa"/>
              <w:bottom w:w="50" w:type="dxa"/>
              <w:left w:w="90" w:type="dxa"/>
              <w:right w:w="90" w:type="dxa"/>
            </w:tcMar>
            <w:shd w:val="clear" w:color="auto" w:fill="E5F5FF"/>
          </w:tcPr>
          <w:p>
            <w:pPr>
              <w:pStyle w:val="BDOITable"/>
            </w:pPr>
            <w:r>
              <w:rPr>
                <w:b/>
                <w:sz w:val="18"/>
              </w:rPr>
              <w:t>4</w:t>
            </w:r>
          </w:p>
        </w:tc>
        <w:tc>
          <w:tcPr>
            <w:tcW w:type="dxa" w:w="2833"/>
            <w:tcMar>
              <w:top w:w="50" w:type="dxa"/>
              <w:bottom w:w="50" w:type="dxa"/>
              <w:left w:w="90" w:type="dxa"/>
              <w:right w:w="90" w:type="dxa"/>
            </w:tcMar>
            <w:shd w:val="clear" w:color="auto" w:fill="E5F5FF"/>
          </w:tcPr>
          <w:p>
            <w:pPr>
              <w:pStyle w:val="BDOITable"/>
            </w:pPr>
            <w:r>
              <w:rPr>
                <w:sz w:val="18"/>
              </w:rPr>
              <w:t>Integration Architecture</w:t>
            </w:r>
          </w:p>
        </w:tc>
        <w:tc>
          <w:tcPr>
            <w:tcW w:type="dxa" w:w="6572"/>
            <w:tcMar>
              <w:top w:w="50" w:type="dxa"/>
              <w:bottom w:w="50" w:type="dxa"/>
              <w:left w:w="90" w:type="dxa"/>
              <w:right w:w="90" w:type="dxa"/>
            </w:tcMar>
            <w:shd w:val="clear" w:color="auto" w:fill="E5F5FF"/>
          </w:tcPr>
          <w:p>
            <w:pPr>
              <w:pStyle w:val="BDOITable"/>
            </w:pPr>
            <w:r>
              <w:rPr>
                <w:sz w:val="18"/>
              </w:rPr>
              <w:t>Catalogue of every interface, patterns, security, error handling, reconciliation and ownership</w:t>
            </w:r>
          </w:p>
        </w:tc>
      </w:tr>
      <w:tr>
        <w:trPr>
          <w:cantSplit w:val="true"/>
        </w:trPr>
        <w:tc>
          <w:tcPr>
            <w:tcW w:type="dxa" w:w="567"/>
            <w:tcMar>
              <w:top w:w="50" w:type="dxa"/>
              <w:bottom w:w="50" w:type="dxa"/>
              <w:left w:w="90" w:type="dxa"/>
              <w:right w:w="90" w:type="dxa"/>
            </w:tcMar>
          </w:tcPr>
          <w:p>
            <w:pPr>
              <w:pStyle w:val="BDOITable"/>
            </w:pPr>
            <w:r>
              <w:rPr>
                <w:b/>
                <w:sz w:val="18"/>
              </w:rPr>
              <w:t>5</w:t>
            </w:r>
          </w:p>
        </w:tc>
        <w:tc>
          <w:tcPr>
            <w:tcW w:type="dxa" w:w="2833"/>
            <w:tcMar>
              <w:top w:w="50" w:type="dxa"/>
              <w:bottom w:w="50" w:type="dxa"/>
              <w:left w:w="90" w:type="dxa"/>
              <w:right w:w="90" w:type="dxa"/>
            </w:tcMar>
          </w:tcPr>
          <w:p>
            <w:pPr>
              <w:pStyle w:val="BDOITable"/>
            </w:pPr>
            <w:r>
              <w:rPr>
                <w:sz w:val="18"/>
              </w:rPr>
              <w:t>API Specification and API Catalogue (Excel)</w:t>
            </w:r>
          </w:p>
        </w:tc>
        <w:tc>
          <w:tcPr>
            <w:tcW w:type="dxa" w:w="6572"/>
            <w:tcMar>
              <w:top w:w="50" w:type="dxa"/>
              <w:bottom w:w="50" w:type="dxa"/>
              <w:left w:w="90" w:type="dxa"/>
              <w:right w:w="90" w:type="dxa"/>
            </w:tcMar>
          </w:tcPr>
          <w:p>
            <w:pPr>
              <w:pStyle w:val="BDOITable"/>
            </w:pPr>
            <w:r>
              <w:rPr>
                <w:sz w:val="18"/>
              </w:rPr>
              <w:t>API standards, the OpenAPI description and the catalogue of all 1,832 operations</w:t>
            </w:r>
          </w:p>
        </w:tc>
      </w:tr>
      <w:tr>
        <w:trPr>
          <w:cantSplit w:val="true"/>
        </w:trPr>
        <w:tc>
          <w:tcPr>
            <w:tcW w:type="dxa" w:w="567"/>
            <w:tcMar>
              <w:top w:w="50" w:type="dxa"/>
              <w:bottom w:w="50" w:type="dxa"/>
              <w:left w:w="90" w:type="dxa"/>
              <w:right w:w="90" w:type="dxa"/>
            </w:tcMar>
            <w:shd w:val="clear" w:color="auto" w:fill="E5F5FF"/>
          </w:tcPr>
          <w:p>
            <w:pPr>
              <w:pStyle w:val="BDOITable"/>
            </w:pPr>
            <w:r>
              <w:rPr>
                <w:b/>
                <w:sz w:val="18"/>
              </w:rPr>
              <w:t>6</w:t>
            </w:r>
          </w:p>
        </w:tc>
        <w:tc>
          <w:tcPr>
            <w:tcW w:type="dxa" w:w="2833"/>
            <w:tcMar>
              <w:top w:w="50" w:type="dxa"/>
              <w:bottom w:w="50" w:type="dxa"/>
              <w:left w:w="90" w:type="dxa"/>
              <w:right w:w="90" w:type="dxa"/>
            </w:tcMar>
            <w:shd w:val="clear" w:color="auto" w:fill="E5F5FF"/>
          </w:tcPr>
          <w:p>
            <w:pPr>
              <w:pStyle w:val="BDOITable"/>
            </w:pPr>
            <w:r>
              <w:rPr>
                <w:sz w:val="18"/>
              </w:rPr>
              <w:t>Architecture Decision Records and ADR Log (Excel)</w:t>
            </w:r>
          </w:p>
        </w:tc>
        <w:tc>
          <w:tcPr>
            <w:tcW w:type="dxa" w:w="6572"/>
            <w:tcMar>
              <w:top w:w="50" w:type="dxa"/>
              <w:bottom w:w="50" w:type="dxa"/>
              <w:left w:w="90" w:type="dxa"/>
              <w:right w:w="90" w:type="dxa"/>
            </w:tcMar>
            <w:shd w:val="clear" w:color="auto" w:fill="E5F5FF"/>
          </w:tcPr>
          <w:p>
            <w:pPr>
              <w:pStyle w:val="BDOITable"/>
            </w:pPr>
            <w:r>
              <w:rPr>
                <w:sz w:val="18"/>
              </w:rPr>
              <w:t>20 decisions with context, alternatives and consequences</w:t>
            </w:r>
          </w:p>
        </w:tc>
      </w:tr>
    </w:tbl>
    <w:p>
      <w:pPr>
        <w:pStyle w:val="BDOISpacer"/>
      </w:pPr>
    </w:p>
    <w:p>
      <w:pPr>
        <w:pStyle w:val="Heading2"/>
      </w:pPr>
      <w:bookmarkStart w:id="103" w:name="_Toc000103"/>
      <w:r>
        <w:rPr/>
        <w:t>1.2 Scope</w:t>
      </w:r>
      <w:bookmarkEnd w:id="103"/>
    </w:p>
    <w:p>
      <w:r>
        <w:rPr/>
        <w:t>In scope: the BIBS application for BDOI as an insurance broker - the thirteen BRDs grouped in BDOI's drops (Drop 0: BRD-03, 11, 13; Drop 1: BRD-01, 02, 04, 05, 06, 09, 10, 12; Drop 2: BRD-07, 08), the platform services they share, and the interfaces with BDO systems. All modules go live together in January 2028.</w:t>
      </w:r>
    </w:p>
    <w:p>
      <w:r>
        <w:rPr/>
        <w:t>Out of scope: the ReInsurance BRD (phase 2) and every insurer-company function. BIBS is broker-only: insurer underwriting, insurer claims, reinsurance treaty and cession accounting, actuarial reserves, group consolidation and insurer taxes are not part of BIBS (client decision of 8 October 2026, ADR-11).</w:t>
      </w:r>
    </w:p>
    <w:p>
      <w:pPr>
        <w:pStyle w:val="Heading2"/>
      </w:pPr>
      <w:bookmarkStart w:id="104" w:name="_Toc000104"/>
      <w:r>
        <w:rPr/>
        <w:t>1.3 Sources</w:t>
      </w:r>
      <w:bookmarkEnd w:id="104"/>
    </w:p>
    <w:p>
      <w:pPr>
        <w:pStyle w:val="Caption"/>
        <w:keepNext/>
        <w:spacing w:after="60"/>
      </w:pPr>
      <w:r>
        <w:rPr>
          <w:b/>
          <w:i w:val="0"/>
        </w:rPr>
        <w:t xml:space="preserve">Table 2: </w:t>
      </w:r>
      <w:r>
        <w:rPr/>
        <w:t>Sources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66"/>
        <w:gridCol w:w="3966"/>
        <w:gridCol w:w="5439"/>
      </w:tblGrid>
      <w:tr>
        <w:trPr>
          <w:tblHeader w:val="true"/>
          <w:cantSplit w:val="true"/>
        </w:trPr>
        <w:tc>
          <w:tcPr>
            <w:tcW w:type="dxa" w:w="567"/>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5439"/>
            <w:shd w:val="clear" w:color="auto" w:fill="004EA8"/>
            <w:tcMar>
              <w:top w:w="50" w:type="dxa"/>
              <w:bottom w:w="50" w:type="dxa"/>
              <w:left w:w="90" w:type="dxa"/>
              <w:right w:w="90" w:type="dxa"/>
            </w:tcMar>
            <w:vAlign w:val="center"/>
          </w:tcPr>
          <w:p>
            <w:pPr>
              <w:pStyle w:val="BDOITableHeader"/>
            </w:pPr>
            <w:r>
              <w:rPr>
                <w:b/>
                <w:color w:val="FFFFFF"/>
                <w:sz w:val="18"/>
              </w:rPr>
              <w:t>Used for</w:t>
            </w:r>
          </w:p>
        </w:tc>
      </w:tr>
      <w:tr>
        <w:trPr>
          <w:cantSplit w:val="true"/>
        </w:trPr>
        <w:tc>
          <w:tcPr>
            <w:tcW w:type="dxa" w:w="567"/>
            <w:tcMar>
              <w:top w:w="50" w:type="dxa"/>
              <w:bottom w:w="50" w:type="dxa"/>
              <w:left w:w="90" w:type="dxa"/>
              <w:right w:w="90" w:type="dxa"/>
            </w:tcMar>
          </w:tcPr>
          <w:p>
            <w:pPr>
              <w:pStyle w:val="BDOITable"/>
            </w:pPr>
            <w:r>
              <w:rPr>
                <w:b/>
                <w:sz w:val="18"/>
              </w:rPr>
              <w:t>S1</w:t>
            </w:r>
          </w:p>
        </w:tc>
        <w:tc>
          <w:tcPr>
            <w:tcW w:type="dxa" w:w="3966"/>
            <w:tcMar>
              <w:top w:w="50" w:type="dxa"/>
              <w:bottom w:w="50" w:type="dxa"/>
              <w:left w:w="90" w:type="dxa"/>
              <w:right w:w="90" w:type="dxa"/>
            </w:tcMar>
          </w:tcPr>
          <w:p>
            <w:pPr>
              <w:pStyle w:val="BDOITable"/>
            </w:pPr>
            <w:r>
              <w:rPr>
                <w:sz w:val="18"/>
              </w:rPr>
              <w:t>BDOI BRDs 00 to 13 (latest versions of 8 October 2026) and the umbrella Core Replacement BRD (p.42-46)</w:t>
            </w:r>
          </w:p>
        </w:tc>
        <w:tc>
          <w:tcPr>
            <w:tcW w:type="dxa" w:w="5439"/>
            <w:tcMar>
              <w:top w:w="50" w:type="dxa"/>
              <w:bottom w:w="50" w:type="dxa"/>
              <w:left w:w="90" w:type="dxa"/>
              <w:right w:w="90" w:type="dxa"/>
            </w:tcMar>
          </w:tcPr>
          <w:p>
            <w:pPr>
              <w:pStyle w:val="BDOITable"/>
            </w:pPr>
            <w:r>
              <w:rPr>
                <w:sz w:val="18"/>
              </w:rPr>
              <w:t>Business capabilities, users, volumes, response times, retention</w:t>
            </w:r>
          </w:p>
        </w:tc>
      </w:tr>
      <w:tr>
        <w:trPr>
          <w:cantSplit w:val="true"/>
        </w:trPr>
        <w:tc>
          <w:tcPr>
            <w:tcW w:type="dxa" w:w="567"/>
            <w:tcMar>
              <w:top w:w="50" w:type="dxa"/>
              <w:bottom w:w="50" w:type="dxa"/>
              <w:left w:w="90" w:type="dxa"/>
              <w:right w:w="90" w:type="dxa"/>
            </w:tcMar>
            <w:shd w:val="clear" w:color="auto" w:fill="E5F5FF"/>
          </w:tcPr>
          <w:p>
            <w:pPr>
              <w:pStyle w:val="BDOITable"/>
            </w:pPr>
            <w:r>
              <w:rPr>
                <w:b/>
                <w:sz w:val="18"/>
              </w:rPr>
              <w:t>S2</w:t>
            </w:r>
          </w:p>
        </w:tc>
        <w:tc>
          <w:tcPr>
            <w:tcW w:type="dxa" w:w="3966"/>
            <w:tcMar>
              <w:top w:w="50" w:type="dxa"/>
              <w:bottom w:w="50" w:type="dxa"/>
              <w:left w:w="90" w:type="dxa"/>
              <w:right w:w="90" w:type="dxa"/>
            </w:tcMar>
            <w:shd w:val="clear" w:color="auto" w:fill="E5F5FF"/>
          </w:tcPr>
          <w:p>
            <w:pPr>
              <w:pStyle w:val="BDOITable"/>
            </w:pPr>
            <w:r>
              <w:rPr>
                <w:sz w:val="18"/>
              </w:rPr>
              <w:t>BDOI drop plan, programme timeline and the Programme Alignment pack v1.0 (26 September 2026)</w:t>
            </w:r>
          </w:p>
        </w:tc>
        <w:tc>
          <w:tcPr>
            <w:tcW w:type="dxa" w:w="5439"/>
            <w:tcMar>
              <w:top w:w="50" w:type="dxa"/>
              <w:bottom w:w="50" w:type="dxa"/>
              <w:left w:w="90" w:type="dxa"/>
              <w:right w:w="90" w:type="dxa"/>
            </w:tcMar>
            <w:shd w:val="clear" w:color="auto" w:fill="E5F5FF"/>
          </w:tcPr>
          <w:p>
            <w:pPr>
              <w:pStyle w:val="BDOITable"/>
            </w:pPr>
            <w:r>
              <w:rPr>
                <w:sz w:val="18"/>
              </w:rPr>
              <w:t>Drops, integration inventory INT-01 to INT-20, questions IQ01 to IQ35</w:t>
            </w:r>
          </w:p>
        </w:tc>
      </w:tr>
      <w:tr>
        <w:trPr>
          <w:cantSplit w:val="true"/>
        </w:trPr>
        <w:tc>
          <w:tcPr>
            <w:tcW w:type="dxa" w:w="567"/>
            <w:tcMar>
              <w:top w:w="50" w:type="dxa"/>
              <w:bottom w:w="50" w:type="dxa"/>
              <w:left w:w="90" w:type="dxa"/>
              <w:right w:w="90" w:type="dxa"/>
            </w:tcMar>
          </w:tcPr>
          <w:p>
            <w:pPr>
              <w:pStyle w:val="BDOITable"/>
            </w:pPr>
            <w:r>
              <w:rPr>
                <w:b/>
                <w:sz w:val="18"/>
              </w:rPr>
              <w:t>S3</w:t>
            </w:r>
          </w:p>
        </w:tc>
        <w:tc>
          <w:tcPr>
            <w:tcW w:type="dxa" w:w="3966"/>
            <w:tcMar>
              <w:top w:w="50" w:type="dxa"/>
              <w:bottom w:w="50" w:type="dxa"/>
              <w:left w:w="90" w:type="dxa"/>
              <w:right w:w="90" w:type="dxa"/>
            </w:tcMar>
          </w:tcPr>
          <w:p>
            <w:pPr>
              <w:pStyle w:val="BDOITable"/>
            </w:pPr>
            <w:r>
              <w:rPr>
                <w:sz w:val="18"/>
              </w:rPr>
              <w:t>BDOI IER workbook v20</w:t>
            </w:r>
          </w:p>
        </w:tc>
        <w:tc>
          <w:tcPr>
            <w:tcW w:type="dxa" w:w="5439"/>
            <w:tcMar>
              <w:top w:w="50" w:type="dxa"/>
              <w:bottom w:w="50" w:type="dxa"/>
              <w:left w:w="90" w:type="dxa"/>
              <w:right w:w="90" w:type="dxa"/>
            </w:tcMar>
          </w:tcPr>
          <w:p>
            <w:pPr>
              <w:pStyle w:val="BDOITable"/>
            </w:pPr>
            <w:r>
              <w:rPr>
                <w:sz w:val="18"/>
              </w:rPr>
              <w:t>Recovery objectives, environments, sizing, growth</w:t>
            </w:r>
          </w:p>
        </w:tc>
      </w:tr>
      <w:tr>
        <w:trPr>
          <w:cantSplit w:val="true"/>
        </w:trPr>
        <w:tc>
          <w:tcPr>
            <w:tcW w:type="dxa" w:w="567"/>
            <w:tcMar>
              <w:top w:w="50" w:type="dxa"/>
              <w:bottom w:w="50" w:type="dxa"/>
              <w:left w:w="90" w:type="dxa"/>
              <w:right w:w="90" w:type="dxa"/>
            </w:tcMar>
            <w:shd w:val="clear" w:color="auto" w:fill="E5F5FF"/>
          </w:tcPr>
          <w:p>
            <w:pPr>
              <w:pStyle w:val="BDOITable"/>
            </w:pPr>
            <w:r>
              <w:rPr>
                <w:b/>
                <w:sz w:val="18"/>
              </w:rPr>
              <w:t>S4</w:t>
            </w:r>
          </w:p>
        </w:tc>
        <w:tc>
          <w:tcPr>
            <w:tcW w:type="dxa" w:w="3966"/>
            <w:tcMar>
              <w:top w:w="50" w:type="dxa"/>
              <w:bottom w:w="50" w:type="dxa"/>
              <w:left w:w="90" w:type="dxa"/>
              <w:right w:w="90" w:type="dxa"/>
            </w:tcMar>
            <w:shd w:val="clear" w:color="auto" w:fill="E5F5FF"/>
          </w:tcPr>
          <w:p>
            <w:pPr>
              <w:pStyle w:val="BDOITable"/>
            </w:pPr>
            <w:r>
              <w:rPr>
                <w:sz w:val="18"/>
              </w:rPr>
              <w:t>Application architecture option decision (confirmed by BDOI on 26 September 2026)</w:t>
            </w:r>
          </w:p>
        </w:tc>
        <w:tc>
          <w:tcPr>
            <w:tcW w:type="dxa" w:w="5439"/>
            <w:tcMar>
              <w:top w:w="50" w:type="dxa"/>
              <w:bottom w:w="50" w:type="dxa"/>
              <w:left w:w="90" w:type="dxa"/>
              <w:right w:w="90" w:type="dxa"/>
            </w:tcMar>
            <w:shd w:val="clear" w:color="auto" w:fill="E5F5FF"/>
          </w:tcPr>
          <w:p>
            <w:pPr>
              <w:pStyle w:val="BDOITable"/>
            </w:pPr>
            <w:r>
              <w:rPr>
                <w:sz w:val="18"/>
              </w:rPr>
              <w:t>Modular monolith, workloads, edge and encryption</w:t>
            </w:r>
          </w:p>
        </w:tc>
      </w:tr>
      <w:tr>
        <w:trPr>
          <w:cantSplit w:val="true"/>
        </w:trPr>
        <w:tc>
          <w:tcPr>
            <w:tcW w:type="dxa" w:w="567"/>
            <w:tcMar>
              <w:top w:w="50" w:type="dxa"/>
              <w:bottom w:w="50" w:type="dxa"/>
              <w:left w:w="90" w:type="dxa"/>
              <w:right w:w="90" w:type="dxa"/>
            </w:tcMar>
          </w:tcPr>
          <w:p>
            <w:pPr>
              <w:pStyle w:val="BDOITable"/>
            </w:pPr>
            <w:r>
              <w:rPr>
                <w:b/>
                <w:sz w:val="18"/>
              </w:rPr>
              <w:t>S5</w:t>
            </w:r>
          </w:p>
        </w:tc>
        <w:tc>
          <w:tcPr>
            <w:tcW w:type="dxa" w:w="3966"/>
            <w:tcMar>
              <w:top w:w="50" w:type="dxa"/>
              <w:bottom w:w="50" w:type="dxa"/>
              <w:left w:w="90" w:type="dxa"/>
              <w:right w:w="90" w:type="dxa"/>
            </w:tcMar>
          </w:tcPr>
          <w:p>
            <w:pPr>
              <w:pStyle w:val="BDOITable"/>
            </w:pPr>
            <w:r>
              <w:rPr>
                <w:sz w:val="18"/>
              </w:rPr>
              <w:t>Document storage decision record (approved 26 September 2026)</w:t>
            </w:r>
          </w:p>
        </w:tc>
        <w:tc>
          <w:tcPr>
            <w:tcW w:type="dxa" w:w="5439"/>
            <w:tcMar>
              <w:top w:w="50" w:type="dxa"/>
              <w:bottom w:w="50" w:type="dxa"/>
              <w:left w:w="90" w:type="dxa"/>
              <w:right w:w="90" w:type="dxa"/>
            </w:tcMar>
          </w:tcPr>
          <w:p>
            <w:pPr>
              <w:pStyle w:val="BDOITable"/>
            </w:pPr>
            <w:r>
              <w:rPr>
                <w:sz w:val="18"/>
              </w:rPr>
              <w:t>S3 file store, ECM archive</w:t>
            </w:r>
          </w:p>
        </w:tc>
      </w:tr>
      <w:tr>
        <w:trPr>
          <w:cantSplit w:val="true"/>
        </w:trPr>
        <w:tc>
          <w:tcPr>
            <w:tcW w:type="dxa" w:w="567"/>
            <w:tcMar>
              <w:top w:w="50" w:type="dxa"/>
              <w:bottom w:w="50" w:type="dxa"/>
              <w:left w:w="90" w:type="dxa"/>
              <w:right w:w="90" w:type="dxa"/>
            </w:tcMar>
            <w:shd w:val="clear" w:color="auto" w:fill="E5F5FF"/>
          </w:tcPr>
          <w:p>
            <w:pPr>
              <w:pStyle w:val="BDOITable"/>
            </w:pPr>
            <w:r>
              <w:rPr>
                <w:b/>
                <w:sz w:val="18"/>
              </w:rPr>
              <w:t>S6</w:t>
            </w:r>
          </w:p>
        </w:tc>
        <w:tc>
          <w:tcPr>
            <w:tcW w:type="dxa" w:w="3966"/>
            <w:tcMar>
              <w:top w:w="50" w:type="dxa"/>
              <w:bottom w:w="50" w:type="dxa"/>
              <w:left w:w="90" w:type="dxa"/>
              <w:right w:w="90" w:type="dxa"/>
            </w:tcMar>
            <w:shd w:val="clear" w:color="auto" w:fill="E5F5FF"/>
          </w:tcPr>
          <w:p>
            <w:pPr>
              <w:pStyle w:val="BDOITable"/>
            </w:pPr>
            <w:r>
              <w:rPr>
                <w:sz w:val="18"/>
              </w:rPr>
              <w:t>Client decisions of 8 October 2026</w:t>
            </w:r>
          </w:p>
        </w:tc>
        <w:tc>
          <w:tcPr>
            <w:tcW w:type="dxa" w:w="5439"/>
            <w:tcMar>
              <w:top w:w="50" w:type="dxa"/>
              <w:bottom w:w="50" w:type="dxa"/>
              <w:left w:w="90" w:type="dxa"/>
              <w:right w:w="90" w:type="dxa"/>
            </w:tcMar>
            <w:shd w:val="clear" w:color="auto" w:fill="E5F5FF"/>
          </w:tcPr>
          <w:p>
            <w:pPr>
              <w:pStyle w:val="BDOITable"/>
            </w:pPr>
            <w:r>
              <w:rPr>
                <w:sz w:val="18"/>
              </w:rPr>
              <w:t>Component baseline, Valkey, Gateway API, broker-only scope</w:t>
            </w:r>
          </w:p>
        </w:tc>
      </w:tr>
      <w:tr>
        <w:trPr>
          <w:cantSplit w:val="true"/>
        </w:trPr>
        <w:tc>
          <w:tcPr>
            <w:tcW w:type="dxa" w:w="567"/>
            <w:tcMar>
              <w:top w:w="50" w:type="dxa"/>
              <w:bottom w:w="50" w:type="dxa"/>
              <w:left w:w="90" w:type="dxa"/>
              <w:right w:w="90" w:type="dxa"/>
            </w:tcMar>
          </w:tcPr>
          <w:p>
            <w:pPr>
              <w:pStyle w:val="BDOITable"/>
            </w:pPr>
            <w:r>
              <w:rPr>
                <w:b/>
                <w:sz w:val="18"/>
              </w:rPr>
              <w:t>S7</w:t>
            </w:r>
          </w:p>
        </w:tc>
        <w:tc>
          <w:tcPr>
            <w:tcW w:type="dxa" w:w="3966"/>
            <w:tcMar>
              <w:top w:w="50" w:type="dxa"/>
              <w:bottom w:w="50" w:type="dxa"/>
              <w:left w:w="90" w:type="dxa"/>
              <w:right w:w="90" w:type="dxa"/>
            </w:tcMar>
          </w:tcPr>
          <w:p>
            <w:pPr>
              <w:pStyle w:val="BDOITable"/>
            </w:pPr>
            <w:r>
              <w:rPr>
                <w:sz w:val="18"/>
              </w:rPr>
              <w:t>BIBS platform documentation: platform cache and events, company and branch data scope, user access, configuration reference, deployment guide, runbook, security controls, quality gates, developer guide</w:t>
            </w:r>
          </w:p>
        </w:tc>
        <w:tc>
          <w:tcPr>
            <w:tcW w:type="dxa" w:w="5439"/>
            <w:tcMar>
              <w:top w:w="50" w:type="dxa"/>
              <w:bottom w:w="50" w:type="dxa"/>
              <w:left w:w="90" w:type="dxa"/>
              <w:right w:w="90" w:type="dxa"/>
            </w:tcMar>
          </w:tcPr>
          <w:p>
            <w:pPr>
              <w:pStyle w:val="BDOITable"/>
            </w:pPr>
            <w:r>
              <w:rPr>
                <w:sz w:val="18"/>
              </w:rPr>
              <w:t>How the platform works</w:t>
            </w:r>
          </w:p>
        </w:tc>
      </w:tr>
      <w:tr>
        <w:trPr>
          <w:cantSplit w:val="true"/>
        </w:trPr>
        <w:tc>
          <w:tcPr>
            <w:tcW w:type="dxa" w:w="567"/>
            <w:tcMar>
              <w:top w:w="50" w:type="dxa"/>
              <w:bottom w:w="50" w:type="dxa"/>
              <w:left w:w="90" w:type="dxa"/>
              <w:right w:w="90" w:type="dxa"/>
            </w:tcMar>
            <w:shd w:val="clear" w:color="auto" w:fill="E5F5FF"/>
          </w:tcPr>
          <w:p>
            <w:pPr>
              <w:pStyle w:val="BDOITable"/>
            </w:pPr>
            <w:r>
              <w:rPr>
                <w:b/>
                <w:sz w:val="18"/>
              </w:rPr>
              <w:t>S8</w:t>
            </w:r>
          </w:p>
        </w:tc>
        <w:tc>
          <w:tcPr>
            <w:tcW w:type="dxa" w:w="3966"/>
            <w:tcMar>
              <w:top w:w="50" w:type="dxa"/>
              <w:bottom w:w="50" w:type="dxa"/>
              <w:left w:w="90" w:type="dxa"/>
              <w:right w:w="90" w:type="dxa"/>
            </w:tcMar>
            <w:shd w:val="clear" w:color="auto" w:fill="E5F5FF"/>
          </w:tcPr>
          <w:p>
            <w:pPr>
              <w:pStyle w:val="BDOITable"/>
            </w:pPr>
            <w:r>
              <w:rPr>
                <w:sz w:val="18"/>
              </w:rPr>
              <w:t>FRS of each BRD and the BIBS feature list (716 features against OOTB and best practice)</w:t>
            </w:r>
          </w:p>
        </w:tc>
        <w:tc>
          <w:tcPr>
            <w:tcW w:type="dxa" w:w="5439"/>
            <w:tcMar>
              <w:top w:w="50" w:type="dxa"/>
              <w:bottom w:w="50" w:type="dxa"/>
              <w:left w:w="90" w:type="dxa"/>
              <w:right w:w="90" w:type="dxa"/>
            </w:tcMar>
            <w:shd w:val="clear" w:color="auto" w:fill="E5F5FF"/>
          </w:tcPr>
          <w:p>
            <w:pPr>
              <w:pStyle w:val="BDOITable"/>
            </w:pPr>
            <w:r>
              <w:rPr>
                <w:sz w:val="18"/>
              </w:rPr>
              <w:t>Functional baseline</w:t>
            </w:r>
          </w:p>
        </w:tc>
      </w:tr>
    </w:tbl>
    <w:p>
      <w:pPr>
        <w:pStyle w:val="BDOISpacer"/>
      </w:pPr>
    </w:p>
    <w:p>
      <w:pPr>
        <w:pStyle w:val="Heading2"/>
      </w:pPr>
      <w:bookmarkStart w:id="105" w:name="_Toc000105"/>
      <w:r>
        <w:rPr/>
        <w:t>1.4 Conventions</w:t>
      </w:r>
      <w:bookmarkEnd w:id="105"/>
    </w:p>
    <w:p>
      <w:r>
        <w:rPr/>
        <w:t>Open points of this document are numbered SA-01 to SA-11 (chapter 14). IQ numbers refer to the questions of the Programme Alignment pack; DCR and CRQ numbers to the discrepancy register and the umbrella BRD questions; ADR numbers to the Architecture Decision Records. Dates are written dd-MMM-yyyy in tables.</w:t>
      </w:r>
    </w:p>
    <w:p>
      <w:pPr>
        <w:pStyle w:val="Heading1"/>
        <w:pBdr>
          <w:bottom w:val="single" w:sz="4" w:space="4" w:color="99C1E7"/>
        </w:pBdr>
      </w:pPr>
      <w:bookmarkStart w:id="106" w:name="_Toc000106"/>
      <w:r>
        <w:rPr/>
        <w:t>2 Business architecture</w:t>
      </w:r>
      <w:bookmarkEnd w:id="106"/>
    </w:p>
    <w:p>
      <w:pPr>
        <w:pStyle w:val="Heading2"/>
      </w:pPr>
      <w:bookmarkStart w:id="107" w:name="_Toc000107"/>
      <w:r>
        <w:rPr/>
        <w:t>2.1 BDOI's business in one view</w:t>
      </w:r>
      <w:bookmarkEnd w:id="107"/>
    </w:p>
    <w:p>
      <w:r>
        <w:rPr/>
        <w:t>BDOI is an insurance broker. Insurers issue the policies; BDOI finds the cover for its clients - bank borrowers, retail and corporate clients of BDO - places it with insurers, collects the premium and remits it, earns commission and service fees, and services the client through renewal and claims. The core business flow is:</w:t>
      </w:r>
    </w:p>
    <w:p>
      <w:pPr>
        <w:tabs>
          <w:tab w:pos="312" w:val="left"/>
        </w:tabs>
        <w:spacing w:after="40"/>
        <w:ind w:left="312" w:hanging="283"/>
      </w:pPr>
      <w:r>
        <w:rPr>
          <w:color w:val="004EA8"/>
        </w:rPr>
        <w:t>1.</w:t>
        <w:tab/>
      </w:r>
      <w:r>
        <w:rPr/>
        <w:t>Marketing receives a quotation request (by e-mail, from the home loan system or by bulk upload) and quotes a package product, or raises a Proposal Request (PRF) that TSU prices with insurers for a non-package risk.</w:t>
      </w:r>
    </w:p>
    <w:p>
      <w:pPr>
        <w:tabs>
          <w:tab w:pos="312" w:val="left"/>
        </w:tabs>
        <w:spacing w:after="40"/>
        <w:ind w:left="312" w:hanging="283"/>
      </w:pPr>
      <w:r>
        <w:rPr>
          <w:color w:val="004EA8"/>
        </w:rPr>
        <w:t>2.</w:t>
        <w:tab/>
      </w:r>
      <w:r>
        <w:rPr/>
        <w:t>Marketing onboards the client (prospect, then KYC-verified client, screened against sanction and PEP lists) and creates one or more accounts. The account is the risk record, identified by one Account Reference Number (ARN) from quotation to invoice.</w:t>
      </w:r>
    </w:p>
    <w:p>
      <w:pPr>
        <w:tabs>
          <w:tab w:pos="312" w:val="left"/>
        </w:tabs>
        <w:spacing w:after="40"/>
        <w:ind w:left="312" w:hanging="283"/>
      </w:pPr>
      <w:r>
        <w:rPr>
          <w:color w:val="004EA8"/>
        </w:rPr>
        <w:t>3.</w:t>
        <w:tab/>
      </w:r>
      <w:r>
        <w:rPr/>
        <w:t>Processing checks the payment or the client's confirmation, places the account with the insurer (placement slip, hold cover) and handles insurer returns.</w:t>
      </w:r>
    </w:p>
    <w:p>
      <w:pPr>
        <w:tabs>
          <w:tab w:pos="312" w:val="left"/>
        </w:tabs>
        <w:spacing w:after="40"/>
        <w:ind w:left="312" w:hanging="283"/>
      </w:pPr>
      <w:r>
        <w:rPr>
          <w:color w:val="004EA8"/>
        </w:rPr>
        <w:t>4.</w:t>
        <w:tab/>
      </w:r>
      <w:r>
        <w:rPr/>
        <w:t>Processing receives the e-policy, records the policy number, issues the Insurance Advice for mortgaged accounts and sends the e-policy to the client, encrypted.</w:t>
      </w:r>
    </w:p>
    <w:p>
      <w:pPr>
        <w:tabs>
          <w:tab w:pos="312" w:val="left"/>
        </w:tabs>
        <w:spacing w:after="40"/>
        <w:ind w:left="312" w:hanging="283"/>
      </w:pPr>
      <w:r>
        <w:rPr>
          <w:color w:val="004EA8"/>
        </w:rPr>
        <w:t>5.</w:t>
        <w:tab/>
      </w:r>
      <w:r>
        <w:rPr/>
        <w:t>Processing books the account: the broker accounting entry, the service invoice, cost centre and incentive flag. Endorsements and cancellations follow.</w:t>
      </w:r>
    </w:p>
    <w:p>
      <w:pPr>
        <w:tabs>
          <w:tab w:pos="312" w:val="left"/>
        </w:tabs>
        <w:spacing w:after="40"/>
        <w:ind w:left="312" w:hanging="283"/>
      </w:pPr>
      <w:r>
        <w:rPr>
          <w:color w:val="004EA8"/>
        </w:rPr>
        <w:t>6.</w:t>
        <w:tab/>
      </w:r>
      <w:r>
        <w:rPr/>
        <w:t>Operations receives the premium (cashiering), applies it to invoices, remits it to the insurers net of commission, adjusts and reconciles production with the insurers; Collections follows up what is unpaid.</w:t>
      </w:r>
    </w:p>
    <w:p>
      <w:pPr>
        <w:tabs>
          <w:tab w:pos="312" w:val="left"/>
        </w:tabs>
        <w:spacing w:after="40"/>
        <w:ind w:left="312" w:hanging="283"/>
      </w:pPr>
      <w:r>
        <w:rPr>
          <w:color w:val="004EA8"/>
        </w:rPr>
        <w:t>7.</w:t>
        <w:tab/>
      </w:r>
      <w:r>
        <w:rPr/>
        <w:t>Accounting runs disbursements, the accounting control and sub-ledger (ACSL), the general ledger, BIR returns and the management reports.</w:t>
      </w:r>
    </w:p>
    <w:p>
      <w:pPr>
        <w:tabs>
          <w:tab w:pos="312" w:val="left"/>
        </w:tabs>
        <w:spacing w:after="120"/>
        <w:ind w:left="312" w:hanging="283"/>
      </w:pPr>
      <w:r>
        <w:rPr>
          <w:color w:val="004EA8"/>
        </w:rPr>
        <w:t>8.</w:t>
        <w:tab/>
      </w:r>
      <w:r>
        <w:rPr/>
        <w:t>Renewal extracts expiring policies 140 days ahead and runs them through sanitation, disposition and insurer approval; Claims handling, Employee Benefits and the Customer Servicing Facility serve clients after placement.</w:t>
      </w:r>
    </w:p>
    <w:p>
      <w:pPr>
        <w:pStyle w:val="Heading2"/>
      </w:pPr>
      <w:bookmarkStart w:id="108" w:name="_Toc000108"/>
      <w:r>
        <w:rPr/>
        <w:t>2.2 Business capabilities and where they live</w:t>
      </w:r>
      <w:bookmarkEnd w:id="108"/>
    </w:p>
    <w:p>
      <w:pPr>
        <w:pStyle w:val="Caption"/>
        <w:keepNext/>
        <w:spacing w:after="60"/>
      </w:pPr>
      <w:r>
        <w:rPr>
          <w:b/>
          <w:i w:val="0"/>
        </w:rPr>
        <w:t xml:space="preserve">Table 3: </w:t>
      </w:r>
      <w:r>
        <w:rPr/>
        <w:t>Business capability map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93"/>
        <w:gridCol w:w="1133"/>
        <w:gridCol w:w="906"/>
        <w:gridCol w:w="2606"/>
        <w:gridCol w:w="2833"/>
      </w:tblGrid>
      <w:tr>
        <w:trPr>
          <w:tblHeader w:val="true"/>
          <w:cantSplit w:val="true"/>
        </w:trPr>
        <w:tc>
          <w:tcPr>
            <w:tcW w:type="dxa" w:w="2493"/>
            <w:shd w:val="clear" w:color="auto" w:fill="004EA8"/>
            <w:tcMar>
              <w:top w:w="50" w:type="dxa"/>
              <w:bottom w:w="50" w:type="dxa"/>
              <w:left w:w="90" w:type="dxa"/>
              <w:right w:w="90" w:type="dxa"/>
            </w:tcMar>
            <w:vAlign w:val="center"/>
          </w:tcPr>
          <w:p>
            <w:pPr>
              <w:pStyle w:val="BDOITableHeader"/>
            </w:pPr>
            <w:r>
              <w:rPr>
                <w:b/>
                <w:color w:val="FFFFFF"/>
                <w:sz w:val="16"/>
              </w:rPr>
              <w:t>Capability</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6"/>
              </w:rPr>
              <w:t>Drop</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6"/>
              </w:rPr>
              <w:t>Bounded context</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6"/>
              </w:rPr>
              <w:t>Main outcomes</w:t>
            </w:r>
          </w:p>
        </w:tc>
      </w:tr>
      <w:tr>
        <w:trPr>
          <w:cantSplit w:val="true"/>
        </w:trPr>
        <w:tc>
          <w:tcPr>
            <w:tcW w:type="dxa" w:w="2493"/>
            <w:tcMar>
              <w:top w:w="50" w:type="dxa"/>
              <w:bottom w:w="50" w:type="dxa"/>
              <w:left w:w="90" w:type="dxa"/>
              <w:right w:w="90" w:type="dxa"/>
            </w:tcMar>
          </w:tcPr>
          <w:p>
            <w:pPr>
              <w:pStyle w:val="BDOITable"/>
            </w:pPr>
            <w:r>
              <w:rPr>
                <w:b/>
                <w:sz w:val="16"/>
              </w:rPr>
              <w:t>Product and package maintenance</w:t>
            </w:r>
          </w:p>
        </w:tc>
        <w:tc>
          <w:tcPr>
            <w:tcW w:type="dxa" w:w="1133"/>
            <w:tcMar>
              <w:top w:w="50" w:type="dxa"/>
              <w:bottom w:w="50" w:type="dxa"/>
              <w:left w:w="90" w:type="dxa"/>
              <w:right w:w="90" w:type="dxa"/>
            </w:tcMar>
          </w:tcPr>
          <w:p>
            <w:pPr>
              <w:pStyle w:val="BDOITable"/>
            </w:pPr>
            <w:r>
              <w:rPr>
                <w:sz w:val="16"/>
              </w:rPr>
              <w:t>BRD-03</w:t>
            </w:r>
          </w:p>
        </w:tc>
        <w:tc>
          <w:tcPr>
            <w:tcW w:type="dxa" w:w="907"/>
            <w:tcMar>
              <w:top w:w="50" w:type="dxa"/>
              <w:bottom w:w="50" w:type="dxa"/>
              <w:left w:w="90" w:type="dxa"/>
              <w:right w:w="90" w:type="dxa"/>
            </w:tcMar>
          </w:tcPr>
          <w:p>
            <w:pPr>
              <w:pStyle w:val="BDOITable"/>
            </w:pPr>
            <w:r>
              <w:rPr>
                <w:sz w:val="16"/>
              </w:rPr>
              <w:t>Drop 0</w:t>
            </w:r>
          </w:p>
        </w:tc>
        <w:tc>
          <w:tcPr>
            <w:tcW w:type="dxa" w:w="2606"/>
            <w:tcMar>
              <w:top w:w="50" w:type="dxa"/>
              <w:bottom w:w="50" w:type="dxa"/>
              <w:left w:w="90" w:type="dxa"/>
              <w:right w:w="90" w:type="dxa"/>
            </w:tcMar>
          </w:tcPr>
          <w:p>
            <w:pPr>
              <w:pStyle w:val="BDOITable"/>
            </w:pPr>
            <w:r>
              <w:rPr>
                <w:sz w:val="16"/>
              </w:rPr>
              <w:t>BC02 Product catalogue and maintenance</w:t>
            </w:r>
          </w:p>
        </w:tc>
        <w:tc>
          <w:tcPr>
            <w:tcW w:type="dxa" w:w="2833"/>
            <w:tcMar>
              <w:top w:w="50" w:type="dxa"/>
              <w:bottom w:w="50" w:type="dxa"/>
              <w:left w:w="90" w:type="dxa"/>
              <w:right w:w="90" w:type="dxa"/>
            </w:tcMar>
          </w:tcPr>
          <w:p>
            <w:pPr>
              <w:pStyle w:val="BDOITable"/>
            </w:pPr>
            <w:r>
              <w:rPr>
                <w:sz w:val="16"/>
              </w:rPr>
              <w:t>Versioned packages, rate and commission tables, approvals</w:t>
            </w:r>
          </w:p>
        </w:tc>
      </w:tr>
      <w:tr>
        <w:trPr>
          <w:cantSplit w:val="true"/>
        </w:trPr>
        <w:tc>
          <w:tcPr>
            <w:tcW w:type="dxa" w:w="2493"/>
            <w:tcMar>
              <w:top w:w="50" w:type="dxa"/>
              <w:bottom w:w="50" w:type="dxa"/>
              <w:left w:w="90" w:type="dxa"/>
              <w:right w:w="90" w:type="dxa"/>
            </w:tcMar>
            <w:shd w:val="clear" w:color="auto" w:fill="E5F5FF"/>
          </w:tcPr>
          <w:p>
            <w:pPr>
              <w:pStyle w:val="BDOITable"/>
            </w:pPr>
            <w:r>
              <w:rPr>
                <w:b/>
                <w:sz w:val="16"/>
              </w:rPr>
              <w:t>User access maintenance</w:t>
            </w:r>
          </w:p>
        </w:tc>
        <w:tc>
          <w:tcPr>
            <w:tcW w:type="dxa" w:w="1133"/>
            <w:tcMar>
              <w:top w:w="50" w:type="dxa"/>
              <w:bottom w:w="50" w:type="dxa"/>
              <w:left w:w="90" w:type="dxa"/>
              <w:right w:w="90" w:type="dxa"/>
            </w:tcMar>
            <w:shd w:val="clear" w:color="auto" w:fill="E5F5FF"/>
          </w:tcPr>
          <w:p>
            <w:pPr>
              <w:pStyle w:val="BDOITable"/>
            </w:pPr>
            <w:r>
              <w:rPr>
                <w:sz w:val="16"/>
              </w:rPr>
              <w:t>BRD-11</w:t>
            </w:r>
          </w:p>
        </w:tc>
        <w:tc>
          <w:tcPr>
            <w:tcW w:type="dxa" w:w="907"/>
            <w:tcMar>
              <w:top w:w="50" w:type="dxa"/>
              <w:bottom w:w="50" w:type="dxa"/>
              <w:left w:w="90" w:type="dxa"/>
              <w:right w:w="90" w:type="dxa"/>
            </w:tcMar>
            <w:shd w:val="clear" w:color="auto" w:fill="E5F5FF"/>
          </w:tcPr>
          <w:p>
            <w:pPr>
              <w:pStyle w:val="BDOITable"/>
            </w:pPr>
            <w:r>
              <w:rPr>
                <w:sz w:val="16"/>
              </w:rPr>
              <w:t>Drop 0</w:t>
            </w:r>
          </w:p>
        </w:tc>
        <w:tc>
          <w:tcPr>
            <w:tcW w:type="dxa" w:w="2606"/>
            <w:tcMar>
              <w:top w:w="50" w:type="dxa"/>
              <w:bottom w:w="50" w:type="dxa"/>
              <w:left w:w="90" w:type="dxa"/>
              <w:right w:w="90" w:type="dxa"/>
            </w:tcMar>
            <w:shd w:val="clear" w:color="auto" w:fill="E5F5FF"/>
          </w:tcPr>
          <w:p>
            <w:pPr>
              <w:pStyle w:val="BDOITable"/>
            </w:pPr>
            <w:r>
              <w:rPr>
                <w:sz w:val="16"/>
              </w:rPr>
              <w:t>BC14 User access and identity</w:t>
            </w:r>
          </w:p>
        </w:tc>
        <w:tc>
          <w:tcPr>
            <w:tcW w:type="dxa" w:w="2833"/>
            <w:tcMar>
              <w:top w:w="50" w:type="dxa"/>
              <w:bottom w:w="50" w:type="dxa"/>
              <w:left w:w="90" w:type="dxa"/>
              <w:right w:w="90" w:type="dxa"/>
            </w:tcMar>
            <w:shd w:val="clear" w:color="auto" w:fill="E5F5FF"/>
          </w:tcPr>
          <w:p>
            <w:pPr>
              <w:pStyle w:val="BDOITable"/>
            </w:pPr>
            <w:r>
              <w:rPr>
                <w:sz w:val="16"/>
              </w:rPr>
              <w:t>Access requests under four eyes, roles, data scope, sign-in</w:t>
            </w:r>
          </w:p>
        </w:tc>
      </w:tr>
      <w:tr>
        <w:trPr>
          <w:cantSplit w:val="true"/>
        </w:trPr>
        <w:tc>
          <w:tcPr>
            <w:tcW w:type="dxa" w:w="2493"/>
            <w:tcMar>
              <w:top w:w="50" w:type="dxa"/>
              <w:bottom w:w="50" w:type="dxa"/>
              <w:left w:w="90" w:type="dxa"/>
              <w:right w:w="90" w:type="dxa"/>
            </w:tcMar>
          </w:tcPr>
          <w:p>
            <w:pPr>
              <w:pStyle w:val="BDOITable"/>
            </w:pPr>
            <w:r>
              <w:rPr>
                <w:b/>
                <w:sz w:val="16"/>
              </w:rPr>
              <w:t>Data migration</w:t>
            </w:r>
          </w:p>
        </w:tc>
        <w:tc>
          <w:tcPr>
            <w:tcW w:type="dxa" w:w="1133"/>
            <w:tcMar>
              <w:top w:w="50" w:type="dxa"/>
              <w:bottom w:w="50" w:type="dxa"/>
              <w:left w:w="90" w:type="dxa"/>
              <w:right w:w="90" w:type="dxa"/>
            </w:tcMar>
          </w:tcPr>
          <w:p>
            <w:pPr>
              <w:pStyle w:val="BDOITable"/>
            </w:pPr>
            <w:r>
              <w:rPr>
                <w:sz w:val="16"/>
              </w:rPr>
              <w:t>BRD-13</w:t>
            </w:r>
          </w:p>
        </w:tc>
        <w:tc>
          <w:tcPr>
            <w:tcW w:type="dxa" w:w="907"/>
            <w:tcMar>
              <w:top w:w="50" w:type="dxa"/>
              <w:bottom w:w="50" w:type="dxa"/>
              <w:left w:w="90" w:type="dxa"/>
              <w:right w:w="90" w:type="dxa"/>
            </w:tcMar>
          </w:tcPr>
          <w:p>
            <w:pPr>
              <w:pStyle w:val="BDOITable"/>
            </w:pPr>
            <w:r>
              <w:rPr>
                <w:sz w:val="16"/>
              </w:rPr>
              <w:t>Drop 0</w:t>
            </w:r>
          </w:p>
        </w:tc>
        <w:tc>
          <w:tcPr>
            <w:tcW w:type="dxa" w:w="2606"/>
            <w:tcMar>
              <w:top w:w="50" w:type="dxa"/>
              <w:bottom w:w="50" w:type="dxa"/>
              <w:left w:w="90" w:type="dxa"/>
              <w:right w:w="90" w:type="dxa"/>
            </w:tcMar>
          </w:tcPr>
          <w:p>
            <w:pPr>
              <w:pStyle w:val="BDOITable"/>
            </w:pPr>
            <w:r>
              <w:rPr>
                <w:sz w:val="16"/>
              </w:rPr>
              <w:t>BC15 Data migration</w:t>
            </w:r>
          </w:p>
        </w:tc>
        <w:tc>
          <w:tcPr>
            <w:tcW w:type="dxa" w:w="2833"/>
            <w:tcMar>
              <w:top w:w="50" w:type="dxa"/>
              <w:bottom w:w="50" w:type="dxa"/>
              <w:left w:w="90" w:type="dxa"/>
              <w:right w:w="90" w:type="dxa"/>
            </w:tcMar>
          </w:tcPr>
          <w:p>
            <w:pPr>
              <w:pStyle w:val="BDOITable"/>
            </w:pPr>
            <w:r>
              <w:rPr>
                <w:sz w:val="16"/>
              </w:rPr>
              <w:t>Legacy data loaded, reconciled and signed off</w:t>
            </w:r>
          </w:p>
        </w:tc>
      </w:tr>
      <w:tr>
        <w:trPr>
          <w:cantSplit w:val="true"/>
        </w:trPr>
        <w:tc>
          <w:tcPr>
            <w:tcW w:type="dxa" w:w="2493"/>
            <w:tcMar>
              <w:top w:w="50" w:type="dxa"/>
              <w:bottom w:w="50" w:type="dxa"/>
              <w:left w:w="90" w:type="dxa"/>
              <w:right w:w="90" w:type="dxa"/>
            </w:tcMar>
            <w:shd w:val="clear" w:color="auto" w:fill="E5F5FF"/>
          </w:tcPr>
          <w:p>
            <w:pPr>
              <w:pStyle w:val="BDOITable"/>
            </w:pPr>
            <w:r>
              <w:rPr>
                <w:b/>
                <w:sz w:val="16"/>
              </w:rPr>
              <w:t>New business: client, quotation, placement, issuance, booking</w:t>
            </w:r>
          </w:p>
        </w:tc>
        <w:tc>
          <w:tcPr>
            <w:tcW w:type="dxa" w:w="1133"/>
            <w:tcMar>
              <w:top w:w="50" w:type="dxa"/>
              <w:bottom w:w="50" w:type="dxa"/>
              <w:left w:w="90" w:type="dxa"/>
              <w:right w:w="90" w:type="dxa"/>
            </w:tcMar>
            <w:shd w:val="clear" w:color="auto" w:fill="E5F5FF"/>
          </w:tcPr>
          <w:p>
            <w:pPr>
              <w:pStyle w:val="BDOITable"/>
            </w:pPr>
            <w:r>
              <w:rPr>
                <w:sz w:val="16"/>
              </w:rPr>
              <w:t>BRD-01</w:t>
            </w:r>
          </w:p>
        </w:tc>
        <w:tc>
          <w:tcPr>
            <w:tcW w:type="dxa" w:w="907"/>
            <w:tcMar>
              <w:top w:w="50" w:type="dxa"/>
              <w:bottom w:w="50" w:type="dxa"/>
              <w:left w:w="90" w:type="dxa"/>
              <w:right w:w="90" w:type="dxa"/>
            </w:tcMar>
            <w:shd w:val="clear" w:color="auto" w:fill="E5F5FF"/>
          </w:tcPr>
          <w:p>
            <w:pPr>
              <w:pStyle w:val="BDOITable"/>
            </w:pPr>
            <w:r>
              <w:rPr>
                <w:sz w:val="16"/>
              </w:rPr>
              <w:t>Drop 1</w:t>
            </w:r>
          </w:p>
        </w:tc>
        <w:tc>
          <w:tcPr>
            <w:tcW w:type="dxa" w:w="2606"/>
            <w:tcMar>
              <w:top w:w="50" w:type="dxa"/>
              <w:bottom w:w="50" w:type="dxa"/>
              <w:left w:w="90" w:type="dxa"/>
              <w:right w:w="90" w:type="dxa"/>
            </w:tcMar>
            <w:shd w:val="clear" w:color="auto" w:fill="E5F5FF"/>
          </w:tcPr>
          <w:p>
            <w:pPr>
              <w:pStyle w:val="BDOITable"/>
            </w:pPr>
            <w:r>
              <w:rPr>
                <w:sz w:val="16"/>
              </w:rPr>
              <w:t>BC01 Client management, BC03 New business broking</w:t>
            </w:r>
          </w:p>
        </w:tc>
        <w:tc>
          <w:tcPr>
            <w:tcW w:type="dxa" w:w="2833"/>
            <w:tcMar>
              <w:top w:w="50" w:type="dxa"/>
              <w:bottom w:w="50" w:type="dxa"/>
              <w:left w:w="90" w:type="dxa"/>
              <w:right w:w="90" w:type="dxa"/>
            </w:tcMar>
            <w:shd w:val="clear" w:color="auto" w:fill="E5F5FF"/>
          </w:tcPr>
          <w:p>
            <w:pPr>
              <w:pStyle w:val="BDOITable"/>
            </w:pPr>
            <w:r>
              <w:rPr>
                <w:sz w:val="16"/>
              </w:rPr>
              <w:t>ARN from quotation to invoice; booked invoices</w:t>
            </w:r>
          </w:p>
        </w:tc>
      </w:tr>
      <w:tr>
        <w:trPr>
          <w:cantSplit w:val="true"/>
        </w:trPr>
        <w:tc>
          <w:tcPr>
            <w:tcW w:type="dxa" w:w="2493"/>
            <w:tcMar>
              <w:top w:w="50" w:type="dxa"/>
              <w:bottom w:w="50" w:type="dxa"/>
              <w:left w:w="90" w:type="dxa"/>
              <w:right w:w="90" w:type="dxa"/>
            </w:tcMar>
          </w:tcPr>
          <w:p>
            <w:pPr>
              <w:pStyle w:val="BDOITable"/>
            </w:pPr>
            <w:r>
              <w:rPr>
                <w:b/>
                <w:sz w:val="16"/>
              </w:rPr>
              <w:t>Operations: cashiering, remittance, adjustment, commission, production reconciliation</w:t>
            </w:r>
          </w:p>
        </w:tc>
        <w:tc>
          <w:tcPr>
            <w:tcW w:type="dxa" w:w="1133"/>
            <w:tcMar>
              <w:top w:w="50" w:type="dxa"/>
              <w:bottom w:w="50" w:type="dxa"/>
              <w:left w:w="90" w:type="dxa"/>
              <w:right w:w="90" w:type="dxa"/>
            </w:tcMar>
          </w:tcPr>
          <w:p>
            <w:pPr>
              <w:pStyle w:val="BDOITable"/>
            </w:pPr>
            <w:r>
              <w:rPr>
                <w:sz w:val="16"/>
              </w:rPr>
              <w:t>BRD-02</w:t>
            </w:r>
          </w:p>
        </w:tc>
        <w:tc>
          <w:tcPr>
            <w:tcW w:type="dxa" w:w="907"/>
            <w:tcMar>
              <w:top w:w="50" w:type="dxa"/>
              <w:bottom w:w="50" w:type="dxa"/>
              <w:left w:w="90" w:type="dxa"/>
              <w:right w:w="90" w:type="dxa"/>
            </w:tcMar>
          </w:tcPr>
          <w:p>
            <w:pPr>
              <w:pStyle w:val="BDOITable"/>
            </w:pPr>
            <w:r>
              <w:rPr>
                <w:sz w:val="16"/>
              </w:rPr>
              <w:t>Drop 1</w:t>
            </w:r>
          </w:p>
        </w:tc>
        <w:tc>
          <w:tcPr>
            <w:tcW w:type="dxa" w:w="2606"/>
            <w:tcMar>
              <w:top w:w="50" w:type="dxa"/>
              <w:bottom w:w="50" w:type="dxa"/>
              <w:left w:w="90" w:type="dxa"/>
              <w:right w:w="90" w:type="dxa"/>
            </w:tcMar>
          </w:tcPr>
          <w:p>
            <w:pPr>
              <w:pStyle w:val="BDOITable"/>
            </w:pPr>
            <w:r>
              <w:rPr>
                <w:sz w:val="16"/>
              </w:rPr>
              <w:t>BC06 Operations</w:t>
            </w:r>
          </w:p>
        </w:tc>
        <w:tc>
          <w:tcPr>
            <w:tcW w:type="dxa" w:w="2833"/>
            <w:tcMar>
              <w:top w:w="50" w:type="dxa"/>
              <w:bottom w:w="50" w:type="dxa"/>
              <w:left w:w="90" w:type="dxa"/>
              <w:right w:w="90" w:type="dxa"/>
            </w:tcMar>
          </w:tcPr>
          <w:p>
            <w:pPr>
              <w:pStyle w:val="BDOITable"/>
            </w:pPr>
            <w:r>
              <w:rPr>
                <w:sz w:val="16"/>
              </w:rPr>
              <w:t>Receipts applied, insurers paid, production reconciled</w:t>
            </w:r>
          </w:p>
        </w:tc>
      </w:tr>
      <w:tr>
        <w:trPr>
          <w:cantSplit w:val="true"/>
        </w:trPr>
        <w:tc>
          <w:tcPr>
            <w:tcW w:type="dxa" w:w="2493"/>
            <w:tcMar>
              <w:top w:w="50" w:type="dxa"/>
              <w:bottom w:w="50" w:type="dxa"/>
              <w:left w:w="90" w:type="dxa"/>
              <w:right w:w="90" w:type="dxa"/>
            </w:tcMar>
            <w:shd w:val="clear" w:color="auto" w:fill="E5F5FF"/>
          </w:tcPr>
          <w:p>
            <w:pPr>
              <w:pStyle w:val="BDOITable"/>
            </w:pPr>
            <w:r>
              <w:rPr>
                <w:b/>
                <w:sz w:val="16"/>
              </w:rPr>
              <w:t>Collections</w:t>
            </w:r>
          </w:p>
        </w:tc>
        <w:tc>
          <w:tcPr>
            <w:tcW w:type="dxa" w:w="1133"/>
            <w:tcMar>
              <w:top w:w="50" w:type="dxa"/>
              <w:bottom w:w="50" w:type="dxa"/>
              <w:left w:w="90" w:type="dxa"/>
              <w:right w:w="90" w:type="dxa"/>
            </w:tcMar>
            <w:shd w:val="clear" w:color="auto" w:fill="E5F5FF"/>
          </w:tcPr>
          <w:p>
            <w:pPr>
              <w:pStyle w:val="BDOITable"/>
            </w:pPr>
            <w:r>
              <w:rPr>
                <w:sz w:val="16"/>
              </w:rPr>
              <w:t>BRD-04</w:t>
            </w:r>
          </w:p>
        </w:tc>
        <w:tc>
          <w:tcPr>
            <w:tcW w:type="dxa" w:w="907"/>
            <w:tcMar>
              <w:top w:w="50" w:type="dxa"/>
              <w:bottom w:w="50" w:type="dxa"/>
              <w:left w:w="90" w:type="dxa"/>
              <w:right w:w="90" w:type="dxa"/>
            </w:tcMar>
            <w:shd w:val="clear" w:color="auto" w:fill="E5F5FF"/>
          </w:tcPr>
          <w:p>
            <w:pPr>
              <w:pStyle w:val="BDOITable"/>
            </w:pPr>
            <w:r>
              <w:rPr>
                <w:sz w:val="16"/>
              </w:rPr>
              <w:t>Drop 1</w:t>
            </w:r>
          </w:p>
        </w:tc>
        <w:tc>
          <w:tcPr>
            <w:tcW w:type="dxa" w:w="2606"/>
            <w:tcMar>
              <w:top w:w="50" w:type="dxa"/>
              <w:bottom w:w="50" w:type="dxa"/>
              <w:left w:w="90" w:type="dxa"/>
              <w:right w:w="90" w:type="dxa"/>
            </w:tcMar>
            <w:shd w:val="clear" w:color="auto" w:fill="E5F5FF"/>
          </w:tcPr>
          <w:p>
            <w:pPr>
              <w:pStyle w:val="BDOITable"/>
            </w:pPr>
            <w:r>
              <w:rPr>
                <w:sz w:val="16"/>
              </w:rPr>
              <w:t>BC07 Collections</w:t>
            </w:r>
          </w:p>
        </w:tc>
        <w:tc>
          <w:tcPr>
            <w:tcW w:type="dxa" w:w="2833"/>
            <w:tcMar>
              <w:top w:w="50" w:type="dxa"/>
              <w:bottom w:w="50" w:type="dxa"/>
              <w:left w:w="90" w:type="dxa"/>
              <w:right w:w="90" w:type="dxa"/>
            </w:tcMar>
            <w:shd w:val="clear" w:color="auto" w:fill="E5F5FF"/>
          </w:tcPr>
          <w:p>
            <w:pPr>
              <w:pStyle w:val="BDOITable"/>
            </w:pPr>
            <w:r>
              <w:rPr>
                <w:sz w:val="16"/>
              </w:rPr>
              <w:t>Worklists, escalations, collection files</w:t>
            </w:r>
          </w:p>
        </w:tc>
      </w:tr>
      <w:tr>
        <w:trPr>
          <w:cantSplit w:val="true"/>
        </w:trPr>
        <w:tc>
          <w:tcPr>
            <w:tcW w:type="dxa" w:w="2493"/>
            <w:tcMar>
              <w:top w:w="50" w:type="dxa"/>
              <w:bottom w:w="50" w:type="dxa"/>
              <w:left w:w="90" w:type="dxa"/>
              <w:right w:w="90" w:type="dxa"/>
            </w:tcMar>
          </w:tcPr>
          <w:p>
            <w:pPr>
              <w:pStyle w:val="BDOITable"/>
            </w:pPr>
            <w:r>
              <w:rPr>
                <w:b/>
                <w:sz w:val="16"/>
              </w:rPr>
              <w:t>Accounting, disbursement, ACSL</w:t>
            </w:r>
          </w:p>
        </w:tc>
        <w:tc>
          <w:tcPr>
            <w:tcW w:type="dxa" w:w="1133"/>
            <w:tcMar>
              <w:top w:w="50" w:type="dxa"/>
              <w:bottom w:w="50" w:type="dxa"/>
              <w:left w:w="90" w:type="dxa"/>
              <w:right w:w="90" w:type="dxa"/>
            </w:tcMar>
          </w:tcPr>
          <w:p>
            <w:pPr>
              <w:pStyle w:val="BDOITable"/>
            </w:pPr>
            <w:r>
              <w:rPr>
                <w:sz w:val="16"/>
              </w:rPr>
              <w:t>BRD-05</w:t>
            </w:r>
          </w:p>
        </w:tc>
        <w:tc>
          <w:tcPr>
            <w:tcW w:type="dxa" w:w="907"/>
            <w:tcMar>
              <w:top w:w="50" w:type="dxa"/>
              <w:bottom w:w="50" w:type="dxa"/>
              <w:left w:w="90" w:type="dxa"/>
              <w:right w:w="90" w:type="dxa"/>
            </w:tcMar>
          </w:tcPr>
          <w:p>
            <w:pPr>
              <w:pStyle w:val="BDOITable"/>
            </w:pPr>
            <w:r>
              <w:rPr>
                <w:sz w:val="16"/>
              </w:rPr>
              <w:t>Drop 1</w:t>
            </w:r>
          </w:p>
        </w:tc>
        <w:tc>
          <w:tcPr>
            <w:tcW w:type="dxa" w:w="2606"/>
            <w:tcMar>
              <w:top w:w="50" w:type="dxa"/>
              <w:bottom w:w="50" w:type="dxa"/>
              <w:left w:w="90" w:type="dxa"/>
              <w:right w:w="90" w:type="dxa"/>
            </w:tcMar>
          </w:tcPr>
          <w:p>
            <w:pPr>
              <w:pStyle w:val="BDOITable"/>
            </w:pPr>
            <w:r>
              <w:rPr>
                <w:sz w:val="16"/>
              </w:rPr>
              <w:t>BC08, BC09 Finance core</w:t>
            </w:r>
          </w:p>
        </w:tc>
        <w:tc>
          <w:tcPr>
            <w:tcW w:type="dxa" w:w="2833"/>
            <w:tcMar>
              <w:top w:w="50" w:type="dxa"/>
              <w:bottom w:w="50" w:type="dxa"/>
              <w:left w:w="90" w:type="dxa"/>
              <w:right w:w="90" w:type="dxa"/>
            </w:tcMar>
          </w:tcPr>
          <w:p>
            <w:pPr>
              <w:pStyle w:val="BDOITable"/>
            </w:pPr>
            <w:r>
              <w:rPr>
                <w:sz w:val="16"/>
              </w:rPr>
              <w:t>Payments, sub-ledger control, GL, BIR returns, reports</w:t>
            </w:r>
          </w:p>
        </w:tc>
      </w:tr>
      <w:tr>
        <w:trPr>
          <w:cantSplit w:val="true"/>
        </w:trPr>
        <w:tc>
          <w:tcPr>
            <w:tcW w:type="dxa" w:w="2493"/>
            <w:tcMar>
              <w:top w:w="50" w:type="dxa"/>
              <w:bottom w:w="50" w:type="dxa"/>
              <w:left w:w="90" w:type="dxa"/>
              <w:right w:w="90" w:type="dxa"/>
            </w:tcMar>
            <w:shd w:val="clear" w:color="auto" w:fill="E5F5FF"/>
          </w:tcPr>
          <w:p>
            <w:pPr>
              <w:pStyle w:val="BDOITable"/>
            </w:pPr>
            <w:r>
              <w:rPr>
                <w:b/>
                <w:sz w:val="16"/>
              </w:rPr>
              <w:t>Renewal</w:t>
            </w:r>
          </w:p>
        </w:tc>
        <w:tc>
          <w:tcPr>
            <w:tcW w:type="dxa" w:w="1133"/>
            <w:tcMar>
              <w:top w:w="50" w:type="dxa"/>
              <w:bottom w:w="50" w:type="dxa"/>
              <w:left w:w="90" w:type="dxa"/>
              <w:right w:w="90" w:type="dxa"/>
            </w:tcMar>
            <w:shd w:val="clear" w:color="auto" w:fill="E5F5FF"/>
          </w:tcPr>
          <w:p>
            <w:pPr>
              <w:pStyle w:val="BDOITable"/>
            </w:pPr>
            <w:r>
              <w:rPr>
                <w:sz w:val="16"/>
              </w:rPr>
              <w:t>BRD-06</w:t>
            </w:r>
          </w:p>
        </w:tc>
        <w:tc>
          <w:tcPr>
            <w:tcW w:type="dxa" w:w="907"/>
            <w:tcMar>
              <w:top w:w="50" w:type="dxa"/>
              <w:bottom w:w="50" w:type="dxa"/>
              <w:left w:w="90" w:type="dxa"/>
              <w:right w:w="90" w:type="dxa"/>
            </w:tcMar>
            <w:shd w:val="clear" w:color="auto" w:fill="E5F5FF"/>
          </w:tcPr>
          <w:p>
            <w:pPr>
              <w:pStyle w:val="BDOITable"/>
            </w:pPr>
            <w:r>
              <w:rPr>
                <w:sz w:val="16"/>
              </w:rPr>
              <w:t>Drop 1</w:t>
            </w:r>
          </w:p>
        </w:tc>
        <w:tc>
          <w:tcPr>
            <w:tcW w:type="dxa" w:w="2606"/>
            <w:tcMar>
              <w:top w:w="50" w:type="dxa"/>
              <w:bottom w:w="50" w:type="dxa"/>
              <w:left w:w="90" w:type="dxa"/>
              <w:right w:w="90" w:type="dxa"/>
            </w:tcMar>
            <w:shd w:val="clear" w:color="auto" w:fill="E5F5FF"/>
          </w:tcPr>
          <w:p>
            <w:pPr>
              <w:pStyle w:val="BDOITable"/>
            </w:pPr>
            <w:r>
              <w:rPr>
                <w:sz w:val="16"/>
              </w:rPr>
              <w:t>BC04 Renewal</w:t>
            </w:r>
          </w:p>
        </w:tc>
        <w:tc>
          <w:tcPr>
            <w:tcW w:type="dxa" w:w="2833"/>
            <w:tcMar>
              <w:top w:w="50" w:type="dxa"/>
              <w:bottom w:w="50" w:type="dxa"/>
              <w:left w:w="90" w:type="dxa"/>
              <w:right w:w="90" w:type="dxa"/>
            </w:tcMar>
            <w:shd w:val="clear" w:color="auto" w:fill="E5F5FF"/>
          </w:tcPr>
          <w:p>
            <w:pPr>
              <w:pStyle w:val="BDOITable"/>
            </w:pPr>
            <w:r>
              <w:rPr>
                <w:sz w:val="16"/>
              </w:rPr>
              <w:t>Expiring policies renewed or released</w:t>
            </w:r>
          </w:p>
        </w:tc>
      </w:tr>
      <w:tr>
        <w:trPr>
          <w:cantSplit w:val="true"/>
        </w:trPr>
        <w:tc>
          <w:tcPr>
            <w:tcW w:type="dxa" w:w="2493"/>
            <w:tcMar>
              <w:top w:w="50" w:type="dxa"/>
              <w:bottom w:w="50" w:type="dxa"/>
              <w:left w:w="90" w:type="dxa"/>
              <w:right w:w="90" w:type="dxa"/>
            </w:tcMar>
          </w:tcPr>
          <w:p>
            <w:pPr>
              <w:pStyle w:val="BDOITable"/>
            </w:pPr>
            <w:r>
              <w:rPr>
                <w:b/>
                <w:sz w:val="16"/>
              </w:rPr>
              <w:t>Customer servicing</w:t>
            </w:r>
          </w:p>
        </w:tc>
        <w:tc>
          <w:tcPr>
            <w:tcW w:type="dxa" w:w="1133"/>
            <w:tcMar>
              <w:top w:w="50" w:type="dxa"/>
              <w:bottom w:w="50" w:type="dxa"/>
              <w:left w:w="90" w:type="dxa"/>
              <w:right w:w="90" w:type="dxa"/>
            </w:tcMar>
          </w:tcPr>
          <w:p>
            <w:pPr>
              <w:pStyle w:val="BDOITable"/>
            </w:pPr>
            <w:r>
              <w:rPr>
                <w:sz w:val="16"/>
              </w:rPr>
              <w:t>BRD-09</w:t>
            </w:r>
          </w:p>
        </w:tc>
        <w:tc>
          <w:tcPr>
            <w:tcW w:type="dxa" w:w="907"/>
            <w:tcMar>
              <w:top w:w="50" w:type="dxa"/>
              <w:bottom w:w="50" w:type="dxa"/>
              <w:left w:w="90" w:type="dxa"/>
              <w:right w:w="90" w:type="dxa"/>
            </w:tcMar>
          </w:tcPr>
          <w:p>
            <w:pPr>
              <w:pStyle w:val="BDOITable"/>
            </w:pPr>
            <w:r>
              <w:rPr>
                <w:sz w:val="16"/>
              </w:rPr>
              <w:t>Drop 1</w:t>
            </w:r>
          </w:p>
        </w:tc>
        <w:tc>
          <w:tcPr>
            <w:tcW w:type="dxa" w:w="2606"/>
            <w:tcMar>
              <w:top w:w="50" w:type="dxa"/>
              <w:bottom w:w="50" w:type="dxa"/>
              <w:left w:w="90" w:type="dxa"/>
              <w:right w:w="90" w:type="dxa"/>
            </w:tcMar>
          </w:tcPr>
          <w:p>
            <w:pPr>
              <w:pStyle w:val="BDOITable"/>
            </w:pPr>
            <w:r>
              <w:rPr>
                <w:sz w:val="16"/>
              </w:rPr>
              <w:t>BC12 Customer servicing</w:t>
            </w:r>
          </w:p>
        </w:tc>
        <w:tc>
          <w:tcPr>
            <w:tcW w:type="dxa" w:w="2833"/>
            <w:tcMar>
              <w:top w:w="50" w:type="dxa"/>
              <w:bottom w:w="50" w:type="dxa"/>
              <w:left w:w="90" w:type="dxa"/>
              <w:right w:w="90" w:type="dxa"/>
            </w:tcMar>
          </w:tcPr>
          <w:p>
            <w:pPr>
              <w:pStyle w:val="BDOITable"/>
            </w:pPr>
            <w:r>
              <w:rPr>
                <w:sz w:val="16"/>
              </w:rPr>
              <w:t>Contact Center cases and service requests</w:t>
            </w:r>
          </w:p>
        </w:tc>
      </w:tr>
      <w:tr>
        <w:trPr>
          <w:cantSplit w:val="true"/>
        </w:trPr>
        <w:tc>
          <w:tcPr>
            <w:tcW w:type="dxa" w:w="2493"/>
            <w:tcMar>
              <w:top w:w="50" w:type="dxa"/>
              <w:bottom w:w="50" w:type="dxa"/>
              <w:left w:w="90" w:type="dxa"/>
              <w:right w:w="90" w:type="dxa"/>
            </w:tcMar>
            <w:shd w:val="clear" w:color="auto" w:fill="E5F5FF"/>
          </w:tcPr>
          <w:p>
            <w:pPr>
              <w:pStyle w:val="BDOITable"/>
            </w:pPr>
            <w:r>
              <w:rPr>
                <w:b/>
                <w:sz w:val="16"/>
              </w:rPr>
              <w:t>Sanction screening and risk profiling</w:t>
            </w:r>
          </w:p>
        </w:tc>
        <w:tc>
          <w:tcPr>
            <w:tcW w:type="dxa" w:w="1133"/>
            <w:tcMar>
              <w:top w:w="50" w:type="dxa"/>
              <w:bottom w:w="50" w:type="dxa"/>
              <w:left w:w="90" w:type="dxa"/>
              <w:right w:w="90" w:type="dxa"/>
            </w:tcMar>
            <w:shd w:val="clear" w:color="auto" w:fill="E5F5FF"/>
          </w:tcPr>
          <w:p>
            <w:pPr>
              <w:pStyle w:val="BDOITable"/>
            </w:pPr>
            <w:r>
              <w:rPr>
                <w:sz w:val="16"/>
              </w:rPr>
              <w:t>BRD-10</w:t>
            </w:r>
          </w:p>
        </w:tc>
        <w:tc>
          <w:tcPr>
            <w:tcW w:type="dxa" w:w="907"/>
            <w:tcMar>
              <w:top w:w="50" w:type="dxa"/>
              <w:bottom w:w="50" w:type="dxa"/>
              <w:left w:w="90" w:type="dxa"/>
              <w:right w:w="90" w:type="dxa"/>
            </w:tcMar>
            <w:shd w:val="clear" w:color="auto" w:fill="E5F5FF"/>
          </w:tcPr>
          <w:p>
            <w:pPr>
              <w:pStyle w:val="BDOITable"/>
            </w:pPr>
            <w:r>
              <w:rPr>
                <w:sz w:val="16"/>
              </w:rPr>
              <w:t>Drop 1</w:t>
            </w:r>
          </w:p>
        </w:tc>
        <w:tc>
          <w:tcPr>
            <w:tcW w:type="dxa" w:w="2606"/>
            <w:tcMar>
              <w:top w:w="50" w:type="dxa"/>
              <w:bottom w:w="50" w:type="dxa"/>
              <w:left w:w="90" w:type="dxa"/>
              <w:right w:w="90" w:type="dxa"/>
            </w:tcMar>
            <w:shd w:val="clear" w:color="auto" w:fill="E5F5FF"/>
          </w:tcPr>
          <w:p>
            <w:pPr>
              <w:pStyle w:val="BDOITable"/>
            </w:pPr>
            <w:r>
              <w:rPr>
                <w:sz w:val="16"/>
              </w:rPr>
              <w:t>BC13 Sanction screening</w:t>
            </w:r>
          </w:p>
        </w:tc>
        <w:tc>
          <w:tcPr>
            <w:tcW w:type="dxa" w:w="2833"/>
            <w:tcMar>
              <w:top w:w="50" w:type="dxa"/>
              <w:bottom w:w="50" w:type="dxa"/>
              <w:left w:w="90" w:type="dxa"/>
              <w:right w:w="90" w:type="dxa"/>
            </w:tcMar>
            <w:shd w:val="clear" w:color="auto" w:fill="E5F5FF"/>
          </w:tcPr>
          <w:p>
            <w:pPr>
              <w:pStyle w:val="BDOITable"/>
            </w:pPr>
            <w:r>
              <w:rPr>
                <w:sz w:val="16"/>
              </w:rPr>
              <w:t>Screened clients, cases, STRs</w:t>
            </w:r>
          </w:p>
        </w:tc>
      </w:tr>
      <w:tr>
        <w:trPr>
          <w:cantSplit w:val="true"/>
        </w:trPr>
        <w:tc>
          <w:tcPr>
            <w:tcW w:type="dxa" w:w="2493"/>
            <w:tcMar>
              <w:top w:w="50" w:type="dxa"/>
              <w:bottom w:w="50" w:type="dxa"/>
              <w:left w:w="90" w:type="dxa"/>
              <w:right w:w="90" w:type="dxa"/>
            </w:tcMar>
          </w:tcPr>
          <w:p>
            <w:pPr>
              <w:pStyle w:val="BDOITable"/>
            </w:pPr>
            <w:r>
              <w:rPr>
                <w:b/>
                <w:sz w:val="16"/>
              </w:rPr>
              <w:t>Submitted policies</w:t>
            </w:r>
          </w:p>
        </w:tc>
        <w:tc>
          <w:tcPr>
            <w:tcW w:type="dxa" w:w="1133"/>
            <w:tcMar>
              <w:top w:w="50" w:type="dxa"/>
              <w:bottom w:w="50" w:type="dxa"/>
              <w:left w:w="90" w:type="dxa"/>
              <w:right w:w="90" w:type="dxa"/>
            </w:tcMar>
          </w:tcPr>
          <w:p>
            <w:pPr>
              <w:pStyle w:val="BDOITable"/>
            </w:pPr>
            <w:r>
              <w:rPr>
                <w:sz w:val="16"/>
              </w:rPr>
              <w:t>BRD-12</w:t>
            </w:r>
          </w:p>
        </w:tc>
        <w:tc>
          <w:tcPr>
            <w:tcW w:type="dxa" w:w="907"/>
            <w:tcMar>
              <w:top w:w="50" w:type="dxa"/>
              <w:bottom w:w="50" w:type="dxa"/>
              <w:left w:w="90" w:type="dxa"/>
              <w:right w:w="90" w:type="dxa"/>
            </w:tcMar>
          </w:tcPr>
          <w:p>
            <w:pPr>
              <w:pStyle w:val="BDOITable"/>
            </w:pPr>
            <w:r>
              <w:rPr>
                <w:sz w:val="16"/>
              </w:rPr>
              <w:t>Drop 1</w:t>
            </w:r>
          </w:p>
        </w:tc>
        <w:tc>
          <w:tcPr>
            <w:tcW w:type="dxa" w:w="2606"/>
            <w:tcMar>
              <w:top w:w="50" w:type="dxa"/>
              <w:bottom w:w="50" w:type="dxa"/>
              <w:left w:w="90" w:type="dxa"/>
              <w:right w:w="90" w:type="dxa"/>
            </w:tcMar>
          </w:tcPr>
          <w:p>
            <w:pPr>
              <w:pStyle w:val="BDOITable"/>
            </w:pPr>
            <w:r>
              <w:rPr>
                <w:sz w:val="16"/>
              </w:rPr>
              <w:t>BC05 Submitted policies</w:t>
            </w:r>
          </w:p>
        </w:tc>
        <w:tc>
          <w:tcPr>
            <w:tcW w:type="dxa" w:w="2833"/>
            <w:tcMar>
              <w:top w:w="50" w:type="dxa"/>
              <w:bottom w:w="50" w:type="dxa"/>
              <w:left w:w="90" w:type="dxa"/>
              <w:right w:w="90" w:type="dxa"/>
            </w:tcMar>
          </w:tcPr>
          <w:p>
            <w:pPr>
              <w:pStyle w:val="BDOITable"/>
            </w:pPr>
            <w:r>
              <w:rPr>
                <w:sz w:val="16"/>
              </w:rPr>
              <w:t>Collateral policies approved and tracked</w:t>
            </w:r>
          </w:p>
        </w:tc>
      </w:tr>
      <w:tr>
        <w:trPr>
          <w:cantSplit w:val="true"/>
        </w:trPr>
        <w:tc>
          <w:tcPr>
            <w:tcW w:type="dxa" w:w="2493"/>
            <w:tcMar>
              <w:top w:w="50" w:type="dxa"/>
              <w:bottom w:w="50" w:type="dxa"/>
              <w:left w:w="90" w:type="dxa"/>
              <w:right w:w="90" w:type="dxa"/>
            </w:tcMar>
            <w:shd w:val="clear" w:color="auto" w:fill="E5F5FF"/>
          </w:tcPr>
          <w:p>
            <w:pPr>
              <w:pStyle w:val="BDOITable"/>
            </w:pPr>
            <w:r>
              <w:rPr>
                <w:b/>
                <w:sz w:val="16"/>
              </w:rPr>
              <w:t>Claims handling</w:t>
            </w:r>
          </w:p>
        </w:tc>
        <w:tc>
          <w:tcPr>
            <w:tcW w:type="dxa" w:w="1133"/>
            <w:tcMar>
              <w:top w:w="50" w:type="dxa"/>
              <w:bottom w:w="50" w:type="dxa"/>
              <w:left w:w="90" w:type="dxa"/>
              <w:right w:w="90" w:type="dxa"/>
            </w:tcMar>
            <w:shd w:val="clear" w:color="auto" w:fill="E5F5FF"/>
          </w:tcPr>
          <w:p>
            <w:pPr>
              <w:pStyle w:val="BDOITable"/>
            </w:pPr>
            <w:r>
              <w:rPr>
                <w:sz w:val="16"/>
              </w:rPr>
              <w:t>BRD-07</w:t>
            </w:r>
          </w:p>
        </w:tc>
        <w:tc>
          <w:tcPr>
            <w:tcW w:type="dxa" w:w="907"/>
            <w:tcMar>
              <w:top w:w="50" w:type="dxa"/>
              <w:bottom w:w="50" w:type="dxa"/>
              <w:left w:w="90" w:type="dxa"/>
              <w:right w:w="90" w:type="dxa"/>
            </w:tcMar>
            <w:shd w:val="clear" w:color="auto" w:fill="E5F5FF"/>
          </w:tcPr>
          <w:p>
            <w:pPr>
              <w:pStyle w:val="BDOITable"/>
            </w:pPr>
            <w:r>
              <w:rPr>
                <w:sz w:val="16"/>
              </w:rPr>
              <w:t>Drop 2</w:t>
            </w:r>
          </w:p>
        </w:tc>
        <w:tc>
          <w:tcPr>
            <w:tcW w:type="dxa" w:w="2606"/>
            <w:tcMar>
              <w:top w:w="50" w:type="dxa"/>
              <w:bottom w:w="50" w:type="dxa"/>
              <w:left w:w="90" w:type="dxa"/>
              <w:right w:w="90" w:type="dxa"/>
            </w:tcMar>
            <w:shd w:val="clear" w:color="auto" w:fill="E5F5FF"/>
          </w:tcPr>
          <w:p>
            <w:pPr>
              <w:pStyle w:val="BDOITable"/>
            </w:pPr>
            <w:r>
              <w:rPr>
                <w:sz w:val="16"/>
              </w:rPr>
              <w:t>BC10 Claims handling</w:t>
            </w:r>
          </w:p>
        </w:tc>
        <w:tc>
          <w:tcPr>
            <w:tcW w:type="dxa" w:w="2833"/>
            <w:tcMar>
              <w:top w:w="50" w:type="dxa"/>
              <w:bottom w:w="50" w:type="dxa"/>
              <w:left w:w="90" w:type="dxa"/>
              <w:right w:w="90" w:type="dxa"/>
            </w:tcMar>
            <w:shd w:val="clear" w:color="auto" w:fill="E5F5FF"/>
          </w:tcPr>
          <w:p>
            <w:pPr>
              <w:pStyle w:val="BDOITable"/>
            </w:pPr>
            <w:r>
              <w:rPr>
                <w:sz w:val="16"/>
              </w:rPr>
              <w:t>Claim files followed to settlement</w:t>
            </w:r>
          </w:p>
        </w:tc>
      </w:tr>
      <w:tr>
        <w:trPr>
          <w:cantSplit w:val="true"/>
        </w:trPr>
        <w:tc>
          <w:tcPr>
            <w:tcW w:type="dxa" w:w="2493"/>
            <w:tcMar>
              <w:top w:w="50" w:type="dxa"/>
              <w:bottom w:w="50" w:type="dxa"/>
              <w:left w:w="90" w:type="dxa"/>
              <w:right w:w="90" w:type="dxa"/>
            </w:tcMar>
          </w:tcPr>
          <w:p>
            <w:pPr>
              <w:pStyle w:val="BDOITable"/>
            </w:pPr>
            <w:r>
              <w:rPr>
                <w:b/>
                <w:sz w:val="16"/>
              </w:rPr>
              <w:t>Employee benefits</w:t>
            </w:r>
          </w:p>
        </w:tc>
        <w:tc>
          <w:tcPr>
            <w:tcW w:type="dxa" w:w="1133"/>
            <w:tcMar>
              <w:top w:w="50" w:type="dxa"/>
              <w:bottom w:w="50" w:type="dxa"/>
              <w:left w:w="90" w:type="dxa"/>
              <w:right w:w="90" w:type="dxa"/>
            </w:tcMar>
          </w:tcPr>
          <w:p>
            <w:pPr>
              <w:pStyle w:val="BDOITable"/>
            </w:pPr>
            <w:r>
              <w:rPr>
                <w:sz w:val="16"/>
              </w:rPr>
              <w:t>BRD-08</w:t>
            </w:r>
          </w:p>
        </w:tc>
        <w:tc>
          <w:tcPr>
            <w:tcW w:type="dxa" w:w="907"/>
            <w:tcMar>
              <w:top w:w="50" w:type="dxa"/>
              <w:bottom w:w="50" w:type="dxa"/>
              <w:left w:w="90" w:type="dxa"/>
              <w:right w:w="90" w:type="dxa"/>
            </w:tcMar>
          </w:tcPr>
          <w:p>
            <w:pPr>
              <w:pStyle w:val="BDOITable"/>
            </w:pPr>
            <w:r>
              <w:rPr>
                <w:sz w:val="16"/>
              </w:rPr>
              <w:t>Drop 2</w:t>
            </w:r>
          </w:p>
        </w:tc>
        <w:tc>
          <w:tcPr>
            <w:tcW w:type="dxa" w:w="2606"/>
            <w:tcMar>
              <w:top w:w="50" w:type="dxa"/>
              <w:bottom w:w="50" w:type="dxa"/>
              <w:left w:w="90" w:type="dxa"/>
              <w:right w:w="90" w:type="dxa"/>
            </w:tcMar>
          </w:tcPr>
          <w:p>
            <w:pPr>
              <w:pStyle w:val="BDOITable"/>
            </w:pPr>
            <w:r>
              <w:rPr>
                <w:sz w:val="16"/>
              </w:rPr>
              <w:t>BC11 Employee benefits</w:t>
            </w:r>
          </w:p>
        </w:tc>
        <w:tc>
          <w:tcPr>
            <w:tcW w:type="dxa" w:w="2833"/>
            <w:tcMar>
              <w:top w:w="50" w:type="dxa"/>
              <w:bottom w:w="50" w:type="dxa"/>
              <w:left w:w="90" w:type="dxa"/>
              <w:right w:w="90" w:type="dxa"/>
            </w:tcMar>
          </w:tcPr>
          <w:p>
            <w:pPr>
              <w:pStyle w:val="BDOITable"/>
            </w:pPr>
            <w:r>
              <w:rPr>
                <w:sz w:val="16"/>
              </w:rPr>
              <w:t>EB programmes and yearly cycles</w:t>
            </w:r>
          </w:p>
        </w:tc>
      </w:tr>
    </w:tbl>
    <w:p>
      <w:pPr>
        <w:pStyle w:val="BDOISpacer"/>
      </w:pPr>
    </w:p>
    <w:p>
      <w:pPr>
        <w:pStyle w:val="Heading2"/>
      </w:pPr>
      <w:bookmarkStart w:id="109" w:name="_Toc000109"/>
      <w:r>
        <w:rPr/>
        <w:t>2.3 Users and usage</w:t>
      </w:r>
      <w:bookmarkEnd w:id="109"/>
    </w:p>
    <w:p>
      <w:pPr>
        <w:pStyle w:val="Caption"/>
        <w:keepNext/>
        <w:spacing w:after="60"/>
      </w:pPr>
      <w:r>
        <w:rPr>
          <w:b/>
          <w:i w:val="0"/>
        </w:rPr>
        <w:t xml:space="preserve">Table 4: </w:t>
      </w:r>
      <w:r>
        <w:rPr/>
        <w:t>Non-functional targets used across the architecture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59"/>
        <w:gridCol w:w="5099"/>
        <w:gridCol w:w="3513"/>
      </w:tblGrid>
      <w:tr>
        <w:trPr>
          <w:tblHeader w:val="true"/>
          <w:cantSplit w:val="true"/>
        </w:trPr>
        <w:tc>
          <w:tcPr>
            <w:tcW w:type="dxa" w:w="1360"/>
            <w:shd w:val="clear" w:color="auto" w:fill="004EA8"/>
            <w:tcMar>
              <w:top w:w="50" w:type="dxa"/>
              <w:bottom w:w="50" w:type="dxa"/>
              <w:left w:w="90" w:type="dxa"/>
              <w:right w:w="90" w:type="dxa"/>
            </w:tcMar>
            <w:vAlign w:val="center"/>
          </w:tcPr>
          <w:p>
            <w:pPr>
              <w:pStyle w:val="BDOITableHeader"/>
            </w:pPr>
            <w:r>
              <w:rPr>
                <w:b/>
                <w:color w:val="FFFFFF"/>
                <w:sz w:val="16"/>
              </w:rPr>
              <w:t>Quality</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6"/>
              </w:rPr>
              <w:t>Target</w:t>
            </w:r>
          </w:p>
        </w:tc>
        <w:tc>
          <w:tcPr>
            <w:tcW w:type="dxa" w:w="3513"/>
            <w:shd w:val="clear" w:color="auto" w:fill="004EA8"/>
            <w:tcMar>
              <w:top w:w="50" w:type="dxa"/>
              <w:bottom w:w="50" w:type="dxa"/>
              <w:left w:w="90" w:type="dxa"/>
              <w:right w:w="90" w:type="dxa"/>
            </w:tcMar>
            <w:vAlign w:val="center"/>
          </w:tcPr>
          <w:p>
            <w:pPr>
              <w:pStyle w:val="BDOITableHeader"/>
            </w:pPr>
            <w:r>
              <w:rPr>
                <w:b/>
                <w:color w:val="FFFFFF"/>
                <w:sz w:val="16"/>
              </w:rPr>
              <w:t>Source</w:t>
            </w:r>
          </w:p>
        </w:tc>
      </w:tr>
      <w:tr>
        <w:trPr>
          <w:cantSplit w:val="true"/>
        </w:trPr>
        <w:tc>
          <w:tcPr>
            <w:tcW w:type="dxa" w:w="1360"/>
            <w:tcMar>
              <w:top w:w="50" w:type="dxa"/>
              <w:bottom w:w="50" w:type="dxa"/>
              <w:left w:w="90" w:type="dxa"/>
              <w:right w:w="90" w:type="dxa"/>
            </w:tcMar>
          </w:tcPr>
          <w:p>
            <w:pPr>
              <w:pStyle w:val="BDOITable"/>
            </w:pPr>
            <w:r>
              <w:rPr>
                <w:b/>
                <w:sz w:val="16"/>
              </w:rPr>
              <w:t>Users</w:t>
            </w:r>
          </w:p>
        </w:tc>
        <w:tc>
          <w:tcPr>
            <w:tcW w:type="dxa" w:w="5099"/>
            <w:tcMar>
              <w:top w:w="50" w:type="dxa"/>
              <w:bottom w:w="50" w:type="dxa"/>
              <w:left w:w="90" w:type="dxa"/>
              <w:right w:w="90" w:type="dxa"/>
            </w:tcMar>
          </w:tcPr>
          <w:p>
            <w:pPr>
              <w:pStyle w:val="BDOITable"/>
            </w:pPr>
            <w:r>
              <w:rPr>
                <w:sz w:val="16"/>
              </w:rPr>
              <w:t>1,344 named users; 429 concurrent sessions as the peak case of the performance test</w:t>
            </w:r>
          </w:p>
        </w:tc>
        <w:tc>
          <w:tcPr>
            <w:tcW w:type="dxa" w:w="3513"/>
            <w:tcMar>
              <w:top w:w="50" w:type="dxa"/>
              <w:bottom w:w="50" w:type="dxa"/>
              <w:left w:w="90" w:type="dxa"/>
              <w:right w:w="90" w:type="dxa"/>
            </w:tcMar>
          </w:tcPr>
          <w:p>
            <w:pPr>
              <w:pStyle w:val="BDOITable"/>
            </w:pPr>
            <w:r>
              <w:rPr>
                <w:sz w:val="16"/>
              </w:rPr>
              <w:t>Umbrella BRD p.42 (CF-04); CRQ21, IQ32 decide which figure governs</w:t>
            </w:r>
          </w:p>
        </w:tc>
      </w:tr>
      <w:tr>
        <w:trPr>
          <w:cantSplit w:val="true"/>
        </w:trPr>
        <w:tc>
          <w:tcPr>
            <w:tcW w:type="dxa" w:w="1360"/>
            <w:tcMar>
              <w:top w:w="50" w:type="dxa"/>
              <w:bottom w:w="50" w:type="dxa"/>
              <w:left w:w="90" w:type="dxa"/>
              <w:right w:w="90" w:type="dxa"/>
            </w:tcMar>
            <w:shd w:val="clear" w:color="auto" w:fill="E5F5FF"/>
          </w:tcPr>
          <w:p>
            <w:pPr>
              <w:pStyle w:val="BDOITable"/>
            </w:pPr>
            <w:r>
              <w:rPr>
                <w:b/>
                <w:sz w:val="16"/>
              </w:rPr>
              <w:t>Response time</w:t>
            </w:r>
          </w:p>
        </w:tc>
        <w:tc>
          <w:tcPr>
            <w:tcW w:type="dxa" w:w="5099"/>
            <w:tcMar>
              <w:top w:w="50" w:type="dxa"/>
              <w:bottom w:w="50" w:type="dxa"/>
              <w:left w:w="90" w:type="dxa"/>
              <w:right w:w="90" w:type="dxa"/>
            </w:tcMar>
            <w:shd w:val="clear" w:color="auto" w:fill="E5F5FF"/>
          </w:tcPr>
          <w:p>
            <w:pPr>
              <w:pStyle w:val="BDOITable"/>
            </w:pPr>
            <w:r>
              <w:rPr>
                <w:sz w:val="16"/>
              </w:rPr>
              <w:t>Screens p95 under 2 seconds; every role under 5 seconds; reports and batch runs to the BRD value of each module</w:t>
            </w:r>
          </w:p>
        </w:tc>
        <w:tc>
          <w:tcPr>
            <w:tcW w:type="dxa" w:w="3513"/>
            <w:tcMar>
              <w:top w:w="50" w:type="dxa"/>
              <w:bottom w:w="50" w:type="dxa"/>
              <w:left w:w="90" w:type="dxa"/>
              <w:right w:w="90" w:type="dxa"/>
            </w:tcMar>
            <w:shd w:val="clear" w:color="auto" w:fill="E5F5FF"/>
          </w:tcPr>
          <w:p>
            <w:pPr>
              <w:pStyle w:val="BDOITable"/>
            </w:pPr>
            <w:r>
              <w:rPr>
                <w:sz w:val="16"/>
              </w:rPr>
              <w:t>Umbrella BRD p.42; register proposal; BRD-4, BRD-6, BRD-7 report values</w:t>
            </w:r>
          </w:p>
        </w:tc>
      </w:tr>
      <w:tr>
        <w:trPr>
          <w:cantSplit w:val="true"/>
        </w:trPr>
        <w:tc>
          <w:tcPr>
            <w:tcW w:type="dxa" w:w="1360"/>
            <w:tcMar>
              <w:top w:w="50" w:type="dxa"/>
              <w:bottom w:w="50" w:type="dxa"/>
              <w:left w:w="90" w:type="dxa"/>
              <w:right w:w="90" w:type="dxa"/>
            </w:tcMar>
          </w:tcPr>
          <w:p>
            <w:pPr>
              <w:pStyle w:val="BDOITable"/>
            </w:pPr>
            <w:r>
              <w:rPr>
                <w:b/>
                <w:sz w:val="16"/>
              </w:rPr>
              <w:t>Volumes</w:t>
            </w:r>
          </w:p>
        </w:tc>
        <w:tc>
          <w:tcPr>
            <w:tcW w:type="dxa" w:w="5099"/>
            <w:tcMar>
              <w:top w:w="50" w:type="dxa"/>
              <w:bottom w:w="50" w:type="dxa"/>
              <w:left w:w="90" w:type="dxa"/>
              <w:right w:w="90" w:type="dxa"/>
            </w:tcMar>
          </w:tcPr>
          <w:p>
            <w:pPr>
              <w:pStyle w:val="BDOITable"/>
            </w:pPr>
            <w:r>
              <w:rPr>
                <w:sz w:val="16"/>
              </w:rPr>
              <w:t>New Business 21,200 transactions a month; Renewal 25,800 a month; CSF 144,400 a year; 15 % growth a year over 60 months</w:t>
            </w:r>
          </w:p>
        </w:tc>
        <w:tc>
          <w:tcPr>
            <w:tcW w:type="dxa" w:w="3513"/>
            <w:tcMar>
              <w:top w:w="50" w:type="dxa"/>
              <w:bottom w:w="50" w:type="dxa"/>
              <w:left w:w="90" w:type="dxa"/>
              <w:right w:w="90" w:type="dxa"/>
            </w:tcMar>
          </w:tcPr>
          <w:p>
            <w:pPr>
              <w:pStyle w:val="BDOITable"/>
            </w:pPr>
            <w:r>
              <w:rPr>
                <w:sz w:val="16"/>
              </w:rPr>
              <w:t>Umbrella BRD p.42-45; IER HW and SW sheet</w:t>
            </w:r>
          </w:p>
        </w:tc>
      </w:tr>
      <w:tr>
        <w:trPr>
          <w:cantSplit w:val="true"/>
        </w:trPr>
        <w:tc>
          <w:tcPr>
            <w:tcW w:type="dxa" w:w="1360"/>
            <w:tcMar>
              <w:top w:w="50" w:type="dxa"/>
              <w:bottom w:w="50" w:type="dxa"/>
              <w:left w:w="90" w:type="dxa"/>
              <w:right w:w="90" w:type="dxa"/>
            </w:tcMar>
            <w:shd w:val="clear" w:color="auto" w:fill="E5F5FF"/>
          </w:tcPr>
          <w:p>
            <w:pPr>
              <w:pStyle w:val="BDOITable"/>
            </w:pPr>
            <w:r>
              <w:rPr>
                <w:b/>
                <w:sz w:val="16"/>
              </w:rPr>
              <w:t>Availability</w:t>
            </w:r>
          </w:p>
        </w:tc>
        <w:tc>
          <w:tcPr>
            <w:tcW w:type="dxa" w:w="5099"/>
            <w:tcMar>
              <w:top w:w="50" w:type="dxa"/>
              <w:bottom w:w="50" w:type="dxa"/>
              <w:left w:w="90" w:type="dxa"/>
              <w:right w:w="90" w:type="dxa"/>
            </w:tcMar>
            <w:shd w:val="clear" w:color="auto" w:fill="E5F5FF"/>
          </w:tcPr>
          <w:p>
            <w:pPr>
              <w:pStyle w:val="BDOITable"/>
            </w:pPr>
            <w:r>
              <w:rPr>
                <w:sz w:val="16"/>
              </w:rPr>
              <w:t>99.9 % in service hours 06:00-22:00 Monday to Saturday; maintenance window 00:00-04:00</w:t>
            </w:r>
          </w:p>
        </w:tc>
        <w:tc>
          <w:tcPr>
            <w:tcW w:type="dxa" w:w="3513"/>
            <w:tcMar>
              <w:top w:w="50" w:type="dxa"/>
              <w:bottom w:w="50" w:type="dxa"/>
              <w:left w:w="90" w:type="dxa"/>
              <w:right w:w="90" w:type="dxa"/>
            </w:tcMar>
            <w:shd w:val="clear" w:color="auto" w:fill="E5F5FF"/>
          </w:tcPr>
          <w:p>
            <w:pPr>
              <w:pStyle w:val="BDOITable"/>
            </w:pPr>
            <w:r>
              <w:rPr>
                <w:sz w:val="16"/>
              </w:rPr>
              <w:t>Register proposal (umbrella "Refer to BRD")</w:t>
            </w:r>
          </w:p>
        </w:tc>
      </w:tr>
      <w:tr>
        <w:trPr>
          <w:cantSplit w:val="true"/>
        </w:trPr>
        <w:tc>
          <w:tcPr>
            <w:tcW w:type="dxa" w:w="1360"/>
            <w:tcMar>
              <w:top w:w="50" w:type="dxa"/>
              <w:bottom w:w="50" w:type="dxa"/>
              <w:left w:w="90" w:type="dxa"/>
              <w:right w:w="90" w:type="dxa"/>
            </w:tcMar>
          </w:tcPr>
          <w:p>
            <w:pPr>
              <w:pStyle w:val="BDOITable"/>
            </w:pPr>
            <w:r>
              <w:rPr>
                <w:b/>
                <w:sz w:val="16"/>
              </w:rPr>
              <w:t>Recovery</w:t>
            </w:r>
          </w:p>
        </w:tc>
        <w:tc>
          <w:tcPr>
            <w:tcW w:type="dxa" w:w="5099"/>
            <w:tcMar>
              <w:top w:w="50" w:type="dxa"/>
              <w:bottom w:w="50" w:type="dxa"/>
              <w:left w:w="90" w:type="dxa"/>
              <w:right w:w="90" w:type="dxa"/>
            </w:tcMar>
          </w:tcPr>
          <w:p>
            <w:pPr>
              <w:pStyle w:val="BDOITable"/>
            </w:pPr>
            <w:r>
              <w:rPr>
                <w:sz w:val="16"/>
              </w:rPr>
              <w:t>RPO 15 minutes; RTO 4 hours</w:t>
            </w:r>
          </w:p>
        </w:tc>
        <w:tc>
          <w:tcPr>
            <w:tcW w:type="dxa" w:w="3513"/>
            <w:tcMar>
              <w:top w:w="50" w:type="dxa"/>
              <w:bottom w:w="50" w:type="dxa"/>
              <w:left w:w="90" w:type="dxa"/>
              <w:right w:w="90" w:type="dxa"/>
            </w:tcMar>
          </w:tcPr>
          <w:p>
            <w:pPr>
              <w:pStyle w:val="BDOITable"/>
            </w:pPr>
            <w:r>
              <w:rPr>
                <w:sz w:val="16"/>
              </w:rPr>
              <w:t>IER architecture sheets; register DCR-135</w:t>
            </w:r>
          </w:p>
        </w:tc>
      </w:tr>
      <w:tr>
        <w:trPr>
          <w:cantSplit w:val="true"/>
        </w:trPr>
        <w:tc>
          <w:tcPr>
            <w:tcW w:type="dxa" w:w="1360"/>
            <w:tcMar>
              <w:top w:w="50" w:type="dxa"/>
              <w:bottom w:w="50" w:type="dxa"/>
              <w:left w:w="90" w:type="dxa"/>
              <w:right w:w="90" w:type="dxa"/>
            </w:tcMar>
            <w:shd w:val="clear" w:color="auto" w:fill="E5F5FF"/>
          </w:tcPr>
          <w:p>
            <w:pPr>
              <w:pStyle w:val="BDOITable"/>
            </w:pPr>
            <w:r>
              <w:rPr>
                <w:b/>
                <w:sz w:val="16"/>
              </w:rPr>
              <w:t>Backup</w:t>
            </w:r>
          </w:p>
        </w:tc>
        <w:tc>
          <w:tcPr>
            <w:tcW w:type="dxa" w:w="5099"/>
            <w:tcMar>
              <w:top w:w="50" w:type="dxa"/>
              <w:bottom w:w="50" w:type="dxa"/>
              <w:left w:w="90" w:type="dxa"/>
              <w:right w:w="90" w:type="dxa"/>
            </w:tcMar>
            <w:shd w:val="clear" w:color="auto" w:fill="E5F5FF"/>
          </w:tcPr>
          <w:p>
            <w:pPr>
              <w:pStyle w:val="BDOITable"/>
            </w:pPr>
            <w:r>
              <w:rPr>
                <w:sz w:val="16"/>
              </w:rPr>
              <w:t>Continuous log archiving with point-in-time recovery; snapshot every 4 hours; monthly copies kept 7 years</w:t>
            </w:r>
          </w:p>
        </w:tc>
        <w:tc>
          <w:tcPr>
            <w:tcW w:type="dxa" w:w="3513"/>
            <w:tcMar>
              <w:top w:w="50" w:type="dxa"/>
              <w:bottom w:w="50" w:type="dxa"/>
              <w:left w:w="90" w:type="dxa"/>
              <w:right w:w="90" w:type="dxa"/>
            </w:tcMar>
            <w:shd w:val="clear" w:color="auto" w:fill="E5F5FF"/>
          </w:tcPr>
          <w:p>
            <w:pPr>
              <w:pStyle w:val="BDOITable"/>
            </w:pPr>
            <w:r>
              <w:rPr>
                <w:sz w:val="16"/>
              </w:rPr>
              <w:t>Umbrella p.45 (every 4 hours, 5 years); register proposal 7 years</w:t>
            </w:r>
          </w:p>
        </w:tc>
      </w:tr>
      <w:tr>
        <w:trPr>
          <w:cantSplit w:val="true"/>
        </w:trPr>
        <w:tc>
          <w:tcPr>
            <w:tcW w:type="dxa" w:w="1360"/>
            <w:tcMar>
              <w:top w:w="50" w:type="dxa"/>
              <w:bottom w:w="50" w:type="dxa"/>
              <w:left w:w="90" w:type="dxa"/>
              <w:right w:w="90" w:type="dxa"/>
            </w:tcMar>
          </w:tcPr>
          <w:p>
            <w:pPr>
              <w:pStyle w:val="BDOITable"/>
            </w:pPr>
            <w:r>
              <w:rPr>
                <w:b/>
                <w:sz w:val="16"/>
              </w:rPr>
              <w:t>Retention</w:t>
            </w:r>
          </w:p>
        </w:tc>
        <w:tc>
          <w:tcPr>
            <w:tcW w:type="dxa" w:w="5099"/>
            <w:tcMar>
              <w:top w:w="50" w:type="dxa"/>
              <w:bottom w:w="50" w:type="dxa"/>
              <w:left w:w="90" w:type="dxa"/>
              <w:right w:w="90" w:type="dxa"/>
            </w:tcMar>
          </w:tcPr>
          <w:p>
            <w:pPr>
              <w:pStyle w:val="BDOITable"/>
            </w:pPr>
            <w:r>
              <w:rPr>
                <w:sz w:val="16"/>
              </w:rPr>
              <w:t>5 years online, 15 years offline as the platform rule; BRD-7 10 / 15; BRD-5, BRD-10, BRD-12 5 / 5</w:t>
            </w:r>
          </w:p>
        </w:tc>
        <w:tc>
          <w:tcPr>
            <w:tcW w:type="dxa" w:w="3513"/>
            <w:tcMar>
              <w:top w:w="50" w:type="dxa"/>
              <w:bottom w:w="50" w:type="dxa"/>
              <w:left w:w="90" w:type="dxa"/>
              <w:right w:w="90" w:type="dxa"/>
            </w:tcMar>
          </w:tcPr>
          <w:p>
            <w:pPr>
              <w:pStyle w:val="BDOITable"/>
            </w:pPr>
            <w:r>
              <w:rPr>
                <w:sz w:val="16"/>
              </w:rPr>
              <w:t>Umbrella p.45; CRQ22</w:t>
            </w:r>
          </w:p>
        </w:tc>
      </w:tr>
      <w:tr>
        <w:trPr>
          <w:cantSplit w:val="true"/>
        </w:trPr>
        <w:tc>
          <w:tcPr>
            <w:tcW w:type="dxa" w:w="1360"/>
            <w:tcMar>
              <w:top w:w="50" w:type="dxa"/>
              <w:bottom w:w="50" w:type="dxa"/>
              <w:left w:w="90" w:type="dxa"/>
              <w:right w:w="90" w:type="dxa"/>
            </w:tcMar>
            <w:shd w:val="clear" w:color="auto" w:fill="E5F5FF"/>
          </w:tcPr>
          <w:p>
            <w:pPr>
              <w:pStyle w:val="BDOITable"/>
            </w:pPr>
            <w:r>
              <w:rPr>
                <w:b/>
                <w:sz w:val="16"/>
              </w:rPr>
              <w:t>Security</w:t>
            </w:r>
          </w:p>
        </w:tc>
        <w:tc>
          <w:tcPr>
            <w:tcW w:type="dxa" w:w="5099"/>
            <w:tcMar>
              <w:top w:w="50" w:type="dxa"/>
              <w:bottom w:w="50" w:type="dxa"/>
              <w:left w:w="90" w:type="dxa"/>
              <w:right w:w="90" w:type="dxa"/>
            </w:tcMar>
            <w:shd w:val="clear" w:color="auto" w:fill="E5F5FF"/>
          </w:tcPr>
          <w:p>
            <w:pPr>
              <w:pStyle w:val="BDOITable"/>
            </w:pPr>
            <w:r>
              <w:rPr>
                <w:sz w:val="16"/>
              </w:rPr>
              <w:t>TLS 1.2 or higher on every hop; data encrypted at rest with BDOI-owned KMS keys; MFA for privileged users; audit of every change</w:t>
            </w:r>
          </w:p>
        </w:tc>
        <w:tc>
          <w:tcPr>
            <w:tcW w:type="dxa" w:w="3513"/>
            <w:tcMar>
              <w:top w:w="50" w:type="dxa"/>
              <w:bottom w:w="50" w:type="dxa"/>
              <w:left w:w="90" w:type="dxa"/>
              <w:right w:w="90" w:type="dxa"/>
            </w:tcMar>
            <w:shd w:val="clear" w:color="auto" w:fill="E5F5FF"/>
          </w:tcPr>
          <w:p>
            <w:pPr>
              <w:pStyle w:val="BDOITable"/>
            </w:pPr>
            <w:r>
              <w:rPr>
                <w:sz w:val="16"/>
              </w:rPr>
              <w:t>BDOI decisions of 26-Sep-2026; BRD-11</w:t>
            </w:r>
          </w:p>
        </w:tc>
      </w:tr>
      <w:tr>
        <w:trPr>
          <w:cantSplit w:val="true"/>
        </w:trPr>
        <w:tc>
          <w:tcPr>
            <w:tcW w:type="dxa" w:w="1360"/>
            <w:tcMar>
              <w:top w:w="50" w:type="dxa"/>
              <w:bottom w:w="50" w:type="dxa"/>
              <w:left w:w="90" w:type="dxa"/>
              <w:right w:w="90" w:type="dxa"/>
            </w:tcMar>
          </w:tcPr>
          <w:p>
            <w:pPr>
              <w:pStyle w:val="BDOITable"/>
            </w:pPr>
            <w:r>
              <w:rPr>
                <w:b/>
                <w:sz w:val="16"/>
              </w:rPr>
              <w:t>Data residency</w:t>
            </w:r>
          </w:p>
        </w:tc>
        <w:tc>
          <w:tcPr>
            <w:tcW w:type="dxa" w:w="5099"/>
            <w:tcMar>
              <w:top w:w="50" w:type="dxa"/>
              <w:bottom w:w="50" w:type="dxa"/>
              <w:left w:w="90" w:type="dxa"/>
              <w:right w:w="90" w:type="dxa"/>
            </w:tcMar>
          </w:tcPr>
          <w:p>
            <w:pPr>
              <w:pStyle w:val="BDOITable"/>
            </w:pPr>
            <w:r>
              <w:rPr>
                <w:sz w:val="16"/>
              </w:rPr>
              <w:t>Production data in AWS ap-southeast-1; access restricted to personnel in the Philippines; DR region to be approved</w:t>
            </w:r>
          </w:p>
        </w:tc>
        <w:tc>
          <w:tcPr>
            <w:tcW w:type="dxa" w:w="3513"/>
            <w:tcMar>
              <w:top w:w="50" w:type="dxa"/>
              <w:bottom w:w="50" w:type="dxa"/>
              <w:left w:w="90" w:type="dxa"/>
              <w:right w:w="90" w:type="dxa"/>
            </w:tcMar>
          </w:tcPr>
          <w:p>
            <w:pPr>
              <w:pStyle w:val="BDOITable"/>
            </w:pPr>
            <w:r>
              <w:rPr>
                <w:sz w:val="16"/>
              </w:rPr>
              <w:t>Hosting appendix; IQ26, DSQ01</w:t>
            </w:r>
          </w:p>
        </w:tc>
      </w:tr>
    </w:tbl>
    <w:p>
      <w:pPr>
        <w:pStyle w:val="BDOISpacer"/>
      </w:pPr>
    </w:p>
    <w:p>
      <w:r>
        <w:rPr/>
        <w:t>The umbrella BRD counts 1,344 named users and 429 concurrent sessions by adding the rows of every BRD; Marketing users appear in several rows, so 429 is an upper bound. The architecture and the performance test use 429 concurrent sessions as the peak case until BDOI decides which figure governs (SA-02, IQ32).</w:t>
      </w:r>
    </w:p>
    <w:p>
      <w:pPr>
        <w:pStyle w:val="Heading1"/>
        <w:pBdr>
          <w:bottom w:val="single" w:sz="4" w:space="4" w:color="99C1E7"/>
        </w:pBdr>
      </w:pPr>
      <w:bookmarkStart w:id="110" w:name="_Toc000110"/>
      <w:r>
        <w:rPr/>
        <w:t>3 Application architecture</w:t>
      </w:r>
      <w:bookmarkEnd w:id="110"/>
    </w:p>
    <w:p>
      <w:pPr>
        <w:pStyle w:val="Heading2"/>
      </w:pPr>
      <w:bookmarkStart w:id="111" w:name="_Toc000111"/>
      <w:r>
        <w:rPr/>
        <w:t>3.1 Architecture at a glance</w:t>
      </w:r>
      <w:bookmarkEnd w:id="111"/>
    </w:p>
    <w:p>
      <w:r>
        <w:rPr/>
        <w:t>BIBS is one web application with one backend. The backend is a modular monolith (ADR-01): one Spring Boot 3.5 application on Java 21 with one package per bounded context, one PostgreSQL 16 database in which a business record, its journal, ledger and sub-ledger rows and its audit entry commit together, Valkey 8 for the reference-data cache and cluster-wide job locks, Apache Kafka 3.9 for integration events and Amazon S3 for every file. The web client is a React and TypeScript single-page application served by nginx. Users reach BIBS through the BDO network; BDO systems reach it through Apigee X.</w:t>
      </w:r>
    </w:p>
    <w:p>
      <w:pPr>
        <w:keepNext/>
        <w:spacing w:before="80" w:after="0"/>
        <w:jc w:val="center"/>
      </w:pPr>
      <w:r>
        <w:drawing>
          <wp:inline xmlns:a="http://schemas.openxmlformats.org/drawingml/2006/main" xmlns:pic="http://schemas.openxmlformats.org/drawingml/2006/picture">
            <wp:extent cx="5760000" cy="3202991"/>
            <wp:docPr id="3" name="Picture 3"/>
            <wp:cNvGraphicFramePr>
              <a:graphicFrameLocks noChangeAspect="1"/>
            </wp:cNvGraphicFramePr>
            <a:graphic>
              <a:graphicData uri="http://schemas.openxmlformats.org/drawingml/2006/picture">
                <pic:pic>
                  <pic:nvPicPr>
                    <pic:cNvPr id="0" name="sa_context_1070.jpg"/>
                    <pic:cNvPicPr/>
                  </pic:nvPicPr>
                  <pic:blipFill>
                    <a:blip r:embed="rId15"/>
                    <a:stretch>
                      <a:fillRect/>
                    </a:stretch>
                  </pic:blipFill>
                  <pic:spPr>
                    <a:xfrm>
                      <a:off x="0" y="0"/>
                      <a:ext cx="5760000" cy="3202991"/>
                    </a:xfrm>
                    <a:prstGeom prst="rect"/>
                  </pic:spPr>
                </pic:pic>
              </a:graphicData>
            </a:graphic>
          </wp:inline>
        </w:drawing>
      </w:r>
    </w:p>
    <w:p>
      <w:pPr>
        <w:pStyle w:val="Caption"/>
        <w:jc w:val="center"/>
      </w:pPr>
      <w:r>
        <w:rPr>
          <w:b/>
          <w:i w:val="0"/>
        </w:rPr>
        <w:t xml:space="preserve">Figure 1: </w:t>
      </w:r>
      <w:r>
        <w:rPr/>
        <w:t>BIBS system context</w:t>
      </w:r>
    </w:p>
    <w:p>
      <w:pPr>
        <w:pStyle w:val="Heading2"/>
      </w:pPr>
      <w:bookmarkStart w:id="112" w:name="_Toc000112"/>
      <w:r>
        <w:rPr/>
        <w:t>3.2 Architecture principles</w:t>
      </w:r>
      <w:bookmarkEnd w:id="112"/>
    </w:p>
    <w:p>
      <w:pPr>
        <w:pStyle w:val="Caption"/>
        <w:keepNext/>
        <w:spacing w:after="60"/>
      </w:pPr>
      <w:r>
        <w:rPr>
          <w:b/>
          <w:i w:val="0"/>
        </w:rPr>
        <w:t xml:space="preserve">Table 5: </w:t>
      </w:r>
      <w:r>
        <w:rPr/>
        <w:t>Architecture principles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66"/>
        <w:gridCol w:w="2606"/>
        <w:gridCol w:w="6799"/>
      </w:tblGrid>
      <w:tr>
        <w:trPr>
          <w:tblHeader w:val="true"/>
          <w:cantSplit w:val="true"/>
        </w:trPr>
        <w:tc>
          <w:tcPr>
            <w:tcW w:type="dxa" w:w="567"/>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7"/>
              </w:rPr>
              <w:t>Principle</w:t>
            </w:r>
          </w:p>
        </w:tc>
        <w:tc>
          <w:tcPr>
            <w:tcW w:type="dxa" w:w="6799"/>
            <w:shd w:val="clear" w:color="auto" w:fill="004EA8"/>
            <w:tcMar>
              <w:top w:w="50" w:type="dxa"/>
              <w:bottom w:w="50" w:type="dxa"/>
              <w:left w:w="90" w:type="dxa"/>
              <w:right w:w="90" w:type="dxa"/>
            </w:tcMar>
            <w:vAlign w:val="center"/>
          </w:tcPr>
          <w:p>
            <w:pPr>
              <w:pStyle w:val="BDOITableHeader"/>
            </w:pPr>
            <w:r>
              <w:rPr>
                <w:b/>
                <w:color w:val="FFFFFF"/>
                <w:sz w:val="17"/>
              </w:rPr>
              <w:t>What it means in BIBS</w:t>
            </w:r>
          </w:p>
        </w:tc>
      </w:tr>
      <w:tr>
        <w:trPr>
          <w:cantSplit w:val="true"/>
        </w:trPr>
        <w:tc>
          <w:tcPr>
            <w:tcW w:type="dxa" w:w="567"/>
            <w:tcMar>
              <w:top w:w="50" w:type="dxa"/>
              <w:bottom w:w="50" w:type="dxa"/>
              <w:left w:w="90" w:type="dxa"/>
              <w:right w:w="90" w:type="dxa"/>
            </w:tcMar>
          </w:tcPr>
          <w:p>
            <w:pPr>
              <w:pStyle w:val="BDOITable"/>
            </w:pPr>
            <w:r>
              <w:rPr>
                <w:b/>
                <w:sz w:val="17"/>
              </w:rPr>
              <w:t>P1</w:t>
            </w:r>
          </w:p>
        </w:tc>
        <w:tc>
          <w:tcPr>
            <w:tcW w:type="dxa" w:w="2606"/>
            <w:tcMar>
              <w:top w:w="50" w:type="dxa"/>
              <w:bottom w:w="50" w:type="dxa"/>
              <w:left w:w="90" w:type="dxa"/>
              <w:right w:w="90" w:type="dxa"/>
            </w:tcMar>
          </w:tcPr>
          <w:p>
            <w:pPr>
              <w:pStyle w:val="BDOITable"/>
            </w:pPr>
            <w:r>
              <w:rPr>
                <w:sz w:val="17"/>
              </w:rPr>
              <w:t>One transaction per business fact</w:t>
            </w:r>
          </w:p>
        </w:tc>
        <w:tc>
          <w:tcPr>
            <w:tcW w:type="dxa" w:w="6799"/>
            <w:tcMar>
              <w:top w:w="50" w:type="dxa"/>
              <w:bottom w:w="50" w:type="dxa"/>
              <w:left w:w="90" w:type="dxa"/>
              <w:right w:w="90" w:type="dxa"/>
            </w:tcMar>
          </w:tcPr>
          <w:p>
            <w:pPr>
              <w:pStyle w:val="BDOITable"/>
            </w:pPr>
            <w:r>
              <w:rPr>
                <w:sz w:val="17"/>
              </w:rPr>
              <w:t>The business record, its accounting, open items, audit entry and outgoing event commit or roll back together (ADR-01, ADR-05, ADR-20)</w:t>
            </w:r>
          </w:p>
        </w:tc>
      </w:tr>
      <w:tr>
        <w:trPr>
          <w:cantSplit w:val="true"/>
        </w:trPr>
        <w:tc>
          <w:tcPr>
            <w:tcW w:type="dxa" w:w="567"/>
            <w:tcMar>
              <w:top w:w="50" w:type="dxa"/>
              <w:bottom w:w="50" w:type="dxa"/>
              <w:left w:w="90" w:type="dxa"/>
              <w:right w:w="90" w:type="dxa"/>
            </w:tcMar>
            <w:shd w:val="clear" w:color="auto" w:fill="E5F5FF"/>
          </w:tcPr>
          <w:p>
            <w:pPr>
              <w:pStyle w:val="BDOITable"/>
            </w:pPr>
            <w:r>
              <w:rPr>
                <w:b/>
                <w:sz w:val="17"/>
              </w:rPr>
              <w:t>P2</w:t>
            </w:r>
          </w:p>
        </w:tc>
        <w:tc>
          <w:tcPr>
            <w:tcW w:type="dxa" w:w="2606"/>
            <w:tcMar>
              <w:top w:w="50" w:type="dxa"/>
              <w:bottom w:w="50" w:type="dxa"/>
              <w:left w:w="90" w:type="dxa"/>
              <w:right w:w="90" w:type="dxa"/>
            </w:tcMar>
            <w:shd w:val="clear" w:color="auto" w:fill="E5F5FF"/>
          </w:tcPr>
          <w:p>
            <w:pPr>
              <w:pStyle w:val="BDOITable"/>
            </w:pPr>
            <w:r>
              <w:rPr>
                <w:sz w:val="17"/>
              </w:rPr>
              <w:t>Bounded contexts with enforced boundaries</w:t>
            </w:r>
          </w:p>
        </w:tc>
        <w:tc>
          <w:tcPr>
            <w:tcW w:type="dxa" w:w="6799"/>
            <w:tcMar>
              <w:top w:w="50" w:type="dxa"/>
              <w:bottom w:w="50" w:type="dxa"/>
              <w:left w:w="90" w:type="dxa"/>
              <w:right w:w="90" w:type="dxa"/>
            </w:tcMar>
            <w:shd w:val="clear" w:color="auto" w:fill="E5F5FF"/>
          </w:tcPr>
          <w:p>
            <w:pPr>
              <w:pStyle w:val="BDOITable"/>
            </w:pPr>
            <w:r>
              <w:rPr>
                <w:sz w:val="17"/>
              </w:rPr>
              <w:t>One package per context; no cycles between modules; call-backs through ports owned by the caller; rules checked at every compile</w:t>
            </w:r>
          </w:p>
        </w:tc>
      </w:tr>
      <w:tr>
        <w:trPr>
          <w:cantSplit w:val="true"/>
        </w:trPr>
        <w:tc>
          <w:tcPr>
            <w:tcW w:type="dxa" w:w="567"/>
            <w:tcMar>
              <w:top w:w="50" w:type="dxa"/>
              <w:bottom w:w="50" w:type="dxa"/>
              <w:left w:w="90" w:type="dxa"/>
              <w:right w:w="90" w:type="dxa"/>
            </w:tcMar>
          </w:tcPr>
          <w:p>
            <w:pPr>
              <w:pStyle w:val="BDOITable"/>
            </w:pPr>
            <w:r>
              <w:rPr>
                <w:b/>
                <w:sz w:val="17"/>
              </w:rPr>
              <w:t>P3</w:t>
            </w:r>
          </w:p>
        </w:tc>
        <w:tc>
          <w:tcPr>
            <w:tcW w:type="dxa" w:w="2606"/>
            <w:tcMar>
              <w:top w:w="50" w:type="dxa"/>
              <w:bottom w:w="50" w:type="dxa"/>
              <w:left w:w="90" w:type="dxa"/>
              <w:right w:w="90" w:type="dxa"/>
            </w:tcMar>
          </w:tcPr>
          <w:p>
            <w:pPr>
              <w:pStyle w:val="BDOITable"/>
            </w:pPr>
            <w:r>
              <w:rPr>
                <w:sz w:val="17"/>
              </w:rPr>
              <w:t>Rules are data</w:t>
            </w:r>
          </w:p>
        </w:tc>
        <w:tc>
          <w:tcPr>
            <w:tcW w:type="dxa" w:w="6799"/>
            <w:tcMar>
              <w:top w:w="50" w:type="dxa"/>
              <w:bottom w:w="50" w:type="dxa"/>
              <w:left w:w="90" w:type="dxa"/>
              <w:right w:w="90" w:type="dxa"/>
            </w:tcMar>
          </w:tcPr>
          <w:p>
            <w:pPr>
              <w:pStyle w:val="BDOITable"/>
            </w:pPr>
            <w:r>
              <w:rPr>
                <w:sz w:val="17"/>
              </w:rPr>
              <w:t>Parameters, lists of values, rule tables, workflow definitions, templates and accounting rules are maintained on screens under maker-checker (ADR-19)</w:t>
            </w:r>
          </w:p>
        </w:tc>
      </w:tr>
      <w:tr>
        <w:trPr>
          <w:cantSplit w:val="true"/>
        </w:trPr>
        <w:tc>
          <w:tcPr>
            <w:tcW w:type="dxa" w:w="567"/>
            <w:tcMar>
              <w:top w:w="50" w:type="dxa"/>
              <w:bottom w:w="50" w:type="dxa"/>
              <w:left w:w="90" w:type="dxa"/>
              <w:right w:w="90" w:type="dxa"/>
            </w:tcMar>
            <w:shd w:val="clear" w:color="auto" w:fill="E5F5FF"/>
          </w:tcPr>
          <w:p>
            <w:pPr>
              <w:pStyle w:val="BDOITable"/>
            </w:pPr>
            <w:r>
              <w:rPr>
                <w:b/>
                <w:sz w:val="17"/>
              </w:rPr>
              <w:t>P4</w:t>
            </w:r>
          </w:p>
        </w:tc>
        <w:tc>
          <w:tcPr>
            <w:tcW w:type="dxa" w:w="2606"/>
            <w:tcMar>
              <w:top w:w="50" w:type="dxa"/>
              <w:bottom w:w="50" w:type="dxa"/>
              <w:left w:w="90" w:type="dxa"/>
              <w:right w:w="90" w:type="dxa"/>
            </w:tcMar>
            <w:shd w:val="clear" w:color="auto" w:fill="E5F5FF"/>
          </w:tcPr>
          <w:p>
            <w:pPr>
              <w:pStyle w:val="BDOITable"/>
            </w:pPr>
            <w:r>
              <w:rPr>
                <w:sz w:val="17"/>
              </w:rPr>
              <w:t>Secure by default</w:t>
            </w:r>
          </w:p>
        </w:tc>
        <w:tc>
          <w:tcPr>
            <w:tcW w:type="dxa" w:w="6799"/>
            <w:tcMar>
              <w:top w:w="50" w:type="dxa"/>
              <w:bottom w:w="50" w:type="dxa"/>
              <w:left w:w="90" w:type="dxa"/>
              <w:right w:w="90" w:type="dxa"/>
            </w:tcMar>
            <w:shd w:val="clear" w:color="auto" w:fill="E5F5FF"/>
          </w:tcPr>
          <w:p>
            <w:pPr>
              <w:pStyle w:val="BDOITable"/>
            </w:pPr>
            <w:r>
              <w:rPr>
                <w:sz w:val="17"/>
              </w:rPr>
              <w:t>Every operation names its permission; the company and branch are checked against the user's data scope; the start is refused with weak or missing secrets or a plaintext connection</w:t>
            </w:r>
          </w:p>
        </w:tc>
      </w:tr>
      <w:tr>
        <w:trPr>
          <w:cantSplit w:val="true"/>
        </w:trPr>
        <w:tc>
          <w:tcPr>
            <w:tcW w:type="dxa" w:w="567"/>
            <w:tcMar>
              <w:top w:w="50" w:type="dxa"/>
              <w:bottom w:w="50" w:type="dxa"/>
              <w:left w:w="90" w:type="dxa"/>
              <w:right w:w="90" w:type="dxa"/>
            </w:tcMar>
          </w:tcPr>
          <w:p>
            <w:pPr>
              <w:pStyle w:val="BDOITable"/>
            </w:pPr>
            <w:r>
              <w:rPr>
                <w:b/>
                <w:sz w:val="17"/>
              </w:rPr>
              <w:t>P5</w:t>
            </w:r>
          </w:p>
        </w:tc>
        <w:tc>
          <w:tcPr>
            <w:tcW w:type="dxa" w:w="2606"/>
            <w:tcMar>
              <w:top w:w="50" w:type="dxa"/>
              <w:bottom w:w="50" w:type="dxa"/>
              <w:left w:w="90" w:type="dxa"/>
              <w:right w:w="90" w:type="dxa"/>
            </w:tcMar>
          </w:tcPr>
          <w:p>
            <w:pPr>
              <w:pStyle w:val="BDOITable"/>
            </w:pPr>
            <w:r>
              <w:rPr>
                <w:sz w:val="17"/>
              </w:rPr>
              <w:t>API-first</w:t>
            </w:r>
          </w:p>
        </w:tc>
        <w:tc>
          <w:tcPr>
            <w:tcW w:type="dxa" w:w="6799"/>
            <w:tcMar>
              <w:top w:w="50" w:type="dxa"/>
              <w:bottom w:w="50" w:type="dxa"/>
              <w:left w:w="90" w:type="dxa"/>
              <w:right w:w="90" w:type="dxa"/>
            </w:tcMar>
          </w:tcPr>
          <w:p>
            <w:pPr>
              <w:pStyle w:val="BDOITable"/>
            </w:pPr>
            <w:r>
              <w:rPr>
                <w:sz w:val="17"/>
              </w:rPr>
              <w:t>Every screen action is an operation of the backend with a typed contract; systems use versioned operations through Apigee X</w:t>
            </w:r>
          </w:p>
        </w:tc>
      </w:tr>
      <w:tr>
        <w:trPr>
          <w:cantSplit w:val="true"/>
        </w:trPr>
        <w:tc>
          <w:tcPr>
            <w:tcW w:type="dxa" w:w="567"/>
            <w:tcMar>
              <w:top w:w="50" w:type="dxa"/>
              <w:bottom w:w="50" w:type="dxa"/>
              <w:left w:w="90" w:type="dxa"/>
              <w:right w:w="90" w:type="dxa"/>
            </w:tcMar>
            <w:shd w:val="clear" w:color="auto" w:fill="E5F5FF"/>
          </w:tcPr>
          <w:p>
            <w:pPr>
              <w:pStyle w:val="BDOITable"/>
            </w:pPr>
            <w:r>
              <w:rPr>
                <w:b/>
                <w:sz w:val="17"/>
              </w:rPr>
              <w:t>P6</w:t>
            </w:r>
          </w:p>
        </w:tc>
        <w:tc>
          <w:tcPr>
            <w:tcW w:type="dxa" w:w="2606"/>
            <w:tcMar>
              <w:top w:w="50" w:type="dxa"/>
              <w:bottom w:w="50" w:type="dxa"/>
              <w:left w:w="90" w:type="dxa"/>
              <w:right w:w="90" w:type="dxa"/>
            </w:tcMar>
            <w:shd w:val="clear" w:color="auto" w:fill="E5F5FF"/>
          </w:tcPr>
          <w:p>
            <w:pPr>
              <w:pStyle w:val="BDOITable"/>
            </w:pPr>
            <w:r>
              <w:rPr>
                <w:sz w:val="17"/>
              </w:rPr>
              <w:t>Stateless, horizontally scaled</w:t>
            </w:r>
          </w:p>
        </w:tc>
        <w:tc>
          <w:tcPr>
            <w:tcW w:type="dxa" w:w="6799"/>
            <w:tcMar>
              <w:top w:w="50" w:type="dxa"/>
              <w:bottom w:w="50" w:type="dxa"/>
              <w:left w:w="90" w:type="dxa"/>
              <w:right w:w="90" w:type="dxa"/>
            </w:tcMar>
            <w:shd w:val="clear" w:color="auto" w:fill="E5F5FF"/>
          </w:tcPr>
          <w:p>
            <w:pPr>
              <w:pStyle w:val="BDOITable"/>
            </w:pPr>
            <w:r>
              <w:rPr>
                <w:sz w:val="17"/>
              </w:rPr>
              <w:t>No session state in the pods; one image runs as three workloads (ADR-15); scheduled work runs once in the cluster under a lock</w:t>
            </w:r>
          </w:p>
        </w:tc>
      </w:tr>
      <w:tr>
        <w:trPr>
          <w:cantSplit w:val="true"/>
        </w:trPr>
        <w:tc>
          <w:tcPr>
            <w:tcW w:type="dxa" w:w="567"/>
            <w:tcMar>
              <w:top w:w="50" w:type="dxa"/>
              <w:bottom w:w="50" w:type="dxa"/>
              <w:left w:w="90" w:type="dxa"/>
              <w:right w:w="90" w:type="dxa"/>
            </w:tcMar>
          </w:tcPr>
          <w:p>
            <w:pPr>
              <w:pStyle w:val="BDOITable"/>
            </w:pPr>
            <w:r>
              <w:rPr>
                <w:b/>
                <w:sz w:val="17"/>
              </w:rPr>
              <w:t>P7</w:t>
            </w:r>
          </w:p>
        </w:tc>
        <w:tc>
          <w:tcPr>
            <w:tcW w:type="dxa" w:w="2606"/>
            <w:tcMar>
              <w:top w:w="50" w:type="dxa"/>
              <w:bottom w:w="50" w:type="dxa"/>
              <w:left w:w="90" w:type="dxa"/>
              <w:right w:w="90" w:type="dxa"/>
            </w:tcMar>
          </w:tcPr>
          <w:p>
            <w:pPr>
              <w:pStyle w:val="BDOITable"/>
            </w:pPr>
            <w:r>
              <w:rPr>
                <w:sz w:val="17"/>
              </w:rPr>
              <w:t>Managed platform services</w:t>
            </w:r>
          </w:p>
        </w:tc>
        <w:tc>
          <w:tcPr>
            <w:tcW w:type="dxa" w:w="6799"/>
            <w:tcMar>
              <w:top w:w="50" w:type="dxa"/>
              <w:bottom w:w="50" w:type="dxa"/>
              <w:left w:w="90" w:type="dxa"/>
              <w:right w:w="90" w:type="dxa"/>
            </w:tcMar>
          </w:tcPr>
          <w:p>
            <w:pPr>
              <w:pStyle w:val="BDOITable"/>
            </w:pPr>
            <w:r>
              <w:rPr>
                <w:sz w:val="17"/>
              </w:rPr>
              <w:t>PostgreSQL, Valkey, Kafka, object storage and keys are managed AWS services (ADR-18)</w:t>
            </w:r>
          </w:p>
        </w:tc>
      </w:tr>
      <w:tr>
        <w:trPr>
          <w:cantSplit w:val="true"/>
        </w:trPr>
        <w:tc>
          <w:tcPr>
            <w:tcW w:type="dxa" w:w="567"/>
            <w:tcMar>
              <w:top w:w="50" w:type="dxa"/>
              <w:bottom w:w="50" w:type="dxa"/>
              <w:left w:w="90" w:type="dxa"/>
              <w:right w:w="90" w:type="dxa"/>
            </w:tcMar>
            <w:shd w:val="clear" w:color="auto" w:fill="E5F5FF"/>
          </w:tcPr>
          <w:p>
            <w:pPr>
              <w:pStyle w:val="BDOITable"/>
            </w:pPr>
            <w:r>
              <w:rPr>
                <w:b/>
                <w:sz w:val="17"/>
              </w:rPr>
              <w:t>P8</w:t>
            </w:r>
          </w:p>
        </w:tc>
        <w:tc>
          <w:tcPr>
            <w:tcW w:type="dxa" w:w="2606"/>
            <w:tcMar>
              <w:top w:w="50" w:type="dxa"/>
              <w:bottom w:w="50" w:type="dxa"/>
              <w:left w:w="90" w:type="dxa"/>
              <w:right w:w="90" w:type="dxa"/>
            </w:tcMar>
            <w:shd w:val="clear" w:color="auto" w:fill="E5F5FF"/>
          </w:tcPr>
          <w:p>
            <w:pPr>
              <w:pStyle w:val="BDOITable"/>
            </w:pPr>
            <w:r>
              <w:rPr>
                <w:sz w:val="17"/>
              </w:rPr>
              <w:t>Traceable</w:t>
            </w:r>
          </w:p>
        </w:tc>
        <w:tc>
          <w:tcPr>
            <w:tcW w:type="dxa" w:w="6799"/>
            <w:tcMar>
              <w:top w:w="50" w:type="dxa"/>
              <w:bottom w:w="50" w:type="dxa"/>
              <w:left w:w="90" w:type="dxa"/>
              <w:right w:w="90" w:type="dxa"/>
            </w:tcMar>
            <w:shd w:val="clear" w:color="auto" w:fill="E5F5FF"/>
          </w:tcPr>
          <w:p>
            <w:pPr>
              <w:pStyle w:val="BDOITable"/>
            </w:pPr>
            <w:r>
              <w:rPr>
                <w:sz w:val="17"/>
              </w:rPr>
              <w:t>Every request carries a correlation identifier into the logs, the audit trail and the events it publishes</w:t>
            </w:r>
          </w:p>
        </w:tc>
      </w:tr>
      <w:tr>
        <w:trPr>
          <w:cantSplit w:val="true"/>
        </w:trPr>
        <w:tc>
          <w:tcPr>
            <w:tcW w:type="dxa" w:w="567"/>
            <w:tcMar>
              <w:top w:w="50" w:type="dxa"/>
              <w:bottom w:w="50" w:type="dxa"/>
              <w:left w:w="90" w:type="dxa"/>
              <w:right w:w="90" w:type="dxa"/>
            </w:tcMar>
          </w:tcPr>
          <w:p>
            <w:pPr>
              <w:pStyle w:val="BDOITable"/>
            </w:pPr>
            <w:r>
              <w:rPr>
                <w:b/>
                <w:sz w:val="17"/>
              </w:rPr>
              <w:t>P9</w:t>
            </w:r>
          </w:p>
        </w:tc>
        <w:tc>
          <w:tcPr>
            <w:tcW w:type="dxa" w:w="2606"/>
            <w:tcMar>
              <w:top w:w="50" w:type="dxa"/>
              <w:bottom w:w="50" w:type="dxa"/>
              <w:left w:w="90" w:type="dxa"/>
              <w:right w:w="90" w:type="dxa"/>
            </w:tcMar>
          </w:tcPr>
          <w:p>
            <w:pPr>
              <w:pStyle w:val="BDOITable"/>
            </w:pPr>
            <w:r>
              <w:rPr>
                <w:sz w:val="17"/>
              </w:rPr>
              <w:t>Client-neutral platform</w:t>
            </w:r>
          </w:p>
        </w:tc>
        <w:tc>
          <w:tcPr>
            <w:tcW w:type="dxa" w:w="6799"/>
            <w:tcMar>
              <w:top w:w="50" w:type="dxa"/>
              <w:bottom w:w="50" w:type="dxa"/>
              <w:left w:w="90" w:type="dxa"/>
              <w:right w:w="90" w:type="dxa"/>
            </w:tcMar>
          </w:tcPr>
          <w:p>
            <w:pPr>
              <w:pStyle w:val="BDOITable"/>
            </w:pPr>
            <w:r>
              <w:rPr>
                <w:sz w:val="17"/>
              </w:rPr>
              <w:t>No client name, currency or logo in the program logic; the BDOI identity comes from data and the theme pack</w:t>
            </w:r>
          </w:p>
        </w:tc>
      </w:tr>
      <w:tr>
        <w:trPr>
          <w:cantSplit w:val="true"/>
        </w:trPr>
        <w:tc>
          <w:tcPr>
            <w:tcW w:type="dxa" w:w="567"/>
            <w:tcMar>
              <w:top w:w="50" w:type="dxa"/>
              <w:bottom w:w="50" w:type="dxa"/>
              <w:left w:w="90" w:type="dxa"/>
              <w:right w:w="90" w:type="dxa"/>
            </w:tcMar>
            <w:shd w:val="clear" w:color="auto" w:fill="E5F5FF"/>
          </w:tcPr>
          <w:p>
            <w:pPr>
              <w:pStyle w:val="BDOITable"/>
            </w:pPr>
            <w:r>
              <w:rPr>
                <w:b/>
                <w:sz w:val="17"/>
              </w:rPr>
              <w:t>P10</w:t>
            </w:r>
          </w:p>
        </w:tc>
        <w:tc>
          <w:tcPr>
            <w:tcW w:type="dxa" w:w="2606"/>
            <w:tcMar>
              <w:top w:w="50" w:type="dxa"/>
              <w:bottom w:w="50" w:type="dxa"/>
              <w:left w:w="90" w:type="dxa"/>
              <w:right w:w="90" w:type="dxa"/>
            </w:tcMar>
            <w:shd w:val="clear" w:color="auto" w:fill="E5F5FF"/>
          </w:tcPr>
          <w:p>
            <w:pPr>
              <w:pStyle w:val="BDOITable"/>
            </w:pPr>
            <w:r>
              <w:rPr>
                <w:sz w:val="17"/>
              </w:rPr>
              <w:t>Open-source baseline</w:t>
            </w:r>
          </w:p>
        </w:tc>
        <w:tc>
          <w:tcPr>
            <w:tcW w:type="dxa" w:w="6799"/>
            <w:tcMar>
              <w:top w:w="50" w:type="dxa"/>
              <w:bottom w:w="50" w:type="dxa"/>
              <w:left w:w="90" w:type="dxa"/>
              <w:right w:w="90" w:type="dxa"/>
            </w:tcMar>
            <w:shd w:val="clear" w:color="auto" w:fill="E5F5FF"/>
          </w:tcPr>
          <w:p>
            <w:pPr>
              <w:pStyle w:val="BDOITable"/>
            </w:pPr>
            <w:r>
              <w:rPr>
                <w:sz w:val="17"/>
              </w:rPr>
              <w:t>Every component under a licence that allows commercial use without a fee (ADR-04)</w:t>
            </w:r>
          </w:p>
        </w:tc>
      </w:tr>
    </w:tbl>
    <w:p>
      <w:pPr>
        <w:pStyle w:val="BDOISpacer"/>
      </w:pPr>
    </w:p>
    <w:p>
      <w:pPr>
        <w:pStyle w:val="Heading2"/>
      </w:pPr>
      <w:bookmarkStart w:id="113" w:name="_Toc000113"/>
      <w:r>
        <w:rPr/>
        <w:t>3.3 Logical components</w:t>
      </w:r>
      <w:bookmarkEnd w:id="113"/>
    </w:p>
    <w:p>
      <w:pPr>
        <w:pStyle w:val="Caption"/>
        <w:keepNext/>
        <w:spacing w:after="60"/>
      </w:pPr>
      <w:r>
        <w:rPr>
          <w:b/>
          <w:i w:val="0"/>
        </w:rPr>
        <w:t xml:space="preserve">Table 6: </w:t>
      </w:r>
      <w:r>
        <w:rPr/>
        <w:t>Logical components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3966"/>
        <w:gridCol w:w="3966"/>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7"/>
              </w:rPr>
              <w:t>Component</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Responsibility</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Technology</w:t>
            </w:r>
          </w:p>
        </w:tc>
      </w:tr>
      <w:tr>
        <w:trPr>
          <w:cantSplit w:val="true"/>
        </w:trPr>
        <w:tc>
          <w:tcPr>
            <w:tcW w:type="dxa" w:w="2040"/>
            <w:tcMar>
              <w:top w:w="50" w:type="dxa"/>
              <w:bottom w:w="50" w:type="dxa"/>
              <w:left w:w="90" w:type="dxa"/>
              <w:right w:w="90" w:type="dxa"/>
            </w:tcMar>
          </w:tcPr>
          <w:p>
            <w:pPr>
              <w:pStyle w:val="BDOITable"/>
            </w:pPr>
            <w:r>
              <w:rPr>
                <w:b/>
                <w:sz w:val="17"/>
              </w:rPr>
              <w:t>Web client</w:t>
            </w:r>
          </w:p>
        </w:tc>
        <w:tc>
          <w:tcPr>
            <w:tcW w:type="dxa" w:w="3966"/>
            <w:tcMar>
              <w:top w:w="50" w:type="dxa"/>
              <w:bottom w:w="50" w:type="dxa"/>
              <w:left w:w="90" w:type="dxa"/>
              <w:right w:w="90" w:type="dxa"/>
            </w:tcMar>
          </w:tcPr>
          <w:p>
            <w:pPr>
              <w:pStyle w:val="BDOITable"/>
            </w:pPr>
            <w:r>
              <w:rPr>
                <w:sz w:val="17"/>
              </w:rPr>
              <w:t>Screens for every persona: work queues, tree tables with row action menus, uploads, reports, approvals; theme pack with the BDOI identity</w:t>
            </w:r>
          </w:p>
        </w:tc>
        <w:tc>
          <w:tcPr>
            <w:tcW w:type="dxa" w:w="3966"/>
            <w:tcMar>
              <w:top w:w="50" w:type="dxa"/>
              <w:bottom w:w="50" w:type="dxa"/>
              <w:left w:w="90" w:type="dxa"/>
              <w:right w:w="90" w:type="dxa"/>
            </w:tcMar>
          </w:tcPr>
          <w:p>
            <w:pPr>
              <w:pStyle w:val="BDOITable"/>
            </w:pPr>
            <w:r>
              <w:rPr>
                <w:sz w:val="17"/>
              </w:rPr>
              <w:t>React 19, TypeScript (strict), Vite 8, served by nginx 1.30</w:t>
            </w:r>
          </w:p>
        </w:tc>
      </w:tr>
      <w:tr>
        <w:trPr>
          <w:cantSplit w:val="true"/>
        </w:trPr>
        <w:tc>
          <w:tcPr>
            <w:tcW w:type="dxa" w:w="2040"/>
            <w:tcMar>
              <w:top w:w="50" w:type="dxa"/>
              <w:bottom w:w="50" w:type="dxa"/>
              <w:left w:w="90" w:type="dxa"/>
              <w:right w:w="90" w:type="dxa"/>
            </w:tcMar>
            <w:shd w:val="clear" w:color="auto" w:fill="E5F5FF"/>
          </w:tcPr>
          <w:p>
            <w:pPr>
              <w:pStyle w:val="BDOITable"/>
            </w:pPr>
            <w:r>
              <w:rPr>
                <w:b/>
                <w:sz w:val="17"/>
              </w:rPr>
              <w:t>Backend - business contexts</w:t>
            </w:r>
          </w:p>
        </w:tc>
        <w:tc>
          <w:tcPr>
            <w:tcW w:type="dxa" w:w="3966"/>
            <w:tcMar>
              <w:top w:w="50" w:type="dxa"/>
              <w:bottom w:w="50" w:type="dxa"/>
              <w:left w:w="90" w:type="dxa"/>
              <w:right w:w="90" w:type="dxa"/>
            </w:tcMar>
            <w:shd w:val="clear" w:color="auto" w:fill="E5F5FF"/>
          </w:tcPr>
          <w:p>
            <w:pPr>
              <w:pStyle w:val="BDOITable"/>
            </w:pPr>
            <w:r>
              <w:rPr>
                <w:sz w:val="17"/>
              </w:rPr>
              <w:t>The fifteen business bounded contexts of chapter 4</w:t>
            </w:r>
          </w:p>
        </w:tc>
        <w:tc>
          <w:tcPr>
            <w:tcW w:type="dxa" w:w="3966"/>
            <w:tcMar>
              <w:top w:w="50" w:type="dxa"/>
              <w:bottom w:w="50" w:type="dxa"/>
              <w:left w:w="90" w:type="dxa"/>
              <w:right w:w="90" w:type="dxa"/>
            </w:tcMar>
            <w:shd w:val="clear" w:color="auto" w:fill="E5F5FF"/>
          </w:tcPr>
          <w:p>
            <w:pPr>
              <w:pStyle w:val="BDOITable"/>
            </w:pPr>
            <w:r>
              <w:rPr>
                <w:sz w:val="17"/>
              </w:rPr>
              <w:t>Spring Boot 3.5 on Java 21</w:t>
            </w:r>
          </w:p>
        </w:tc>
      </w:tr>
      <w:tr>
        <w:trPr>
          <w:cantSplit w:val="true"/>
        </w:trPr>
        <w:tc>
          <w:tcPr>
            <w:tcW w:type="dxa" w:w="2040"/>
            <w:tcMar>
              <w:top w:w="50" w:type="dxa"/>
              <w:bottom w:w="50" w:type="dxa"/>
              <w:left w:w="90" w:type="dxa"/>
              <w:right w:w="90" w:type="dxa"/>
            </w:tcMar>
          </w:tcPr>
          <w:p>
            <w:pPr>
              <w:pStyle w:val="BDOITable"/>
            </w:pPr>
            <w:r>
              <w:rPr>
                <w:b/>
                <w:sz w:val="17"/>
              </w:rPr>
              <w:t>Backend - platform services</w:t>
            </w:r>
          </w:p>
        </w:tc>
        <w:tc>
          <w:tcPr>
            <w:tcW w:type="dxa" w:w="3966"/>
            <w:tcMar>
              <w:top w:w="50" w:type="dxa"/>
              <w:bottom w:w="50" w:type="dxa"/>
              <w:left w:w="90" w:type="dxa"/>
              <w:right w:w="90" w:type="dxa"/>
            </w:tcMar>
          </w:tcPr>
          <w:p>
            <w:pPr>
              <w:pStyle w:val="BDOITable"/>
            </w:pPr>
            <w:r>
              <w:rPr>
                <w:sz w:val="17"/>
              </w:rPr>
              <w:t>Companies and branches, parameters, lists of values, workflow, bulk upload, messaging, document templates, attachments and files, audit, alerts, approvals, jobs, reports</w:t>
            </w:r>
          </w:p>
        </w:tc>
        <w:tc>
          <w:tcPr>
            <w:tcW w:type="dxa" w:w="3966"/>
            <w:tcMar>
              <w:top w:w="50" w:type="dxa"/>
              <w:bottom w:w="50" w:type="dxa"/>
              <w:left w:w="90" w:type="dxa"/>
              <w:right w:w="90" w:type="dxa"/>
            </w:tcMar>
          </w:tcPr>
          <w:p>
            <w:pPr>
              <w:pStyle w:val="BDOITable"/>
            </w:pPr>
            <w:r>
              <w:rPr>
                <w:sz w:val="17"/>
              </w:rPr>
              <w:t>Same application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7"/>
              </w:rPr>
              <w:t>Backend - integration and shared state</w:t>
            </w:r>
          </w:p>
        </w:tc>
        <w:tc>
          <w:tcPr>
            <w:tcW w:type="dxa" w:w="3966"/>
            <w:tcMar>
              <w:top w:w="50" w:type="dxa"/>
              <w:bottom w:w="50" w:type="dxa"/>
              <w:left w:w="90" w:type="dxa"/>
              <w:right w:w="90" w:type="dxa"/>
            </w:tcMar>
            <w:shd w:val="clear" w:color="auto" w:fill="E5F5FF"/>
          </w:tcPr>
          <w:p>
            <w:pPr>
              <w:pStyle w:val="BDOITable"/>
            </w:pPr>
            <w:r>
              <w:rPr>
                <w:sz w:val="17"/>
              </w:rPr>
              <w:t>Outbox and Kafka topics, consumers, system integration operations for Apigee X, cache and job locks</w:t>
            </w:r>
          </w:p>
        </w:tc>
        <w:tc>
          <w:tcPr>
            <w:tcW w:type="dxa" w:w="3966"/>
            <w:tcMar>
              <w:top w:w="50" w:type="dxa"/>
              <w:bottom w:w="50" w:type="dxa"/>
              <w:left w:w="90" w:type="dxa"/>
              <w:right w:w="90" w:type="dxa"/>
            </w:tcMar>
            <w:shd w:val="clear" w:color="auto" w:fill="E5F5FF"/>
          </w:tcPr>
          <w:p>
            <w:pPr>
              <w:pStyle w:val="BDOITable"/>
            </w:pPr>
            <w:r>
              <w:rPr>
                <w:sz w:val="17"/>
              </w:rPr>
              <w:t>Spring for Apache Kafka, Spring Data Redis client for Valkey</w:t>
            </w:r>
          </w:p>
        </w:tc>
      </w:tr>
      <w:tr>
        <w:trPr>
          <w:cantSplit w:val="true"/>
        </w:trPr>
        <w:tc>
          <w:tcPr>
            <w:tcW w:type="dxa" w:w="2040"/>
            <w:tcMar>
              <w:top w:w="50" w:type="dxa"/>
              <w:bottom w:w="50" w:type="dxa"/>
              <w:left w:w="90" w:type="dxa"/>
              <w:right w:w="90" w:type="dxa"/>
            </w:tcMar>
          </w:tcPr>
          <w:p>
            <w:pPr>
              <w:pStyle w:val="BDOITable"/>
            </w:pPr>
            <w:r>
              <w:rPr>
                <w:b/>
                <w:sz w:val="17"/>
              </w:rPr>
              <w:t>Relational store</w:t>
            </w:r>
          </w:p>
        </w:tc>
        <w:tc>
          <w:tcPr>
            <w:tcW w:type="dxa" w:w="3966"/>
            <w:tcMar>
              <w:top w:w="50" w:type="dxa"/>
              <w:bottom w:w="50" w:type="dxa"/>
              <w:left w:w="90" w:type="dxa"/>
              <w:right w:w="90" w:type="dxa"/>
            </w:tcMar>
          </w:tcPr>
          <w:p>
            <w:pPr>
              <w:pStyle w:val="BDOITable"/>
            </w:pPr>
            <w:r>
              <w:rPr>
                <w:sz w:val="17"/>
              </w:rPr>
              <w:t>All business data, metadata of files, outbox, audit trail</w:t>
            </w:r>
          </w:p>
        </w:tc>
        <w:tc>
          <w:tcPr>
            <w:tcW w:type="dxa" w:w="3966"/>
            <w:tcMar>
              <w:top w:w="50" w:type="dxa"/>
              <w:bottom w:w="50" w:type="dxa"/>
              <w:left w:w="90" w:type="dxa"/>
              <w:right w:w="90" w:type="dxa"/>
            </w:tcMar>
          </w:tcPr>
          <w:p>
            <w:pPr>
              <w:pStyle w:val="BDOITable"/>
            </w:pPr>
            <w:r>
              <w:rPr>
                <w:sz w:val="17"/>
              </w:rPr>
              <w:t>PostgreSQL 16 (Amazon RDS)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7"/>
              </w:rPr>
              <w:t>Cache and shared state</w:t>
            </w:r>
          </w:p>
        </w:tc>
        <w:tc>
          <w:tcPr>
            <w:tcW w:type="dxa" w:w="3966"/>
            <w:tcMar>
              <w:top w:w="50" w:type="dxa"/>
              <w:bottom w:w="50" w:type="dxa"/>
              <w:left w:w="90" w:type="dxa"/>
              <w:right w:w="90" w:type="dxa"/>
            </w:tcMar>
            <w:shd w:val="clear" w:color="auto" w:fill="E5F5FF"/>
          </w:tcPr>
          <w:p>
            <w:pPr>
              <w:pStyle w:val="BDOITable"/>
            </w:pPr>
            <w:r>
              <w:rPr>
                <w:sz w:val="17"/>
              </w:rPr>
              <w:t>Reference-data cache, job locks, token deny-list, counters</w:t>
            </w:r>
          </w:p>
        </w:tc>
        <w:tc>
          <w:tcPr>
            <w:tcW w:type="dxa" w:w="3966"/>
            <w:tcMar>
              <w:top w:w="50" w:type="dxa"/>
              <w:bottom w:w="50" w:type="dxa"/>
              <w:left w:w="90" w:type="dxa"/>
              <w:right w:w="90" w:type="dxa"/>
            </w:tcMar>
            <w:shd w:val="clear" w:color="auto" w:fill="E5F5FF"/>
          </w:tcPr>
          <w:p>
            <w:pPr>
              <w:pStyle w:val="BDOITable"/>
            </w:pPr>
            <w:r>
              <w:rPr>
                <w:sz w:val="17"/>
              </w:rPr>
              <w:t>Valkey 8 (Amazon ElastiCache)</w:t>
            </w:r>
          </w:p>
        </w:tc>
      </w:tr>
      <w:tr>
        <w:trPr>
          <w:cantSplit w:val="true"/>
        </w:trPr>
        <w:tc>
          <w:tcPr>
            <w:tcW w:type="dxa" w:w="2040"/>
            <w:tcMar>
              <w:top w:w="50" w:type="dxa"/>
              <w:bottom w:w="50" w:type="dxa"/>
              <w:left w:w="90" w:type="dxa"/>
              <w:right w:w="90" w:type="dxa"/>
            </w:tcMar>
          </w:tcPr>
          <w:p>
            <w:pPr>
              <w:pStyle w:val="BDOITable"/>
            </w:pPr>
            <w:r>
              <w:rPr>
                <w:b/>
                <w:sz w:val="17"/>
              </w:rPr>
              <w:t>Event streaming</w:t>
            </w:r>
          </w:p>
        </w:tc>
        <w:tc>
          <w:tcPr>
            <w:tcW w:type="dxa" w:w="3966"/>
            <w:tcMar>
              <w:top w:w="50" w:type="dxa"/>
              <w:bottom w:w="50" w:type="dxa"/>
              <w:left w:w="90" w:type="dxa"/>
              <w:right w:w="90" w:type="dxa"/>
            </w:tcMar>
          </w:tcPr>
          <w:p>
            <w:pPr>
              <w:pStyle w:val="BDOITable"/>
            </w:pPr>
            <w:r>
              <w:rPr>
                <w:sz w:val="17"/>
              </w:rPr>
              <w:t>Integration events with dead-letter topics</w:t>
            </w:r>
          </w:p>
        </w:tc>
        <w:tc>
          <w:tcPr>
            <w:tcW w:type="dxa" w:w="3966"/>
            <w:tcMar>
              <w:top w:w="50" w:type="dxa"/>
              <w:bottom w:w="50" w:type="dxa"/>
              <w:left w:w="90" w:type="dxa"/>
              <w:right w:w="90" w:type="dxa"/>
            </w:tcMar>
          </w:tcPr>
          <w:p>
            <w:pPr>
              <w:pStyle w:val="BDOITable"/>
            </w:pPr>
            <w:r>
              <w:rPr>
                <w:sz w:val="17"/>
              </w:rPr>
              <w:t>Apache Kafka 3.9 KRaft (Amazon MSK)</w:t>
            </w:r>
          </w:p>
        </w:tc>
      </w:tr>
      <w:tr>
        <w:trPr>
          <w:cantSplit w:val="true"/>
        </w:trPr>
        <w:tc>
          <w:tcPr>
            <w:tcW w:type="dxa" w:w="2040"/>
            <w:tcMar>
              <w:top w:w="50" w:type="dxa"/>
              <w:bottom w:w="50" w:type="dxa"/>
              <w:left w:w="90" w:type="dxa"/>
              <w:right w:w="90" w:type="dxa"/>
            </w:tcMar>
            <w:shd w:val="clear" w:color="auto" w:fill="E5F5FF"/>
          </w:tcPr>
          <w:p>
            <w:pPr>
              <w:pStyle w:val="BDOITable"/>
            </w:pPr>
            <w:r>
              <w:rPr>
                <w:b/>
                <w:sz w:val="17"/>
              </w:rPr>
              <w:t>File store</w:t>
            </w:r>
          </w:p>
        </w:tc>
        <w:tc>
          <w:tcPr>
            <w:tcW w:type="dxa" w:w="3966"/>
            <w:tcMar>
              <w:top w:w="50" w:type="dxa"/>
              <w:bottom w:w="50" w:type="dxa"/>
              <w:left w:w="90" w:type="dxa"/>
              <w:right w:w="90" w:type="dxa"/>
            </w:tcMar>
            <w:shd w:val="clear" w:color="auto" w:fill="E5F5FF"/>
          </w:tcPr>
          <w:p>
            <w:pPr>
              <w:pStyle w:val="BDOITable"/>
            </w:pPr>
            <w:r>
              <w:rPr>
                <w:sz w:val="17"/>
              </w:rPr>
              <w:t>Documents, attachments, reports, inbound files, migration extracts</w:t>
            </w:r>
          </w:p>
        </w:tc>
        <w:tc>
          <w:tcPr>
            <w:tcW w:type="dxa" w:w="3966"/>
            <w:tcMar>
              <w:top w:w="50" w:type="dxa"/>
              <w:bottom w:w="50" w:type="dxa"/>
              <w:left w:w="90" w:type="dxa"/>
              <w:right w:w="90" w:type="dxa"/>
            </w:tcMar>
            <w:shd w:val="clear" w:color="auto" w:fill="E5F5FF"/>
          </w:tcPr>
          <w:p>
            <w:pPr>
              <w:pStyle w:val="BDOITable"/>
            </w:pPr>
            <w:r>
              <w:rPr>
                <w:sz w:val="17"/>
              </w:rPr>
              <w:t>Amazon S3 with SSE-KMS</w:t>
            </w:r>
          </w:p>
        </w:tc>
      </w:tr>
    </w:tbl>
    <w:p>
      <w:pPr>
        <w:pStyle w:val="BDOISpacer"/>
      </w:pPr>
    </w:p>
    <w:p>
      <w:pPr>
        <w:pStyle w:val="Caption"/>
        <w:keepNext/>
        <w:spacing w:after="60"/>
      </w:pPr>
      <w:r>
        <w:rPr>
          <w:b/>
          <w:i w:val="0"/>
        </w:rPr>
        <w:t xml:space="preserve">Table 7: </w:t>
      </w:r>
      <w:r>
        <w:rPr/>
        <w:t>Component baseline (8 October 2026)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1586"/>
        <w:gridCol w:w="1359"/>
        <w:gridCol w:w="2606"/>
        <w:gridCol w:w="2719"/>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6"/>
              </w:rPr>
              <w:t>Component</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6"/>
              </w:rPr>
              <w:t>Version baseline</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Licence</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6"/>
              </w:rPr>
              <w:t>Function</w:t>
            </w:r>
          </w:p>
        </w:tc>
        <w:tc>
          <w:tcPr>
            <w:tcW w:type="dxa" w:w="2720"/>
            <w:shd w:val="clear" w:color="auto" w:fill="004EA8"/>
            <w:tcMar>
              <w:top w:w="50" w:type="dxa"/>
              <w:bottom w:w="50" w:type="dxa"/>
              <w:left w:w="90" w:type="dxa"/>
              <w:right w:w="90" w:type="dxa"/>
            </w:tcMar>
            <w:vAlign w:val="center"/>
          </w:tcPr>
          <w:p>
            <w:pPr>
              <w:pStyle w:val="BDOITableHeader"/>
            </w:pPr>
            <w:r>
              <w:rPr>
                <w:b/>
                <w:color w:val="FFFFFF"/>
                <w:sz w:val="16"/>
              </w:rPr>
              <w:t>Support horizon</w:t>
            </w:r>
          </w:p>
        </w:tc>
      </w:tr>
      <w:tr>
        <w:trPr>
          <w:cantSplit w:val="true"/>
        </w:trPr>
        <w:tc>
          <w:tcPr>
            <w:tcW w:type="dxa" w:w="1700"/>
            <w:tcMar>
              <w:top w:w="50" w:type="dxa"/>
              <w:bottom w:w="50" w:type="dxa"/>
              <w:left w:w="90" w:type="dxa"/>
              <w:right w:w="90" w:type="dxa"/>
            </w:tcMar>
          </w:tcPr>
          <w:p>
            <w:pPr>
              <w:pStyle w:val="BDOITable"/>
            </w:pPr>
            <w:r>
              <w:rPr>
                <w:b/>
                <w:sz w:val="16"/>
              </w:rPr>
              <w:t>PostgreSQL</w:t>
            </w:r>
          </w:p>
        </w:tc>
        <w:tc>
          <w:tcPr>
            <w:tcW w:type="dxa" w:w="1586"/>
            <w:tcMar>
              <w:top w:w="50" w:type="dxa"/>
              <w:bottom w:w="50" w:type="dxa"/>
              <w:left w:w="90" w:type="dxa"/>
              <w:right w:w="90" w:type="dxa"/>
            </w:tcMar>
          </w:tcPr>
          <w:p>
            <w:pPr>
              <w:pStyle w:val="BDOITable"/>
            </w:pPr>
            <w:r>
              <w:rPr>
                <w:sz w:val="16"/>
              </w:rPr>
              <w:t>16.x</w:t>
            </w:r>
          </w:p>
        </w:tc>
        <w:tc>
          <w:tcPr>
            <w:tcW w:type="dxa" w:w="1360"/>
            <w:tcMar>
              <w:top w:w="50" w:type="dxa"/>
              <w:bottom w:w="50" w:type="dxa"/>
              <w:left w:w="90" w:type="dxa"/>
              <w:right w:w="90" w:type="dxa"/>
            </w:tcMar>
          </w:tcPr>
          <w:p>
            <w:pPr>
              <w:pStyle w:val="BDOITable"/>
            </w:pPr>
            <w:r>
              <w:rPr>
                <w:sz w:val="16"/>
              </w:rPr>
              <w:t>PostgreSQL Licence</w:t>
            </w:r>
          </w:p>
        </w:tc>
        <w:tc>
          <w:tcPr>
            <w:tcW w:type="dxa" w:w="2606"/>
            <w:tcMar>
              <w:top w:w="50" w:type="dxa"/>
              <w:bottom w:w="50" w:type="dxa"/>
              <w:left w:w="90" w:type="dxa"/>
              <w:right w:w="90" w:type="dxa"/>
            </w:tcMar>
          </w:tcPr>
          <w:p>
            <w:pPr>
              <w:pStyle w:val="BDOITable"/>
            </w:pPr>
            <w:r>
              <w:rPr>
                <w:sz w:val="16"/>
              </w:rPr>
              <w:t>Relational data store (Amazon RDS for PostgreSQL 16)</w:t>
            </w:r>
          </w:p>
        </w:tc>
        <w:tc>
          <w:tcPr>
            <w:tcW w:type="dxa" w:w="2720"/>
            <w:tcMar>
              <w:top w:w="50" w:type="dxa"/>
              <w:bottom w:w="50" w:type="dxa"/>
              <w:left w:w="90" w:type="dxa"/>
              <w:right w:w="90" w:type="dxa"/>
            </w:tcMar>
          </w:tcPr>
          <w:p>
            <w:pPr>
              <w:pStyle w:val="BDOITable"/>
            </w:pPr>
            <w:r>
              <w:rPr>
                <w:sz w:val="16"/>
              </w:rPr>
              <w:t>Community support of the major version until 09-Nov-2028</w:t>
            </w:r>
          </w:p>
        </w:tc>
      </w:tr>
      <w:tr>
        <w:trPr>
          <w:cantSplit w:val="true"/>
        </w:trPr>
        <w:tc>
          <w:tcPr>
            <w:tcW w:type="dxa" w:w="1700"/>
            <w:tcMar>
              <w:top w:w="50" w:type="dxa"/>
              <w:bottom w:w="50" w:type="dxa"/>
              <w:left w:w="90" w:type="dxa"/>
              <w:right w:w="90" w:type="dxa"/>
            </w:tcMar>
            <w:shd w:val="clear" w:color="auto" w:fill="E5F5FF"/>
          </w:tcPr>
          <w:p>
            <w:pPr>
              <w:pStyle w:val="BDOITable"/>
            </w:pPr>
            <w:r>
              <w:rPr>
                <w:b/>
                <w:sz w:val="16"/>
              </w:rPr>
              <w:t>Valkey</w:t>
            </w:r>
          </w:p>
        </w:tc>
        <w:tc>
          <w:tcPr>
            <w:tcW w:type="dxa" w:w="1586"/>
            <w:tcMar>
              <w:top w:w="50" w:type="dxa"/>
              <w:bottom w:w="50" w:type="dxa"/>
              <w:left w:w="90" w:type="dxa"/>
              <w:right w:w="90" w:type="dxa"/>
            </w:tcMar>
            <w:shd w:val="clear" w:color="auto" w:fill="E5F5FF"/>
          </w:tcPr>
          <w:p>
            <w:pPr>
              <w:pStyle w:val="BDOITable"/>
            </w:pPr>
            <w:r>
              <w:rPr>
                <w:sz w:val="16"/>
              </w:rPr>
              <w:t>8.x</w:t>
            </w:r>
          </w:p>
        </w:tc>
        <w:tc>
          <w:tcPr>
            <w:tcW w:type="dxa" w:w="1360"/>
            <w:tcMar>
              <w:top w:w="50" w:type="dxa"/>
              <w:bottom w:w="50" w:type="dxa"/>
              <w:left w:w="90" w:type="dxa"/>
              <w:right w:w="90" w:type="dxa"/>
            </w:tcMar>
            <w:shd w:val="clear" w:color="auto" w:fill="E5F5FF"/>
          </w:tcPr>
          <w:p>
            <w:pPr>
              <w:pStyle w:val="BDOITable"/>
            </w:pPr>
            <w:r>
              <w:rPr>
                <w:sz w:val="16"/>
              </w:rPr>
              <w:t>BSD-3-Clause</w:t>
            </w:r>
          </w:p>
        </w:tc>
        <w:tc>
          <w:tcPr>
            <w:tcW w:type="dxa" w:w="2606"/>
            <w:tcMar>
              <w:top w:w="50" w:type="dxa"/>
              <w:bottom w:w="50" w:type="dxa"/>
              <w:left w:w="90" w:type="dxa"/>
              <w:right w:w="90" w:type="dxa"/>
            </w:tcMar>
            <w:shd w:val="clear" w:color="auto" w:fill="E5F5FF"/>
          </w:tcPr>
          <w:p>
            <w:pPr>
              <w:pStyle w:val="BDOITable"/>
            </w:pPr>
            <w:r>
              <w:rPr>
                <w:sz w:val="16"/>
              </w:rPr>
              <w:t>Reference-data cache, job locks, token deny-list, shared counters (Amazon ElastiCache for Valkey)</w:t>
            </w:r>
          </w:p>
        </w:tc>
        <w:tc>
          <w:tcPr>
            <w:tcW w:type="dxa" w:w="2720"/>
            <w:tcMar>
              <w:top w:w="50" w:type="dxa"/>
              <w:bottom w:w="50" w:type="dxa"/>
              <w:left w:w="90" w:type="dxa"/>
              <w:right w:w="90" w:type="dxa"/>
            </w:tcMar>
            <w:shd w:val="clear" w:color="auto" w:fill="E5F5FF"/>
          </w:tcPr>
          <w:p>
            <w:pPr>
              <w:pStyle w:val="BDOITable"/>
            </w:pPr>
            <w:r>
              <w:rPr>
                <w:sz w:val="16"/>
              </w:rPr>
              <w:t>Follows the Valkey release policy and the ElastiCache engine calendar; checked at each annual technology review</w:t>
            </w:r>
          </w:p>
        </w:tc>
      </w:tr>
      <w:tr>
        <w:trPr>
          <w:cantSplit w:val="true"/>
        </w:trPr>
        <w:tc>
          <w:tcPr>
            <w:tcW w:type="dxa" w:w="1700"/>
            <w:tcMar>
              <w:top w:w="50" w:type="dxa"/>
              <w:bottom w:w="50" w:type="dxa"/>
              <w:left w:w="90" w:type="dxa"/>
              <w:right w:w="90" w:type="dxa"/>
            </w:tcMar>
          </w:tcPr>
          <w:p>
            <w:pPr>
              <w:pStyle w:val="BDOITable"/>
            </w:pPr>
            <w:r>
              <w:rPr>
                <w:b/>
                <w:sz w:val="16"/>
              </w:rPr>
              <w:t>Apache Kafka</w:t>
            </w:r>
          </w:p>
        </w:tc>
        <w:tc>
          <w:tcPr>
            <w:tcW w:type="dxa" w:w="1586"/>
            <w:tcMar>
              <w:top w:w="50" w:type="dxa"/>
              <w:bottom w:w="50" w:type="dxa"/>
              <w:left w:w="90" w:type="dxa"/>
              <w:right w:w="90" w:type="dxa"/>
            </w:tcMar>
          </w:tcPr>
          <w:p>
            <w:pPr>
              <w:pStyle w:val="BDOITable"/>
            </w:pPr>
            <w:r>
              <w:rPr>
                <w:sz w:val="16"/>
              </w:rPr>
              <w:t>3.9 (KRaft)</w:t>
            </w:r>
          </w:p>
        </w:tc>
        <w:tc>
          <w:tcPr>
            <w:tcW w:type="dxa" w:w="1360"/>
            <w:tcMar>
              <w:top w:w="50" w:type="dxa"/>
              <w:bottom w:w="50" w:type="dxa"/>
              <w:left w:w="90" w:type="dxa"/>
              <w:right w:w="90" w:type="dxa"/>
            </w:tcMar>
          </w:tcPr>
          <w:p>
            <w:pPr>
              <w:pStyle w:val="BDOITable"/>
            </w:pPr>
            <w:r>
              <w:rPr>
                <w:sz w:val="16"/>
              </w:rPr>
              <w:t>Apache 2.0</w:t>
            </w:r>
          </w:p>
        </w:tc>
        <w:tc>
          <w:tcPr>
            <w:tcW w:type="dxa" w:w="2606"/>
            <w:tcMar>
              <w:top w:w="50" w:type="dxa"/>
              <w:bottom w:w="50" w:type="dxa"/>
              <w:left w:w="90" w:type="dxa"/>
              <w:right w:w="90" w:type="dxa"/>
            </w:tcMar>
          </w:tcPr>
          <w:p>
            <w:pPr>
              <w:pStyle w:val="BDOITable"/>
            </w:pPr>
            <w:r>
              <w:rPr>
                <w:sz w:val="16"/>
              </w:rPr>
              <w:t>Event streaming with the transactional outbox (Amazon MSK)</w:t>
            </w:r>
          </w:p>
        </w:tc>
        <w:tc>
          <w:tcPr>
            <w:tcW w:type="dxa" w:w="2720"/>
            <w:tcMar>
              <w:top w:w="50" w:type="dxa"/>
              <w:bottom w:w="50" w:type="dxa"/>
              <w:left w:w="90" w:type="dxa"/>
              <w:right w:w="90" w:type="dxa"/>
            </w:tcMar>
          </w:tcPr>
          <w:p>
            <w:pPr>
              <w:pStyle w:val="BDOITable"/>
            </w:pPr>
            <w:r>
              <w:rPr>
                <w:sz w:val="16"/>
              </w:rPr>
              <w:t>Last 3.x line; the move to Kafka 4.x (KRaft only) is planned at the first annual technology review after go-live</w:t>
            </w:r>
          </w:p>
        </w:tc>
      </w:tr>
      <w:tr>
        <w:trPr>
          <w:cantSplit w:val="true"/>
        </w:trPr>
        <w:tc>
          <w:tcPr>
            <w:tcW w:type="dxa" w:w="1700"/>
            <w:tcMar>
              <w:top w:w="50" w:type="dxa"/>
              <w:bottom w:w="50" w:type="dxa"/>
              <w:left w:w="90" w:type="dxa"/>
              <w:right w:w="90" w:type="dxa"/>
            </w:tcMar>
            <w:shd w:val="clear" w:color="auto" w:fill="E5F5FF"/>
          </w:tcPr>
          <w:p>
            <w:pPr>
              <w:pStyle w:val="BDOITable"/>
            </w:pPr>
            <w:r>
              <w:rPr>
                <w:b/>
                <w:sz w:val="16"/>
              </w:rPr>
              <w:t>OpenJDK (Eclipse Temurin)</w:t>
            </w:r>
          </w:p>
        </w:tc>
        <w:tc>
          <w:tcPr>
            <w:tcW w:type="dxa" w:w="1586"/>
            <w:tcMar>
              <w:top w:w="50" w:type="dxa"/>
              <w:bottom w:w="50" w:type="dxa"/>
              <w:left w:w="90" w:type="dxa"/>
              <w:right w:w="90" w:type="dxa"/>
            </w:tcMar>
            <w:shd w:val="clear" w:color="auto" w:fill="E5F5FF"/>
          </w:tcPr>
          <w:p>
            <w:pPr>
              <w:pStyle w:val="BDOITable"/>
            </w:pPr>
            <w:r>
              <w:rPr>
                <w:sz w:val="16"/>
              </w:rPr>
              <w:t>21 LTS</w:t>
            </w:r>
          </w:p>
        </w:tc>
        <w:tc>
          <w:tcPr>
            <w:tcW w:type="dxa" w:w="1360"/>
            <w:tcMar>
              <w:top w:w="50" w:type="dxa"/>
              <w:bottom w:w="50" w:type="dxa"/>
              <w:left w:w="90" w:type="dxa"/>
              <w:right w:w="90" w:type="dxa"/>
            </w:tcMar>
            <w:shd w:val="clear" w:color="auto" w:fill="E5F5FF"/>
          </w:tcPr>
          <w:p>
            <w:pPr>
              <w:pStyle w:val="BDOITable"/>
            </w:pPr>
            <w:r>
              <w:rPr>
                <w:sz w:val="16"/>
              </w:rPr>
              <w:t>GPLv2 with Classpath Exception</w:t>
            </w:r>
          </w:p>
        </w:tc>
        <w:tc>
          <w:tcPr>
            <w:tcW w:type="dxa" w:w="2606"/>
            <w:tcMar>
              <w:top w:w="50" w:type="dxa"/>
              <w:bottom w:w="50" w:type="dxa"/>
              <w:left w:w="90" w:type="dxa"/>
              <w:right w:w="90" w:type="dxa"/>
            </w:tcMar>
            <w:shd w:val="clear" w:color="auto" w:fill="E5F5FF"/>
          </w:tcPr>
          <w:p>
            <w:pPr>
              <w:pStyle w:val="BDOITable"/>
            </w:pPr>
            <w:r>
              <w:rPr>
                <w:sz w:val="16"/>
              </w:rPr>
              <w:t>Application runtime of the backend</w:t>
            </w:r>
          </w:p>
        </w:tc>
        <w:tc>
          <w:tcPr>
            <w:tcW w:type="dxa" w:w="2720"/>
            <w:tcMar>
              <w:top w:w="50" w:type="dxa"/>
              <w:bottom w:w="50" w:type="dxa"/>
              <w:left w:w="90" w:type="dxa"/>
              <w:right w:w="90" w:type="dxa"/>
            </w:tcMar>
            <w:shd w:val="clear" w:color="auto" w:fill="E5F5FF"/>
          </w:tcPr>
          <w:p>
            <w:pPr>
              <w:pStyle w:val="BDOITable"/>
            </w:pPr>
            <w:r>
              <w:rPr>
                <w:sz w:val="16"/>
              </w:rPr>
              <w:t>Adoptium LTS support at least until Dec-2029</w:t>
            </w:r>
          </w:p>
        </w:tc>
      </w:tr>
      <w:tr>
        <w:trPr>
          <w:cantSplit w:val="true"/>
        </w:trPr>
        <w:tc>
          <w:tcPr>
            <w:tcW w:type="dxa" w:w="1700"/>
            <w:tcMar>
              <w:top w:w="50" w:type="dxa"/>
              <w:bottom w:w="50" w:type="dxa"/>
              <w:left w:w="90" w:type="dxa"/>
              <w:right w:w="90" w:type="dxa"/>
            </w:tcMar>
          </w:tcPr>
          <w:p>
            <w:pPr>
              <w:pStyle w:val="BDOITable"/>
            </w:pPr>
            <w:r>
              <w:rPr>
                <w:b/>
                <w:sz w:val="16"/>
              </w:rPr>
              <w:t>Spring Boot</w:t>
            </w:r>
          </w:p>
        </w:tc>
        <w:tc>
          <w:tcPr>
            <w:tcW w:type="dxa" w:w="1586"/>
            <w:tcMar>
              <w:top w:w="50" w:type="dxa"/>
              <w:bottom w:w="50" w:type="dxa"/>
              <w:left w:w="90" w:type="dxa"/>
              <w:right w:w="90" w:type="dxa"/>
            </w:tcMar>
          </w:tcPr>
          <w:p>
            <w:pPr>
              <w:pStyle w:val="BDOITable"/>
            </w:pPr>
            <w:r>
              <w:rPr>
                <w:sz w:val="16"/>
              </w:rPr>
              <w:t>3.5.x</w:t>
            </w:r>
          </w:p>
        </w:tc>
        <w:tc>
          <w:tcPr>
            <w:tcW w:type="dxa" w:w="1360"/>
            <w:tcMar>
              <w:top w:w="50" w:type="dxa"/>
              <w:bottom w:w="50" w:type="dxa"/>
              <w:left w:w="90" w:type="dxa"/>
              <w:right w:w="90" w:type="dxa"/>
            </w:tcMar>
          </w:tcPr>
          <w:p>
            <w:pPr>
              <w:pStyle w:val="BDOITable"/>
            </w:pPr>
            <w:r>
              <w:rPr>
                <w:sz w:val="16"/>
              </w:rPr>
              <w:t>Apache 2.0</w:t>
            </w:r>
          </w:p>
        </w:tc>
        <w:tc>
          <w:tcPr>
            <w:tcW w:type="dxa" w:w="2606"/>
            <w:tcMar>
              <w:top w:w="50" w:type="dxa"/>
              <w:bottom w:w="50" w:type="dxa"/>
              <w:left w:w="90" w:type="dxa"/>
              <w:right w:w="90" w:type="dxa"/>
            </w:tcMar>
          </w:tcPr>
          <w:p>
            <w:pPr>
              <w:pStyle w:val="BDOITable"/>
            </w:pPr>
            <w:r>
              <w:rPr>
                <w:sz w:val="16"/>
              </w:rPr>
              <w:t>Application framework of the backend</w:t>
            </w:r>
          </w:p>
        </w:tc>
        <w:tc>
          <w:tcPr>
            <w:tcW w:type="dxa" w:w="2720"/>
            <w:tcMar>
              <w:top w:w="50" w:type="dxa"/>
              <w:bottom w:w="50" w:type="dxa"/>
              <w:left w:w="90" w:type="dxa"/>
              <w:right w:w="90" w:type="dxa"/>
            </w:tcMar>
          </w:tcPr>
          <w:p>
            <w:pPr>
              <w:pStyle w:val="BDOITable"/>
            </w:pPr>
            <w:r>
              <w:rPr>
                <w:sz w:val="16"/>
              </w:rPr>
              <w:t>Open-source and commercial support windows differ; the support route is an open point (SA-07)</w:t>
            </w:r>
          </w:p>
        </w:tc>
      </w:tr>
      <w:tr>
        <w:trPr>
          <w:cantSplit w:val="true"/>
        </w:trPr>
        <w:tc>
          <w:tcPr>
            <w:tcW w:type="dxa" w:w="1700"/>
            <w:tcMar>
              <w:top w:w="50" w:type="dxa"/>
              <w:bottom w:w="50" w:type="dxa"/>
              <w:left w:w="90" w:type="dxa"/>
              <w:right w:w="90" w:type="dxa"/>
            </w:tcMar>
            <w:shd w:val="clear" w:color="auto" w:fill="E5F5FF"/>
          </w:tcPr>
          <w:p>
            <w:pPr>
              <w:pStyle w:val="BDOITable"/>
            </w:pPr>
            <w:r>
              <w:rPr>
                <w:b/>
                <w:sz w:val="16"/>
              </w:rPr>
              <w:t>React with TypeScript and Vite</w:t>
            </w:r>
          </w:p>
        </w:tc>
        <w:tc>
          <w:tcPr>
            <w:tcW w:type="dxa" w:w="1586"/>
            <w:tcMar>
              <w:top w:w="50" w:type="dxa"/>
              <w:bottom w:w="50" w:type="dxa"/>
              <w:left w:w="90" w:type="dxa"/>
              <w:right w:w="90" w:type="dxa"/>
            </w:tcMar>
            <w:shd w:val="clear" w:color="auto" w:fill="E5F5FF"/>
          </w:tcPr>
          <w:p>
            <w:pPr>
              <w:pStyle w:val="BDOITable"/>
            </w:pPr>
            <w:r>
              <w:rPr>
                <w:sz w:val="16"/>
              </w:rPr>
              <w:t>React 19.x, TypeScript 6, Vite 8</w:t>
            </w:r>
          </w:p>
        </w:tc>
        <w:tc>
          <w:tcPr>
            <w:tcW w:type="dxa" w:w="1360"/>
            <w:tcMar>
              <w:top w:w="50" w:type="dxa"/>
              <w:bottom w:w="50" w:type="dxa"/>
              <w:left w:w="90" w:type="dxa"/>
              <w:right w:w="90" w:type="dxa"/>
            </w:tcMar>
            <w:shd w:val="clear" w:color="auto" w:fill="E5F5FF"/>
          </w:tcPr>
          <w:p>
            <w:pPr>
              <w:pStyle w:val="BDOITable"/>
            </w:pPr>
            <w:r>
              <w:rPr>
                <w:sz w:val="16"/>
              </w:rPr>
              <w:t>MIT</w:t>
            </w:r>
          </w:p>
        </w:tc>
        <w:tc>
          <w:tcPr>
            <w:tcW w:type="dxa" w:w="2606"/>
            <w:tcMar>
              <w:top w:w="50" w:type="dxa"/>
              <w:bottom w:w="50" w:type="dxa"/>
              <w:left w:w="90" w:type="dxa"/>
              <w:right w:w="90" w:type="dxa"/>
            </w:tcMar>
            <w:shd w:val="clear" w:color="auto" w:fill="E5F5FF"/>
          </w:tcPr>
          <w:p>
            <w:pPr>
              <w:pStyle w:val="BDOITable"/>
            </w:pPr>
            <w:r>
              <w:rPr>
                <w:sz w:val="16"/>
              </w:rPr>
              <w:t>Web user interface (single-page application)</w:t>
            </w:r>
          </w:p>
        </w:tc>
        <w:tc>
          <w:tcPr>
            <w:tcW w:type="dxa" w:w="2720"/>
            <w:tcMar>
              <w:top w:w="50" w:type="dxa"/>
              <w:bottom w:w="50" w:type="dxa"/>
              <w:left w:w="90" w:type="dxa"/>
              <w:right w:w="90" w:type="dxa"/>
            </w:tcMar>
            <w:shd w:val="clear" w:color="auto" w:fill="E5F5FF"/>
          </w:tcPr>
          <w:p>
            <w:pPr>
              <w:pStyle w:val="BDOITable"/>
            </w:pPr>
            <w:r>
              <w:rPr>
                <w:sz w:val="16"/>
              </w:rPr>
              <w:t>Follows the current major version</w:t>
            </w:r>
          </w:p>
        </w:tc>
      </w:tr>
      <w:tr>
        <w:trPr>
          <w:cantSplit w:val="true"/>
        </w:trPr>
        <w:tc>
          <w:tcPr>
            <w:tcW w:type="dxa" w:w="1700"/>
            <w:tcMar>
              <w:top w:w="50" w:type="dxa"/>
              <w:bottom w:w="50" w:type="dxa"/>
              <w:left w:w="90" w:type="dxa"/>
              <w:right w:w="90" w:type="dxa"/>
            </w:tcMar>
          </w:tcPr>
          <w:p>
            <w:pPr>
              <w:pStyle w:val="BDOITable"/>
            </w:pPr>
            <w:r>
              <w:rPr>
                <w:b/>
                <w:sz w:val="16"/>
              </w:rPr>
              <w:t>Node (JavaScript runtime)</w:t>
            </w:r>
          </w:p>
        </w:tc>
        <w:tc>
          <w:tcPr>
            <w:tcW w:type="dxa" w:w="1586"/>
            <w:tcMar>
              <w:top w:w="50" w:type="dxa"/>
              <w:bottom w:w="50" w:type="dxa"/>
              <w:left w:w="90" w:type="dxa"/>
              <w:right w:w="90" w:type="dxa"/>
            </w:tcMar>
          </w:tcPr>
          <w:p>
            <w:pPr>
              <w:pStyle w:val="BDOITable"/>
            </w:pPr>
            <w:r>
              <w:rPr>
                <w:sz w:val="16"/>
              </w:rPr>
              <w:t>22 LTS</w:t>
            </w:r>
          </w:p>
        </w:tc>
        <w:tc>
          <w:tcPr>
            <w:tcW w:type="dxa" w:w="1360"/>
            <w:tcMar>
              <w:top w:w="50" w:type="dxa"/>
              <w:bottom w:w="50" w:type="dxa"/>
              <w:left w:w="90" w:type="dxa"/>
              <w:right w:w="90" w:type="dxa"/>
            </w:tcMar>
          </w:tcPr>
          <w:p>
            <w:pPr>
              <w:pStyle w:val="BDOITable"/>
            </w:pPr>
            <w:r>
              <w:rPr>
                <w:sz w:val="16"/>
              </w:rPr>
              <w:t>MIT</w:t>
            </w:r>
          </w:p>
        </w:tc>
        <w:tc>
          <w:tcPr>
            <w:tcW w:type="dxa" w:w="2606"/>
            <w:tcMar>
              <w:top w:w="50" w:type="dxa"/>
              <w:bottom w:w="50" w:type="dxa"/>
              <w:left w:w="90" w:type="dxa"/>
              <w:right w:w="90" w:type="dxa"/>
            </w:tcMar>
          </w:tcPr>
          <w:p>
            <w:pPr>
              <w:pStyle w:val="BDOITable"/>
            </w:pPr>
            <w:r>
              <w:rPr>
                <w:sz w:val="16"/>
              </w:rPr>
              <w:t>Compiles and packages the web user interface in the pipeline; not a production runtime</w:t>
            </w:r>
          </w:p>
        </w:tc>
        <w:tc>
          <w:tcPr>
            <w:tcW w:type="dxa" w:w="2720"/>
            <w:tcMar>
              <w:top w:w="50" w:type="dxa"/>
              <w:bottom w:w="50" w:type="dxa"/>
              <w:left w:w="90" w:type="dxa"/>
              <w:right w:w="90" w:type="dxa"/>
            </w:tcMar>
          </w:tcPr>
          <w:p>
            <w:pPr>
              <w:pStyle w:val="BDOITable"/>
            </w:pPr>
            <w:r>
              <w:rPr>
                <w:sz w:val="16"/>
              </w:rPr>
              <w:t>End of life 30-Apr-2027: move to Node 24 LTS before UAT (SA-08)</w:t>
            </w:r>
          </w:p>
        </w:tc>
      </w:tr>
      <w:tr>
        <w:trPr>
          <w:cantSplit w:val="true"/>
        </w:trPr>
        <w:tc>
          <w:tcPr>
            <w:tcW w:type="dxa" w:w="1700"/>
            <w:tcMar>
              <w:top w:w="50" w:type="dxa"/>
              <w:bottom w:w="50" w:type="dxa"/>
              <w:left w:w="90" w:type="dxa"/>
              <w:right w:w="90" w:type="dxa"/>
            </w:tcMar>
            <w:shd w:val="clear" w:color="auto" w:fill="E5F5FF"/>
          </w:tcPr>
          <w:p>
            <w:pPr>
              <w:pStyle w:val="BDOITable"/>
            </w:pPr>
            <w:r>
              <w:rPr>
                <w:b/>
                <w:sz w:val="16"/>
              </w:rPr>
              <w:t>nginx (unprivileged image)</w:t>
            </w:r>
          </w:p>
        </w:tc>
        <w:tc>
          <w:tcPr>
            <w:tcW w:type="dxa" w:w="1586"/>
            <w:tcMar>
              <w:top w:w="50" w:type="dxa"/>
              <w:bottom w:w="50" w:type="dxa"/>
              <w:left w:w="90" w:type="dxa"/>
              <w:right w:w="90" w:type="dxa"/>
            </w:tcMar>
            <w:shd w:val="clear" w:color="auto" w:fill="E5F5FF"/>
          </w:tcPr>
          <w:p>
            <w:pPr>
              <w:pStyle w:val="BDOITable"/>
            </w:pPr>
            <w:r>
              <w:rPr>
                <w:sz w:val="16"/>
              </w:rPr>
              <w:t>1.30</w:t>
            </w:r>
          </w:p>
        </w:tc>
        <w:tc>
          <w:tcPr>
            <w:tcW w:type="dxa" w:w="1360"/>
            <w:tcMar>
              <w:top w:w="50" w:type="dxa"/>
              <w:bottom w:w="50" w:type="dxa"/>
              <w:left w:w="90" w:type="dxa"/>
              <w:right w:w="90" w:type="dxa"/>
            </w:tcMar>
            <w:shd w:val="clear" w:color="auto" w:fill="E5F5FF"/>
          </w:tcPr>
          <w:p>
            <w:pPr>
              <w:pStyle w:val="BDOITable"/>
            </w:pPr>
            <w:r>
              <w:rPr>
                <w:sz w:val="16"/>
              </w:rPr>
              <w:t>BSD-2-Clause</w:t>
            </w:r>
          </w:p>
        </w:tc>
        <w:tc>
          <w:tcPr>
            <w:tcW w:type="dxa" w:w="2606"/>
            <w:tcMar>
              <w:top w:w="50" w:type="dxa"/>
              <w:bottom w:w="50" w:type="dxa"/>
              <w:left w:w="90" w:type="dxa"/>
              <w:right w:w="90" w:type="dxa"/>
            </w:tcMar>
            <w:shd w:val="clear" w:color="auto" w:fill="E5F5FF"/>
          </w:tcPr>
          <w:p>
            <w:pPr>
              <w:pStyle w:val="BDOITable"/>
            </w:pPr>
            <w:r>
              <w:rPr>
                <w:sz w:val="16"/>
              </w:rPr>
              <w:t>Serves the web user interface over TLS</w:t>
            </w:r>
          </w:p>
        </w:tc>
        <w:tc>
          <w:tcPr>
            <w:tcW w:type="dxa" w:w="2720"/>
            <w:tcMar>
              <w:top w:w="50" w:type="dxa"/>
              <w:bottom w:w="50" w:type="dxa"/>
              <w:left w:w="90" w:type="dxa"/>
              <w:right w:w="90" w:type="dxa"/>
            </w:tcMar>
            <w:shd w:val="clear" w:color="auto" w:fill="E5F5FF"/>
          </w:tcPr>
          <w:p>
            <w:pPr>
              <w:pStyle w:val="BDOITable"/>
            </w:pPr>
            <w:r>
              <w:rPr>
                <w:sz w:val="16"/>
              </w:rPr>
              <w:t>Until the next stable line; image refreshed with each release</w:t>
            </w:r>
          </w:p>
        </w:tc>
      </w:tr>
      <w:tr>
        <w:trPr>
          <w:cantSplit w:val="true"/>
        </w:trPr>
        <w:tc>
          <w:tcPr>
            <w:tcW w:type="dxa" w:w="1700"/>
            <w:tcMar>
              <w:top w:w="50" w:type="dxa"/>
              <w:bottom w:w="50" w:type="dxa"/>
              <w:left w:w="90" w:type="dxa"/>
              <w:right w:w="90" w:type="dxa"/>
            </w:tcMar>
          </w:tcPr>
          <w:p>
            <w:pPr>
              <w:pStyle w:val="BDOITable"/>
            </w:pPr>
            <w:r>
              <w:rPr>
                <w:b/>
                <w:sz w:val="16"/>
              </w:rPr>
              <w:t>Kubernetes (Amazon EKS)</w:t>
            </w:r>
          </w:p>
        </w:tc>
        <w:tc>
          <w:tcPr>
            <w:tcW w:type="dxa" w:w="1586"/>
            <w:tcMar>
              <w:top w:w="50" w:type="dxa"/>
              <w:bottom w:w="50" w:type="dxa"/>
              <w:left w:w="90" w:type="dxa"/>
              <w:right w:w="90" w:type="dxa"/>
            </w:tcMar>
          </w:tcPr>
          <w:p>
            <w:pPr>
              <w:pStyle w:val="BDOITable"/>
            </w:pPr>
            <w:r>
              <w:rPr>
                <w:sz w:val="16"/>
              </w:rPr>
              <w:t>Version supported by EKS</w:t>
            </w:r>
          </w:p>
        </w:tc>
        <w:tc>
          <w:tcPr>
            <w:tcW w:type="dxa" w:w="1360"/>
            <w:tcMar>
              <w:top w:w="50" w:type="dxa"/>
              <w:bottom w:w="50" w:type="dxa"/>
              <w:left w:w="90" w:type="dxa"/>
              <w:right w:w="90" w:type="dxa"/>
            </w:tcMar>
          </w:tcPr>
          <w:p>
            <w:pPr>
              <w:pStyle w:val="BDOITable"/>
            </w:pPr>
            <w:r>
              <w:rPr>
                <w:sz w:val="16"/>
              </w:rPr>
              <w:t>Apache 2.0</w:t>
            </w:r>
          </w:p>
        </w:tc>
        <w:tc>
          <w:tcPr>
            <w:tcW w:type="dxa" w:w="2606"/>
            <w:tcMar>
              <w:top w:w="50" w:type="dxa"/>
              <w:bottom w:w="50" w:type="dxa"/>
              <w:left w:w="90" w:type="dxa"/>
              <w:right w:w="90" w:type="dxa"/>
            </w:tcMar>
          </w:tcPr>
          <w:p>
            <w:pPr>
              <w:pStyle w:val="BDOITable"/>
            </w:pPr>
            <w:r>
              <w:rPr>
                <w:sz w:val="16"/>
              </w:rPr>
              <w:t>Container orchestration</w:t>
            </w:r>
          </w:p>
        </w:tc>
        <w:tc>
          <w:tcPr>
            <w:tcW w:type="dxa" w:w="2720"/>
            <w:tcMar>
              <w:top w:w="50" w:type="dxa"/>
              <w:bottom w:w="50" w:type="dxa"/>
              <w:left w:w="90" w:type="dxa"/>
              <w:right w:w="90" w:type="dxa"/>
            </w:tcMar>
          </w:tcPr>
          <w:p>
            <w:pPr>
              <w:pStyle w:val="BDOITable"/>
            </w:pPr>
            <w:r>
              <w:rPr>
                <w:sz w:val="16"/>
              </w:rPr>
              <w:t>Standard support of each version for 14 months after its EKS release</w:t>
            </w:r>
          </w:p>
        </w:tc>
      </w:tr>
      <w:tr>
        <w:trPr>
          <w:cantSplit w:val="true"/>
        </w:trPr>
        <w:tc>
          <w:tcPr>
            <w:tcW w:type="dxa" w:w="1700"/>
            <w:tcMar>
              <w:top w:w="50" w:type="dxa"/>
              <w:bottom w:w="50" w:type="dxa"/>
              <w:left w:w="90" w:type="dxa"/>
              <w:right w:w="90" w:type="dxa"/>
            </w:tcMar>
            <w:shd w:val="clear" w:color="auto" w:fill="E5F5FF"/>
          </w:tcPr>
          <w:p>
            <w:pPr>
              <w:pStyle w:val="BDOITable"/>
            </w:pPr>
            <w:r>
              <w:rPr>
                <w:b/>
                <w:sz w:val="16"/>
              </w:rPr>
              <w:t>Kubernetes Gateway API controller</w:t>
            </w:r>
          </w:p>
        </w:tc>
        <w:tc>
          <w:tcPr>
            <w:tcW w:type="dxa" w:w="1586"/>
            <w:tcMar>
              <w:top w:w="50" w:type="dxa"/>
              <w:bottom w:w="50" w:type="dxa"/>
              <w:left w:w="90" w:type="dxa"/>
              <w:right w:w="90" w:type="dxa"/>
            </w:tcMar>
            <w:shd w:val="clear" w:color="auto" w:fill="E5F5FF"/>
          </w:tcPr>
          <w:p>
            <w:pPr>
              <w:pStyle w:val="BDOITable"/>
            </w:pPr>
            <w:r>
              <w:rPr>
                <w:sz w:val="16"/>
              </w:rPr>
              <w:t>Gateway API v1 (standard channel); AWS Load Balancer Controller 2.14 or later</w:t>
            </w:r>
          </w:p>
        </w:tc>
        <w:tc>
          <w:tcPr>
            <w:tcW w:type="dxa" w:w="1360"/>
            <w:tcMar>
              <w:top w:w="50" w:type="dxa"/>
              <w:bottom w:w="50" w:type="dxa"/>
              <w:left w:w="90" w:type="dxa"/>
              <w:right w:w="90" w:type="dxa"/>
            </w:tcMar>
            <w:shd w:val="clear" w:color="auto" w:fill="E5F5FF"/>
          </w:tcPr>
          <w:p>
            <w:pPr>
              <w:pStyle w:val="BDOITable"/>
            </w:pPr>
            <w:r>
              <w:rPr>
                <w:sz w:val="16"/>
              </w:rPr>
              <w:t>Apache 2.0</w:t>
            </w:r>
          </w:p>
        </w:tc>
        <w:tc>
          <w:tcPr>
            <w:tcW w:type="dxa" w:w="2606"/>
            <w:tcMar>
              <w:top w:w="50" w:type="dxa"/>
              <w:bottom w:w="50" w:type="dxa"/>
              <w:left w:w="90" w:type="dxa"/>
              <w:right w:w="90" w:type="dxa"/>
            </w:tcMar>
            <w:shd w:val="clear" w:color="auto" w:fill="E5F5FF"/>
          </w:tcPr>
          <w:p>
            <w:pPr>
              <w:pStyle w:val="BDOITable"/>
            </w:pPr>
            <w:r>
              <w:rPr>
                <w:sz w:val="16"/>
              </w:rPr>
              <w:t>Edge routing (Gateway, HTTPRoute) to the internal load balancer</w:t>
            </w:r>
          </w:p>
        </w:tc>
        <w:tc>
          <w:tcPr>
            <w:tcW w:type="dxa" w:w="2720"/>
            <w:tcMar>
              <w:top w:w="50" w:type="dxa"/>
              <w:bottom w:w="50" w:type="dxa"/>
              <w:left w:w="90" w:type="dxa"/>
              <w:right w:w="90" w:type="dxa"/>
            </w:tcMar>
            <w:shd w:val="clear" w:color="auto" w:fill="E5F5FF"/>
          </w:tcPr>
          <w:p>
            <w:pPr>
              <w:pStyle w:val="BDOITable"/>
            </w:pPr>
            <w:r>
              <w:rPr>
                <w:sz w:val="16"/>
              </w:rPr>
              <w:t>Per release of the controller; checked at each annual technology review</w:t>
            </w:r>
          </w:p>
        </w:tc>
      </w:tr>
    </w:tbl>
    <w:p>
      <w:pPr>
        <w:pStyle w:val="BDOISpacer"/>
      </w:pPr>
    </w:p>
    <w:p>
      <w:pPr>
        <w:pStyle w:val="Heading1"/>
        <w:pBdr>
          <w:bottom w:val="single" w:sz="4" w:space="4" w:color="99C1E7"/>
        </w:pBdr>
      </w:pPr>
      <w:bookmarkStart w:id="114" w:name="_Toc000114"/>
      <w:r>
        <w:rPr/>
        <w:t>4 Domain model and bounded contexts</w:t>
      </w:r>
      <w:bookmarkEnd w:id="114"/>
    </w:p>
    <w:p>
      <w:pPr>
        <w:pStyle w:val="Heading2"/>
      </w:pPr>
      <w:bookmarkStart w:id="115" w:name="_Toc000115"/>
      <w:r>
        <w:rPr/>
        <w:t>4.1 Bounded contexts</w:t>
      </w:r>
      <w:bookmarkEnd w:id="115"/>
    </w:p>
    <w:p>
      <w:r>
        <w:rPr/>
        <w:t>The domain is cut into seventeen bounded contexts (domain-driven design): fifteen business contexts, each owned by one BRD, and two platform contexts. Each context is one or more backend modules (top-level packages); a module belongs to exactly one context. The table lists them; the API Catalogue lists every operation by context.</w:t>
      </w:r>
    </w:p>
    <w:p>
      <w:pPr>
        <w:pStyle w:val="Caption"/>
        <w:keepNext/>
        <w:spacing w:after="60"/>
      </w:pPr>
      <w:r>
        <w:rPr>
          <w:b/>
          <w:i w:val="0"/>
        </w:rPr>
        <w:t xml:space="preserve">Table 8: </w:t>
      </w:r>
      <w:r>
        <w:rPr/>
        <w:t>Bounded contexts and modules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66"/>
        <w:gridCol w:w="1473"/>
        <w:gridCol w:w="2606"/>
        <w:gridCol w:w="736"/>
        <w:gridCol w:w="849"/>
        <w:gridCol w:w="3739"/>
      </w:tblGrid>
      <w:tr>
        <w:trPr>
          <w:tblHeader w:val="true"/>
          <w:cantSplit w:val="true"/>
        </w:trPr>
        <w:tc>
          <w:tcPr>
            <w:tcW w:type="dxa" w:w="567"/>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Bounded context</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5"/>
              </w:rPr>
              <w:t>Modules</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850"/>
            <w:shd w:val="clear" w:color="auto" w:fill="004EA8"/>
            <w:tcMar>
              <w:top w:w="50" w:type="dxa"/>
              <w:bottom w:w="50" w:type="dxa"/>
              <w:left w:w="90" w:type="dxa"/>
              <w:right w:w="90" w:type="dxa"/>
            </w:tcMar>
            <w:vAlign w:val="center"/>
          </w:tcPr>
          <w:p>
            <w:pPr>
              <w:pStyle w:val="BDOITableHeader"/>
            </w:pPr>
            <w:r>
              <w:rPr>
                <w:b/>
                <w:color w:val="FFFFFF"/>
                <w:sz w:val="15"/>
              </w:rPr>
              <w:t>Drop</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5"/>
              </w:rPr>
              <w:t>Responsibility</w:t>
            </w:r>
          </w:p>
        </w:tc>
      </w:tr>
      <w:tr>
        <w:trPr>
          <w:cantSplit w:val="true"/>
        </w:trPr>
        <w:tc>
          <w:tcPr>
            <w:tcW w:type="dxa" w:w="567"/>
            <w:tcMar>
              <w:top w:w="50" w:type="dxa"/>
              <w:bottom w:w="50" w:type="dxa"/>
              <w:left w:w="90" w:type="dxa"/>
              <w:right w:w="90" w:type="dxa"/>
            </w:tcMar>
          </w:tcPr>
          <w:p>
            <w:pPr>
              <w:pStyle w:val="BDOITable"/>
            </w:pPr>
            <w:r>
              <w:rPr>
                <w:b/>
                <w:sz w:val="15"/>
              </w:rPr>
              <w:t>BC01</w:t>
            </w:r>
          </w:p>
        </w:tc>
        <w:tc>
          <w:tcPr>
            <w:tcW w:type="dxa" w:w="1473"/>
            <w:tcMar>
              <w:top w:w="50" w:type="dxa"/>
              <w:bottom w:w="50" w:type="dxa"/>
              <w:left w:w="90" w:type="dxa"/>
              <w:right w:w="90" w:type="dxa"/>
            </w:tcMar>
          </w:tcPr>
          <w:p>
            <w:pPr>
              <w:pStyle w:val="BDOITable"/>
            </w:pPr>
            <w:r>
              <w:rPr>
                <w:sz w:val="15"/>
              </w:rPr>
              <w:t>Client management</w:t>
            </w:r>
          </w:p>
        </w:tc>
        <w:tc>
          <w:tcPr>
            <w:tcW w:type="dxa" w:w="2606"/>
            <w:tcMar>
              <w:top w:w="50" w:type="dxa"/>
              <w:bottom w:w="50" w:type="dxa"/>
              <w:left w:w="90" w:type="dxa"/>
              <w:right w:w="90" w:type="dxa"/>
            </w:tcMar>
          </w:tcPr>
          <w:p>
            <w:pPr>
              <w:pStyle w:val="BDOITable"/>
            </w:pPr>
            <w:r>
              <w:rPr>
                <w:sz w:val="15"/>
              </w:rPr>
              <w:t>Clients (CRM)</w:t>
            </w:r>
          </w:p>
        </w:tc>
        <w:tc>
          <w:tcPr>
            <w:tcW w:type="dxa" w:w="737"/>
            <w:tcMar>
              <w:top w:w="50" w:type="dxa"/>
              <w:bottom w:w="50" w:type="dxa"/>
              <w:left w:w="90" w:type="dxa"/>
              <w:right w:w="90" w:type="dxa"/>
            </w:tcMar>
          </w:tcPr>
          <w:p>
            <w:pPr>
              <w:pStyle w:val="BDOITable"/>
            </w:pPr>
            <w:r>
              <w:rPr>
                <w:sz w:val="15"/>
              </w:rPr>
              <w:t>BRD-01</w:t>
            </w:r>
          </w:p>
        </w:tc>
        <w:tc>
          <w:tcPr>
            <w:tcW w:type="dxa" w:w="850"/>
            <w:tcMar>
              <w:top w:w="50" w:type="dxa"/>
              <w:bottom w:w="50" w:type="dxa"/>
              <w:left w:w="90" w:type="dxa"/>
              <w:right w:w="90" w:type="dxa"/>
            </w:tcMar>
          </w:tcPr>
          <w:p>
            <w:pPr>
              <w:pStyle w:val="BDOITable"/>
            </w:pPr>
            <w:r>
              <w:rPr>
                <w:sz w:val="15"/>
              </w:rPr>
              <w:t>Drop 1</w:t>
            </w:r>
          </w:p>
        </w:tc>
        <w:tc>
          <w:tcPr>
            <w:tcW w:type="dxa" w:w="3739"/>
            <w:tcMar>
              <w:top w:w="50" w:type="dxa"/>
              <w:bottom w:w="50" w:type="dxa"/>
              <w:left w:w="90" w:type="dxa"/>
              <w:right w:w="90" w:type="dxa"/>
            </w:tcMar>
          </w:tcPr>
          <w:p>
            <w:pPr>
              <w:pStyle w:val="BDOITable"/>
            </w:pPr>
            <w:r>
              <w:rPr>
                <w:sz w:val="15"/>
              </w:rPr>
              <w:t>Prospects and KYC-verified clients, contacts, tags, special instructions, duplicate detection, client 360 view</w:t>
            </w:r>
          </w:p>
        </w:tc>
      </w:tr>
      <w:tr>
        <w:trPr>
          <w:cantSplit w:val="true"/>
        </w:trPr>
        <w:tc>
          <w:tcPr>
            <w:tcW w:type="dxa" w:w="567"/>
            <w:tcMar>
              <w:top w:w="50" w:type="dxa"/>
              <w:bottom w:w="50" w:type="dxa"/>
              <w:left w:w="90" w:type="dxa"/>
              <w:right w:w="90" w:type="dxa"/>
            </w:tcMar>
            <w:shd w:val="clear" w:color="auto" w:fill="E5F5FF"/>
          </w:tcPr>
          <w:p>
            <w:pPr>
              <w:pStyle w:val="BDOITable"/>
            </w:pPr>
            <w:r>
              <w:rPr>
                <w:b/>
                <w:sz w:val="15"/>
              </w:rPr>
              <w:t>BC02</w:t>
            </w:r>
          </w:p>
        </w:tc>
        <w:tc>
          <w:tcPr>
            <w:tcW w:type="dxa" w:w="1473"/>
            <w:tcMar>
              <w:top w:w="50" w:type="dxa"/>
              <w:bottom w:w="50" w:type="dxa"/>
              <w:left w:w="90" w:type="dxa"/>
              <w:right w:w="90" w:type="dxa"/>
            </w:tcMar>
            <w:shd w:val="clear" w:color="auto" w:fill="E5F5FF"/>
          </w:tcPr>
          <w:p>
            <w:pPr>
              <w:pStyle w:val="BDOITable"/>
            </w:pPr>
            <w:r>
              <w:rPr>
                <w:sz w:val="15"/>
              </w:rPr>
              <w:t>Product catalogue and maintenance</w:t>
            </w:r>
          </w:p>
        </w:tc>
        <w:tc>
          <w:tcPr>
            <w:tcW w:type="dxa" w:w="2606"/>
            <w:tcMar>
              <w:top w:w="50" w:type="dxa"/>
              <w:bottom w:w="50" w:type="dxa"/>
              <w:left w:w="90" w:type="dxa"/>
              <w:right w:w="90" w:type="dxa"/>
            </w:tcMar>
            <w:shd w:val="clear" w:color="auto" w:fill="E5F5FF"/>
          </w:tcPr>
          <w:p>
            <w:pPr>
              <w:pStyle w:val="BDOITable"/>
            </w:pPr>
            <w:r>
              <w:rPr>
                <w:sz w:val="15"/>
              </w:rPr>
              <w:t>Product catalogue, Package requests</w:t>
            </w:r>
          </w:p>
        </w:tc>
        <w:tc>
          <w:tcPr>
            <w:tcW w:type="dxa" w:w="737"/>
            <w:tcMar>
              <w:top w:w="50" w:type="dxa"/>
              <w:bottom w:w="50" w:type="dxa"/>
              <w:left w:w="90" w:type="dxa"/>
              <w:right w:w="90" w:type="dxa"/>
            </w:tcMar>
            <w:shd w:val="clear" w:color="auto" w:fill="E5F5FF"/>
          </w:tcPr>
          <w:p>
            <w:pPr>
              <w:pStyle w:val="BDOITable"/>
            </w:pPr>
            <w:r>
              <w:rPr>
                <w:sz w:val="15"/>
              </w:rPr>
              <w:t>BRD-03</w:t>
            </w:r>
          </w:p>
        </w:tc>
        <w:tc>
          <w:tcPr>
            <w:tcW w:type="dxa" w:w="850"/>
            <w:tcMar>
              <w:top w:w="50" w:type="dxa"/>
              <w:bottom w:w="50" w:type="dxa"/>
              <w:left w:w="90" w:type="dxa"/>
              <w:right w:w="90" w:type="dxa"/>
            </w:tcMar>
            <w:shd w:val="clear" w:color="auto" w:fill="E5F5FF"/>
          </w:tcPr>
          <w:p>
            <w:pPr>
              <w:pStyle w:val="BDOITable"/>
            </w:pPr>
            <w:r>
              <w:rPr>
                <w:sz w:val="15"/>
              </w:rPr>
              <w:t>Drop 0</w:t>
            </w:r>
          </w:p>
        </w:tc>
        <w:tc>
          <w:tcPr>
            <w:tcW w:type="dxa" w:w="3739"/>
            <w:tcMar>
              <w:top w:w="50" w:type="dxa"/>
              <w:bottom w:w="50" w:type="dxa"/>
              <w:left w:w="90" w:type="dxa"/>
              <w:right w:w="90" w:type="dxa"/>
            </w:tcMar>
            <w:shd w:val="clear" w:color="auto" w:fill="E5F5FF"/>
          </w:tcPr>
          <w:p>
            <w:pPr>
              <w:pStyle w:val="BDOITable"/>
            </w:pPr>
            <w:r>
              <w:rPr>
                <w:sz w:val="15"/>
              </w:rPr>
              <w:t>Product lines, cover types, BDOI risk products and package versions, insurer panel, rate, commission and tax tables, minimum-field matrix, TSU routing rules, package request approvals</w:t>
            </w:r>
          </w:p>
        </w:tc>
      </w:tr>
      <w:tr>
        <w:trPr>
          <w:cantSplit w:val="true"/>
        </w:trPr>
        <w:tc>
          <w:tcPr>
            <w:tcW w:type="dxa" w:w="567"/>
            <w:tcMar>
              <w:top w:w="50" w:type="dxa"/>
              <w:bottom w:w="50" w:type="dxa"/>
              <w:left w:w="90" w:type="dxa"/>
              <w:right w:w="90" w:type="dxa"/>
            </w:tcMar>
          </w:tcPr>
          <w:p>
            <w:pPr>
              <w:pStyle w:val="BDOITable"/>
            </w:pPr>
            <w:r>
              <w:rPr>
                <w:b/>
                <w:sz w:val="15"/>
              </w:rPr>
              <w:t>BC03</w:t>
            </w:r>
          </w:p>
        </w:tc>
        <w:tc>
          <w:tcPr>
            <w:tcW w:type="dxa" w:w="1473"/>
            <w:tcMar>
              <w:top w:w="50" w:type="dxa"/>
              <w:bottom w:w="50" w:type="dxa"/>
              <w:left w:w="90" w:type="dxa"/>
              <w:right w:w="90" w:type="dxa"/>
            </w:tcMar>
          </w:tcPr>
          <w:p>
            <w:pPr>
              <w:pStyle w:val="BDOITable"/>
            </w:pPr>
            <w:r>
              <w:rPr>
                <w:sz w:val="15"/>
              </w:rPr>
              <w:t>New business broking</w:t>
            </w:r>
          </w:p>
        </w:tc>
        <w:tc>
          <w:tcPr>
            <w:tcW w:type="dxa" w:w="2606"/>
            <w:tcMar>
              <w:top w:w="50" w:type="dxa"/>
              <w:bottom w:w="50" w:type="dxa"/>
              <w:left w:w="90" w:type="dxa"/>
              <w:right w:w="90" w:type="dxa"/>
            </w:tcMar>
          </w:tcPr>
          <w:p>
            <w:pPr>
              <w:pStyle w:val="BDOITable"/>
            </w:pPr>
            <w:r>
              <w:rPr>
                <w:sz w:val="15"/>
              </w:rPr>
              <w:t>Accounts (ARN), Package quotations, Non-package proposals, Placement, Issuance, Booking, New Business reports</w:t>
            </w:r>
          </w:p>
        </w:tc>
        <w:tc>
          <w:tcPr>
            <w:tcW w:type="dxa" w:w="737"/>
            <w:tcMar>
              <w:top w:w="50" w:type="dxa"/>
              <w:bottom w:w="50" w:type="dxa"/>
              <w:left w:w="90" w:type="dxa"/>
              <w:right w:w="90" w:type="dxa"/>
            </w:tcMar>
          </w:tcPr>
          <w:p>
            <w:pPr>
              <w:pStyle w:val="BDOITable"/>
            </w:pPr>
            <w:r>
              <w:rPr>
                <w:sz w:val="15"/>
              </w:rPr>
              <w:t>BRD-01</w:t>
            </w:r>
          </w:p>
        </w:tc>
        <w:tc>
          <w:tcPr>
            <w:tcW w:type="dxa" w:w="850"/>
            <w:tcMar>
              <w:top w:w="50" w:type="dxa"/>
              <w:bottom w:w="50" w:type="dxa"/>
              <w:left w:w="90" w:type="dxa"/>
              <w:right w:w="90" w:type="dxa"/>
            </w:tcMar>
          </w:tcPr>
          <w:p>
            <w:pPr>
              <w:pStyle w:val="BDOITable"/>
            </w:pPr>
            <w:r>
              <w:rPr>
                <w:sz w:val="15"/>
              </w:rPr>
              <w:t>Drop 1</w:t>
            </w:r>
          </w:p>
        </w:tc>
        <w:tc>
          <w:tcPr>
            <w:tcW w:type="dxa" w:w="3739"/>
            <w:tcMar>
              <w:top w:w="50" w:type="dxa"/>
              <w:bottom w:w="50" w:type="dxa"/>
              <w:left w:w="90" w:type="dxa"/>
              <w:right w:w="90" w:type="dxa"/>
            </w:tcMar>
          </w:tcPr>
          <w:p>
            <w:pPr>
              <w:pStyle w:val="BDOITable"/>
            </w:pPr>
            <w:r>
              <w:rPr>
                <w:sz w:val="15"/>
              </w:rPr>
              <w:t>Account (ARN) from quotation to invoice, quotation and PRF, placement slips and hold covers, e-policy receipt and Insurance Advice, booking with the broker accounting entry and service invoice</w:t>
            </w:r>
          </w:p>
        </w:tc>
      </w:tr>
      <w:tr>
        <w:trPr>
          <w:cantSplit w:val="true"/>
        </w:trPr>
        <w:tc>
          <w:tcPr>
            <w:tcW w:type="dxa" w:w="567"/>
            <w:tcMar>
              <w:top w:w="50" w:type="dxa"/>
              <w:bottom w:w="50" w:type="dxa"/>
              <w:left w:w="90" w:type="dxa"/>
              <w:right w:w="90" w:type="dxa"/>
            </w:tcMar>
            <w:shd w:val="clear" w:color="auto" w:fill="E5F5FF"/>
          </w:tcPr>
          <w:p>
            <w:pPr>
              <w:pStyle w:val="BDOITable"/>
            </w:pPr>
            <w:r>
              <w:rPr>
                <w:b/>
                <w:sz w:val="15"/>
              </w:rPr>
              <w:t>BC04</w:t>
            </w:r>
          </w:p>
        </w:tc>
        <w:tc>
          <w:tcPr>
            <w:tcW w:type="dxa" w:w="1473"/>
            <w:tcMar>
              <w:top w:w="50" w:type="dxa"/>
              <w:bottom w:w="50" w:type="dxa"/>
              <w:left w:w="90" w:type="dxa"/>
              <w:right w:w="90" w:type="dxa"/>
            </w:tcMar>
            <w:shd w:val="clear" w:color="auto" w:fill="E5F5FF"/>
          </w:tcPr>
          <w:p>
            <w:pPr>
              <w:pStyle w:val="BDOITable"/>
            </w:pPr>
            <w:r>
              <w:rPr>
                <w:sz w:val="15"/>
              </w:rPr>
              <w:t>Renewal</w:t>
            </w:r>
          </w:p>
        </w:tc>
        <w:tc>
          <w:tcPr>
            <w:tcW w:type="dxa" w:w="2606"/>
            <w:tcMar>
              <w:top w:w="50" w:type="dxa"/>
              <w:bottom w:w="50" w:type="dxa"/>
              <w:left w:w="90" w:type="dxa"/>
              <w:right w:w="90" w:type="dxa"/>
            </w:tcMar>
            <w:shd w:val="clear" w:color="auto" w:fill="E5F5FF"/>
          </w:tcPr>
          <w:p>
            <w:pPr>
              <w:pStyle w:val="BDOITable"/>
            </w:pPr>
            <w:r>
              <w:rPr>
                <w:sz w:val="15"/>
              </w:rPr>
              <w:t>Renewal</w:t>
            </w:r>
          </w:p>
        </w:tc>
        <w:tc>
          <w:tcPr>
            <w:tcW w:type="dxa" w:w="737"/>
            <w:tcMar>
              <w:top w:w="50" w:type="dxa"/>
              <w:bottom w:w="50" w:type="dxa"/>
              <w:left w:w="90" w:type="dxa"/>
              <w:right w:w="90" w:type="dxa"/>
            </w:tcMar>
            <w:shd w:val="clear" w:color="auto" w:fill="E5F5FF"/>
          </w:tcPr>
          <w:p>
            <w:pPr>
              <w:pStyle w:val="BDOITable"/>
            </w:pPr>
            <w:r>
              <w:rPr>
                <w:sz w:val="15"/>
              </w:rPr>
              <w:t>BRD-06</w:t>
            </w:r>
          </w:p>
        </w:tc>
        <w:tc>
          <w:tcPr>
            <w:tcW w:type="dxa" w:w="850"/>
            <w:tcMar>
              <w:top w:w="50" w:type="dxa"/>
              <w:bottom w:w="50" w:type="dxa"/>
              <w:left w:w="90" w:type="dxa"/>
              <w:right w:w="90" w:type="dxa"/>
            </w:tcMar>
            <w:shd w:val="clear" w:color="auto" w:fill="E5F5FF"/>
          </w:tcPr>
          <w:p>
            <w:pPr>
              <w:pStyle w:val="BDOITable"/>
            </w:pPr>
            <w:r>
              <w:rPr>
                <w:sz w:val="15"/>
              </w:rPr>
              <w:t>Drop 1</w:t>
            </w:r>
          </w:p>
        </w:tc>
        <w:tc>
          <w:tcPr>
            <w:tcW w:type="dxa" w:w="3739"/>
            <w:tcMar>
              <w:top w:w="50" w:type="dxa"/>
              <w:bottom w:w="50" w:type="dxa"/>
              <w:left w:w="90" w:type="dxa"/>
              <w:right w:w="90" w:type="dxa"/>
            </w:tcMar>
            <w:shd w:val="clear" w:color="auto" w:fill="E5F5FF"/>
          </w:tcPr>
          <w:p>
            <w:pPr>
              <w:pStyle w:val="BDOITable"/>
            </w:pPr>
            <w:r>
              <w:rPr>
                <w:sz w:val="15"/>
              </w:rPr>
              <w:t>Expiry list extraction, sanitation buckets, disposition, insurer batches, renewal advice, NAL and NRL letters</w:t>
            </w:r>
          </w:p>
        </w:tc>
      </w:tr>
      <w:tr>
        <w:trPr>
          <w:cantSplit w:val="true"/>
        </w:trPr>
        <w:tc>
          <w:tcPr>
            <w:tcW w:type="dxa" w:w="567"/>
            <w:tcMar>
              <w:top w:w="50" w:type="dxa"/>
              <w:bottom w:w="50" w:type="dxa"/>
              <w:left w:w="90" w:type="dxa"/>
              <w:right w:w="90" w:type="dxa"/>
            </w:tcMar>
          </w:tcPr>
          <w:p>
            <w:pPr>
              <w:pStyle w:val="BDOITable"/>
            </w:pPr>
            <w:r>
              <w:rPr>
                <w:b/>
                <w:sz w:val="15"/>
              </w:rPr>
              <w:t>BC05</w:t>
            </w:r>
          </w:p>
        </w:tc>
        <w:tc>
          <w:tcPr>
            <w:tcW w:type="dxa" w:w="1473"/>
            <w:tcMar>
              <w:top w:w="50" w:type="dxa"/>
              <w:bottom w:w="50" w:type="dxa"/>
              <w:left w:w="90" w:type="dxa"/>
              <w:right w:w="90" w:type="dxa"/>
            </w:tcMar>
          </w:tcPr>
          <w:p>
            <w:pPr>
              <w:pStyle w:val="BDOITable"/>
            </w:pPr>
            <w:r>
              <w:rPr>
                <w:sz w:val="15"/>
              </w:rPr>
              <w:t>Submitted policies</w:t>
            </w:r>
          </w:p>
        </w:tc>
        <w:tc>
          <w:tcPr>
            <w:tcW w:type="dxa" w:w="2606"/>
            <w:tcMar>
              <w:top w:w="50" w:type="dxa"/>
              <w:bottom w:w="50" w:type="dxa"/>
              <w:left w:w="90" w:type="dxa"/>
              <w:right w:w="90" w:type="dxa"/>
            </w:tcMar>
          </w:tcPr>
          <w:p>
            <w:pPr>
              <w:pStyle w:val="BDOITable"/>
            </w:pPr>
            <w:r>
              <w:rPr>
                <w:sz w:val="15"/>
              </w:rPr>
              <w:t>Submitted policies</w:t>
            </w:r>
          </w:p>
        </w:tc>
        <w:tc>
          <w:tcPr>
            <w:tcW w:type="dxa" w:w="737"/>
            <w:tcMar>
              <w:top w:w="50" w:type="dxa"/>
              <w:bottom w:w="50" w:type="dxa"/>
              <w:left w:w="90" w:type="dxa"/>
              <w:right w:w="90" w:type="dxa"/>
            </w:tcMar>
          </w:tcPr>
          <w:p>
            <w:pPr>
              <w:pStyle w:val="BDOITable"/>
            </w:pPr>
            <w:r>
              <w:rPr>
                <w:sz w:val="15"/>
              </w:rPr>
              <w:t>BRD-12</w:t>
            </w:r>
          </w:p>
        </w:tc>
        <w:tc>
          <w:tcPr>
            <w:tcW w:type="dxa" w:w="850"/>
            <w:tcMar>
              <w:top w:w="50" w:type="dxa"/>
              <w:bottom w:w="50" w:type="dxa"/>
              <w:left w:w="90" w:type="dxa"/>
              <w:right w:w="90" w:type="dxa"/>
            </w:tcMar>
          </w:tcPr>
          <w:p>
            <w:pPr>
              <w:pStyle w:val="BDOITable"/>
            </w:pPr>
            <w:r>
              <w:rPr>
                <w:sz w:val="15"/>
              </w:rPr>
              <w:t>Drop 1</w:t>
            </w:r>
          </w:p>
        </w:tc>
        <w:tc>
          <w:tcPr>
            <w:tcW w:type="dxa" w:w="3739"/>
            <w:tcMar>
              <w:top w:w="50" w:type="dxa"/>
              <w:bottom w:w="50" w:type="dxa"/>
              <w:left w:w="90" w:type="dxa"/>
              <w:right w:w="90" w:type="dxa"/>
            </w:tcMar>
          </w:tcPr>
          <w:p>
            <w:pPr>
              <w:pStyle w:val="BDOITable"/>
            </w:pPr>
            <w:r>
              <w:rPr>
                <w:sz w:val="15"/>
              </w:rPr>
              <w:t>Policies bought elsewhere and submitted for loan collateral, IAAF and TOR approvals, letters, hand-off to Renewal</w:t>
            </w:r>
          </w:p>
        </w:tc>
      </w:tr>
      <w:tr>
        <w:trPr>
          <w:cantSplit w:val="true"/>
        </w:trPr>
        <w:tc>
          <w:tcPr>
            <w:tcW w:type="dxa" w:w="567"/>
            <w:tcMar>
              <w:top w:w="50" w:type="dxa"/>
              <w:bottom w:w="50" w:type="dxa"/>
              <w:left w:w="90" w:type="dxa"/>
              <w:right w:w="90" w:type="dxa"/>
            </w:tcMar>
            <w:shd w:val="clear" w:color="auto" w:fill="E5F5FF"/>
          </w:tcPr>
          <w:p>
            <w:pPr>
              <w:pStyle w:val="BDOITable"/>
            </w:pPr>
            <w:r>
              <w:rPr>
                <w:b/>
                <w:sz w:val="15"/>
              </w:rPr>
              <w:t>BC06</w:t>
            </w:r>
          </w:p>
        </w:tc>
        <w:tc>
          <w:tcPr>
            <w:tcW w:type="dxa" w:w="1473"/>
            <w:tcMar>
              <w:top w:w="50" w:type="dxa"/>
              <w:bottom w:w="50" w:type="dxa"/>
              <w:left w:w="90" w:type="dxa"/>
              <w:right w:w="90" w:type="dxa"/>
            </w:tcMar>
            <w:shd w:val="clear" w:color="auto" w:fill="E5F5FF"/>
          </w:tcPr>
          <w:p>
            <w:pPr>
              <w:pStyle w:val="BDOITable"/>
            </w:pPr>
            <w:r>
              <w:rPr>
                <w:sz w:val="15"/>
              </w:rPr>
              <w:t>Operations</w:t>
            </w:r>
          </w:p>
        </w:tc>
        <w:tc>
          <w:tcPr>
            <w:tcW w:type="dxa" w:w="2606"/>
            <w:tcMar>
              <w:top w:w="50" w:type="dxa"/>
              <w:bottom w:w="50" w:type="dxa"/>
              <w:left w:w="90" w:type="dxa"/>
              <w:right w:w="90" w:type="dxa"/>
            </w:tcMar>
            <w:shd w:val="clear" w:color="auto" w:fill="E5F5FF"/>
          </w:tcPr>
          <w:p>
            <w:pPr>
              <w:pStyle w:val="BDOITable"/>
            </w:pPr>
            <w:r>
              <w:rPr>
                <w:sz w:val="15"/>
              </w:rPr>
              <w:t>Operations invoice ledger, Cashiering, Remittance, Adjustment, Commission receivables, Production reconciliation</w:t>
            </w:r>
          </w:p>
        </w:tc>
        <w:tc>
          <w:tcPr>
            <w:tcW w:type="dxa" w:w="737"/>
            <w:tcMar>
              <w:top w:w="50" w:type="dxa"/>
              <w:bottom w:w="50" w:type="dxa"/>
              <w:left w:w="90" w:type="dxa"/>
              <w:right w:w="90" w:type="dxa"/>
            </w:tcMar>
            <w:shd w:val="clear" w:color="auto" w:fill="E5F5FF"/>
          </w:tcPr>
          <w:p>
            <w:pPr>
              <w:pStyle w:val="BDOITable"/>
            </w:pPr>
            <w:r>
              <w:rPr>
                <w:sz w:val="15"/>
              </w:rPr>
              <w:t>BRD-02</w:t>
            </w:r>
          </w:p>
        </w:tc>
        <w:tc>
          <w:tcPr>
            <w:tcW w:type="dxa" w:w="850"/>
            <w:tcMar>
              <w:top w:w="50" w:type="dxa"/>
              <w:bottom w:w="50" w:type="dxa"/>
              <w:left w:w="90" w:type="dxa"/>
              <w:right w:w="90" w:type="dxa"/>
            </w:tcMar>
            <w:shd w:val="clear" w:color="auto" w:fill="E5F5FF"/>
          </w:tcPr>
          <w:p>
            <w:pPr>
              <w:pStyle w:val="BDOITable"/>
            </w:pPr>
            <w:r>
              <w:rPr>
                <w:sz w:val="15"/>
              </w:rPr>
              <w:t>Drop 1</w:t>
            </w:r>
          </w:p>
        </w:tc>
        <w:tc>
          <w:tcPr>
            <w:tcW w:type="dxa" w:w="3739"/>
            <w:tcMar>
              <w:top w:w="50" w:type="dxa"/>
              <w:bottom w:w="50" w:type="dxa"/>
              <w:left w:w="90" w:type="dxa"/>
              <w:right w:w="90" w:type="dxa"/>
            </w:tcMar>
            <w:shd w:val="clear" w:color="auto" w:fill="E5F5FF"/>
          </w:tcPr>
          <w:p>
            <w:pPr>
              <w:pStyle w:val="BDOITable"/>
            </w:pPr>
            <w:r>
              <w:rPr>
                <w:sz w:val="15"/>
              </w:rPr>
              <w:t>Invoice ledger, receipts (AR and OR), payment matching, remittance to insurers, adjustments, commission receivables, production reconciliation</w:t>
            </w:r>
          </w:p>
        </w:tc>
      </w:tr>
      <w:tr>
        <w:trPr>
          <w:cantSplit w:val="true"/>
        </w:trPr>
        <w:tc>
          <w:tcPr>
            <w:tcW w:type="dxa" w:w="567"/>
            <w:tcMar>
              <w:top w:w="50" w:type="dxa"/>
              <w:bottom w:w="50" w:type="dxa"/>
              <w:left w:w="90" w:type="dxa"/>
              <w:right w:w="90" w:type="dxa"/>
            </w:tcMar>
          </w:tcPr>
          <w:p>
            <w:pPr>
              <w:pStyle w:val="BDOITable"/>
            </w:pPr>
            <w:r>
              <w:rPr>
                <w:b/>
                <w:sz w:val="15"/>
              </w:rPr>
              <w:t>BC07</w:t>
            </w:r>
          </w:p>
        </w:tc>
        <w:tc>
          <w:tcPr>
            <w:tcW w:type="dxa" w:w="1473"/>
            <w:tcMar>
              <w:top w:w="50" w:type="dxa"/>
              <w:bottom w:w="50" w:type="dxa"/>
              <w:left w:w="90" w:type="dxa"/>
              <w:right w:w="90" w:type="dxa"/>
            </w:tcMar>
          </w:tcPr>
          <w:p>
            <w:pPr>
              <w:pStyle w:val="BDOITable"/>
            </w:pPr>
            <w:r>
              <w:rPr>
                <w:sz w:val="15"/>
              </w:rPr>
              <w:t>Collections</w:t>
            </w:r>
          </w:p>
        </w:tc>
        <w:tc>
          <w:tcPr>
            <w:tcW w:type="dxa" w:w="2606"/>
            <w:tcMar>
              <w:top w:w="50" w:type="dxa"/>
              <w:bottom w:w="50" w:type="dxa"/>
              <w:left w:w="90" w:type="dxa"/>
              <w:right w:w="90" w:type="dxa"/>
            </w:tcMar>
          </w:tcPr>
          <w:p>
            <w:pPr>
              <w:pStyle w:val="BDOITable"/>
            </w:pPr>
            <w:r>
              <w:rPr>
                <w:sz w:val="15"/>
              </w:rPr>
              <w:t>Collections</w:t>
            </w:r>
          </w:p>
        </w:tc>
        <w:tc>
          <w:tcPr>
            <w:tcW w:type="dxa" w:w="737"/>
            <w:tcMar>
              <w:top w:w="50" w:type="dxa"/>
              <w:bottom w:w="50" w:type="dxa"/>
              <w:left w:w="90" w:type="dxa"/>
              <w:right w:w="90" w:type="dxa"/>
            </w:tcMar>
          </w:tcPr>
          <w:p>
            <w:pPr>
              <w:pStyle w:val="BDOITable"/>
            </w:pPr>
            <w:r>
              <w:rPr>
                <w:sz w:val="15"/>
              </w:rPr>
              <w:t>BRD-04</w:t>
            </w:r>
          </w:p>
        </w:tc>
        <w:tc>
          <w:tcPr>
            <w:tcW w:type="dxa" w:w="850"/>
            <w:tcMar>
              <w:top w:w="50" w:type="dxa"/>
              <w:bottom w:w="50" w:type="dxa"/>
              <w:left w:w="90" w:type="dxa"/>
              <w:right w:w="90" w:type="dxa"/>
            </w:tcMar>
          </w:tcPr>
          <w:p>
            <w:pPr>
              <w:pStyle w:val="BDOITable"/>
            </w:pPr>
            <w:r>
              <w:rPr>
                <w:sz w:val="15"/>
              </w:rPr>
              <w:t>Drop 1</w:t>
            </w:r>
          </w:p>
        </w:tc>
        <w:tc>
          <w:tcPr>
            <w:tcW w:type="dxa" w:w="3739"/>
            <w:tcMar>
              <w:top w:w="50" w:type="dxa"/>
              <w:bottom w:w="50" w:type="dxa"/>
              <w:left w:w="90" w:type="dxa"/>
              <w:right w:w="90" w:type="dxa"/>
            </w:tcMar>
          </w:tcPr>
          <w:p>
            <w:pPr>
              <w:pStyle w:val="BDOITable"/>
            </w:pPr>
            <w:r>
              <w:rPr>
                <w:sz w:val="15"/>
              </w:rPr>
              <w:t>Collection worklist from the invoice ledger, assignment and escalation rules, promises to pay, daily, weekly and monthly files</w:t>
            </w:r>
          </w:p>
        </w:tc>
      </w:tr>
      <w:tr>
        <w:trPr>
          <w:cantSplit w:val="true"/>
        </w:trPr>
        <w:tc>
          <w:tcPr>
            <w:tcW w:type="dxa" w:w="567"/>
            <w:tcMar>
              <w:top w:w="50" w:type="dxa"/>
              <w:bottom w:w="50" w:type="dxa"/>
              <w:left w:w="90" w:type="dxa"/>
              <w:right w:w="90" w:type="dxa"/>
            </w:tcMar>
            <w:shd w:val="clear" w:color="auto" w:fill="E5F5FF"/>
          </w:tcPr>
          <w:p>
            <w:pPr>
              <w:pStyle w:val="BDOITable"/>
            </w:pPr>
            <w:r>
              <w:rPr>
                <w:b/>
                <w:sz w:val="15"/>
              </w:rPr>
              <w:t>BC08</w:t>
            </w:r>
          </w:p>
        </w:tc>
        <w:tc>
          <w:tcPr>
            <w:tcW w:type="dxa" w:w="1473"/>
            <w:tcMar>
              <w:top w:w="50" w:type="dxa"/>
              <w:bottom w:w="50" w:type="dxa"/>
              <w:left w:w="90" w:type="dxa"/>
              <w:right w:w="90" w:type="dxa"/>
            </w:tcMar>
            <w:shd w:val="clear" w:color="auto" w:fill="E5F5FF"/>
          </w:tcPr>
          <w:p>
            <w:pPr>
              <w:pStyle w:val="BDOITable"/>
            </w:pPr>
            <w:r>
              <w:rPr>
                <w:sz w:val="15"/>
              </w:rPr>
              <w:t>Accounting, disbursement and ACSL</w:t>
            </w:r>
          </w:p>
        </w:tc>
        <w:tc>
          <w:tcPr>
            <w:tcW w:type="dxa" w:w="2606"/>
            <w:tcMar>
              <w:top w:w="50" w:type="dxa"/>
              <w:bottom w:w="50" w:type="dxa"/>
              <w:left w:w="90" w:type="dxa"/>
              <w:right w:w="90" w:type="dxa"/>
            </w:tcMar>
            <w:shd w:val="clear" w:color="auto" w:fill="E5F5FF"/>
          </w:tcPr>
          <w:p>
            <w:pPr>
              <w:pStyle w:val="BDOITable"/>
            </w:pPr>
            <w:r>
              <w:rPr>
                <w:sz w:val="15"/>
              </w:rPr>
              <w:t>ACSL, Disbursement, Refund and cash-advance requests, FRBS reports and service fee</w:t>
            </w:r>
          </w:p>
        </w:tc>
        <w:tc>
          <w:tcPr>
            <w:tcW w:type="dxa" w:w="737"/>
            <w:tcMar>
              <w:top w:w="50" w:type="dxa"/>
              <w:bottom w:w="50" w:type="dxa"/>
              <w:left w:w="90" w:type="dxa"/>
              <w:right w:w="90" w:type="dxa"/>
            </w:tcMar>
            <w:shd w:val="clear" w:color="auto" w:fill="E5F5FF"/>
          </w:tcPr>
          <w:p>
            <w:pPr>
              <w:pStyle w:val="BDOITable"/>
            </w:pPr>
            <w:r>
              <w:rPr>
                <w:sz w:val="15"/>
              </w:rPr>
              <w:t>BRD-05</w:t>
            </w:r>
          </w:p>
        </w:tc>
        <w:tc>
          <w:tcPr>
            <w:tcW w:type="dxa" w:w="850"/>
            <w:tcMar>
              <w:top w:w="50" w:type="dxa"/>
              <w:bottom w:w="50" w:type="dxa"/>
              <w:left w:w="90" w:type="dxa"/>
              <w:right w:w="90" w:type="dxa"/>
            </w:tcMar>
            <w:shd w:val="clear" w:color="auto" w:fill="E5F5FF"/>
          </w:tcPr>
          <w:p>
            <w:pPr>
              <w:pStyle w:val="BDOITable"/>
            </w:pPr>
            <w:r>
              <w:rPr>
                <w:sz w:val="15"/>
              </w:rPr>
              <w:t>Drop 1</w:t>
            </w:r>
          </w:p>
        </w:tc>
        <w:tc>
          <w:tcPr>
            <w:tcW w:type="dxa" w:w="3739"/>
            <w:tcMar>
              <w:top w:w="50" w:type="dxa"/>
              <w:bottom w:w="50" w:type="dxa"/>
              <w:left w:w="90" w:type="dxa"/>
              <w:right w:w="90" w:type="dxa"/>
            </w:tcMar>
            <w:shd w:val="clear" w:color="auto" w:fill="E5F5FF"/>
          </w:tcPr>
          <w:p>
            <w:pPr>
              <w:pStyle w:val="BDOITable"/>
            </w:pPr>
            <w:r>
              <w:rPr>
                <w:sz w:val="15"/>
              </w:rPr>
              <w:t>Accounting control and sub-ledger, payee master, payment requests and vouchers, refunds and cash advances, management report pack</w:t>
            </w:r>
          </w:p>
        </w:tc>
      </w:tr>
      <w:tr>
        <w:trPr>
          <w:cantSplit w:val="true"/>
        </w:trPr>
        <w:tc>
          <w:tcPr>
            <w:tcW w:type="dxa" w:w="567"/>
            <w:tcMar>
              <w:top w:w="50" w:type="dxa"/>
              <w:bottom w:w="50" w:type="dxa"/>
              <w:left w:w="90" w:type="dxa"/>
              <w:right w:w="90" w:type="dxa"/>
            </w:tcMar>
          </w:tcPr>
          <w:p>
            <w:pPr>
              <w:pStyle w:val="BDOITable"/>
            </w:pPr>
            <w:r>
              <w:rPr>
                <w:b/>
                <w:sz w:val="15"/>
              </w:rPr>
              <w:t>BC09</w:t>
            </w:r>
          </w:p>
        </w:tc>
        <w:tc>
          <w:tcPr>
            <w:tcW w:type="dxa" w:w="1473"/>
            <w:tcMar>
              <w:top w:w="50" w:type="dxa"/>
              <w:bottom w:w="50" w:type="dxa"/>
              <w:left w:w="90" w:type="dxa"/>
              <w:right w:w="90" w:type="dxa"/>
            </w:tcMar>
          </w:tcPr>
          <w:p>
            <w:pPr>
              <w:pStyle w:val="BDOITable"/>
            </w:pPr>
            <w:r>
              <w:rPr>
                <w:sz w:val="15"/>
              </w:rPr>
              <w:t>Finance core</w:t>
            </w:r>
          </w:p>
        </w:tc>
        <w:tc>
          <w:tcPr>
            <w:tcW w:type="dxa" w:w="2606"/>
            <w:tcMar>
              <w:top w:w="50" w:type="dxa"/>
              <w:bottom w:w="50" w:type="dxa"/>
              <w:left w:w="90" w:type="dxa"/>
              <w:right w:w="90" w:type="dxa"/>
            </w:tcMar>
          </w:tcPr>
          <w:p>
            <w:pPr>
              <w:pStyle w:val="BDOITable"/>
            </w:pPr>
            <w:r>
              <w:rPr>
                <w:sz w:val="15"/>
              </w:rPr>
              <w:t>Chart of accounts, Journals, General ledger, Fiscal periods, Currencies and rates, Dimensions, Accounting engine, Open-item sub-ledger, Business partners, Financial reports, Period and year-end closing, Budgets, Fixed assets, Investments, Payables and bank accounts, Receivables and bank reconciliation, BIR tax and certificates</w:t>
            </w:r>
          </w:p>
        </w:tc>
        <w:tc>
          <w:tcPr>
            <w:tcW w:type="dxa" w:w="737"/>
            <w:tcMar>
              <w:top w:w="50" w:type="dxa"/>
              <w:bottom w:w="50" w:type="dxa"/>
              <w:left w:w="90" w:type="dxa"/>
              <w:right w:w="90" w:type="dxa"/>
            </w:tcMar>
          </w:tcPr>
          <w:p>
            <w:pPr>
              <w:pStyle w:val="BDOITable"/>
            </w:pPr>
            <w:r>
              <w:rPr>
                <w:sz w:val="15"/>
              </w:rPr>
              <w:t>BRD-05</w:t>
            </w:r>
          </w:p>
        </w:tc>
        <w:tc>
          <w:tcPr>
            <w:tcW w:type="dxa" w:w="850"/>
            <w:tcMar>
              <w:top w:w="50" w:type="dxa"/>
              <w:bottom w:w="50" w:type="dxa"/>
              <w:left w:w="90" w:type="dxa"/>
              <w:right w:w="90" w:type="dxa"/>
            </w:tcMar>
          </w:tcPr>
          <w:p>
            <w:pPr>
              <w:pStyle w:val="BDOITable"/>
            </w:pPr>
            <w:r>
              <w:rPr>
                <w:sz w:val="15"/>
              </w:rPr>
              <w:t>Drop 1</w:t>
            </w:r>
          </w:p>
        </w:tc>
        <w:tc>
          <w:tcPr>
            <w:tcW w:type="dxa" w:w="3739"/>
            <w:tcMar>
              <w:top w:w="50" w:type="dxa"/>
              <w:bottom w:w="50" w:type="dxa"/>
              <w:left w:w="90" w:type="dxa"/>
              <w:right w:w="90" w:type="dxa"/>
            </w:tcMar>
          </w:tcPr>
          <w:p>
            <w:pPr>
              <w:pStyle w:val="BDOITable"/>
            </w:pPr>
            <w:r>
              <w:rPr>
                <w:sz w:val="15"/>
              </w:rPr>
              <w:t>Event-driven accounting rules, journals with maker-checker, immutable ledger and daily balances, open items and ageing, BIR returns and certificates of the broker, financial statements</w:t>
            </w:r>
          </w:p>
        </w:tc>
      </w:tr>
      <w:tr>
        <w:trPr>
          <w:cantSplit w:val="true"/>
        </w:trPr>
        <w:tc>
          <w:tcPr>
            <w:tcW w:type="dxa" w:w="567"/>
            <w:tcMar>
              <w:top w:w="50" w:type="dxa"/>
              <w:bottom w:w="50" w:type="dxa"/>
              <w:left w:w="90" w:type="dxa"/>
              <w:right w:w="90" w:type="dxa"/>
            </w:tcMar>
            <w:shd w:val="clear" w:color="auto" w:fill="E5F5FF"/>
          </w:tcPr>
          <w:p>
            <w:pPr>
              <w:pStyle w:val="BDOITable"/>
            </w:pPr>
            <w:r>
              <w:rPr>
                <w:b/>
                <w:sz w:val="15"/>
              </w:rPr>
              <w:t>BC10</w:t>
            </w:r>
          </w:p>
        </w:tc>
        <w:tc>
          <w:tcPr>
            <w:tcW w:type="dxa" w:w="1473"/>
            <w:tcMar>
              <w:top w:w="50" w:type="dxa"/>
              <w:bottom w:w="50" w:type="dxa"/>
              <w:left w:w="90" w:type="dxa"/>
              <w:right w:w="90" w:type="dxa"/>
            </w:tcMar>
            <w:shd w:val="clear" w:color="auto" w:fill="E5F5FF"/>
          </w:tcPr>
          <w:p>
            <w:pPr>
              <w:pStyle w:val="BDOITable"/>
            </w:pPr>
            <w:r>
              <w:rPr>
                <w:sz w:val="15"/>
              </w:rPr>
              <w:t>Claims handling</w:t>
            </w:r>
          </w:p>
        </w:tc>
        <w:tc>
          <w:tcPr>
            <w:tcW w:type="dxa" w:w="2606"/>
            <w:tcMar>
              <w:top w:w="50" w:type="dxa"/>
              <w:bottom w:w="50" w:type="dxa"/>
              <w:left w:w="90" w:type="dxa"/>
              <w:right w:w="90" w:type="dxa"/>
            </w:tcMar>
            <w:shd w:val="clear" w:color="auto" w:fill="E5F5FF"/>
          </w:tcPr>
          <w:p>
            <w:pPr>
              <w:pStyle w:val="BDOITable"/>
            </w:pPr>
            <w:r>
              <w:rPr>
                <w:sz w:val="15"/>
              </w:rPr>
              <w:t>Claims handling</w:t>
            </w:r>
          </w:p>
        </w:tc>
        <w:tc>
          <w:tcPr>
            <w:tcW w:type="dxa" w:w="737"/>
            <w:tcMar>
              <w:top w:w="50" w:type="dxa"/>
              <w:bottom w:w="50" w:type="dxa"/>
              <w:left w:w="90" w:type="dxa"/>
              <w:right w:w="90" w:type="dxa"/>
            </w:tcMar>
            <w:shd w:val="clear" w:color="auto" w:fill="E5F5FF"/>
          </w:tcPr>
          <w:p>
            <w:pPr>
              <w:pStyle w:val="BDOITable"/>
            </w:pPr>
            <w:r>
              <w:rPr>
                <w:sz w:val="15"/>
              </w:rPr>
              <w:t>BRD-07</w:t>
            </w:r>
          </w:p>
        </w:tc>
        <w:tc>
          <w:tcPr>
            <w:tcW w:type="dxa" w:w="850"/>
            <w:tcMar>
              <w:top w:w="50" w:type="dxa"/>
              <w:bottom w:w="50" w:type="dxa"/>
              <w:left w:w="90" w:type="dxa"/>
              <w:right w:w="90" w:type="dxa"/>
            </w:tcMar>
            <w:shd w:val="clear" w:color="auto" w:fill="E5F5FF"/>
          </w:tcPr>
          <w:p>
            <w:pPr>
              <w:pStyle w:val="BDOITable"/>
            </w:pPr>
            <w:r>
              <w:rPr>
                <w:sz w:val="15"/>
              </w:rPr>
              <w:t>Drop 2</w:t>
            </w:r>
          </w:p>
        </w:tc>
        <w:tc>
          <w:tcPr>
            <w:tcW w:type="dxa" w:w="3739"/>
            <w:tcMar>
              <w:top w:w="50" w:type="dxa"/>
              <w:bottom w:w="50" w:type="dxa"/>
              <w:left w:w="90" w:type="dxa"/>
              <w:right w:w="90" w:type="dxa"/>
            </w:tcMar>
            <w:shd w:val="clear" w:color="auto" w:fill="E5F5FF"/>
          </w:tcPr>
          <w:p>
            <w:pPr>
              <w:pStyle w:val="BDOITable"/>
            </w:pPr>
            <w:r>
              <w:rPr>
                <w:sz w:val="15"/>
              </w:rPr>
              <w:t>The broker's claim case file on a cover, documents, insurer follow-up, settlement tracking, claim reports</w:t>
            </w:r>
          </w:p>
        </w:tc>
      </w:tr>
      <w:tr>
        <w:trPr>
          <w:cantSplit w:val="true"/>
        </w:trPr>
        <w:tc>
          <w:tcPr>
            <w:tcW w:type="dxa" w:w="567"/>
            <w:tcMar>
              <w:top w:w="50" w:type="dxa"/>
              <w:bottom w:w="50" w:type="dxa"/>
              <w:left w:w="90" w:type="dxa"/>
              <w:right w:w="90" w:type="dxa"/>
            </w:tcMar>
          </w:tcPr>
          <w:p>
            <w:pPr>
              <w:pStyle w:val="BDOITable"/>
            </w:pPr>
            <w:r>
              <w:rPr>
                <w:b/>
                <w:sz w:val="15"/>
              </w:rPr>
              <w:t>BC11</w:t>
            </w:r>
          </w:p>
        </w:tc>
        <w:tc>
          <w:tcPr>
            <w:tcW w:type="dxa" w:w="1473"/>
            <w:tcMar>
              <w:top w:w="50" w:type="dxa"/>
              <w:bottom w:w="50" w:type="dxa"/>
              <w:left w:w="90" w:type="dxa"/>
              <w:right w:w="90" w:type="dxa"/>
            </w:tcMar>
          </w:tcPr>
          <w:p>
            <w:pPr>
              <w:pStyle w:val="BDOITable"/>
            </w:pPr>
            <w:r>
              <w:rPr>
                <w:sz w:val="15"/>
              </w:rPr>
              <w:t>Employee benefits</w:t>
            </w:r>
          </w:p>
        </w:tc>
        <w:tc>
          <w:tcPr>
            <w:tcW w:type="dxa" w:w="2606"/>
            <w:tcMar>
              <w:top w:w="50" w:type="dxa"/>
              <w:bottom w:w="50" w:type="dxa"/>
              <w:left w:w="90" w:type="dxa"/>
              <w:right w:w="90" w:type="dxa"/>
            </w:tcMar>
          </w:tcPr>
          <w:p>
            <w:pPr>
              <w:pStyle w:val="BDOITable"/>
            </w:pPr>
            <w:r>
              <w:rPr>
                <w:sz w:val="15"/>
              </w:rPr>
              <w:t>Employee benefits</w:t>
            </w:r>
          </w:p>
        </w:tc>
        <w:tc>
          <w:tcPr>
            <w:tcW w:type="dxa" w:w="737"/>
            <w:tcMar>
              <w:top w:w="50" w:type="dxa"/>
              <w:bottom w:w="50" w:type="dxa"/>
              <w:left w:w="90" w:type="dxa"/>
              <w:right w:w="90" w:type="dxa"/>
            </w:tcMar>
          </w:tcPr>
          <w:p>
            <w:pPr>
              <w:pStyle w:val="BDOITable"/>
            </w:pPr>
            <w:r>
              <w:rPr>
                <w:sz w:val="15"/>
              </w:rPr>
              <w:t>BRD-08</w:t>
            </w:r>
          </w:p>
        </w:tc>
        <w:tc>
          <w:tcPr>
            <w:tcW w:type="dxa" w:w="850"/>
            <w:tcMar>
              <w:top w:w="50" w:type="dxa"/>
              <w:bottom w:w="50" w:type="dxa"/>
              <w:left w:w="90" w:type="dxa"/>
              <w:right w:w="90" w:type="dxa"/>
            </w:tcMar>
          </w:tcPr>
          <w:p>
            <w:pPr>
              <w:pStyle w:val="BDOITable"/>
            </w:pPr>
            <w:r>
              <w:rPr>
                <w:sz w:val="15"/>
              </w:rPr>
              <w:t>Drop 2</w:t>
            </w:r>
          </w:p>
        </w:tc>
        <w:tc>
          <w:tcPr>
            <w:tcW w:type="dxa" w:w="3739"/>
            <w:tcMar>
              <w:top w:w="50" w:type="dxa"/>
              <w:bottom w:w="50" w:type="dxa"/>
              <w:left w:w="90" w:type="dxa"/>
              <w:right w:w="90" w:type="dxa"/>
            </w:tcMar>
          </w:tcPr>
          <w:p>
            <w:pPr>
              <w:pStyle w:val="BDOITable"/>
            </w:pPr>
            <w:r>
              <w:rPr>
                <w:sz w:val="15"/>
              </w:rPr>
              <w:t>EB programmes of corporate clients (HMO, group life, group personal accident), yearly cycles, member changes, statements of account</w:t>
            </w:r>
          </w:p>
        </w:tc>
      </w:tr>
      <w:tr>
        <w:trPr>
          <w:cantSplit w:val="true"/>
        </w:trPr>
        <w:tc>
          <w:tcPr>
            <w:tcW w:type="dxa" w:w="567"/>
            <w:tcMar>
              <w:top w:w="50" w:type="dxa"/>
              <w:bottom w:w="50" w:type="dxa"/>
              <w:left w:w="90" w:type="dxa"/>
              <w:right w:w="90" w:type="dxa"/>
            </w:tcMar>
            <w:shd w:val="clear" w:color="auto" w:fill="E5F5FF"/>
          </w:tcPr>
          <w:p>
            <w:pPr>
              <w:pStyle w:val="BDOITable"/>
            </w:pPr>
            <w:r>
              <w:rPr>
                <w:b/>
                <w:sz w:val="15"/>
              </w:rPr>
              <w:t>BC12</w:t>
            </w:r>
          </w:p>
        </w:tc>
        <w:tc>
          <w:tcPr>
            <w:tcW w:type="dxa" w:w="1473"/>
            <w:tcMar>
              <w:top w:w="50" w:type="dxa"/>
              <w:bottom w:w="50" w:type="dxa"/>
              <w:left w:w="90" w:type="dxa"/>
              <w:right w:w="90" w:type="dxa"/>
            </w:tcMar>
            <w:shd w:val="clear" w:color="auto" w:fill="E5F5FF"/>
          </w:tcPr>
          <w:p>
            <w:pPr>
              <w:pStyle w:val="BDOITable"/>
            </w:pPr>
            <w:r>
              <w:rPr>
                <w:sz w:val="15"/>
              </w:rPr>
              <w:t>Customer servicing</w:t>
            </w:r>
          </w:p>
        </w:tc>
        <w:tc>
          <w:tcPr>
            <w:tcW w:type="dxa" w:w="2606"/>
            <w:tcMar>
              <w:top w:w="50" w:type="dxa"/>
              <w:bottom w:w="50" w:type="dxa"/>
              <w:left w:w="90" w:type="dxa"/>
              <w:right w:w="90" w:type="dxa"/>
            </w:tcMar>
            <w:shd w:val="clear" w:color="auto" w:fill="E5F5FF"/>
          </w:tcPr>
          <w:p>
            <w:pPr>
              <w:pStyle w:val="BDOITable"/>
            </w:pPr>
            <w:r>
              <w:rPr>
                <w:sz w:val="15"/>
              </w:rPr>
              <w:t>Customer servicing</w:t>
            </w:r>
          </w:p>
        </w:tc>
        <w:tc>
          <w:tcPr>
            <w:tcW w:type="dxa" w:w="737"/>
            <w:tcMar>
              <w:top w:w="50" w:type="dxa"/>
              <w:bottom w:w="50" w:type="dxa"/>
              <w:left w:w="90" w:type="dxa"/>
              <w:right w:w="90" w:type="dxa"/>
            </w:tcMar>
            <w:shd w:val="clear" w:color="auto" w:fill="E5F5FF"/>
          </w:tcPr>
          <w:p>
            <w:pPr>
              <w:pStyle w:val="BDOITable"/>
            </w:pPr>
            <w:r>
              <w:rPr>
                <w:sz w:val="15"/>
              </w:rPr>
              <w:t>BRD-09</w:t>
            </w:r>
          </w:p>
        </w:tc>
        <w:tc>
          <w:tcPr>
            <w:tcW w:type="dxa" w:w="850"/>
            <w:tcMar>
              <w:top w:w="50" w:type="dxa"/>
              <w:bottom w:w="50" w:type="dxa"/>
              <w:left w:w="90" w:type="dxa"/>
              <w:right w:w="90" w:type="dxa"/>
            </w:tcMar>
            <w:shd w:val="clear" w:color="auto" w:fill="E5F5FF"/>
          </w:tcPr>
          <w:p>
            <w:pPr>
              <w:pStyle w:val="BDOITable"/>
            </w:pPr>
            <w:r>
              <w:rPr>
                <w:sz w:val="15"/>
              </w:rPr>
              <w:t>Drop 1</w:t>
            </w:r>
          </w:p>
        </w:tc>
        <w:tc>
          <w:tcPr>
            <w:tcW w:type="dxa" w:w="3739"/>
            <w:tcMar>
              <w:top w:w="50" w:type="dxa"/>
              <w:bottom w:w="50" w:type="dxa"/>
              <w:left w:w="90" w:type="dxa"/>
              <w:right w:w="90" w:type="dxa"/>
            </w:tcMar>
            <w:shd w:val="clear" w:color="auto" w:fill="E5F5FF"/>
          </w:tcPr>
          <w:p>
            <w:pPr>
              <w:pStyle w:val="BDOITable"/>
            </w:pPr>
            <w:r>
              <w:rPr>
                <w:sz w:val="15"/>
              </w:rPr>
              <w:t>Contact Center workspace over clients, accounts, invoices, payments and e-policies; service requests and cases</w:t>
            </w:r>
          </w:p>
        </w:tc>
      </w:tr>
      <w:tr>
        <w:trPr>
          <w:cantSplit w:val="true"/>
        </w:trPr>
        <w:tc>
          <w:tcPr>
            <w:tcW w:type="dxa" w:w="567"/>
            <w:tcMar>
              <w:top w:w="50" w:type="dxa"/>
              <w:bottom w:w="50" w:type="dxa"/>
              <w:left w:w="90" w:type="dxa"/>
              <w:right w:w="90" w:type="dxa"/>
            </w:tcMar>
          </w:tcPr>
          <w:p>
            <w:pPr>
              <w:pStyle w:val="BDOITable"/>
            </w:pPr>
            <w:r>
              <w:rPr>
                <w:b/>
                <w:sz w:val="15"/>
              </w:rPr>
              <w:t>BC13</w:t>
            </w:r>
          </w:p>
        </w:tc>
        <w:tc>
          <w:tcPr>
            <w:tcW w:type="dxa" w:w="1473"/>
            <w:tcMar>
              <w:top w:w="50" w:type="dxa"/>
              <w:bottom w:w="50" w:type="dxa"/>
              <w:left w:w="90" w:type="dxa"/>
              <w:right w:w="90" w:type="dxa"/>
            </w:tcMar>
          </w:tcPr>
          <w:p>
            <w:pPr>
              <w:pStyle w:val="BDOITable"/>
            </w:pPr>
            <w:r>
              <w:rPr>
                <w:sz w:val="15"/>
              </w:rPr>
              <w:t>Sanction screening and risk profiling</w:t>
            </w:r>
          </w:p>
        </w:tc>
        <w:tc>
          <w:tcPr>
            <w:tcW w:type="dxa" w:w="2606"/>
            <w:tcMar>
              <w:top w:w="50" w:type="dxa"/>
              <w:bottom w:w="50" w:type="dxa"/>
              <w:left w:w="90" w:type="dxa"/>
              <w:right w:w="90" w:type="dxa"/>
            </w:tcMar>
          </w:tcPr>
          <w:p>
            <w:pPr>
              <w:pStyle w:val="BDOITable"/>
            </w:pPr>
            <w:r>
              <w:rPr>
                <w:sz w:val="15"/>
              </w:rPr>
              <w:t>Sanction screening</w:t>
            </w:r>
          </w:p>
        </w:tc>
        <w:tc>
          <w:tcPr>
            <w:tcW w:type="dxa" w:w="737"/>
            <w:tcMar>
              <w:top w:w="50" w:type="dxa"/>
              <w:bottom w:w="50" w:type="dxa"/>
              <w:left w:w="90" w:type="dxa"/>
              <w:right w:w="90" w:type="dxa"/>
            </w:tcMar>
          </w:tcPr>
          <w:p>
            <w:pPr>
              <w:pStyle w:val="BDOITable"/>
            </w:pPr>
            <w:r>
              <w:rPr>
                <w:sz w:val="15"/>
              </w:rPr>
              <w:t>BRD-10</w:t>
            </w:r>
          </w:p>
        </w:tc>
        <w:tc>
          <w:tcPr>
            <w:tcW w:type="dxa" w:w="850"/>
            <w:tcMar>
              <w:top w:w="50" w:type="dxa"/>
              <w:bottom w:w="50" w:type="dxa"/>
              <w:left w:w="90" w:type="dxa"/>
              <w:right w:w="90" w:type="dxa"/>
            </w:tcMar>
          </w:tcPr>
          <w:p>
            <w:pPr>
              <w:pStyle w:val="BDOITable"/>
            </w:pPr>
            <w:r>
              <w:rPr>
                <w:sz w:val="15"/>
              </w:rPr>
              <w:t>Drop 1</w:t>
            </w:r>
          </w:p>
        </w:tc>
        <w:tc>
          <w:tcPr>
            <w:tcW w:type="dxa" w:w="3739"/>
            <w:tcMar>
              <w:top w:w="50" w:type="dxa"/>
              <w:bottom w:w="50" w:type="dxa"/>
              <w:left w:w="90" w:type="dxa"/>
              <w:right w:w="90" w:type="dxa"/>
            </w:tcMar>
          </w:tcPr>
          <w:p>
            <w:pPr>
              <w:pStyle w:val="BDOITable"/>
            </w:pPr>
            <w:r>
              <w:rPr>
                <w:sz w:val="15"/>
              </w:rPr>
              <w:t>Watchlist sources and ingestion, name matching, screening cases, risk profiling, STR preparation and extraction</w:t>
            </w:r>
          </w:p>
        </w:tc>
      </w:tr>
      <w:tr>
        <w:trPr>
          <w:cantSplit w:val="true"/>
        </w:trPr>
        <w:tc>
          <w:tcPr>
            <w:tcW w:type="dxa" w:w="567"/>
            <w:tcMar>
              <w:top w:w="50" w:type="dxa"/>
              <w:bottom w:w="50" w:type="dxa"/>
              <w:left w:w="90" w:type="dxa"/>
              <w:right w:w="90" w:type="dxa"/>
            </w:tcMar>
            <w:shd w:val="clear" w:color="auto" w:fill="E5F5FF"/>
          </w:tcPr>
          <w:p>
            <w:pPr>
              <w:pStyle w:val="BDOITable"/>
            </w:pPr>
            <w:r>
              <w:rPr>
                <w:b/>
                <w:sz w:val="15"/>
              </w:rPr>
              <w:t>BC14</w:t>
            </w:r>
          </w:p>
        </w:tc>
        <w:tc>
          <w:tcPr>
            <w:tcW w:type="dxa" w:w="1473"/>
            <w:tcMar>
              <w:top w:w="50" w:type="dxa"/>
              <w:bottom w:w="50" w:type="dxa"/>
              <w:left w:w="90" w:type="dxa"/>
              <w:right w:w="90" w:type="dxa"/>
            </w:tcMar>
            <w:shd w:val="clear" w:color="auto" w:fill="E5F5FF"/>
          </w:tcPr>
          <w:p>
            <w:pPr>
              <w:pStyle w:val="BDOITable"/>
            </w:pPr>
            <w:r>
              <w:rPr>
                <w:sz w:val="15"/>
              </w:rPr>
              <w:t>User access and identity</w:t>
            </w:r>
          </w:p>
        </w:tc>
        <w:tc>
          <w:tcPr>
            <w:tcW w:type="dxa" w:w="2606"/>
            <w:tcMar>
              <w:top w:w="50" w:type="dxa"/>
              <w:bottom w:w="50" w:type="dxa"/>
              <w:left w:w="90" w:type="dxa"/>
              <w:right w:w="90" w:type="dxa"/>
            </w:tcMar>
            <w:shd w:val="clear" w:color="auto" w:fill="E5F5FF"/>
          </w:tcPr>
          <w:p>
            <w:pPr>
              <w:pStyle w:val="BDOITable"/>
            </w:pPr>
            <w:r>
              <w:rPr>
                <w:sz w:val="15"/>
              </w:rPr>
              <w:t>Users, roles and sign-in, Access requests and administration</w:t>
            </w:r>
          </w:p>
        </w:tc>
        <w:tc>
          <w:tcPr>
            <w:tcW w:type="dxa" w:w="737"/>
            <w:tcMar>
              <w:top w:w="50" w:type="dxa"/>
              <w:bottom w:w="50" w:type="dxa"/>
              <w:left w:w="90" w:type="dxa"/>
              <w:right w:w="90" w:type="dxa"/>
            </w:tcMar>
            <w:shd w:val="clear" w:color="auto" w:fill="E5F5FF"/>
          </w:tcPr>
          <w:p>
            <w:pPr>
              <w:pStyle w:val="BDOITable"/>
            </w:pPr>
            <w:r>
              <w:rPr>
                <w:sz w:val="15"/>
              </w:rPr>
              <w:t>BRD-11</w:t>
            </w:r>
          </w:p>
        </w:tc>
        <w:tc>
          <w:tcPr>
            <w:tcW w:type="dxa" w:w="850"/>
            <w:tcMar>
              <w:top w:w="50" w:type="dxa"/>
              <w:bottom w:w="50" w:type="dxa"/>
              <w:left w:w="90" w:type="dxa"/>
              <w:right w:w="90" w:type="dxa"/>
            </w:tcMar>
            <w:shd w:val="clear" w:color="auto" w:fill="E5F5FF"/>
          </w:tcPr>
          <w:p>
            <w:pPr>
              <w:pStyle w:val="BDOITable"/>
            </w:pPr>
            <w:r>
              <w:rPr>
                <w:sz w:val="15"/>
              </w:rPr>
              <w:t>Drop 0</w:t>
            </w:r>
          </w:p>
        </w:tc>
        <w:tc>
          <w:tcPr>
            <w:tcW w:type="dxa" w:w="3739"/>
            <w:tcMar>
              <w:top w:w="50" w:type="dxa"/>
              <w:bottom w:w="50" w:type="dxa"/>
              <w:left w:w="90" w:type="dxa"/>
              <w:right w:w="90" w:type="dxa"/>
            </w:tcMar>
            <w:shd w:val="clear" w:color="auto" w:fill="E5F5FF"/>
          </w:tcPr>
          <w:p>
            <w:pPr>
              <w:pStyle w:val="BDOITable"/>
            </w:pPr>
            <w:r>
              <w:rPr>
                <w:sz w:val="15"/>
              </w:rPr>
              <w:t>Users, roles and permissions, sign-in (local, OIDC, SAML), second factor, sessions, access requests under four eyes, data scope, separation-of-duties rules, retention rules</w:t>
            </w:r>
          </w:p>
        </w:tc>
      </w:tr>
      <w:tr>
        <w:trPr>
          <w:cantSplit w:val="true"/>
        </w:trPr>
        <w:tc>
          <w:tcPr>
            <w:tcW w:type="dxa" w:w="567"/>
            <w:tcMar>
              <w:top w:w="50" w:type="dxa"/>
              <w:bottom w:w="50" w:type="dxa"/>
              <w:left w:w="90" w:type="dxa"/>
              <w:right w:w="90" w:type="dxa"/>
            </w:tcMar>
          </w:tcPr>
          <w:p>
            <w:pPr>
              <w:pStyle w:val="BDOITable"/>
            </w:pPr>
            <w:r>
              <w:rPr>
                <w:b/>
                <w:sz w:val="15"/>
              </w:rPr>
              <w:t>BC15</w:t>
            </w:r>
          </w:p>
        </w:tc>
        <w:tc>
          <w:tcPr>
            <w:tcW w:type="dxa" w:w="1473"/>
            <w:tcMar>
              <w:top w:w="50" w:type="dxa"/>
              <w:bottom w:w="50" w:type="dxa"/>
              <w:left w:w="90" w:type="dxa"/>
              <w:right w:w="90" w:type="dxa"/>
            </w:tcMar>
          </w:tcPr>
          <w:p>
            <w:pPr>
              <w:pStyle w:val="BDOITable"/>
            </w:pPr>
            <w:r>
              <w:rPr>
                <w:sz w:val="15"/>
              </w:rPr>
              <w:t>Data migration</w:t>
            </w:r>
          </w:p>
        </w:tc>
        <w:tc>
          <w:tcPr>
            <w:tcW w:type="dxa" w:w="2606"/>
            <w:tcMar>
              <w:top w:w="50" w:type="dxa"/>
              <w:bottom w:w="50" w:type="dxa"/>
              <w:left w:w="90" w:type="dxa"/>
              <w:right w:w="90" w:type="dxa"/>
            </w:tcMar>
          </w:tcPr>
          <w:p>
            <w:pPr>
              <w:pStyle w:val="BDOITable"/>
            </w:pPr>
            <w:r>
              <w:rPr>
                <w:sz w:val="15"/>
              </w:rPr>
              <w:t>Data migration</w:t>
            </w:r>
          </w:p>
        </w:tc>
        <w:tc>
          <w:tcPr>
            <w:tcW w:type="dxa" w:w="737"/>
            <w:tcMar>
              <w:top w:w="50" w:type="dxa"/>
              <w:bottom w:w="50" w:type="dxa"/>
              <w:left w:w="90" w:type="dxa"/>
              <w:right w:w="90" w:type="dxa"/>
            </w:tcMar>
          </w:tcPr>
          <w:p>
            <w:pPr>
              <w:pStyle w:val="BDOITable"/>
            </w:pPr>
            <w:r>
              <w:rPr>
                <w:sz w:val="15"/>
              </w:rPr>
              <w:t>BRD-13</w:t>
            </w:r>
          </w:p>
        </w:tc>
        <w:tc>
          <w:tcPr>
            <w:tcW w:type="dxa" w:w="850"/>
            <w:tcMar>
              <w:top w:w="50" w:type="dxa"/>
              <w:bottom w:w="50" w:type="dxa"/>
              <w:left w:w="90" w:type="dxa"/>
              <w:right w:w="90" w:type="dxa"/>
            </w:tcMar>
          </w:tcPr>
          <w:p>
            <w:pPr>
              <w:pStyle w:val="BDOITable"/>
            </w:pPr>
            <w:r>
              <w:rPr>
                <w:sz w:val="15"/>
              </w:rPr>
              <w:t>Drop 0</w:t>
            </w:r>
          </w:p>
        </w:tc>
        <w:tc>
          <w:tcPr>
            <w:tcW w:type="dxa" w:w="3739"/>
            <w:tcMar>
              <w:top w:w="50" w:type="dxa"/>
              <w:bottom w:w="50" w:type="dxa"/>
              <w:left w:w="90" w:type="dxa"/>
              <w:right w:w="90" w:type="dxa"/>
            </w:tcMar>
          </w:tcPr>
          <w:p>
            <w:pPr>
              <w:pStyle w:val="BDOITable"/>
            </w:pPr>
            <w:r>
              <w:rPr>
                <w:sz w:val="15"/>
              </w:rPr>
              <w:t>Migration Console - intake of legacy extracts, masking, mapping and code maps, validation, load, reconciliation and rollback per batch</w:t>
            </w:r>
          </w:p>
        </w:tc>
      </w:tr>
      <w:tr>
        <w:trPr>
          <w:cantSplit w:val="true"/>
        </w:trPr>
        <w:tc>
          <w:tcPr>
            <w:tcW w:type="dxa" w:w="567"/>
            <w:tcMar>
              <w:top w:w="50" w:type="dxa"/>
              <w:bottom w:w="50" w:type="dxa"/>
              <w:left w:w="90" w:type="dxa"/>
              <w:right w:w="90" w:type="dxa"/>
            </w:tcMar>
            <w:shd w:val="clear" w:color="auto" w:fill="E5F5FF"/>
          </w:tcPr>
          <w:p>
            <w:pPr>
              <w:pStyle w:val="BDOITable"/>
            </w:pPr>
            <w:r>
              <w:rPr>
                <w:b/>
                <w:sz w:val="15"/>
              </w:rPr>
              <w:t>BC16</w:t>
            </w:r>
          </w:p>
        </w:tc>
        <w:tc>
          <w:tcPr>
            <w:tcW w:type="dxa" w:w="1473"/>
            <w:tcMar>
              <w:top w:w="50" w:type="dxa"/>
              <w:bottom w:w="50" w:type="dxa"/>
              <w:left w:w="90" w:type="dxa"/>
              <w:right w:w="90" w:type="dxa"/>
            </w:tcMar>
            <w:shd w:val="clear" w:color="auto" w:fill="E5F5FF"/>
          </w:tcPr>
          <w:p>
            <w:pPr>
              <w:pStyle w:val="BDOITable"/>
            </w:pPr>
            <w:r>
              <w:rPr>
                <w:sz w:val="15"/>
              </w:rPr>
              <w:t>Platform services</w:t>
            </w:r>
          </w:p>
        </w:tc>
        <w:tc>
          <w:tcPr>
            <w:tcW w:type="dxa" w:w="2606"/>
            <w:tcMar>
              <w:top w:w="50" w:type="dxa"/>
              <w:bottom w:w="50" w:type="dxa"/>
              <w:left w:w="90" w:type="dxa"/>
              <w:right w:w="90" w:type="dxa"/>
            </w:tcMar>
            <w:shd w:val="clear" w:color="auto" w:fill="E5F5FF"/>
          </w:tcPr>
          <w:p>
            <w:pPr>
              <w:pStyle w:val="BDOITable"/>
            </w:pPr>
            <w:r>
              <w:rPr>
                <w:sz w:val="15"/>
              </w:rPr>
              <w:t>Common services, Configuration, Companies and branches, Lists of values, Workflow, Bulk upload, Messaging and notifications, Document templates, Attachments, File storage, Audit trail, Exception codes and alerts, Approval inbox, Jobs and parameters, Report centre, Executive dashboard</w:t>
            </w:r>
          </w:p>
        </w:tc>
        <w:tc>
          <w:tcPr>
            <w:tcW w:type="dxa" w:w="737"/>
            <w:tcMar>
              <w:top w:w="50" w:type="dxa"/>
              <w:bottom w:w="50" w:type="dxa"/>
              <w:left w:w="90" w:type="dxa"/>
              <w:right w:w="90" w:type="dxa"/>
            </w:tcMar>
            <w:shd w:val="clear" w:color="auto" w:fill="E5F5FF"/>
          </w:tcPr>
          <w:p>
            <w:pPr>
              <w:pStyle w:val="BDOITable"/>
            </w:pPr>
            <w:r>
              <w:rPr>
                <w:sz w:val="15"/>
              </w:rPr>
              <w:t>BRD-00</w:t>
            </w:r>
          </w:p>
        </w:tc>
        <w:tc>
          <w:tcPr>
            <w:tcW w:type="dxa" w:w="850"/>
            <w:tcMar>
              <w:top w:w="50" w:type="dxa"/>
              <w:bottom w:w="50" w:type="dxa"/>
              <w:left w:w="90" w:type="dxa"/>
              <w:right w:w="90" w:type="dxa"/>
            </w:tcMar>
            <w:shd w:val="clear" w:color="auto" w:fill="E5F5FF"/>
          </w:tcPr>
          <w:p>
            <w:pPr>
              <w:pStyle w:val="BDOITable"/>
            </w:pPr>
            <w:r>
              <w:rPr>
                <w:sz w:val="15"/>
              </w:rPr>
              <w:t>Programme</w:t>
            </w:r>
          </w:p>
        </w:tc>
        <w:tc>
          <w:tcPr>
            <w:tcW w:type="dxa" w:w="3739"/>
            <w:tcMar>
              <w:top w:w="50" w:type="dxa"/>
              <w:bottom w:w="50" w:type="dxa"/>
              <w:left w:w="90" w:type="dxa"/>
              <w:right w:w="90" w:type="dxa"/>
            </w:tcMar>
            <w:shd w:val="clear" w:color="auto" w:fill="E5F5FF"/>
          </w:tcPr>
          <w:p>
            <w:pPr>
              <w:pStyle w:val="BDOITable"/>
            </w:pPr>
            <w:r>
              <w:rPr>
                <w:sz w:val="15"/>
              </w:rPr>
              <w:t>Generic subdomains used by every business context - companies and branches, parameters, lists of values, workflow engine, bulk upload, e-mail and notifications, document templates, file storage, audit trail, alerts, approval inbox, jobs, reports</w:t>
            </w:r>
          </w:p>
        </w:tc>
      </w:tr>
      <w:tr>
        <w:trPr>
          <w:cantSplit w:val="true"/>
        </w:trPr>
        <w:tc>
          <w:tcPr>
            <w:tcW w:type="dxa" w:w="567"/>
            <w:tcMar>
              <w:top w:w="50" w:type="dxa"/>
              <w:bottom w:w="50" w:type="dxa"/>
              <w:left w:w="90" w:type="dxa"/>
              <w:right w:w="90" w:type="dxa"/>
            </w:tcMar>
          </w:tcPr>
          <w:p>
            <w:pPr>
              <w:pStyle w:val="BDOITable"/>
            </w:pPr>
            <w:r>
              <w:rPr>
                <w:b/>
                <w:sz w:val="15"/>
              </w:rPr>
              <w:t>BC17</w:t>
            </w:r>
          </w:p>
        </w:tc>
        <w:tc>
          <w:tcPr>
            <w:tcW w:type="dxa" w:w="1473"/>
            <w:tcMar>
              <w:top w:w="50" w:type="dxa"/>
              <w:bottom w:w="50" w:type="dxa"/>
              <w:left w:w="90" w:type="dxa"/>
              <w:right w:w="90" w:type="dxa"/>
            </w:tcMar>
          </w:tcPr>
          <w:p>
            <w:pPr>
              <w:pStyle w:val="BDOITable"/>
            </w:pPr>
            <w:r>
              <w:rPr>
                <w:sz w:val="15"/>
              </w:rPr>
              <w:t>Integration and shared state</w:t>
            </w:r>
          </w:p>
        </w:tc>
        <w:tc>
          <w:tcPr>
            <w:tcW w:type="dxa" w:w="2606"/>
            <w:tcMar>
              <w:top w:w="50" w:type="dxa"/>
              <w:bottom w:w="50" w:type="dxa"/>
              <w:left w:w="90" w:type="dxa"/>
              <w:right w:w="90" w:type="dxa"/>
            </w:tcMar>
          </w:tcPr>
          <w:p>
            <w:pPr>
              <w:pStyle w:val="BDOITable"/>
            </w:pPr>
            <w:r>
              <w:rPr>
                <w:sz w:val="15"/>
              </w:rPr>
              <w:t>Integration events, Integration APIs, Cache administration, Shared state</w:t>
            </w:r>
          </w:p>
        </w:tc>
        <w:tc>
          <w:tcPr>
            <w:tcW w:type="dxa" w:w="737"/>
            <w:tcMar>
              <w:top w:w="50" w:type="dxa"/>
              <w:bottom w:w="50" w:type="dxa"/>
              <w:left w:w="90" w:type="dxa"/>
              <w:right w:w="90" w:type="dxa"/>
            </w:tcMar>
          </w:tcPr>
          <w:p>
            <w:pPr>
              <w:pStyle w:val="BDOITable"/>
            </w:pPr>
            <w:r>
              <w:rPr>
                <w:sz w:val="15"/>
              </w:rPr>
              <w:t>BRD-00</w:t>
            </w:r>
          </w:p>
        </w:tc>
        <w:tc>
          <w:tcPr>
            <w:tcW w:type="dxa" w:w="850"/>
            <w:tcMar>
              <w:top w:w="50" w:type="dxa"/>
              <w:bottom w:w="50" w:type="dxa"/>
              <w:left w:w="90" w:type="dxa"/>
              <w:right w:w="90" w:type="dxa"/>
            </w:tcMar>
          </w:tcPr>
          <w:p>
            <w:pPr>
              <w:pStyle w:val="BDOITable"/>
            </w:pPr>
            <w:r>
              <w:rPr>
                <w:sz w:val="15"/>
              </w:rPr>
              <w:t>Programme</w:t>
            </w:r>
          </w:p>
        </w:tc>
        <w:tc>
          <w:tcPr>
            <w:tcW w:type="dxa" w:w="3739"/>
            <w:tcMar>
              <w:top w:w="50" w:type="dxa"/>
              <w:bottom w:w="50" w:type="dxa"/>
              <w:left w:w="90" w:type="dxa"/>
              <w:right w:w="90" w:type="dxa"/>
            </w:tcMar>
          </w:tcPr>
          <w:p>
            <w:pPr>
              <w:pStyle w:val="BDOITable"/>
            </w:pPr>
            <w:r>
              <w:rPr>
                <w:sz w:val="15"/>
              </w:rPr>
              <w:t>Transactional outbox and Kafka topics, consumers and dead letters, system integration interface for Apigee X, reference-data cache and cluster-wide job locks on Valkey</w:t>
            </w:r>
          </w:p>
        </w:tc>
      </w:tr>
    </w:tbl>
    <w:p>
      <w:pPr>
        <w:pStyle w:val="BDOISpacer"/>
      </w:pPr>
    </w:p>
    <w:p>
      <w:pPr>
        <w:pStyle w:val="Heading2"/>
      </w:pPr>
      <w:bookmarkStart w:id="116" w:name="_Toc000116"/>
      <w:r>
        <w:rPr/>
        <w:t>4.2 Context map</w:t>
      </w:r>
      <w:bookmarkEnd w:id="116"/>
    </w:p>
    <w:p>
      <w:pPr>
        <w:keepNext/>
        <w:spacing w:before="80" w:after="0"/>
        <w:jc w:val="center"/>
      </w:pPr>
      <w:r>
        <w:drawing>
          <wp:inline xmlns:a="http://schemas.openxmlformats.org/drawingml/2006/main" xmlns:pic="http://schemas.openxmlformats.org/drawingml/2006/picture">
            <wp:extent cx="5940000" cy="3577989"/>
            <wp:docPr id="4" name="Picture 4"/>
            <wp:cNvGraphicFramePr>
              <a:graphicFrameLocks noChangeAspect="1"/>
            </wp:cNvGraphicFramePr>
            <a:graphic>
              <a:graphicData uri="http://schemas.openxmlformats.org/drawingml/2006/picture">
                <pic:pic>
                  <pic:nvPicPr>
                    <pic:cNvPr id="0" name="sa_context_map_1104.jpg"/>
                    <pic:cNvPicPr/>
                  </pic:nvPicPr>
                  <pic:blipFill>
                    <a:blip r:embed="rId16"/>
                    <a:stretch>
                      <a:fillRect/>
                    </a:stretch>
                  </pic:blipFill>
                  <pic:spPr>
                    <a:xfrm>
                      <a:off x="0" y="0"/>
                      <a:ext cx="5940000" cy="3577989"/>
                    </a:xfrm>
                    <a:prstGeom prst="rect"/>
                  </pic:spPr>
                </pic:pic>
              </a:graphicData>
            </a:graphic>
          </wp:inline>
        </w:drawing>
      </w:r>
    </w:p>
    <w:p>
      <w:pPr>
        <w:pStyle w:val="Caption"/>
        <w:jc w:val="center"/>
      </w:pPr>
      <w:r>
        <w:rPr>
          <w:b/>
          <w:i w:val="0"/>
        </w:rPr>
        <w:t xml:space="preserve">Figure 2: </w:t>
      </w:r>
      <w:r>
        <w:rPr/>
        <w:t>Bounded contexts and their dependencies</w:t>
      </w:r>
    </w:p>
    <w:p>
      <w:r>
        <w:rPr/>
        <w:t>Relationships between contexts follow three rules:</w:t>
      </w:r>
    </w:p>
    <w:p>
      <w:pPr>
        <w:tabs>
          <w:tab w:pos="312" w:val="left"/>
        </w:tabs>
        <w:spacing w:after="40"/>
        <w:ind w:left="312" w:hanging="283"/>
      </w:pPr>
      <w:r>
        <w:rPr>
          <w:color w:val="004EA8"/>
        </w:rPr>
        <w:t>•</w:t>
        <w:tab/>
      </w:r>
      <w:r>
        <w:rPr>
          <w:b/>
        </w:rPr>
        <w:t>Upstream and downstream.</w:t>
      </w:r>
      <w:r>
        <w:rPr/>
        <w:t xml:space="preserve"> A downstream context calls the services of an upstream context (New business broking uses Client management and the Product catalogue; Operations reads the invoice ledger fed by Booking). An upstream context never calls a downstream one.</w:t>
      </w:r>
    </w:p>
    <w:p>
      <w:pPr>
        <w:tabs>
          <w:tab w:pos="312" w:val="left"/>
        </w:tabs>
        <w:spacing w:after="40"/>
        <w:ind w:left="312" w:hanging="283"/>
      </w:pPr>
      <w:r>
        <w:rPr>
          <w:color w:val="004EA8"/>
        </w:rPr>
        <w:t>•</w:t>
        <w:tab/>
      </w:r>
      <w:r>
        <w:rPr>
          <w:b/>
        </w:rPr>
        <w:t>Ports for call-backs.</w:t>
      </w:r>
      <w:r>
        <w:rPr/>
        <w:t xml:space="preserve"> When an upstream context needs something from a downstream one, it declares an interface (a port) that the downstream context implements - for example the period-close guard of the finance core implemented by Journals, or the renewal hand-off of Submitted policies implemented by Renewal.</w:t>
      </w:r>
    </w:p>
    <w:p>
      <w:pPr>
        <w:tabs>
          <w:tab w:pos="312" w:val="left"/>
        </w:tabs>
        <w:spacing w:after="120"/>
        <w:ind w:left="312" w:hanging="283"/>
      </w:pPr>
      <w:r>
        <w:rPr>
          <w:color w:val="004EA8"/>
        </w:rPr>
        <w:t>•</w:t>
        <w:tab/>
      </w:r>
      <w:r>
        <w:rPr>
          <w:b/>
        </w:rPr>
        <w:t>Events for facts.</w:t>
      </w:r>
      <w:r>
        <w:rPr/>
        <w:t xml:space="preserve"> Facts that other contexts react to inside the same transaction are in-process events (the Operations ledger feed from Booking); facts that leave the transaction are integration events on Kafka (chapter 6).</w:t>
      </w:r>
    </w:p>
    <w:p>
      <w:pPr>
        <w:pStyle w:val="Heading2"/>
      </w:pPr>
      <w:bookmarkStart w:id="117" w:name="_Toc000117"/>
      <w:r>
        <w:rPr/>
        <w:t>4.3 Shared language</w:t>
      </w:r>
      <w:bookmarkEnd w:id="117"/>
    </w:p>
    <w:p>
      <w:pPr>
        <w:pStyle w:val="Caption"/>
        <w:keepNext/>
        <w:spacing w:after="60"/>
      </w:pPr>
      <w:r>
        <w:rPr>
          <w:b/>
          <w:i w:val="0"/>
        </w:rPr>
        <w:t xml:space="preserve">Table 9: </w:t>
      </w:r>
      <w:r>
        <w:rPr/>
        <w:t>Key terms of the shared language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804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7"/>
              </w:rPr>
              <w:t>Term</w:t>
            </w:r>
          </w:p>
        </w:tc>
        <w:tc>
          <w:tcPr>
            <w:tcW w:type="dxa" w:w="8046"/>
            <w:shd w:val="clear" w:color="auto" w:fill="004EA8"/>
            <w:tcMar>
              <w:top w:w="50" w:type="dxa"/>
              <w:bottom w:w="50" w:type="dxa"/>
              <w:left w:w="90" w:type="dxa"/>
              <w:right w:w="90" w:type="dxa"/>
            </w:tcMar>
            <w:vAlign w:val="center"/>
          </w:tcPr>
          <w:p>
            <w:pPr>
              <w:pStyle w:val="BDOITableHeader"/>
            </w:pPr>
            <w:r>
              <w:rPr>
                <w:b/>
                <w:color w:val="FFFFFF"/>
                <w:sz w:val="17"/>
              </w:rPr>
              <w:t>Meaning in BIBS</w:t>
            </w:r>
          </w:p>
        </w:tc>
      </w:tr>
      <w:tr>
        <w:trPr>
          <w:cantSplit w:val="true"/>
        </w:trPr>
        <w:tc>
          <w:tcPr>
            <w:tcW w:type="dxa" w:w="1926"/>
            <w:tcMar>
              <w:top w:w="50" w:type="dxa"/>
              <w:bottom w:w="50" w:type="dxa"/>
              <w:left w:w="90" w:type="dxa"/>
              <w:right w:w="90" w:type="dxa"/>
            </w:tcMar>
          </w:tcPr>
          <w:p>
            <w:pPr>
              <w:pStyle w:val="BDOITable"/>
            </w:pPr>
            <w:r>
              <w:rPr>
                <w:b/>
                <w:sz w:val="17"/>
              </w:rPr>
              <w:t>Client</w:t>
            </w:r>
          </w:p>
        </w:tc>
        <w:tc>
          <w:tcPr>
            <w:tcW w:type="dxa" w:w="8046"/>
            <w:tcMar>
              <w:top w:w="50" w:type="dxa"/>
              <w:bottom w:w="50" w:type="dxa"/>
              <w:left w:w="90" w:type="dxa"/>
              <w:right w:w="90" w:type="dxa"/>
            </w:tcMar>
          </w:tcPr>
          <w:p>
            <w:pPr>
              <w:pStyle w:val="BDOITable"/>
            </w:pPr>
            <w:r>
              <w:rPr>
                <w:sz w:val="17"/>
              </w:rPr>
              <w:t>A prospect or KYC-verified client of BDOI (Client management); the accounting party is created from it</w:t>
            </w:r>
          </w:p>
        </w:tc>
      </w:tr>
      <w:tr>
        <w:trPr>
          <w:cantSplit w:val="true"/>
        </w:trPr>
        <w:tc>
          <w:tcPr>
            <w:tcW w:type="dxa" w:w="1926"/>
            <w:tcMar>
              <w:top w:w="50" w:type="dxa"/>
              <w:bottom w:w="50" w:type="dxa"/>
              <w:left w:w="90" w:type="dxa"/>
              <w:right w:w="90" w:type="dxa"/>
            </w:tcMar>
            <w:shd w:val="clear" w:color="auto" w:fill="E5F5FF"/>
          </w:tcPr>
          <w:p>
            <w:pPr>
              <w:pStyle w:val="BDOITable"/>
            </w:pPr>
            <w:r>
              <w:rPr>
                <w:b/>
                <w:sz w:val="17"/>
              </w:rPr>
              <w:t>Account (ARN)</w:t>
            </w:r>
          </w:p>
        </w:tc>
        <w:tc>
          <w:tcPr>
            <w:tcW w:type="dxa" w:w="8046"/>
            <w:tcMar>
              <w:top w:w="50" w:type="dxa"/>
              <w:bottom w:w="50" w:type="dxa"/>
              <w:left w:w="90" w:type="dxa"/>
              <w:right w:w="90" w:type="dxa"/>
            </w:tcMar>
            <w:shd w:val="clear" w:color="auto" w:fill="E5F5FF"/>
          </w:tcPr>
          <w:p>
            <w:pPr>
              <w:pStyle w:val="BDOITable"/>
            </w:pPr>
            <w:r>
              <w:rPr>
                <w:sz w:val="17"/>
              </w:rPr>
              <w:t>The risk record placed with an insurer, from quotation to invoice; one ARN per account</w:t>
            </w:r>
          </w:p>
        </w:tc>
      </w:tr>
      <w:tr>
        <w:trPr>
          <w:cantSplit w:val="true"/>
        </w:trPr>
        <w:tc>
          <w:tcPr>
            <w:tcW w:type="dxa" w:w="1926"/>
            <w:tcMar>
              <w:top w:w="50" w:type="dxa"/>
              <w:bottom w:w="50" w:type="dxa"/>
              <w:left w:w="90" w:type="dxa"/>
              <w:right w:w="90" w:type="dxa"/>
            </w:tcMar>
          </w:tcPr>
          <w:p>
            <w:pPr>
              <w:pStyle w:val="BDOITable"/>
            </w:pPr>
            <w:r>
              <w:rPr>
                <w:b/>
                <w:sz w:val="17"/>
              </w:rPr>
              <w:t>Package, package version</w:t>
            </w:r>
          </w:p>
        </w:tc>
        <w:tc>
          <w:tcPr>
            <w:tcW w:type="dxa" w:w="8046"/>
            <w:tcMar>
              <w:top w:w="50" w:type="dxa"/>
              <w:bottom w:w="50" w:type="dxa"/>
              <w:left w:w="90" w:type="dxa"/>
              <w:right w:w="90" w:type="dxa"/>
            </w:tcMar>
          </w:tcPr>
          <w:p>
            <w:pPr>
              <w:pStyle w:val="BDOITable"/>
            </w:pPr>
            <w:r>
              <w:rPr>
                <w:sz w:val="17"/>
              </w:rPr>
              <w:t>A product of the catalogue with a validity period; quotations and renewals use the version in force</w:t>
            </w:r>
          </w:p>
        </w:tc>
      </w:tr>
      <w:tr>
        <w:trPr>
          <w:cantSplit w:val="true"/>
        </w:trPr>
        <w:tc>
          <w:tcPr>
            <w:tcW w:type="dxa" w:w="1926"/>
            <w:tcMar>
              <w:top w:w="50" w:type="dxa"/>
              <w:bottom w:w="50" w:type="dxa"/>
              <w:left w:w="90" w:type="dxa"/>
              <w:right w:w="90" w:type="dxa"/>
            </w:tcMar>
            <w:shd w:val="clear" w:color="auto" w:fill="E5F5FF"/>
          </w:tcPr>
          <w:p>
            <w:pPr>
              <w:pStyle w:val="BDOITable"/>
            </w:pPr>
            <w:r>
              <w:rPr>
                <w:b/>
                <w:sz w:val="17"/>
              </w:rPr>
              <w:t>Placement</w:t>
            </w:r>
          </w:p>
        </w:tc>
        <w:tc>
          <w:tcPr>
            <w:tcW w:type="dxa" w:w="8046"/>
            <w:tcMar>
              <w:top w:w="50" w:type="dxa"/>
              <w:bottom w:w="50" w:type="dxa"/>
              <w:left w:w="90" w:type="dxa"/>
              <w:right w:w="90" w:type="dxa"/>
            </w:tcMar>
            <w:shd w:val="clear" w:color="auto" w:fill="E5F5FF"/>
          </w:tcPr>
          <w:p>
            <w:pPr>
              <w:pStyle w:val="BDOITable"/>
            </w:pPr>
            <w:r>
              <w:rPr>
                <w:sz w:val="17"/>
              </w:rPr>
              <w:t>The account placed with one or more insurers by slip; hold covers bridge the gap to the policy</w:t>
            </w:r>
          </w:p>
        </w:tc>
      </w:tr>
      <w:tr>
        <w:trPr>
          <w:cantSplit w:val="true"/>
        </w:trPr>
        <w:tc>
          <w:tcPr>
            <w:tcW w:type="dxa" w:w="1926"/>
            <w:tcMar>
              <w:top w:w="50" w:type="dxa"/>
              <w:bottom w:w="50" w:type="dxa"/>
              <w:left w:w="90" w:type="dxa"/>
              <w:right w:w="90" w:type="dxa"/>
            </w:tcMar>
          </w:tcPr>
          <w:p>
            <w:pPr>
              <w:pStyle w:val="BDOITable"/>
            </w:pPr>
            <w:r>
              <w:rPr>
                <w:b/>
                <w:sz w:val="17"/>
              </w:rPr>
              <w:t>Booking, booked invoice</w:t>
            </w:r>
          </w:p>
        </w:tc>
        <w:tc>
          <w:tcPr>
            <w:tcW w:type="dxa" w:w="8046"/>
            <w:tcMar>
              <w:top w:w="50" w:type="dxa"/>
              <w:bottom w:w="50" w:type="dxa"/>
              <w:left w:w="90" w:type="dxa"/>
              <w:right w:w="90" w:type="dxa"/>
            </w:tcMar>
          </w:tcPr>
          <w:p>
            <w:pPr>
              <w:pStyle w:val="BDOITable"/>
            </w:pPr>
            <w:r>
              <w:rPr>
                <w:sz w:val="17"/>
              </w:rPr>
              <w:t>The broker's accounting entry and invoice of a placed account or endorsement</w:t>
            </w:r>
          </w:p>
        </w:tc>
      </w:tr>
      <w:tr>
        <w:trPr>
          <w:cantSplit w:val="true"/>
        </w:trPr>
        <w:tc>
          <w:tcPr>
            <w:tcW w:type="dxa" w:w="1926"/>
            <w:tcMar>
              <w:top w:w="50" w:type="dxa"/>
              <w:bottom w:w="50" w:type="dxa"/>
              <w:left w:w="90" w:type="dxa"/>
              <w:right w:w="90" w:type="dxa"/>
            </w:tcMar>
            <w:shd w:val="clear" w:color="auto" w:fill="E5F5FF"/>
          </w:tcPr>
          <w:p>
            <w:pPr>
              <w:pStyle w:val="BDOITable"/>
            </w:pPr>
            <w:r>
              <w:rPr>
                <w:b/>
                <w:sz w:val="17"/>
              </w:rPr>
              <w:t>Operations invoice ledger</w:t>
            </w:r>
          </w:p>
        </w:tc>
        <w:tc>
          <w:tcPr>
            <w:tcW w:type="dxa" w:w="8046"/>
            <w:tcMar>
              <w:top w:w="50" w:type="dxa"/>
              <w:bottom w:w="50" w:type="dxa"/>
              <w:left w:w="90" w:type="dxa"/>
              <w:right w:w="90" w:type="dxa"/>
            </w:tcMar>
            <w:shd w:val="clear" w:color="auto" w:fill="E5F5FF"/>
          </w:tcPr>
          <w:p>
            <w:pPr>
              <w:pStyle w:val="BDOITable"/>
            </w:pPr>
            <w:r>
              <w:rPr>
                <w:sz w:val="17"/>
              </w:rPr>
              <w:t>The ledger of booked invoices that Cashiering, Remittance, Adjustment, Commission and Collections read and update</w:t>
            </w:r>
          </w:p>
        </w:tc>
      </w:tr>
      <w:tr>
        <w:trPr>
          <w:cantSplit w:val="true"/>
        </w:trPr>
        <w:tc>
          <w:tcPr>
            <w:tcW w:type="dxa" w:w="1926"/>
            <w:tcMar>
              <w:top w:w="50" w:type="dxa"/>
              <w:bottom w:w="50" w:type="dxa"/>
              <w:left w:w="90" w:type="dxa"/>
              <w:right w:w="90" w:type="dxa"/>
            </w:tcMar>
          </w:tcPr>
          <w:p>
            <w:pPr>
              <w:pStyle w:val="BDOITable"/>
            </w:pPr>
            <w:r>
              <w:rPr>
                <w:b/>
                <w:sz w:val="17"/>
              </w:rPr>
              <w:t>Business event (accounting)</w:t>
            </w:r>
          </w:p>
        </w:tc>
        <w:tc>
          <w:tcPr>
            <w:tcW w:type="dxa" w:w="8046"/>
            <w:tcMar>
              <w:top w:w="50" w:type="dxa"/>
              <w:bottom w:w="50" w:type="dxa"/>
              <w:left w:w="90" w:type="dxa"/>
              <w:right w:w="90" w:type="dxa"/>
            </w:tcMar>
          </w:tcPr>
          <w:p>
            <w:pPr>
              <w:pStyle w:val="BDOITable"/>
            </w:pPr>
            <w:r>
              <w:rPr>
                <w:sz w:val="17"/>
              </w:rPr>
              <w:t>A fact of an operational module (receipt, payment, booking) that the accounting engine turns into a journal</w:t>
            </w:r>
          </w:p>
        </w:tc>
      </w:tr>
      <w:tr>
        <w:trPr>
          <w:cantSplit w:val="true"/>
        </w:trPr>
        <w:tc>
          <w:tcPr>
            <w:tcW w:type="dxa" w:w="1926"/>
            <w:tcMar>
              <w:top w:w="50" w:type="dxa"/>
              <w:bottom w:w="50" w:type="dxa"/>
              <w:left w:w="90" w:type="dxa"/>
              <w:right w:w="90" w:type="dxa"/>
            </w:tcMar>
            <w:shd w:val="clear" w:color="auto" w:fill="E5F5FF"/>
          </w:tcPr>
          <w:p>
            <w:pPr>
              <w:pStyle w:val="BDOITable"/>
            </w:pPr>
            <w:r>
              <w:rPr>
                <w:b/>
                <w:sz w:val="17"/>
              </w:rPr>
              <w:t>Integration event</w:t>
            </w:r>
          </w:p>
        </w:tc>
        <w:tc>
          <w:tcPr>
            <w:tcW w:type="dxa" w:w="8046"/>
            <w:tcMar>
              <w:top w:w="50" w:type="dxa"/>
              <w:bottom w:w="50" w:type="dxa"/>
              <w:left w:w="90" w:type="dxa"/>
              <w:right w:w="90" w:type="dxa"/>
            </w:tcMar>
            <w:shd w:val="clear" w:color="auto" w:fill="E5F5FF"/>
          </w:tcPr>
          <w:p>
            <w:pPr>
              <w:pStyle w:val="BDOITable"/>
            </w:pPr>
            <w:r>
              <w:rPr>
                <w:sz w:val="17"/>
              </w:rPr>
              <w:t>A fact published on Kafka for asynchronous work and other systems</w:t>
            </w:r>
          </w:p>
        </w:tc>
      </w:tr>
      <w:tr>
        <w:trPr>
          <w:cantSplit w:val="true"/>
        </w:trPr>
        <w:tc>
          <w:tcPr>
            <w:tcW w:type="dxa" w:w="1926"/>
            <w:tcMar>
              <w:top w:w="50" w:type="dxa"/>
              <w:bottom w:w="50" w:type="dxa"/>
              <w:left w:w="90" w:type="dxa"/>
              <w:right w:w="90" w:type="dxa"/>
            </w:tcMar>
          </w:tcPr>
          <w:p>
            <w:pPr>
              <w:pStyle w:val="BDOITable"/>
            </w:pPr>
            <w:r>
              <w:rPr>
                <w:b/>
                <w:sz w:val="17"/>
              </w:rPr>
              <w:t>Data scope</w:t>
            </w:r>
          </w:p>
        </w:tc>
        <w:tc>
          <w:tcPr>
            <w:tcW w:type="dxa" w:w="8046"/>
            <w:tcMar>
              <w:top w:w="50" w:type="dxa"/>
              <w:bottom w:w="50" w:type="dxa"/>
              <w:left w:w="90" w:type="dxa"/>
              <w:right w:w="90" w:type="dxa"/>
            </w:tcMar>
          </w:tcPr>
          <w:p>
            <w:pPr>
              <w:pStyle w:val="BDOITable"/>
            </w:pPr>
            <w:r>
              <w:rPr>
                <w:sz w:val="17"/>
              </w:rPr>
              <w:t>The companies and branches a user may act for</w:t>
            </w:r>
          </w:p>
        </w:tc>
      </w:tr>
    </w:tbl>
    <w:p>
      <w:pPr>
        <w:pStyle w:val="BDOISpacer"/>
      </w:pPr>
    </w:p>
    <w:p>
      <w:pPr>
        <w:pStyle w:val="Heading2"/>
      </w:pPr>
      <w:bookmarkStart w:id="118" w:name="_Toc000118"/>
      <w:r>
        <w:rPr/>
        <w:t>4.4 Operations per bounded context</w:t>
      </w:r>
      <w:bookmarkEnd w:id="118"/>
    </w:p>
    <w:p>
      <w:pPr>
        <w:pStyle w:val="Caption"/>
        <w:keepNext/>
        <w:spacing w:after="60"/>
      </w:pPr>
      <w:r>
        <w:rPr>
          <w:b/>
          <w:i w:val="0"/>
        </w:rPr>
        <w:t xml:space="preserve">Table 10: </w:t>
      </w:r>
      <w:r>
        <w:rPr/>
        <w:t>Operations per bounded context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43"/>
        <w:gridCol w:w="3217"/>
        <w:gridCol w:w="965"/>
        <w:gridCol w:w="1158"/>
        <w:gridCol w:w="900"/>
        <w:gridCol w:w="900"/>
        <w:gridCol w:w="900"/>
        <w:gridCol w:w="1286"/>
      </w:tblGrid>
      <w:tr>
        <w:trPr>
          <w:tblHeader w:val="true"/>
          <w:cantSplit w:val="true"/>
        </w:trPr>
        <w:tc>
          <w:tcPr>
            <w:tcW w:type="dxa" w:w="64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3217"/>
            <w:shd w:val="clear" w:color="auto" w:fill="004EA8"/>
            <w:tcMar>
              <w:top w:w="50" w:type="dxa"/>
              <w:bottom w:w="50" w:type="dxa"/>
              <w:left w:w="90" w:type="dxa"/>
              <w:right w:w="90" w:type="dxa"/>
            </w:tcMar>
            <w:vAlign w:val="center"/>
          </w:tcPr>
          <w:p>
            <w:pPr>
              <w:pStyle w:val="BDOITableHeader"/>
            </w:pPr>
            <w:r>
              <w:rPr>
                <w:b/>
                <w:color w:val="FFFFFF"/>
                <w:sz w:val="16"/>
              </w:rPr>
              <w:t>Bounded context</w:t>
            </w:r>
          </w:p>
        </w:tc>
        <w:tc>
          <w:tcPr>
            <w:tcW w:type="dxa" w:w="965"/>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1158"/>
            <w:shd w:val="clear" w:color="auto" w:fill="004EA8"/>
            <w:tcMar>
              <w:top w:w="50" w:type="dxa"/>
              <w:bottom w:w="50" w:type="dxa"/>
              <w:left w:w="90" w:type="dxa"/>
              <w:right w:w="90" w:type="dxa"/>
            </w:tcMar>
            <w:vAlign w:val="center"/>
          </w:tcPr>
          <w:p>
            <w:pPr>
              <w:pStyle w:val="BDOITableHeader"/>
            </w:pPr>
            <w:r>
              <w:rPr>
                <w:b/>
                <w:color w:val="FFFFFF"/>
                <w:sz w:val="16"/>
              </w:rPr>
              <w:t>Operations</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GET</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POST</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PUT</w:t>
            </w:r>
          </w:p>
        </w:tc>
        <w:tc>
          <w:tcPr>
            <w:tcW w:type="dxa" w:w="1287"/>
            <w:shd w:val="clear" w:color="auto" w:fill="004EA8"/>
            <w:tcMar>
              <w:top w:w="50" w:type="dxa"/>
              <w:bottom w:w="50" w:type="dxa"/>
              <w:left w:w="90" w:type="dxa"/>
              <w:right w:w="90" w:type="dxa"/>
            </w:tcMar>
            <w:vAlign w:val="center"/>
          </w:tcPr>
          <w:p>
            <w:pPr>
              <w:pStyle w:val="BDOITableHeader"/>
            </w:pPr>
            <w:r>
              <w:rPr>
                <w:b/>
                <w:color w:val="FFFFFF"/>
                <w:sz w:val="16"/>
              </w:rPr>
              <w:t>DELETE or PATCH</w:t>
            </w:r>
          </w:p>
        </w:tc>
      </w:tr>
      <w:tr>
        <w:trPr>
          <w:cantSplit w:val="true"/>
        </w:trPr>
        <w:tc>
          <w:tcPr>
            <w:tcW w:type="dxa" w:w="643"/>
            <w:tcMar>
              <w:top w:w="50" w:type="dxa"/>
              <w:bottom w:w="50" w:type="dxa"/>
              <w:left w:w="90" w:type="dxa"/>
              <w:right w:w="90" w:type="dxa"/>
            </w:tcMar>
          </w:tcPr>
          <w:p>
            <w:pPr>
              <w:pStyle w:val="BDOITable"/>
            </w:pPr>
            <w:r>
              <w:rPr>
                <w:b/>
                <w:sz w:val="16"/>
              </w:rPr>
              <w:t>BC01</w:t>
            </w:r>
          </w:p>
        </w:tc>
        <w:tc>
          <w:tcPr>
            <w:tcW w:type="dxa" w:w="3217"/>
            <w:tcMar>
              <w:top w:w="50" w:type="dxa"/>
              <w:bottom w:w="50" w:type="dxa"/>
              <w:left w:w="90" w:type="dxa"/>
              <w:right w:w="90" w:type="dxa"/>
            </w:tcMar>
          </w:tcPr>
          <w:p>
            <w:pPr>
              <w:pStyle w:val="BDOITable"/>
            </w:pPr>
            <w:r>
              <w:rPr>
                <w:sz w:val="16"/>
              </w:rPr>
              <w:t>Client management</w:t>
            </w:r>
          </w:p>
        </w:tc>
        <w:tc>
          <w:tcPr>
            <w:tcW w:type="dxa" w:w="965"/>
            <w:tcMar>
              <w:top w:w="50" w:type="dxa"/>
              <w:bottom w:w="50" w:type="dxa"/>
              <w:left w:w="90" w:type="dxa"/>
              <w:right w:w="90" w:type="dxa"/>
            </w:tcMar>
          </w:tcPr>
          <w:p>
            <w:pPr>
              <w:pStyle w:val="BDOITable"/>
            </w:pPr>
            <w:r>
              <w:rPr>
                <w:sz w:val="16"/>
              </w:rPr>
              <w:t>BRD-01</w:t>
            </w:r>
          </w:p>
        </w:tc>
        <w:tc>
          <w:tcPr>
            <w:tcW w:type="dxa" w:w="1158"/>
            <w:tcMar>
              <w:top w:w="50" w:type="dxa"/>
              <w:bottom w:w="50" w:type="dxa"/>
              <w:left w:w="90" w:type="dxa"/>
              <w:right w:w="90" w:type="dxa"/>
            </w:tcMar>
          </w:tcPr>
          <w:p>
            <w:pPr>
              <w:pStyle w:val="BDOITable"/>
            </w:pPr>
            <w:r>
              <w:rPr>
                <w:sz w:val="16"/>
              </w:rPr>
              <w:t>25</w:t>
            </w:r>
          </w:p>
        </w:tc>
        <w:tc>
          <w:tcPr>
            <w:tcW w:type="dxa" w:w="901"/>
            <w:tcMar>
              <w:top w:w="50" w:type="dxa"/>
              <w:bottom w:w="50" w:type="dxa"/>
              <w:left w:w="90" w:type="dxa"/>
              <w:right w:w="90" w:type="dxa"/>
            </w:tcMar>
          </w:tcPr>
          <w:p>
            <w:pPr>
              <w:pStyle w:val="BDOITable"/>
            </w:pPr>
            <w:r>
              <w:rPr>
                <w:sz w:val="16"/>
              </w:rPr>
              <w:t>12</w:t>
            </w:r>
          </w:p>
        </w:tc>
        <w:tc>
          <w:tcPr>
            <w:tcW w:type="dxa" w:w="901"/>
            <w:tcMar>
              <w:top w:w="50" w:type="dxa"/>
              <w:bottom w:w="50" w:type="dxa"/>
              <w:left w:w="90" w:type="dxa"/>
              <w:right w:w="90" w:type="dxa"/>
            </w:tcMar>
          </w:tcPr>
          <w:p>
            <w:pPr>
              <w:pStyle w:val="BDOITable"/>
            </w:pPr>
            <w:r>
              <w:rPr>
                <w:sz w:val="16"/>
              </w:rPr>
              <w:t>11</w:t>
            </w:r>
          </w:p>
        </w:tc>
        <w:tc>
          <w:tcPr>
            <w:tcW w:type="dxa" w:w="901"/>
            <w:tcMar>
              <w:top w:w="50" w:type="dxa"/>
              <w:bottom w:w="50" w:type="dxa"/>
              <w:left w:w="90" w:type="dxa"/>
              <w:right w:w="90" w:type="dxa"/>
            </w:tcMar>
          </w:tcPr>
          <w:p>
            <w:pPr>
              <w:pStyle w:val="BDOITable"/>
            </w:pPr>
            <w:r>
              <w:rPr>
                <w:sz w:val="16"/>
              </w:rPr>
              <w:t>2</w:t>
            </w:r>
          </w:p>
        </w:tc>
        <w:tc>
          <w:tcPr>
            <w:tcW w:type="dxa" w:w="1287"/>
            <w:tcMar>
              <w:top w:w="50" w:type="dxa"/>
              <w:bottom w:w="50" w:type="dxa"/>
              <w:left w:w="90" w:type="dxa"/>
              <w:right w:w="90" w:type="dxa"/>
            </w:tcMar>
          </w:tcPr>
          <w:p>
            <w:pPr>
              <w:pStyle w:val="BDOITable"/>
            </w:pPr>
            <w:r>
              <w:rPr>
                <w:sz w:val="16"/>
              </w:rPr>
              <w:t>0</w:t>
            </w:r>
          </w:p>
        </w:tc>
      </w:tr>
      <w:tr>
        <w:trPr>
          <w:cantSplit w:val="true"/>
        </w:trPr>
        <w:tc>
          <w:tcPr>
            <w:tcW w:type="dxa" w:w="643"/>
            <w:tcMar>
              <w:top w:w="50" w:type="dxa"/>
              <w:bottom w:w="50" w:type="dxa"/>
              <w:left w:w="90" w:type="dxa"/>
              <w:right w:w="90" w:type="dxa"/>
            </w:tcMar>
            <w:shd w:val="clear" w:color="auto" w:fill="E5F5FF"/>
          </w:tcPr>
          <w:p>
            <w:pPr>
              <w:pStyle w:val="BDOITable"/>
            </w:pPr>
            <w:r>
              <w:rPr>
                <w:b/>
                <w:sz w:val="16"/>
              </w:rPr>
              <w:t>BC02</w:t>
            </w:r>
          </w:p>
        </w:tc>
        <w:tc>
          <w:tcPr>
            <w:tcW w:type="dxa" w:w="3217"/>
            <w:tcMar>
              <w:top w:w="50" w:type="dxa"/>
              <w:bottom w:w="50" w:type="dxa"/>
              <w:left w:w="90" w:type="dxa"/>
              <w:right w:w="90" w:type="dxa"/>
            </w:tcMar>
            <w:shd w:val="clear" w:color="auto" w:fill="E5F5FF"/>
          </w:tcPr>
          <w:p>
            <w:pPr>
              <w:pStyle w:val="BDOITable"/>
            </w:pPr>
            <w:r>
              <w:rPr>
                <w:sz w:val="16"/>
              </w:rPr>
              <w:t>Product catalogue and maintenance</w:t>
            </w:r>
          </w:p>
        </w:tc>
        <w:tc>
          <w:tcPr>
            <w:tcW w:type="dxa" w:w="965"/>
            <w:tcMar>
              <w:top w:w="50" w:type="dxa"/>
              <w:bottom w:w="50" w:type="dxa"/>
              <w:left w:w="90" w:type="dxa"/>
              <w:right w:w="90" w:type="dxa"/>
            </w:tcMar>
            <w:shd w:val="clear" w:color="auto" w:fill="E5F5FF"/>
          </w:tcPr>
          <w:p>
            <w:pPr>
              <w:pStyle w:val="BDOITable"/>
            </w:pPr>
            <w:r>
              <w:rPr>
                <w:sz w:val="16"/>
              </w:rPr>
              <w:t>BRD-03</w:t>
            </w:r>
          </w:p>
        </w:tc>
        <w:tc>
          <w:tcPr>
            <w:tcW w:type="dxa" w:w="1158"/>
            <w:tcMar>
              <w:top w:w="50" w:type="dxa"/>
              <w:bottom w:w="50" w:type="dxa"/>
              <w:left w:w="90" w:type="dxa"/>
              <w:right w:w="90" w:type="dxa"/>
            </w:tcMar>
            <w:shd w:val="clear" w:color="auto" w:fill="E5F5FF"/>
          </w:tcPr>
          <w:p>
            <w:pPr>
              <w:pStyle w:val="BDOITable"/>
            </w:pPr>
            <w:r>
              <w:rPr>
                <w:sz w:val="16"/>
              </w:rPr>
              <w:t>118</w:t>
            </w:r>
          </w:p>
        </w:tc>
        <w:tc>
          <w:tcPr>
            <w:tcW w:type="dxa" w:w="901"/>
            <w:tcMar>
              <w:top w:w="50" w:type="dxa"/>
              <w:bottom w:w="50" w:type="dxa"/>
              <w:left w:w="90" w:type="dxa"/>
              <w:right w:w="90" w:type="dxa"/>
            </w:tcMar>
            <w:shd w:val="clear" w:color="auto" w:fill="E5F5FF"/>
          </w:tcPr>
          <w:p>
            <w:pPr>
              <w:pStyle w:val="BDOITable"/>
            </w:pPr>
            <w:r>
              <w:rPr>
                <w:sz w:val="16"/>
              </w:rPr>
              <w:t>42</w:t>
            </w:r>
          </w:p>
        </w:tc>
        <w:tc>
          <w:tcPr>
            <w:tcW w:type="dxa" w:w="901"/>
            <w:tcMar>
              <w:top w:w="50" w:type="dxa"/>
              <w:bottom w:w="50" w:type="dxa"/>
              <w:left w:w="90" w:type="dxa"/>
              <w:right w:w="90" w:type="dxa"/>
            </w:tcMar>
            <w:shd w:val="clear" w:color="auto" w:fill="E5F5FF"/>
          </w:tcPr>
          <w:p>
            <w:pPr>
              <w:pStyle w:val="BDOITable"/>
            </w:pPr>
            <w:r>
              <w:rPr>
                <w:sz w:val="16"/>
              </w:rPr>
              <w:t>54</w:t>
            </w:r>
          </w:p>
        </w:tc>
        <w:tc>
          <w:tcPr>
            <w:tcW w:type="dxa" w:w="901"/>
            <w:tcMar>
              <w:top w:w="50" w:type="dxa"/>
              <w:bottom w:w="50" w:type="dxa"/>
              <w:left w:w="90" w:type="dxa"/>
              <w:right w:w="90" w:type="dxa"/>
            </w:tcMar>
            <w:shd w:val="clear" w:color="auto" w:fill="E5F5FF"/>
          </w:tcPr>
          <w:p>
            <w:pPr>
              <w:pStyle w:val="BDOITable"/>
            </w:pPr>
            <w:r>
              <w:rPr>
                <w:sz w:val="16"/>
              </w:rPr>
              <w:t>22</w:t>
            </w:r>
          </w:p>
        </w:tc>
        <w:tc>
          <w:tcPr>
            <w:tcW w:type="dxa" w:w="128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643"/>
            <w:tcMar>
              <w:top w:w="50" w:type="dxa"/>
              <w:bottom w:w="50" w:type="dxa"/>
              <w:left w:w="90" w:type="dxa"/>
              <w:right w:w="90" w:type="dxa"/>
            </w:tcMar>
          </w:tcPr>
          <w:p>
            <w:pPr>
              <w:pStyle w:val="BDOITable"/>
            </w:pPr>
            <w:r>
              <w:rPr>
                <w:b/>
                <w:sz w:val="16"/>
              </w:rPr>
              <w:t>BC03</w:t>
            </w:r>
          </w:p>
        </w:tc>
        <w:tc>
          <w:tcPr>
            <w:tcW w:type="dxa" w:w="3217"/>
            <w:tcMar>
              <w:top w:w="50" w:type="dxa"/>
              <w:bottom w:w="50" w:type="dxa"/>
              <w:left w:w="90" w:type="dxa"/>
              <w:right w:w="90" w:type="dxa"/>
            </w:tcMar>
          </w:tcPr>
          <w:p>
            <w:pPr>
              <w:pStyle w:val="BDOITable"/>
            </w:pPr>
            <w:r>
              <w:rPr>
                <w:sz w:val="16"/>
              </w:rPr>
              <w:t>New business broking</w:t>
            </w:r>
          </w:p>
        </w:tc>
        <w:tc>
          <w:tcPr>
            <w:tcW w:type="dxa" w:w="965"/>
            <w:tcMar>
              <w:top w:w="50" w:type="dxa"/>
              <w:bottom w:w="50" w:type="dxa"/>
              <w:left w:w="90" w:type="dxa"/>
              <w:right w:w="90" w:type="dxa"/>
            </w:tcMar>
          </w:tcPr>
          <w:p>
            <w:pPr>
              <w:pStyle w:val="BDOITable"/>
            </w:pPr>
            <w:r>
              <w:rPr>
                <w:sz w:val="16"/>
              </w:rPr>
              <w:t>BRD-01</w:t>
            </w:r>
          </w:p>
        </w:tc>
        <w:tc>
          <w:tcPr>
            <w:tcW w:type="dxa" w:w="1158"/>
            <w:tcMar>
              <w:top w:w="50" w:type="dxa"/>
              <w:bottom w:w="50" w:type="dxa"/>
              <w:left w:w="90" w:type="dxa"/>
              <w:right w:w="90" w:type="dxa"/>
            </w:tcMar>
          </w:tcPr>
          <w:p>
            <w:pPr>
              <w:pStyle w:val="BDOITable"/>
            </w:pPr>
            <w:r>
              <w:rPr>
                <w:sz w:val="16"/>
              </w:rPr>
              <w:t>167</w:t>
            </w:r>
          </w:p>
        </w:tc>
        <w:tc>
          <w:tcPr>
            <w:tcW w:type="dxa" w:w="901"/>
            <w:tcMar>
              <w:top w:w="50" w:type="dxa"/>
              <w:bottom w:w="50" w:type="dxa"/>
              <w:left w:w="90" w:type="dxa"/>
              <w:right w:w="90" w:type="dxa"/>
            </w:tcMar>
          </w:tcPr>
          <w:p>
            <w:pPr>
              <w:pStyle w:val="BDOITable"/>
            </w:pPr>
            <w:r>
              <w:rPr>
                <w:sz w:val="16"/>
              </w:rPr>
              <w:t>74</w:t>
            </w:r>
          </w:p>
        </w:tc>
        <w:tc>
          <w:tcPr>
            <w:tcW w:type="dxa" w:w="901"/>
            <w:tcMar>
              <w:top w:w="50" w:type="dxa"/>
              <w:bottom w:w="50" w:type="dxa"/>
              <w:left w:w="90" w:type="dxa"/>
              <w:right w:w="90" w:type="dxa"/>
            </w:tcMar>
          </w:tcPr>
          <w:p>
            <w:pPr>
              <w:pStyle w:val="BDOITable"/>
            </w:pPr>
            <w:r>
              <w:rPr>
                <w:sz w:val="16"/>
              </w:rPr>
              <w:t>80</w:t>
            </w:r>
          </w:p>
        </w:tc>
        <w:tc>
          <w:tcPr>
            <w:tcW w:type="dxa" w:w="901"/>
            <w:tcMar>
              <w:top w:w="50" w:type="dxa"/>
              <w:bottom w:w="50" w:type="dxa"/>
              <w:left w:w="90" w:type="dxa"/>
              <w:right w:w="90" w:type="dxa"/>
            </w:tcMar>
          </w:tcPr>
          <w:p>
            <w:pPr>
              <w:pStyle w:val="BDOITable"/>
            </w:pPr>
            <w:r>
              <w:rPr>
                <w:sz w:val="16"/>
              </w:rPr>
              <w:t>12</w:t>
            </w:r>
          </w:p>
        </w:tc>
        <w:tc>
          <w:tcPr>
            <w:tcW w:type="dxa" w:w="1287"/>
            <w:tcMar>
              <w:top w:w="50" w:type="dxa"/>
              <w:bottom w:w="50" w:type="dxa"/>
              <w:left w:w="90" w:type="dxa"/>
              <w:right w:w="90" w:type="dxa"/>
            </w:tcMar>
          </w:tcPr>
          <w:p>
            <w:pPr>
              <w:pStyle w:val="BDOITable"/>
            </w:pPr>
            <w:r>
              <w:rPr>
                <w:sz w:val="16"/>
              </w:rPr>
              <w:t>1</w:t>
            </w:r>
          </w:p>
        </w:tc>
      </w:tr>
      <w:tr>
        <w:trPr>
          <w:cantSplit w:val="true"/>
        </w:trPr>
        <w:tc>
          <w:tcPr>
            <w:tcW w:type="dxa" w:w="643"/>
            <w:tcMar>
              <w:top w:w="50" w:type="dxa"/>
              <w:bottom w:w="50" w:type="dxa"/>
              <w:left w:w="90" w:type="dxa"/>
              <w:right w:w="90" w:type="dxa"/>
            </w:tcMar>
            <w:shd w:val="clear" w:color="auto" w:fill="E5F5FF"/>
          </w:tcPr>
          <w:p>
            <w:pPr>
              <w:pStyle w:val="BDOITable"/>
            </w:pPr>
            <w:r>
              <w:rPr>
                <w:b/>
                <w:sz w:val="16"/>
              </w:rPr>
              <w:t>BC04</w:t>
            </w:r>
          </w:p>
        </w:tc>
        <w:tc>
          <w:tcPr>
            <w:tcW w:type="dxa" w:w="3217"/>
            <w:tcMar>
              <w:top w:w="50" w:type="dxa"/>
              <w:bottom w:w="50" w:type="dxa"/>
              <w:left w:w="90" w:type="dxa"/>
              <w:right w:w="90" w:type="dxa"/>
            </w:tcMar>
            <w:shd w:val="clear" w:color="auto" w:fill="E5F5FF"/>
          </w:tcPr>
          <w:p>
            <w:pPr>
              <w:pStyle w:val="BDOITable"/>
            </w:pPr>
            <w:r>
              <w:rPr>
                <w:sz w:val="16"/>
              </w:rPr>
              <w:t>Renewal</w:t>
            </w:r>
          </w:p>
        </w:tc>
        <w:tc>
          <w:tcPr>
            <w:tcW w:type="dxa" w:w="965"/>
            <w:tcMar>
              <w:top w:w="50" w:type="dxa"/>
              <w:bottom w:w="50" w:type="dxa"/>
              <w:left w:w="90" w:type="dxa"/>
              <w:right w:w="90" w:type="dxa"/>
            </w:tcMar>
            <w:shd w:val="clear" w:color="auto" w:fill="E5F5FF"/>
          </w:tcPr>
          <w:p>
            <w:pPr>
              <w:pStyle w:val="BDOITable"/>
            </w:pPr>
            <w:r>
              <w:rPr>
                <w:sz w:val="16"/>
              </w:rPr>
              <w:t>BRD-06</w:t>
            </w:r>
          </w:p>
        </w:tc>
        <w:tc>
          <w:tcPr>
            <w:tcW w:type="dxa" w:w="1158"/>
            <w:tcMar>
              <w:top w:w="50" w:type="dxa"/>
              <w:bottom w:w="50" w:type="dxa"/>
              <w:left w:w="90" w:type="dxa"/>
              <w:right w:w="90" w:type="dxa"/>
            </w:tcMar>
            <w:shd w:val="clear" w:color="auto" w:fill="E5F5FF"/>
          </w:tcPr>
          <w:p>
            <w:pPr>
              <w:pStyle w:val="BDOITable"/>
            </w:pPr>
            <w:r>
              <w:rPr>
                <w:sz w:val="16"/>
              </w:rPr>
              <w:t>79</w:t>
            </w:r>
          </w:p>
        </w:tc>
        <w:tc>
          <w:tcPr>
            <w:tcW w:type="dxa" w:w="901"/>
            <w:tcMar>
              <w:top w:w="50" w:type="dxa"/>
              <w:bottom w:w="50" w:type="dxa"/>
              <w:left w:w="90" w:type="dxa"/>
              <w:right w:w="90" w:type="dxa"/>
            </w:tcMar>
            <w:shd w:val="clear" w:color="auto" w:fill="E5F5FF"/>
          </w:tcPr>
          <w:p>
            <w:pPr>
              <w:pStyle w:val="BDOITable"/>
            </w:pPr>
            <w:r>
              <w:rPr>
                <w:sz w:val="16"/>
              </w:rPr>
              <w:t>34</w:t>
            </w:r>
          </w:p>
        </w:tc>
        <w:tc>
          <w:tcPr>
            <w:tcW w:type="dxa" w:w="901"/>
            <w:tcMar>
              <w:top w:w="50" w:type="dxa"/>
              <w:bottom w:w="50" w:type="dxa"/>
              <w:left w:w="90" w:type="dxa"/>
              <w:right w:w="90" w:type="dxa"/>
            </w:tcMar>
            <w:shd w:val="clear" w:color="auto" w:fill="E5F5FF"/>
          </w:tcPr>
          <w:p>
            <w:pPr>
              <w:pStyle w:val="BDOITable"/>
            </w:pPr>
            <w:r>
              <w:rPr>
                <w:sz w:val="16"/>
              </w:rPr>
              <w:t>42</w:t>
            </w:r>
          </w:p>
        </w:tc>
        <w:tc>
          <w:tcPr>
            <w:tcW w:type="dxa" w:w="901"/>
            <w:tcMar>
              <w:top w:w="50" w:type="dxa"/>
              <w:bottom w:w="50" w:type="dxa"/>
              <w:left w:w="90" w:type="dxa"/>
              <w:right w:w="90" w:type="dxa"/>
            </w:tcMar>
            <w:shd w:val="clear" w:color="auto" w:fill="E5F5FF"/>
          </w:tcPr>
          <w:p>
            <w:pPr>
              <w:pStyle w:val="BDOITable"/>
            </w:pPr>
            <w:r>
              <w:rPr>
                <w:sz w:val="16"/>
              </w:rPr>
              <w:t>3</w:t>
            </w:r>
          </w:p>
        </w:tc>
        <w:tc>
          <w:tcPr>
            <w:tcW w:type="dxa" w:w="128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643"/>
            <w:tcMar>
              <w:top w:w="50" w:type="dxa"/>
              <w:bottom w:w="50" w:type="dxa"/>
              <w:left w:w="90" w:type="dxa"/>
              <w:right w:w="90" w:type="dxa"/>
            </w:tcMar>
          </w:tcPr>
          <w:p>
            <w:pPr>
              <w:pStyle w:val="BDOITable"/>
            </w:pPr>
            <w:r>
              <w:rPr>
                <w:b/>
                <w:sz w:val="16"/>
              </w:rPr>
              <w:t>BC05</w:t>
            </w:r>
          </w:p>
        </w:tc>
        <w:tc>
          <w:tcPr>
            <w:tcW w:type="dxa" w:w="3217"/>
            <w:tcMar>
              <w:top w:w="50" w:type="dxa"/>
              <w:bottom w:w="50" w:type="dxa"/>
              <w:left w:w="90" w:type="dxa"/>
              <w:right w:w="90" w:type="dxa"/>
            </w:tcMar>
          </w:tcPr>
          <w:p>
            <w:pPr>
              <w:pStyle w:val="BDOITable"/>
            </w:pPr>
            <w:r>
              <w:rPr>
                <w:sz w:val="16"/>
              </w:rPr>
              <w:t>Submitted policies</w:t>
            </w:r>
          </w:p>
        </w:tc>
        <w:tc>
          <w:tcPr>
            <w:tcW w:type="dxa" w:w="965"/>
            <w:tcMar>
              <w:top w:w="50" w:type="dxa"/>
              <w:bottom w:w="50" w:type="dxa"/>
              <w:left w:w="90" w:type="dxa"/>
              <w:right w:w="90" w:type="dxa"/>
            </w:tcMar>
          </w:tcPr>
          <w:p>
            <w:pPr>
              <w:pStyle w:val="BDOITable"/>
            </w:pPr>
            <w:r>
              <w:rPr>
                <w:sz w:val="16"/>
              </w:rPr>
              <w:t>BRD-12</w:t>
            </w:r>
          </w:p>
        </w:tc>
        <w:tc>
          <w:tcPr>
            <w:tcW w:type="dxa" w:w="1158"/>
            <w:tcMar>
              <w:top w:w="50" w:type="dxa"/>
              <w:bottom w:w="50" w:type="dxa"/>
              <w:left w:w="90" w:type="dxa"/>
              <w:right w:w="90" w:type="dxa"/>
            </w:tcMar>
          </w:tcPr>
          <w:p>
            <w:pPr>
              <w:pStyle w:val="BDOITable"/>
            </w:pPr>
            <w:r>
              <w:rPr>
                <w:sz w:val="16"/>
              </w:rPr>
              <w:t>99</w:t>
            </w:r>
          </w:p>
        </w:tc>
        <w:tc>
          <w:tcPr>
            <w:tcW w:type="dxa" w:w="901"/>
            <w:tcMar>
              <w:top w:w="50" w:type="dxa"/>
              <w:bottom w:w="50" w:type="dxa"/>
              <w:left w:w="90" w:type="dxa"/>
              <w:right w:w="90" w:type="dxa"/>
            </w:tcMar>
          </w:tcPr>
          <w:p>
            <w:pPr>
              <w:pStyle w:val="BDOITable"/>
            </w:pPr>
            <w:r>
              <w:rPr>
                <w:sz w:val="16"/>
              </w:rPr>
              <w:t>47</w:t>
            </w:r>
          </w:p>
        </w:tc>
        <w:tc>
          <w:tcPr>
            <w:tcW w:type="dxa" w:w="901"/>
            <w:tcMar>
              <w:top w:w="50" w:type="dxa"/>
              <w:bottom w:w="50" w:type="dxa"/>
              <w:left w:w="90" w:type="dxa"/>
              <w:right w:w="90" w:type="dxa"/>
            </w:tcMar>
          </w:tcPr>
          <w:p>
            <w:pPr>
              <w:pStyle w:val="BDOITable"/>
            </w:pPr>
            <w:r>
              <w:rPr>
                <w:sz w:val="16"/>
              </w:rPr>
              <w:t>44</w:t>
            </w:r>
          </w:p>
        </w:tc>
        <w:tc>
          <w:tcPr>
            <w:tcW w:type="dxa" w:w="901"/>
            <w:tcMar>
              <w:top w:w="50" w:type="dxa"/>
              <w:bottom w:w="50" w:type="dxa"/>
              <w:left w:w="90" w:type="dxa"/>
              <w:right w:w="90" w:type="dxa"/>
            </w:tcMar>
          </w:tcPr>
          <w:p>
            <w:pPr>
              <w:pStyle w:val="BDOITable"/>
            </w:pPr>
            <w:r>
              <w:rPr>
                <w:sz w:val="16"/>
              </w:rPr>
              <w:t>7</w:t>
            </w:r>
          </w:p>
        </w:tc>
        <w:tc>
          <w:tcPr>
            <w:tcW w:type="dxa" w:w="1287"/>
            <w:tcMar>
              <w:top w:w="50" w:type="dxa"/>
              <w:bottom w:w="50" w:type="dxa"/>
              <w:left w:w="90" w:type="dxa"/>
              <w:right w:w="90" w:type="dxa"/>
            </w:tcMar>
          </w:tcPr>
          <w:p>
            <w:pPr>
              <w:pStyle w:val="BDOITable"/>
            </w:pPr>
            <w:r>
              <w:rPr>
                <w:sz w:val="16"/>
              </w:rPr>
              <w:t>1</w:t>
            </w:r>
          </w:p>
        </w:tc>
      </w:tr>
      <w:tr>
        <w:trPr>
          <w:cantSplit w:val="true"/>
        </w:trPr>
        <w:tc>
          <w:tcPr>
            <w:tcW w:type="dxa" w:w="643"/>
            <w:tcMar>
              <w:top w:w="50" w:type="dxa"/>
              <w:bottom w:w="50" w:type="dxa"/>
              <w:left w:w="90" w:type="dxa"/>
              <w:right w:w="90" w:type="dxa"/>
            </w:tcMar>
            <w:shd w:val="clear" w:color="auto" w:fill="E5F5FF"/>
          </w:tcPr>
          <w:p>
            <w:pPr>
              <w:pStyle w:val="BDOITable"/>
            </w:pPr>
            <w:r>
              <w:rPr>
                <w:b/>
                <w:sz w:val="16"/>
              </w:rPr>
              <w:t>BC06</w:t>
            </w:r>
          </w:p>
        </w:tc>
        <w:tc>
          <w:tcPr>
            <w:tcW w:type="dxa" w:w="3217"/>
            <w:tcMar>
              <w:top w:w="50" w:type="dxa"/>
              <w:bottom w:w="50" w:type="dxa"/>
              <w:left w:w="90" w:type="dxa"/>
              <w:right w:w="90" w:type="dxa"/>
            </w:tcMar>
            <w:shd w:val="clear" w:color="auto" w:fill="E5F5FF"/>
          </w:tcPr>
          <w:p>
            <w:pPr>
              <w:pStyle w:val="BDOITable"/>
            </w:pPr>
            <w:r>
              <w:rPr>
                <w:sz w:val="16"/>
              </w:rPr>
              <w:t>Operations</w:t>
            </w:r>
          </w:p>
        </w:tc>
        <w:tc>
          <w:tcPr>
            <w:tcW w:type="dxa" w:w="965"/>
            <w:tcMar>
              <w:top w:w="50" w:type="dxa"/>
              <w:bottom w:w="50" w:type="dxa"/>
              <w:left w:w="90" w:type="dxa"/>
              <w:right w:w="90" w:type="dxa"/>
            </w:tcMar>
            <w:shd w:val="clear" w:color="auto" w:fill="E5F5FF"/>
          </w:tcPr>
          <w:p>
            <w:pPr>
              <w:pStyle w:val="BDOITable"/>
            </w:pPr>
            <w:r>
              <w:rPr>
                <w:sz w:val="16"/>
              </w:rPr>
              <w:t>BRD-02</w:t>
            </w:r>
          </w:p>
        </w:tc>
        <w:tc>
          <w:tcPr>
            <w:tcW w:type="dxa" w:w="1158"/>
            <w:tcMar>
              <w:top w:w="50" w:type="dxa"/>
              <w:bottom w:w="50" w:type="dxa"/>
              <w:left w:w="90" w:type="dxa"/>
              <w:right w:w="90" w:type="dxa"/>
            </w:tcMar>
            <w:shd w:val="clear" w:color="auto" w:fill="E5F5FF"/>
          </w:tcPr>
          <w:p>
            <w:pPr>
              <w:pStyle w:val="BDOITable"/>
            </w:pPr>
            <w:r>
              <w:rPr>
                <w:sz w:val="16"/>
              </w:rPr>
              <w:t>272</w:t>
            </w:r>
          </w:p>
        </w:tc>
        <w:tc>
          <w:tcPr>
            <w:tcW w:type="dxa" w:w="901"/>
            <w:tcMar>
              <w:top w:w="50" w:type="dxa"/>
              <w:bottom w:w="50" w:type="dxa"/>
              <w:left w:w="90" w:type="dxa"/>
              <w:right w:w="90" w:type="dxa"/>
            </w:tcMar>
            <w:shd w:val="clear" w:color="auto" w:fill="E5F5FF"/>
          </w:tcPr>
          <w:p>
            <w:pPr>
              <w:pStyle w:val="BDOITable"/>
            </w:pPr>
            <w:r>
              <w:rPr>
                <w:sz w:val="16"/>
              </w:rPr>
              <w:t>120</w:t>
            </w:r>
          </w:p>
        </w:tc>
        <w:tc>
          <w:tcPr>
            <w:tcW w:type="dxa" w:w="901"/>
            <w:tcMar>
              <w:top w:w="50" w:type="dxa"/>
              <w:bottom w:w="50" w:type="dxa"/>
              <w:left w:w="90" w:type="dxa"/>
              <w:right w:w="90" w:type="dxa"/>
            </w:tcMar>
            <w:shd w:val="clear" w:color="auto" w:fill="E5F5FF"/>
          </w:tcPr>
          <w:p>
            <w:pPr>
              <w:pStyle w:val="BDOITable"/>
            </w:pPr>
            <w:r>
              <w:rPr>
                <w:sz w:val="16"/>
              </w:rPr>
              <w:t>138</w:t>
            </w:r>
          </w:p>
        </w:tc>
        <w:tc>
          <w:tcPr>
            <w:tcW w:type="dxa" w:w="901"/>
            <w:tcMar>
              <w:top w:w="50" w:type="dxa"/>
              <w:bottom w:w="50" w:type="dxa"/>
              <w:left w:w="90" w:type="dxa"/>
              <w:right w:w="90" w:type="dxa"/>
            </w:tcMar>
            <w:shd w:val="clear" w:color="auto" w:fill="E5F5FF"/>
          </w:tcPr>
          <w:p>
            <w:pPr>
              <w:pStyle w:val="BDOITable"/>
            </w:pPr>
            <w:r>
              <w:rPr>
                <w:sz w:val="16"/>
              </w:rPr>
              <w:t>12</w:t>
            </w:r>
          </w:p>
        </w:tc>
        <w:tc>
          <w:tcPr>
            <w:tcW w:type="dxa" w:w="1287"/>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643"/>
            <w:tcMar>
              <w:top w:w="50" w:type="dxa"/>
              <w:bottom w:w="50" w:type="dxa"/>
              <w:left w:w="90" w:type="dxa"/>
              <w:right w:w="90" w:type="dxa"/>
            </w:tcMar>
          </w:tcPr>
          <w:p>
            <w:pPr>
              <w:pStyle w:val="BDOITable"/>
            </w:pPr>
            <w:r>
              <w:rPr>
                <w:b/>
                <w:sz w:val="16"/>
              </w:rPr>
              <w:t>BC07</w:t>
            </w:r>
          </w:p>
        </w:tc>
        <w:tc>
          <w:tcPr>
            <w:tcW w:type="dxa" w:w="3217"/>
            <w:tcMar>
              <w:top w:w="50" w:type="dxa"/>
              <w:bottom w:w="50" w:type="dxa"/>
              <w:left w:w="90" w:type="dxa"/>
              <w:right w:w="90" w:type="dxa"/>
            </w:tcMar>
          </w:tcPr>
          <w:p>
            <w:pPr>
              <w:pStyle w:val="BDOITable"/>
            </w:pPr>
            <w:r>
              <w:rPr>
                <w:sz w:val="16"/>
              </w:rPr>
              <w:t>Collections</w:t>
            </w:r>
          </w:p>
        </w:tc>
        <w:tc>
          <w:tcPr>
            <w:tcW w:type="dxa" w:w="965"/>
            <w:tcMar>
              <w:top w:w="50" w:type="dxa"/>
              <w:bottom w:w="50" w:type="dxa"/>
              <w:left w:w="90" w:type="dxa"/>
              <w:right w:w="90" w:type="dxa"/>
            </w:tcMar>
          </w:tcPr>
          <w:p>
            <w:pPr>
              <w:pStyle w:val="BDOITable"/>
            </w:pPr>
            <w:r>
              <w:rPr>
                <w:sz w:val="16"/>
              </w:rPr>
              <w:t>BRD-04</w:t>
            </w:r>
          </w:p>
        </w:tc>
        <w:tc>
          <w:tcPr>
            <w:tcW w:type="dxa" w:w="1158"/>
            <w:tcMar>
              <w:top w:w="50" w:type="dxa"/>
              <w:bottom w:w="50" w:type="dxa"/>
              <w:left w:w="90" w:type="dxa"/>
              <w:right w:w="90" w:type="dxa"/>
            </w:tcMar>
          </w:tcPr>
          <w:p>
            <w:pPr>
              <w:pStyle w:val="BDOITable"/>
            </w:pPr>
            <w:r>
              <w:rPr>
                <w:sz w:val="16"/>
              </w:rPr>
              <w:t>78</w:t>
            </w:r>
          </w:p>
        </w:tc>
        <w:tc>
          <w:tcPr>
            <w:tcW w:type="dxa" w:w="901"/>
            <w:tcMar>
              <w:top w:w="50" w:type="dxa"/>
              <w:bottom w:w="50" w:type="dxa"/>
              <w:left w:w="90" w:type="dxa"/>
              <w:right w:w="90" w:type="dxa"/>
            </w:tcMar>
          </w:tcPr>
          <w:p>
            <w:pPr>
              <w:pStyle w:val="BDOITable"/>
            </w:pPr>
            <w:r>
              <w:rPr>
                <w:sz w:val="16"/>
              </w:rPr>
              <w:t>40</w:t>
            </w:r>
          </w:p>
        </w:tc>
        <w:tc>
          <w:tcPr>
            <w:tcW w:type="dxa" w:w="901"/>
            <w:tcMar>
              <w:top w:w="50" w:type="dxa"/>
              <w:bottom w:w="50" w:type="dxa"/>
              <w:left w:w="90" w:type="dxa"/>
              <w:right w:w="90" w:type="dxa"/>
            </w:tcMar>
          </w:tcPr>
          <w:p>
            <w:pPr>
              <w:pStyle w:val="BDOITable"/>
            </w:pPr>
            <w:r>
              <w:rPr>
                <w:sz w:val="16"/>
              </w:rPr>
              <w:t>31</w:t>
            </w:r>
          </w:p>
        </w:tc>
        <w:tc>
          <w:tcPr>
            <w:tcW w:type="dxa" w:w="901"/>
            <w:tcMar>
              <w:top w:w="50" w:type="dxa"/>
              <w:bottom w:w="50" w:type="dxa"/>
              <w:left w:w="90" w:type="dxa"/>
              <w:right w:w="90" w:type="dxa"/>
            </w:tcMar>
          </w:tcPr>
          <w:p>
            <w:pPr>
              <w:pStyle w:val="BDOITable"/>
            </w:pPr>
            <w:r>
              <w:rPr>
                <w:sz w:val="16"/>
              </w:rPr>
              <w:t>6</w:t>
            </w:r>
          </w:p>
        </w:tc>
        <w:tc>
          <w:tcPr>
            <w:tcW w:type="dxa" w:w="1287"/>
            <w:tcMar>
              <w:top w:w="50" w:type="dxa"/>
              <w:bottom w:w="50" w:type="dxa"/>
              <w:left w:w="90" w:type="dxa"/>
              <w:right w:w="90" w:type="dxa"/>
            </w:tcMar>
          </w:tcPr>
          <w:p>
            <w:pPr>
              <w:pStyle w:val="BDOITable"/>
            </w:pPr>
            <w:r>
              <w:rPr>
                <w:sz w:val="16"/>
              </w:rPr>
              <w:t>1</w:t>
            </w:r>
          </w:p>
        </w:tc>
      </w:tr>
      <w:tr>
        <w:trPr>
          <w:cantSplit w:val="true"/>
        </w:trPr>
        <w:tc>
          <w:tcPr>
            <w:tcW w:type="dxa" w:w="643"/>
            <w:tcMar>
              <w:top w:w="50" w:type="dxa"/>
              <w:bottom w:w="50" w:type="dxa"/>
              <w:left w:w="90" w:type="dxa"/>
              <w:right w:w="90" w:type="dxa"/>
            </w:tcMar>
            <w:shd w:val="clear" w:color="auto" w:fill="E5F5FF"/>
          </w:tcPr>
          <w:p>
            <w:pPr>
              <w:pStyle w:val="BDOITable"/>
            </w:pPr>
            <w:r>
              <w:rPr>
                <w:b/>
                <w:sz w:val="16"/>
              </w:rPr>
              <w:t>BC08</w:t>
            </w:r>
          </w:p>
        </w:tc>
        <w:tc>
          <w:tcPr>
            <w:tcW w:type="dxa" w:w="3217"/>
            <w:tcMar>
              <w:top w:w="50" w:type="dxa"/>
              <w:bottom w:w="50" w:type="dxa"/>
              <w:left w:w="90" w:type="dxa"/>
              <w:right w:w="90" w:type="dxa"/>
            </w:tcMar>
            <w:shd w:val="clear" w:color="auto" w:fill="E5F5FF"/>
          </w:tcPr>
          <w:p>
            <w:pPr>
              <w:pStyle w:val="BDOITable"/>
            </w:pPr>
            <w:r>
              <w:rPr>
                <w:sz w:val="16"/>
              </w:rPr>
              <w:t>Accounting, disbursement and ACSL</w:t>
            </w:r>
          </w:p>
        </w:tc>
        <w:tc>
          <w:tcPr>
            <w:tcW w:type="dxa" w:w="965"/>
            <w:tcMar>
              <w:top w:w="50" w:type="dxa"/>
              <w:bottom w:w="50" w:type="dxa"/>
              <w:left w:w="90" w:type="dxa"/>
              <w:right w:w="90" w:type="dxa"/>
            </w:tcMar>
            <w:shd w:val="clear" w:color="auto" w:fill="E5F5FF"/>
          </w:tcPr>
          <w:p>
            <w:pPr>
              <w:pStyle w:val="BDOITable"/>
            </w:pPr>
            <w:r>
              <w:rPr>
                <w:sz w:val="16"/>
              </w:rPr>
              <w:t>BRD-05</w:t>
            </w:r>
          </w:p>
        </w:tc>
        <w:tc>
          <w:tcPr>
            <w:tcW w:type="dxa" w:w="1158"/>
            <w:tcMar>
              <w:top w:w="50" w:type="dxa"/>
              <w:bottom w:w="50" w:type="dxa"/>
              <w:left w:w="90" w:type="dxa"/>
              <w:right w:w="90" w:type="dxa"/>
            </w:tcMar>
            <w:shd w:val="clear" w:color="auto" w:fill="E5F5FF"/>
          </w:tcPr>
          <w:p>
            <w:pPr>
              <w:pStyle w:val="BDOITable"/>
            </w:pPr>
            <w:r>
              <w:rPr>
                <w:sz w:val="16"/>
              </w:rPr>
              <w:t>143</w:t>
            </w:r>
          </w:p>
        </w:tc>
        <w:tc>
          <w:tcPr>
            <w:tcW w:type="dxa" w:w="901"/>
            <w:tcMar>
              <w:top w:w="50" w:type="dxa"/>
              <w:bottom w:w="50" w:type="dxa"/>
              <w:left w:w="90" w:type="dxa"/>
              <w:right w:w="90" w:type="dxa"/>
            </w:tcMar>
            <w:shd w:val="clear" w:color="auto" w:fill="E5F5FF"/>
          </w:tcPr>
          <w:p>
            <w:pPr>
              <w:pStyle w:val="BDOITable"/>
            </w:pPr>
            <w:r>
              <w:rPr>
                <w:sz w:val="16"/>
              </w:rPr>
              <w:t>53</w:t>
            </w:r>
          </w:p>
        </w:tc>
        <w:tc>
          <w:tcPr>
            <w:tcW w:type="dxa" w:w="901"/>
            <w:tcMar>
              <w:top w:w="50" w:type="dxa"/>
              <w:bottom w:w="50" w:type="dxa"/>
              <w:left w:w="90" w:type="dxa"/>
              <w:right w:w="90" w:type="dxa"/>
            </w:tcMar>
            <w:shd w:val="clear" w:color="auto" w:fill="E5F5FF"/>
          </w:tcPr>
          <w:p>
            <w:pPr>
              <w:pStyle w:val="BDOITable"/>
            </w:pPr>
            <w:r>
              <w:rPr>
                <w:sz w:val="16"/>
              </w:rPr>
              <w:t>75</w:t>
            </w:r>
          </w:p>
        </w:tc>
        <w:tc>
          <w:tcPr>
            <w:tcW w:type="dxa" w:w="901"/>
            <w:tcMar>
              <w:top w:w="50" w:type="dxa"/>
              <w:bottom w:w="50" w:type="dxa"/>
              <w:left w:w="90" w:type="dxa"/>
              <w:right w:w="90" w:type="dxa"/>
            </w:tcMar>
            <w:shd w:val="clear" w:color="auto" w:fill="E5F5FF"/>
          </w:tcPr>
          <w:p>
            <w:pPr>
              <w:pStyle w:val="BDOITable"/>
            </w:pPr>
            <w:r>
              <w:rPr>
                <w:sz w:val="16"/>
              </w:rPr>
              <w:t>14</w:t>
            </w:r>
          </w:p>
        </w:tc>
        <w:tc>
          <w:tcPr>
            <w:tcW w:type="dxa" w:w="1287"/>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643"/>
            <w:tcMar>
              <w:top w:w="50" w:type="dxa"/>
              <w:bottom w:w="50" w:type="dxa"/>
              <w:left w:w="90" w:type="dxa"/>
              <w:right w:w="90" w:type="dxa"/>
            </w:tcMar>
          </w:tcPr>
          <w:p>
            <w:pPr>
              <w:pStyle w:val="BDOITable"/>
            </w:pPr>
            <w:r>
              <w:rPr>
                <w:b/>
                <w:sz w:val="16"/>
              </w:rPr>
              <w:t>BC09</w:t>
            </w:r>
          </w:p>
        </w:tc>
        <w:tc>
          <w:tcPr>
            <w:tcW w:type="dxa" w:w="3217"/>
            <w:tcMar>
              <w:top w:w="50" w:type="dxa"/>
              <w:bottom w:w="50" w:type="dxa"/>
              <w:left w:w="90" w:type="dxa"/>
              <w:right w:w="90" w:type="dxa"/>
            </w:tcMar>
          </w:tcPr>
          <w:p>
            <w:pPr>
              <w:pStyle w:val="BDOITable"/>
            </w:pPr>
            <w:r>
              <w:rPr>
                <w:sz w:val="16"/>
              </w:rPr>
              <w:t>Finance core</w:t>
            </w:r>
          </w:p>
        </w:tc>
        <w:tc>
          <w:tcPr>
            <w:tcW w:type="dxa" w:w="965"/>
            <w:tcMar>
              <w:top w:w="50" w:type="dxa"/>
              <w:bottom w:w="50" w:type="dxa"/>
              <w:left w:w="90" w:type="dxa"/>
              <w:right w:w="90" w:type="dxa"/>
            </w:tcMar>
          </w:tcPr>
          <w:p>
            <w:pPr>
              <w:pStyle w:val="BDOITable"/>
            </w:pPr>
            <w:r>
              <w:rPr>
                <w:sz w:val="16"/>
              </w:rPr>
              <w:t>BRD-05</w:t>
            </w:r>
          </w:p>
        </w:tc>
        <w:tc>
          <w:tcPr>
            <w:tcW w:type="dxa" w:w="1158"/>
            <w:tcMar>
              <w:top w:w="50" w:type="dxa"/>
              <w:bottom w:w="50" w:type="dxa"/>
              <w:left w:w="90" w:type="dxa"/>
              <w:right w:w="90" w:type="dxa"/>
            </w:tcMar>
          </w:tcPr>
          <w:p>
            <w:pPr>
              <w:pStyle w:val="BDOITable"/>
            </w:pPr>
            <w:r>
              <w:rPr>
                <w:sz w:val="16"/>
              </w:rPr>
              <w:t>281</w:t>
            </w:r>
          </w:p>
        </w:tc>
        <w:tc>
          <w:tcPr>
            <w:tcW w:type="dxa" w:w="901"/>
            <w:tcMar>
              <w:top w:w="50" w:type="dxa"/>
              <w:bottom w:w="50" w:type="dxa"/>
              <w:left w:w="90" w:type="dxa"/>
              <w:right w:w="90" w:type="dxa"/>
            </w:tcMar>
          </w:tcPr>
          <w:p>
            <w:pPr>
              <w:pStyle w:val="BDOITable"/>
            </w:pPr>
            <w:r>
              <w:rPr>
                <w:sz w:val="16"/>
              </w:rPr>
              <w:t>116</w:t>
            </w:r>
          </w:p>
        </w:tc>
        <w:tc>
          <w:tcPr>
            <w:tcW w:type="dxa" w:w="901"/>
            <w:tcMar>
              <w:top w:w="50" w:type="dxa"/>
              <w:bottom w:w="50" w:type="dxa"/>
              <w:left w:w="90" w:type="dxa"/>
              <w:right w:w="90" w:type="dxa"/>
            </w:tcMar>
          </w:tcPr>
          <w:p>
            <w:pPr>
              <w:pStyle w:val="BDOITable"/>
            </w:pPr>
            <w:r>
              <w:rPr>
                <w:sz w:val="16"/>
              </w:rPr>
              <w:t>143</w:t>
            </w:r>
          </w:p>
        </w:tc>
        <w:tc>
          <w:tcPr>
            <w:tcW w:type="dxa" w:w="901"/>
            <w:tcMar>
              <w:top w:w="50" w:type="dxa"/>
              <w:bottom w:w="50" w:type="dxa"/>
              <w:left w:w="90" w:type="dxa"/>
              <w:right w:w="90" w:type="dxa"/>
            </w:tcMar>
          </w:tcPr>
          <w:p>
            <w:pPr>
              <w:pStyle w:val="BDOITable"/>
            </w:pPr>
            <w:r>
              <w:rPr>
                <w:sz w:val="16"/>
              </w:rPr>
              <w:t>22</w:t>
            </w:r>
          </w:p>
        </w:tc>
        <w:tc>
          <w:tcPr>
            <w:tcW w:type="dxa" w:w="1287"/>
            <w:tcMar>
              <w:top w:w="50" w:type="dxa"/>
              <w:bottom w:w="50" w:type="dxa"/>
              <w:left w:w="90" w:type="dxa"/>
              <w:right w:w="90" w:type="dxa"/>
            </w:tcMar>
          </w:tcPr>
          <w:p>
            <w:pPr>
              <w:pStyle w:val="BDOITable"/>
            </w:pPr>
            <w:r>
              <w:rPr>
                <w:sz w:val="16"/>
              </w:rPr>
              <w:t>0</w:t>
            </w:r>
          </w:p>
        </w:tc>
      </w:tr>
      <w:tr>
        <w:trPr>
          <w:cantSplit w:val="true"/>
        </w:trPr>
        <w:tc>
          <w:tcPr>
            <w:tcW w:type="dxa" w:w="643"/>
            <w:tcMar>
              <w:top w:w="50" w:type="dxa"/>
              <w:bottom w:w="50" w:type="dxa"/>
              <w:left w:w="90" w:type="dxa"/>
              <w:right w:w="90" w:type="dxa"/>
            </w:tcMar>
            <w:shd w:val="clear" w:color="auto" w:fill="E5F5FF"/>
          </w:tcPr>
          <w:p>
            <w:pPr>
              <w:pStyle w:val="BDOITable"/>
            </w:pPr>
            <w:r>
              <w:rPr>
                <w:b/>
                <w:sz w:val="16"/>
              </w:rPr>
              <w:t>BC10</w:t>
            </w:r>
          </w:p>
        </w:tc>
        <w:tc>
          <w:tcPr>
            <w:tcW w:type="dxa" w:w="3217"/>
            <w:tcMar>
              <w:top w:w="50" w:type="dxa"/>
              <w:bottom w:w="50" w:type="dxa"/>
              <w:left w:w="90" w:type="dxa"/>
              <w:right w:w="90" w:type="dxa"/>
            </w:tcMar>
            <w:shd w:val="clear" w:color="auto" w:fill="E5F5FF"/>
          </w:tcPr>
          <w:p>
            <w:pPr>
              <w:pStyle w:val="BDOITable"/>
            </w:pPr>
            <w:r>
              <w:rPr>
                <w:sz w:val="16"/>
              </w:rPr>
              <w:t>Claims handling</w:t>
            </w:r>
          </w:p>
        </w:tc>
        <w:tc>
          <w:tcPr>
            <w:tcW w:type="dxa" w:w="965"/>
            <w:tcMar>
              <w:top w:w="50" w:type="dxa"/>
              <w:bottom w:w="50" w:type="dxa"/>
              <w:left w:w="90" w:type="dxa"/>
              <w:right w:w="90" w:type="dxa"/>
            </w:tcMar>
            <w:shd w:val="clear" w:color="auto" w:fill="E5F5FF"/>
          </w:tcPr>
          <w:p>
            <w:pPr>
              <w:pStyle w:val="BDOITable"/>
            </w:pPr>
            <w:r>
              <w:rPr>
                <w:sz w:val="16"/>
              </w:rPr>
              <w:t>BRD-07</w:t>
            </w:r>
          </w:p>
        </w:tc>
        <w:tc>
          <w:tcPr>
            <w:tcW w:type="dxa" w:w="1158"/>
            <w:tcMar>
              <w:top w:w="50" w:type="dxa"/>
              <w:bottom w:w="50" w:type="dxa"/>
              <w:left w:w="90" w:type="dxa"/>
              <w:right w:w="90" w:type="dxa"/>
            </w:tcMar>
            <w:shd w:val="clear" w:color="auto" w:fill="E5F5FF"/>
          </w:tcPr>
          <w:p>
            <w:pPr>
              <w:pStyle w:val="BDOITable"/>
            </w:pPr>
            <w:r>
              <w:rPr>
                <w:sz w:val="16"/>
              </w:rPr>
              <w:t>63</w:t>
            </w:r>
          </w:p>
        </w:tc>
        <w:tc>
          <w:tcPr>
            <w:tcW w:type="dxa" w:w="901"/>
            <w:tcMar>
              <w:top w:w="50" w:type="dxa"/>
              <w:bottom w:w="50" w:type="dxa"/>
              <w:left w:w="90" w:type="dxa"/>
              <w:right w:w="90" w:type="dxa"/>
            </w:tcMar>
            <w:shd w:val="clear" w:color="auto" w:fill="E5F5FF"/>
          </w:tcPr>
          <w:p>
            <w:pPr>
              <w:pStyle w:val="BDOITable"/>
            </w:pPr>
            <w:r>
              <w:rPr>
                <w:sz w:val="16"/>
              </w:rPr>
              <w:t>27</w:t>
            </w:r>
          </w:p>
        </w:tc>
        <w:tc>
          <w:tcPr>
            <w:tcW w:type="dxa" w:w="901"/>
            <w:tcMar>
              <w:top w:w="50" w:type="dxa"/>
              <w:bottom w:w="50" w:type="dxa"/>
              <w:left w:w="90" w:type="dxa"/>
              <w:right w:w="90" w:type="dxa"/>
            </w:tcMar>
            <w:shd w:val="clear" w:color="auto" w:fill="E5F5FF"/>
          </w:tcPr>
          <w:p>
            <w:pPr>
              <w:pStyle w:val="BDOITable"/>
            </w:pPr>
            <w:r>
              <w:rPr>
                <w:sz w:val="16"/>
              </w:rPr>
              <w:t>27</w:t>
            </w:r>
          </w:p>
        </w:tc>
        <w:tc>
          <w:tcPr>
            <w:tcW w:type="dxa" w:w="901"/>
            <w:tcMar>
              <w:top w:w="50" w:type="dxa"/>
              <w:bottom w:w="50" w:type="dxa"/>
              <w:left w:w="90" w:type="dxa"/>
              <w:right w:w="90" w:type="dxa"/>
            </w:tcMar>
            <w:shd w:val="clear" w:color="auto" w:fill="E5F5FF"/>
          </w:tcPr>
          <w:p>
            <w:pPr>
              <w:pStyle w:val="BDOITable"/>
            </w:pPr>
            <w:r>
              <w:rPr>
                <w:sz w:val="16"/>
              </w:rPr>
              <w:t>8</w:t>
            </w:r>
          </w:p>
        </w:tc>
        <w:tc>
          <w:tcPr>
            <w:tcW w:type="dxa" w:w="1287"/>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643"/>
            <w:tcMar>
              <w:top w:w="50" w:type="dxa"/>
              <w:bottom w:w="50" w:type="dxa"/>
              <w:left w:w="90" w:type="dxa"/>
              <w:right w:w="90" w:type="dxa"/>
            </w:tcMar>
          </w:tcPr>
          <w:p>
            <w:pPr>
              <w:pStyle w:val="BDOITable"/>
            </w:pPr>
            <w:r>
              <w:rPr>
                <w:b/>
                <w:sz w:val="16"/>
              </w:rPr>
              <w:t>BC11</w:t>
            </w:r>
          </w:p>
        </w:tc>
        <w:tc>
          <w:tcPr>
            <w:tcW w:type="dxa" w:w="3217"/>
            <w:tcMar>
              <w:top w:w="50" w:type="dxa"/>
              <w:bottom w:w="50" w:type="dxa"/>
              <w:left w:w="90" w:type="dxa"/>
              <w:right w:w="90" w:type="dxa"/>
            </w:tcMar>
          </w:tcPr>
          <w:p>
            <w:pPr>
              <w:pStyle w:val="BDOITable"/>
            </w:pPr>
            <w:r>
              <w:rPr>
                <w:sz w:val="16"/>
              </w:rPr>
              <w:t>Employee benefits</w:t>
            </w:r>
          </w:p>
        </w:tc>
        <w:tc>
          <w:tcPr>
            <w:tcW w:type="dxa" w:w="965"/>
            <w:tcMar>
              <w:top w:w="50" w:type="dxa"/>
              <w:bottom w:w="50" w:type="dxa"/>
              <w:left w:w="90" w:type="dxa"/>
              <w:right w:w="90" w:type="dxa"/>
            </w:tcMar>
          </w:tcPr>
          <w:p>
            <w:pPr>
              <w:pStyle w:val="BDOITable"/>
            </w:pPr>
            <w:r>
              <w:rPr>
                <w:sz w:val="16"/>
              </w:rPr>
              <w:t>BRD-08</w:t>
            </w:r>
          </w:p>
        </w:tc>
        <w:tc>
          <w:tcPr>
            <w:tcW w:type="dxa" w:w="1158"/>
            <w:tcMar>
              <w:top w:w="50" w:type="dxa"/>
              <w:bottom w:w="50" w:type="dxa"/>
              <w:left w:w="90" w:type="dxa"/>
              <w:right w:w="90" w:type="dxa"/>
            </w:tcMar>
          </w:tcPr>
          <w:p>
            <w:pPr>
              <w:pStyle w:val="BDOITable"/>
            </w:pPr>
            <w:r>
              <w:rPr>
                <w:sz w:val="16"/>
              </w:rPr>
              <w:t>91</w:t>
            </w:r>
          </w:p>
        </w:tc>
        <w:tc>
          <w:tcPr>
            <w:tcW w:type="dxa" w:w="901"/>
            <w:tcMar>
              <w:top w:w="50" w:type="dxa"/>
              <w:bottom w:w="50" w:type="dxa"/>
              <w:left w:w="90" w:type="dxa"/>
              <w:right w:w="90" w:type="dxa"/>
            </w:tcMar>
          </w:tcPr>
          <w:p>
            <w:pPr>
              <w:pStyle w:val="BDOITable"/>
            </w:pPr>
            <w:r>
              <w:rPr>
                <w:sz w:val="16"/>
              </w:rPr>
              <w:t>31</w:t>
            </w:r>
          </w:p>
        </w:tc>
        <w:tc>
          <w:tcPr>
            <w:tcW w:type="dxa" w:w="901"/>
            <w:tcMar>
              <w:top w:w="50" w:type="dxa"/>
              <w:bottom w:w="50" w:type="dxa"/>
              <w:left w:w="90" w:type="dxa"/>
              <w:right w:w="90" w:type="dxa"/>
            </w:tcMar>
          </w:tcPr>
          <w:p>
            <w:pPr>
              <w:pStyle w:val="BDOITable"/>
            </w:pPr>
            <w:r>
              <w:rPr>
                <w:sz w:val="16"/>
              </w:rPr>
              <w:t>50</w:t>
            </w:r>
          </w:p>
        </w:tc>
        <w:tc>
          <w:tcPr>
            <w:tcW w:type="dxa" w:w="901"/>
            <w:tcMar>
              <w:top w:w="50" w:type="dxa"/>
              <w:bottom w:w="50" w:type="dxa"/>
              <w:left w:w="90" w:type="dxa"/>
              <w:right w:w="90" w:type="dxa"/>
            </w:tcMar>
          </w:tcPr>
          <w:p>
            <w:pPr>
              <w:pStyle w:val="BDOITable"/>
            </w:pPr>
            <w:r>
              <w:rPr>
                <w:sz w:val="16"/>
              </w:rPr>
              <w:t>8</w:t>
            </w:r>
          </w:p>
        </w:tc>
        <w:tc>
          <w:tcPr>
            <w:tcW w:type="dxa" w:w="1287"/>
            <w:tcMar>
              <w:top w:w="50" w:type="dxa"/>
              <w:bottom w:w="50" w:type="dxa"/>
              <w:left w:w="90" w:type="dxa"/>
              <w:right w:w="90" w:type="dxa"/>
            </w:tcMar>
          </w:tcPr>
          <w:p>
            <w:pPr>
              <w:pStyle w:val="BDOITable"/>
            </w:pPr>
            <w:r>
              <w:rPr>
                <w:sz w:val="16"/>
              </w:rPr>
              <w:t>2</w:t>
            </w:r>
          </w:p>
        </w:tc>
      </w:tr>
      <w:tr>
        <w:trPr>
          <w:cantSplit w:val="true"/>
        </w:trPr>
        <w:tc>
          <w:tcPr>
            <w:tcW w:type="dxa" w:w="643"/>
            <w:tcMar>
              <w:top w:w="50" w:type="dxa"/>
              <w:bottom w:w="50" w:type="dxa"/>
              <w:left w:w="90" w:type="dxa"/>
              <w:right w:w="90" w:type="dxa"/>
            </w:tcMar>
            <w:shd w:val="clear" w:color="auto" w:fill="E5F5FF"/>
          </w:tcPr>
          <w:p>
            <w:pPr>
              <w:pStyle w:val="BDOITable"/>
            </w:pPr>
            <w:r>
              <w:rPr>
                <w:b/>
                <w:sz w:val="16"/>
              </w:rPr>
              <w:t>BC12</w:t>
            </w:r>
          </w:p>
        </w:tc>
        <w:tc>
          <w:tcPr>
            <w:tcW w:type="dxa" w:w="3217"/>
            <w:tcMar>
              <w:top w:w="50" w:type="dxa"/>
              <w:bottom w:w="50" w:type="dxa"/>
              <w:left w:w="90" w:type="dxa"/>
              <w:right w:w="90" w:type="dxa"/>
            </w:tcMar>
            <w:shd w:val="clear" w:color="auto" w:fill="E5F5FF"/>
          </w:tcPr>
          <w:p>
            <w:pPr>
              <w:pStyle w:val="BDOITable"/>
            </w:pPr>
            <w:r>
              <w:rPr>
                <w:sz w:val="16"/>
              </w:rPr>
              <w:t>Customer servicing</w:t>
            </w:r>
          </w:p>
        </w:tc>
        <w:tc>
          <w:tcPr>
            <w:tcW w:type="dxa" w:w="965"/>
            <w:tcMar>
              <w:top w:w="50" w:type="dxa"/>
              <w:bottom w:w="50" w:type="dxa"/>
              <w:left w:w="90" w:type="dxa"/>
              <w:right w:w="90" w:type="dxa"/>
            </w:tcMar>
            <w:shd w:val="clear" w:color="auto" w:fill="E5F5FF"/>
          </w:tcPr>
          <w:p>
            <w:pPr>
              <w:pStyle w:val="BDOITable"/>
            </w:pPr>
            <w:r>
              <w:rPr>
                <w:sz w:val="16"/>
              </w:rPr>
              <w:t>BRD-09</w:t>
            </w:r>
          </w:p>
        </w:tc>
        <w:tc>
          <w:tcPr>
            <w:tcW w:type="dxa" w:w="1158"/>
            <w:tcMar>
              <w:top w:w="50" w:type="dxa"/>
              <w:bottom w:w="50" w:type="dxa"/>
              <w:left w:w="90" w:type="dxa"/>
              <w:right w:w="90" w:type="dxa"/>
            </w:tcMar>
            <w:shd w:val="clear" w:color="auto" w:fill="E5F5FF"/>
          </w:tcPr>
          <w:p>
            <w:pPr>
              <w:pStyle w:val="BDOITable"/>
            </w:pPr>
            <w:r>
              <w:rPr>
                <w:sz w:val="16"/>
              </w:rPr>
              <w:t>18</w:t>
            </w:r>
          </w:p>
        </w:tc>
        <w:tc>
          <w:tcPr>
            <w:tcW w:type="dxa" w:w="901"/>
            <w:tcMar>
              <w:top w:w="50" w:type="dxa"/>
              <w:bottom w:w="50" w:type="dxa"/>
              <w:left w:w="90" w:type="dxa"/>
              <w:right w:w="90" w:type="dxa"/>
            </w:tcMar>
            <w:shd w:val="clear" w:color="auto" w:fill="E5F5FF"/>
          </w:tcPr>
          <w:p>
            <w:pPr>
              <w:pStyle w:val="BDOITable"/>
            </w:pPr>
            <w:r>
              <w:rPr>
                <w:sz w:val="16"/>
              </w:rPr>
              <w:t>12</w:t>
            </w:r>
          </w:p>
        </w:tc>
        <w:tc>
          <w:tcPr>
            <w:tcW w:type="dxa" w:w="901"/>
            <w:tcMar>
              <w:top w:w="50" w:type="dxa"/>
              <w:bottom w:w="50" w:type="dxa"/>
              <w:left w:w="90" w:type="dxa"/>
              <w:right w:w="90" w:type="dxa"/>
            </w:tcMar>
            <w:shd w:val="clear" w:color="auto" w:fill="E5F5FF"/>
          </w:tcPr>
          <w:p>
            <w:pPr>
              <w:pStyle w:val="BDOITable"/>
            </w:pPr>
            <w:r>
              <w:rPr>
                <w:sz w:val="16"/>
              </w:rPr>
              <w:t>6</w:t>
            </w:r>
          </w:p>
        </w:tc>
        <w:tc>
          <w:tcPr>
            <w:tcW w:type="dxa" w:w="901"/>
            <w:tcMar>
              <w:top w:w="50" w:type="dxa"/>
              <w:bottom w:w="50" w:type="dxa"/>
              <w:left w:w="90" w:type="dxa"/>
              <w:right w:w="90" w:type="dxa"/>
            </w:tcMar>
            <w:shd w:val="clear" w:color="auto" w:fill="E5F5FF"/>
          </w:tcPr>
          <w:p>
            <w:pPr>
              <w:pStyle w:val="BDOITable"/>
            </w:pPr>
            <w:r>
              <w:rPr>
                <w:sz w:val="16"/>
              </w:rPr>
              <w:t>0</w:t>
            </w:r>
          </w:p>
        </w:tc>
        <w:tc>
          <w:tcPr>
            <w:tcW w:type="dxa" w:w="128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643"/>
            <w:tcMar>
              <w:top w:w="50" w:type="dxa"/>
              <w:bottom w:w="50" w:type="dxa"/>
              <w:left w:w="90" w:type="dxa"/>
              <w:right w:w="90" w:type="dxa"/>
            </w:tcMar>
          </w:tcPr>
          <w:p>
            <w:pPr>
              <w:pStyle w:val="BDOITable"/>
            </w:pPr>
            <w:r>
              <w:rPr>
                <w:b/>
                <w:sz w:val="16"/>
              </w:rPr>
              <w:t>BC13</w:t>
            </w:r>
          </w:p>
        </w:tc>
        <w:tc>
          <w:tcPr>
            <w:tcW w:type="dxa" w:w="3217"/>
            <w:tcMar>
              <w:top w:w="50" w:type="dxa"/>
              <w:bottom w:w="50" w:type="dxa"/>
              <w:left w:w="90" w:type="dxa"/>
              <w:right w:w="90" w:type="dxa"/>
            </w:tcMar>
          </w:tcPr>
          <w:p>
            <w:pPr>
              <w:pStyle w:val="BDOITable"/>
            </w:pPr>
            <w:r>
              <w:rPr>
                <w:sz w:val="16"/>
              </w:rPr>
              <w:t>Sanction screening and risk profiling</w:t>
            </w:r>
          </w:p>
        </w:tc>
        <w:tc>
          <w:tcPr>
            <w:tcW w:type="dxa" w:w="965"/>
            <w:tcMar>
              <w:top w:w="50" w:type="dxa"/>
              <w:bottom w:w="50" w:type="dxa"/>
              <w:left w:w="90" w:type="dxa"/>
              <w:right w:w="90" w:type="dxa"/>
            </w:tcMar>
          </w:tcPr>
          <w:p>
            <w:pPr>
              <w:pStyle w:val="BDOITable"/>
            </w:pPr>
            <w:r>
              <w:rPr>
                <w:sz w:val="16"/>
              </w:rPr>
              <w:t>BRD-10</w:t>
            </w:r>
          </w:p>
        </w:tc>
        <w:tc>
          <w:tcPr>
            <w:tcW w:type="dxa" w:w="1158"/>
            <w:tcMar>
              <w:top w:w="50" w:type="dxa"/>
              <w:bottom w:w="50" w:type="dxa"/>
              <w:left w:w="90" w:type="dxa"/>
              <w:right w:w="90" w:type="dxa"/>
            </w:tcMar>
          </w:tcPr>
          <w:p>
            <w:pPr>
              <w:pStyle w:val="BDOITable"/>
            </w:pPr>
            <w:r>
              <w:rPr>
                <w:sz w:val="16"/>
              </w:rPr>
              <w:t>71</w:t>
            </w:r>
          </w:p>
        </w:tc>
        <w:tc>
          <w:tcPr>
            <w:tcW w:type="dxa" w:w="901"/>
            <w:tcMar>
              <w:top w:w="50" w:type="dxa"/>
              <w:bottom w:w="50" w:type="dxa"/>
              <w:left w:w="90" w:type="dxa"/>
              <w:right w:w="90" w:type="dxa"/>
            </w:tcMar>
          </w:tcPr>
          <w:p>
            <w:pPr>
              <w:pStyle w:val="BDOITable"/>
            </w:pPr>
            <w:r>
              <w:rPr>
                <w:sz w:val="16"/>
              </w:rPr>
              <w:t>34</w:t>
            </w:r>
          </w:p>
        </w:tc>
        <w:tc>
          <w:tcPr>
            <w:tcW w:type="dxa" w:w="901"/>
            <w:tcMar>
              <w:top w:w="50" w:type="dxa"/>
              <w:bottom w:w="50" w:type="dxa"/>
              <w:left w:w="90" w:type="dxa"/>
              <w:right w:w="90" w:type="dxa"/>
            </w:tcMar>
          </w:tcPr>
          <w:p>
            <w:pPr>
              <w:pStyle w:val="BDOITable"/>
            </w:pPr>
            <w:r>
              <w:rPr>
                <w:sz w:val="16"/>
              </w:rPr>
              <w:t>32</w:t>
            </w:r>
          </w:p>
        </w:tc>
        <w:tc>
          <w:tcPr>
            <w:tcW w:type="dxa" w:w="901"/>
            <w:tcMar>
              <w:top w:w="50" w:type="dxa"/>
              <w:bottom w:w="50" w:type="dxa"/>
              <w:left w:w="90" w:type="dxa"/>
              <w:right w:w="90" w:type="dxa"/>
            </w:tcMar>
          </w:tcPr>
          <w:p>
            <w:pPr>
              <w:pStyle w:val="BDOITable"/>
            </w:pPr>
            <w:r>
              <w:rPr>
                <w:sz w:val="16"/>
              </w:rPr>
              <w:t>5</w:t>
            </w:r>
          </w:p>
        </w:tc>
        <w:tc>
          <w:tcPr>
            <w:tcW w:type="dxa" w:w="1287"/>
            <w:tcMar>
              <w:top w:w="50" w:type="dxa"/>
              <w:bottom w:w="50" w:type="dxa"/>
              <w:left w:w="90" w:type="dxa"/>
              <w:right w:w="90" w:type="dxa"/>
            </w:tcMar>
          </w:tcPr>
          <w:p>
            <w:pPr>
              <w:pStyle w:val="BDOITable"/>
            </w:pPr>
            <w:r>
              <w:rPr>
                <w:sz w:val="16"/>
              </w:rPr>
              <w:t>0</w:t>
            </w:r>
          </w:p>
        </w:tc>
      </w:tr>
      <w:tr>
        <w:trPr>
          <w:cantSplit w:val="true"/>
        </w:trPr>
        <w:tc>
          <w:tcPr>
            <w:tcW w:type="dxa" w:w="643"/>
            <w:tcMar>
              <w:top w:w="50" w:type="dxa"/>
              <w:bottom w:w="50" w:type="dxa"/>
              <w:left w:w="90" w:type="dxa"/>
              <w:right w:w="90" w:type="dxa"/>
            </w:tcMar>
            <w:shd w:val="clear" w:color="auto" w:fill="E5F5FF"/>
          </w:tcPr>
          <w:p>
            <w:pPr>
              <w:pStyle w:val="BDOITable"/>
            </w:pPr>
            <w:r>
              <w:rPr>
                <w:b/>
                <w:sz w:val="16"/>
              </w:rPr>
              <w:t>BC14</w:t>
            </w:r>
          </w:p>
        </w:tc>
        <w:tc>
          <w:tcPr>
            <w:tcW w:type="dxa" w:w="3217"/>
            <w:tcMar>
              <w:top w:w="50" w:type="dxa"/>
              <w:bottom w:w="50" w:type="dxa"/>
              <w:left w:w="90" w:type="dxa"/>
              <w:right w:w="90" w:type="dxa"/>
            </w:tcMar>
            <w:shd w:val="clear" w:color="auto" w:fill="E5F5FF"/>
          </w:tcPr>
          <w:p>
            <w:pPr>
              <w:pStyle w:val="BDOITable"/>
            </w:pPr>
            <w:r>
              <w:rPr>
                <w:sz w:val="16"/>
              </w:rPr>
              <w:t>User access and identity</w:t>
            </w:r>
          </w:p>
        </w:tc>
        <w:tc>
          <w:tcPr>
            <w:tcW w:type="dxa" w:w="965"/>
            <w:tcMar>
              <w:top w:w="50" w:type="dxa"/>
              <w:bottom w:w="50" w:type="dxa"/>
              <w:left w:w="90" w:type="dxa"/>
              <w:right w:w="90" w:type="dxa"/>
            </w:tcMar>
            <w:shd w:val="clear" w:color="auto" w:fill="E5F5FF"/>
          </w:tcPr>
          <w:p>
            <w:pPr>
              <w:pStyle w:val="BDOITable"/>
            </w:pPr>
            <w:r>
              <w:rPr>
                <w:sz w:val="16"/>
              </w:rPr>
              <w:t>BRD-11</w:t>
            </w:r>
          </w:p>
        </w:tc>
        <w:tc>
          <w:tcPr>
            <w:tcW w:type="dxa" w:w="1158"/>
            <w:tcMar>
              <w:top w:w="50" w:type="dxa"/>
              <w:bottom w:w="50" w:type="dxa"/>
              <w:left w:w="90" w:type="dxa"/>
              <w:right w:w="90" w:type="dxa"/>
            </w:tcMar>
            <w:shd w:val="clear" w:color="auto" w:fill="E5F5FF"/>
          </w:tcPr>
          <w:p>
            <w:pPr>
              <w:pStyle w:val="BDOITable"/>
            </w:pPr>
            <w:r>
              <w:rPr>
                <w:sz w:val="16"/>
              </w:rPr>
              <w:t>82</w:t>
            </w:r>
          </w:p>
        </w:tc>
        <w:tc>
          <w:tcPr>
            <w:tcW w:type="dxa" w:w="901"/>
            <w:tcMar>
              <w:top w:w="50" w:type="dxa"/>
              <w:bottom w:w="50" w:type="dxa"/>
              <w:left w:w="90" w:type="dxa"/>
              <w:right w:w="90" w:type="dxa"/>
            </w:tcMar>
            <w:shd w:val="clear" w:color="auto" w:fill="E5F5FF"/>
          </w:tcPr>
          <w:p>
            <w:pPr>
              <w:pStyle w:val="BDOITable"/>
            </w:pPr>
            <w:r>
              <w:rPr>
                <w:sz w:val="16"/>
              </w:rPr>
              <w:t>34</w:t>
            </w:r>
          </w:p>
        </w:tc>
        <w:tc>
          <w:tcPr>
            <w:tcW w:type="dxa" w:w="901"/>
            <w:tcMar>
              <w:top w:w="50" w:type="dxa"/>
              <w:bottom w:w="50" w:type="dxa"/>
              <w:left w:w="90" w:type="dxa"/>
              <w:right w:w="90" w:type="dxa"/>
            </w:tcMar>
            <w:shd w:val="clear" w:color="auto" w:fill="E5F5FF"/>
          </w:tcPr>
          <w:p>
            <w:pPr>
              <w:pStyle w:val="BDOITable"/>
            </w:pPr>
            <w:r>
              <w:rPr>
                <w:sz w:val="16"/>
              </w:rPr>
              <w:t>42</w:t>
            </w:r>
          </w:p>
        </w:tc>
        <w:tc>
          <w:tcPr>
            <w:tcW w:type="dxa" w:w="901"/>
            <w:tcMar>
              <w:top w:w="50" w:type="dxa"/>
              <w:bottom w:w="50" w:type="dxa"/>
              <w:left w:w="90" w:type="dxa"/>
              <w:right w:w="90" w:type="dxa"/>
            </w:tcMar>
            <w:shd w:val="clear" w:color="auto" w:fill="E5F5FF"/>
          </w:tcPr>
          <w:p>
            <w:pPr>
              <w:pStyle w:val="BDOITable"/>
            </w:pPr>
            <w:r>
              <w:rPr>
                <w:sz w:val="16"/>
              </w:rPr>
              <w:t>6</w:t>
            </w:r>
          </w:p>
        </w:tc>
        <w:tc>
          <w:tcPr>
            <w:tcW w:type="dxa" w:w="128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643"/>
            <w:tcMar>
              <w:top w:w="50" w:type="dxa"/>
              <w:bottom w:w="50" w:type="dxa"/>
              <w:left w:w="90" w:type="dxa"/>
              <w:right w:w="90" w:type="dxa"/>
            </w:tcMar>
          </w:tcPr>
          <w:p>
            <w:pPr>
              <w:pStyle w:val="BDOITable"/>
            </w:pPr>
            <w:r>
              <w:rPr>
                <w:b/>
                <w:sz w:val="16"/>
              </w:rPr>
              <w:t>BC15</w:t>
            </w:r>
          </w:p>
        </w:tc>
        <w:tc>
          <w:tcPr>
            <w:tcW w:type="dxa" w:w="3217"/>
            <w:tcMar>
              <w:top w:w="50" w:type="dxa"/>
              <w:bottom w:w="50" w:type="dxa"/>
              <w:left w:w="90" w:type="dxa"/>
              <w:right w:w="90" w:type="dxa"/>
            </w:tcMar>
          </w:tcPr>
          <w:p>
            <w:pPr>
              <w:pStyle w:val="BDOITable"/>
            </w:pPr>
            <w:r>
              <w:rPr>
                <w:sz w:val="16"/>
              </w:rPr>
              <w:t>Data migration</w:t>
            </w:r>
          </w:p>
        </w:tc>
        <w:tc>
          <w:tcPr>
            <w:tcW w:type="dxa" w:w="965"/>
            <w:tcMar>
              <w:top w:w="50" w:type="dxa"/>
              <w:bottom w:w="50" w:type="dxa"/>
              <w:left w:w="90" w:type="dxa"/>
              <w:right w:w="90" w:type="dxa"/>
            </w:tcMar>
          </w:tcPr>
          <w:p>
            <w:pPr>
              <w:pStyle w:val="BDOITable"/>
            </w:pPr>
            <w:r>
              <w:rPr>
                <w:sz w:val="16"/>
              </w:rPr>
              <w:t>BRD-13</w:t>
            </w:r>
          </w:p>
        </w:tc>
        <w:tc>
          <w:tcPr>
            <w:tcW w:type="dxa" w:w="1158"/>
            <w:tcMar>
              <w:top w:w="50" w:type="dxa"/>
              <w:bottom w:w="50" w:type="dxa"/>
              <w:left w:w="90" w:type="dxa"/>
              <w:right w:w="90" w:type="dxa"/>
            </w:tcMar>
          </w:tcPr>
          <w:p>
            <w:pPr>
              <w:pStyle w:val="BDOITable"/>
            </w:pPr>
            <w:r>
              <w:rPr>
                <w:sz w:val="16"/>
              </w:rPr>
              <w:t>105</w:t>
            </w:r>
          </w:p>
        </w:tc>
        <w:tc>
          <w:tcPr>
            <w:tcW w:type="dxa" w:w="901"/>
            <w:tcMar>
              <w:top w:w="50" w:type="dxa"/>
              <w:bottom w:w="50" w:type="dxa"/>
              <w:left w:w="90" w:type="dxa"/>
              <w:right w:w="90" w:type="dxa"/>
            </w:tcMar>
          </w:tcPr>
          <w:p>
            <w:pPr>
              <w:pStyle w:val="BDOITable"/>
            </w:pPr>
            <w:r>
              <w:rPr>
                <w:sz w:val="16"/>
              </w:rPr>
              <w:t>51</w:t>
            </w:r>
          </w:p>
        </w:tc>
        <w:tc>
          <w:tcPr>
            <w:tcW w:type="dxa" w:w="901"/>
            <w:tcMar>
              <w:top w:w="50" w:type="dxa"/>
              <w:bottom w:w="50" w:type="dxa"/>
              <w:left w:w="90" w:type="dxa"/>
              <w:right w:w="90" w:type="dxa"/>
            </w:tcMar>
          </w:tcPr>
          <w:p>
            <w:pPr>
              <w:pStyle w:val="BDOITable"/>
            </w:pPr>
            <w:r>
              <w:rPr>
                <w:sz w:val="16"/>
              </w:rPr>
              <w:t>49</w:t>
            </w:r>
          </w:p>
        </w:tc>
        <w:tc>
          <w:tcPr>
            <w:tcW w:type="dxa" w:w="901"/>
            <w:tcMar>
              <w:top w:w="50" w:type="dxa"/>
              <w:bottom w:w="50" w:type="dxa"/>
              <w:left w:w="90" w:type="dxa"/>
              <w:right w:w="90" w:type="dxa"/>
            </w:tcMar>
          </w:tcPr>
          <w:p>
            <w:pPr>
              <w:pStyle w:val="BDOITable"/>
            </w:pPr>
            <w:r>
              <w:rPr>
                <w:sz w:val="16"/>
              </w:rPr>
              <w:t>4</w:t>
            </w:r>
          </w:p>
        </w:tc>
        <w:tc>
          <w:tcPr>
            <w:tcW w:type="dxa" w:w="1287"/>
            <w:tcMar>
              <w:top w:w="50" w:type="dxa"/>
              <w:bottom w:w="50" w:type="dxa"/>
              <w:left w:w="90" w:type="dxa"/>
              <w:right w:w="90" w:type="dxa"/>
            </w:tcMar>
          </w:tcPr>
          <w:p>
            <w:pPr>
              <w:pStyle w:val="BDOITable"/>
            </w:pPr>
            <w:r>
              <w:rPr>
                <w:sz w:val="16"/>
              </w:rPr>
              <w:t>1</w:t>
            </w:r>
          </w:p>
        </w:tc>
      </w:tr>
      <w:tr>
        <w:trPr>
          <w:cantSplit w:val="true"/>
        </w:trPr>
        <w:tc>
          <w:tcPr>
            <w:tcW w:type="dxa" w:w="643"/>
            <w:tcMar>
              <w:top w:w="50" w:type="dxa"/>
              <w:bottom w:w="50" w:type="dxa"/>
              <w:left w:w="90" w:type="dxa"/>
              <w:right w:w="90" w:type="dxa"/>
            </w:tcMar>
            <w:shd w:val="clear" w:color="auto" w:fill="E5F5FF"/>
          </w:tcPr>
          <w:p>
            <w:pPr>
              <w:pStyle w:val="BDOITable"/>
            </w:pPr>
            <w:r>
              <w:rPr>
                <w:b/>
                <w:sz w:val="16"/>
              </w:rPr>
              <w:t>BC16</w:t>
            </w:r>
          </w:p>
        </w:tc>
        <w:tc>
          <w:tcPr>
            <w:tcW w:type="dxa" w:w="3217"/>
            <w:tcMar>
              <w:top w:w="50" w:type="dxa"/>
              <w:bottom w:w="50" w:type="dxa"/>
              <w:left w:w="90" w:type="dxa"/>
              <w:right w:w="90" w:type="dxa"/>
            </w:tcMar>
            <w:shd w:val="clear" w:color="auto" w:fill="E5F5FF"/>
          </w:tcPr>
          <w:p>
            <w:pPr>
              <w:pStyle w:val="BDOITable"/>
            </w:pPr>
            <w:r>
              <w:rPr>
                <w:sz w:val="16"/>
              </w:rPr>
              <w:t>Platform services</w:t>
            </w:r>
          </w:p>
        </w:tc>
        <w:tc>
          <w:tcPr>
            <w:tcW w:type="dxa" w:w="965"/>
            <w:tcMar>
              <w:top w:w="50" w:type="dxa"/>
              <w:bottom w:w="50" w:type="dxa"/>
              <w:left w:w="90" w:type="dxa"/>
              <w:right w:w="90" w:type="dxa"/>
            </w:tcMar>
            <w:shd w:val="clear" w:color="auto" w:fill="E5F5FF"/>
          </w:tcPr>
          <w:p>
            <w:pPr>
              <w:pStyle w:val="BDOITable"/>
            </w:pPr>
            <w:r>
              <w:rPr>
                <w:sz w:val="16"/>
              </w:rPr>
              <w:t>BRD-00</w:t>
            </w:r>
          </w:p>
        </w:tc>
        <w:tc>
          <w:tcPr>
            <w:tcW w:type="dxa" w:w="1158"/>
            <w:tcMar>
              <w:top w:w="50" w:type="dxa"/>
              <w:bottom w:w="50" w:type="dxa"/>
              <w:left w:w="90" w:type="dxa"/>
              <w:right w:w="90" w:type="dxa"/>
            </w:tcMar>
            <w:shd w:val="clear" w:color="auto" w:fill="E5F5FF"/>
          </w:tcPr>
          <w:p>
            <w:pPr>
              <w:pStyle w:val="BDOITable"/>
            </w:pPr>
            <w:r>
              <w:rPr>
                <w:sz w:val="16"/>
              </w:rPr>
              <w:t>129</w:t>
            </w:r>
          </w:p>
        </w:tc>
        <w:tc>
          <w:tcPr>
            <w:tcW w:type="dxa" w:w="901"/>
            <w:tcMar>
              <w:top w:w="50" w:type="dxa"/>
              <w:bottom w:w="50" w:type="dxa"/>
              <w:left w:w="90" w:type="dxa"/>
              <w:right w:w="90" w:type="dxa"/>
            </w:tcMar>
            <w:shd w:val="clear" w:color="auto" w:fill="E5F5FF"/>
          </w:tcPr>
          <w:p>
            <w:pPr>
              <w:pStyle w:val="BDOITable"/>
            </w:pPr>
            <w:r>
              <w:rPr>
                <w:sz w:val="16"/>
              </w:rPr>
              <w:t>72</w:t>
            </w:r>
          </w:p>
        </w:tc>
        <w:tc>
          <w:tcPr>
            <w:tcW w:type="dxa" w:w="901"/>
            <w:tcMar>
              <w:top w:w="50" w:type="dxa"/>
              <w:bottom w:w="50" w:type="dxa"/>
              <w:left w:w="90" w:type="dxa"/>
              <w:right w:w="90" w:type="dxa"/>
            </w:tcMar>
            <w:shd w:val="clear" w:color="auto" w:fill="E5F5FF"/>
          </w:tcPr>
          <w:p>
            <w:pPr>
              <w:pStyle w:val="BDOITable"/>
            </w:pPr>
            <w:r>
              <w:rPr>
                <w:sz w:val="16"/>
              </w:rPr>
              <w:t>46</w:t>
            </w:r>
          </w:p>
        </w:tc>
        <w:tc>
          <w:tcPr>
            <w:tcW w:type="dxa" w:w="901"/>
            <w:tcMar>
              <w:top w:w="50" w:type="dxa"/>
              <w:bottom w:w="50" w:type="dxa"/>
              <w:left w:w="90" w:type="dxa"/>
              <w:right w:w="90" w:type="dxa"/>
            </w:tcMar>
            <w:shd w:val="clear" w:color="auto" w:fill="E5F5FF"/>
          </w:tcPr>
          <w:p>
            <w:pPr>
              <w:pStyle w:val="BDOITable"/>
            </w:pPr>
            <w:r>
              <w:rPr>
                <w:sz w:val="16"/>
              </w:rPr>
              <w:t>9</w:t>
            </w:r>
          </w:p>
        </w:tc>
        <w:tc>
          <w:tcPr>
            <w:tcW w:type="dxa" w:w="1287"/>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643"/>
            <w:tcMar>
              <w:top w:w="50" w:type="dxa"/>
              <w:bottom w:w="50" w:type="dxa"/>
              <w:left w:w="90" w:type="dxa"/>
              <w:right w:w="90" w:type="dxa"/>
            </w:tcMar>
          </w:tcPr>
          <w:p>
            <w:pPr>
              <w:pStyle w:val="BDOITable"/>
            </w:pPr>
            <w:r>
              <w:rPr>
                <w:b/>
                <w:sz w:val="16"/>
              </w:rPr>
              <w:t>BC17</w:t>
            </w:r>
          </w:p>
        </w:tc>
        <w:tc>
          <w:tcPr>
            <w:tcW w:type="dxa" w:w="3217"/>
            <w:tcMar>
              <w:top w:w="50" w:type="dxa"/>
              <w:bottom w:w="50" w:type="dxa"/>
              <w:left w:w="90" w:type="dxa"/>
              <w:right w:w="90" w:type="dxa"/>
            </w:tcMar>
          </w:tcPr>
          <w:p>
            <w:pPr>
              <w:pStyle w:val="BDOITable"/>
            </w:pPr>
            <w:r>
              <w:rPr>
                <w:sz w:val="16"/>
              </w:rPr>
              <w:t>Integration and shared state</w:t>
            </w:r>
          </w:p>
        </w:tc>
        <w:tc>
          <w:tcPr>
            <w:tcW w:type="dxa" w:w="965"/>
            <w:tcMar>
              <w:top w:w="50" w:type="dxa"/>
              <w:bottom w:w="50" w:type="dxa"/>
              <w:left w:w="90" w:type="dxa"/>
              <w:right w:w="90" w:type="dxa"/>
            </w:tcMar>
          </w:tcPr>
          <w:p>
            <w:pPr>
              <w:pStyle w:val="BDOITable"/>
            </w:pPr>
            <w:r>
              <w:rPr>
                <w:sz w:val="16"/>
              </w:rPr>
              <w:t>BRD-00</w:t>
            </w:r>
          </w:p>
        </w:tc>
        <w:tc>
          <w:tcPr>
            <w:tcW w:type="dxa" w:w="1158"/>
            <w:tcMar>
              <w:top w:w="50" w:type="dxa"/>
              <w:bottom w:w="50" w:type="dxa"/>
              <w:left w:w="90" w:type="dxa"/>
              <w:right w:w="90" w:type="dxa"/>
            </w:tcMar>
          </w:tcPr>
          <w:p>
            <w:pPr>
              <w:pStyle w:val="BDOITable"/>
            </w:pPr>
            <w:r>
              <w:rPr>
                <w:sz w:val="16"/>
              </w:rPr>
              <w:t>11</w:t>
            </w:r>
          </w:p>
        </w:tc>
        <w:tc>
          <w:tcPr>
            <w:tcW w:type="dxa" w:w="901"/>
            <w:tcMar>
              <w:top w:w="50" w:type="dxa"/>
              <w:bottom w:w="50" w:type="dxa"/>
              <w:left w:w="90" w:type="dxa"/>
              <w:right w:w="90" w:type="dxa"/>
            </w:tcMar>
          </w:tcPr>
          <w:p>
            <w:pPr>
              <w:pStyle w:val="BDOITable"/>
            </w:pPr>
            <w:r>
              <w:rPr>
                <w:sz w:val="16"/>
              </w:rPr>
              <w:t>6</w:t>
            </w:r>
          </w:p>
        </w:tc>
        <w:tc>
          <w:tcPr>
            <w:tcW w:type="dxa" w:w="901"/>
            <w:tcMar>
              <w:top w:w="50" w:type="dxa"/>
              <w:bottom w:w="50" w:type="dxa"/>
              <w:left w:w="90" w:type="dxa"/>
              <w:right w:w="90" w:type="dxa"/>
            </w:tcMar>
          </w:tcPr>
          <w:p>
            <w:pPr>
              <w:pStyle w:val="BDOITable"/>
            </w:pPr>
            <w:r>
              <w:rPr>
                <w:sz w:val="16"/>
              </w:rPr>
              <w:t>5</w:t>
            </w:r>
          </w:p>
        </w:tc>
        <w:tc>
          <w:tcPr>
            <w:tcW w:type="dxa" w:w="901"/>
            <w:tcMar>
              <w:top w:w="50" w:type="dxa"/>
              <w:bottom w:w="50" w:type="dxa"/>
              <w:left w:w="90" w:type="dxa"/>
              <w:right w:w="90" w:type="dxa"/>
            </w:tcMar>
          </w:tcPr>
          <w:p>
            <w:pPr>
              <w:pStyle w:val="BDOITable"/>
            </w:pPr>
            <w:r>
              <w:rPr>
                <w:sz w:val="16"/>
              </w:rPr>
              <w:t>0</w:t>
            </w:r>
          </w:p>
        </w:tc>
        <w:tc>
          <w:tcPr>
            <w:tcW w:type="dxa" w:w="1287"/>
            <w:tcMar>
              <w:top w:w="50" w:type="dxa"/>
              <w:bottom w:w="50" w:type="dxa"/>
              <w:left w:w="90" w:type="dxa"/>
              <w:right w:w="90" w:type="dxa"/>
            </w:tcMar>
          </w:tcPr>
          <w:p>
            <w:pPr>
              <w:pStyle w:val="BDOITable"/>
            </w:pPr>
            <w:r>
              <w:rPr>
                <w:sz w:val="16"/>
              </w:rPr>
              <w:t>0</w:t>
            </w:r>
          </w:p>
        </w:tc>
      </w:tr>
      <w:tr>
        <w:trPr>
          <w:cantSplit w:val="true"/>
        </w:trPr>
        <w:tc>
          <w:tcPr>
            <w:tcW w:type="dxa" w:w="643"/>
            <w:tcMar>
              <w:top w:w="50" w:type="dxa"/>
              <w:bottom w:w="50" w:type="dxa"/>
              <w:left w:w="90" w:type="dxa"/>
              <w:right w:w="90" w:type="dxa"/>
            </w:tcMar>
            <w:shd w:val="clear" w:color="auto" w:fill="E5F5FF"/>
          </w:tcPr>
          <w:p>
            <w:pPr>
              <w:pStyle w:val="BDOITable"/>
            </w:pPr>
            <w:r>
              <w:rPr>
                <w:b/>
                <w:sz w:val="16"/>
              </w:rPr>
              <w:t>-</w:t>
            </w:r>
          </w:p>
        </w:tc>
        <w:tc>
          <w:tcPr>
            <w:tcW w:type="dxa" w:w="3217"/>
            <w:tcMar>
              <w:top w:w="50" w:type="dxa"/>
              <w:bottom w:w="50" w:type="dxa"/>
              <w:left w:w="90" w:type="dxa"/>
              <w:right w:w="90" w:type="dxa"/>
            </w:tcMar>
            <w:shd w:val="clear" w:color="auto" w:fill="E5F5FF"/>
          </w:tcPr>
          <w:p>
            <w:pPr>
              <w:pStyle w:val="BDOITable"/>
            </w:pPr>
            <w:r>
              <w:rPr>
                <w:sz w:val="16"/>
              </w:rPr>
              <w:t>Total</w:t>
            </w:r>
          </w:p>
        </w:tc>
        <w:tc>
          <w:tcPr>
            <w:tcW w:type="dxa" w:w="965"/>
            <w:tcMar>
              <w:top w:w="50" w:type="dxa"/>
              <w:bottom w:w="50" w:type="dxa"/>
              <w:left w:w="90" w:type="dxa"/>
              <w:right w:w="90" w:type="dxa"/>
            </w:tcMar>
            <w:shd w:val="clear" w:color="auto" w:fill="E5F5FF"/>
          </w:tcPr>
          <w:p>
            <w:pPr>
              <w:pStyle w:val="BDOITable"/>
            </w:pPr>
            <w:r>
              <w:rPr>
                <w:sz w:val="16"/>
              </w:rPr>
              <w:t>-</w:t>
            </w:r>
          </w:p>
        </w:tc>
        <w:tc>
          <w:tcPr>
            <w:tcW w:type="dxa" w:w="1158"/>
            <w:tcMar>
              <w:top w:w="50" w:type="dxa"/>
              <w:bottom w:w="50" w:type="dxa"/>
              <w:left w:w="90" w:type="dxa"/>
              <w:right w:w="90" w:type="dxa"/>
            </w:tcMar>
            <w:shd w:val="clear" w:color="auto" w:fill="E5F5FF"/>
          </w:tcPr>
          <w:p>
            <w:pPr>
              <w:pStyle w:val="BDOITable"/>
            </w:pPr>
            <w:r>
              <w:rPr>
                <w:sz w:val="16"/>
              </w:rPr>
              <w:t>1832</w:t>
            </w:r>
          </w:p>
        </w:tc>
        <w:tc>
          <w:tcPr>
            <w:tcW w:type="dxa" w:w="901"/>
            <w:tcMar>
              <w:top w:w="50" w:type="dxa"/>
              <w:bottom w:w="50" w:type="dxa"/>
              <w:left w:w="90" w:type="dxa"/>
              <w:right w:w="90" w:type="dxa"/>
            </w:tcMar>
            <w:shd w:val="clear" w:color="auto" w:fill="E5F5FF"/>
          </w:tcPr>
          <w:p>
            <w:pPr>
              <w:pStyle w:val="BDOITable"/>
            </w:pPr>
            <w:r>
              <w:rPr>
                <w:sz w:val="16"/>
              </w:rPr>
              <w:t>805</w:t>
            </w:r>
          </w:p>
        </w:tc>
        <w:tc>
          <w:tcPr>
            <w:tcW w:type="dxa" w:w="901"/>
            <w:tcMar>
              <w:top w:w="50" w:type="dxa"/>
              <w:bottom w:w="50" w:type="dxa"/>
              <w:left w:w="90" w:type="dxa"/>
              <w:right w:w="90" w:type="dxa"/>
            </w:tcMar>
            <w:shd w:val="clear" w:color="auto" w:fill="E5F5FF"/>
          </w:tcPr>
          <w:p>
            <w:pPr>
              <w:pStyle w:val="BDOITable"/>
            </w:pPr>
            <w:r>
              <w:rPr>
                <w:sz w:val="16"/>
              </w:rPr>
              <w:t>875</w:t>
            </w:r>
          </w:p>
        </w:tc>
        <w:tc>
          <w:tcPr>
            <w:tcW w:type="dxa" w:w="901"/>
            <w:tcMar>
              <w:top w:w="50" w:type="dxa"/>
              <w:bottom w:w="50" w:type="dxa"/>
              <w:left w:w="90" w:type="dxa"/>
              <w:right w:w="90" w:type="dxa"/>
            </w:tcMar>
            <w:shd w:val="clear" w:color="auto" w:fill="E5F5FF"/>
          </w:tcPr>
          <w:p>
            <w:pPr>
              <w:pStyle w:val="BDOITable"/>
            </w:pPr>
            <w:r>
              <w:rPr>
                <w:sz w:val="16"/>
              </w:rPr>
              <w:t>140</w:t>
            </w:r>
          </w:p>
        </w:tc>
        <w:tc>
          <w:tcPr>
            <w:tcW w:type="dxa" w:w="1287"/>
            <w:tcMar>
              <w:top w:w="50" w:type="dxa"/>
              <w:bottom w:w="50" w:type="dxa"/>
              <w:left w:w="90" w:type="dxa"/>
              <w:right w:w="90" w:type="dxa"/>
            </w:tcMar>
            <w:shd w:val="clear" w:color="auto" w:fill="E5F5FF"/>
          </w:tcPr>
          <w:p>
            <w:pPr>
              <w:pStyle w:val="BDOITable"/>
            </w:pPr>
            <w:r>
              <w:rPr>
                <w:sz w:val="16"/>
              </w:rPr>
              <w:t>12</w:t>
            </w:r>
          </w:p>
        </w:tc>
      </w:tr>
    </w:tbl>
    <w:p>
      <w:pPr>
        <w:pStyle w:val="BDOISpacer"/>
      </w:pPr>
    </w:p>
    <w:p>
      <w:pPr>
        <w:pStyle w:val="Heading1"/>
        <w:pBdr>
          <w:bottom w:val="single" w:sz="4" w:space="4" w:color="99C1E7"/>
        </w:pBdr>
      </w:pPr>
      <w:bookmarkStart w:id="119" w:name="_Toc000119"/>
      <w:r>
        <w:rPr/>
        <w:t>5 Clean and hexagonal architecture as applied</w:t>
      </w:r>
      <w:bookmarkEnd w:id="119"/>
    </w:p>
    <w:p>
      <w:pPr>
        <w:pStyle w:val="Heading2"/>
      </w:pPr>
      <w:bookmarkStart w:id="120" w:name="_Toc000120"/>
      <w:r>
        <w:rPr/>
        <w:t>5.1 Layers inside a module</w:t>
      </w:r>
      <w:bookmarkEnd w:id="120"/>
    </w:p>
    <w:p>
      <w:r>
        <w:rPr/>
        <w:t>Every module has the same inner layout. Dependencies point inward: the domain depends on nothing above it; services depend on the domain; the REST controllers depend on the services.</w:t>
      </w:r>
    </w:p>
    <w:p>
      <w:pPr>
        <w:pStyle w:val="Caption"/>
        <w:keepNext/>
        <w:spacing w:after="60"/>
      </w:pPr>
      <w:r>
        <w:rPr>
          <w:b/>
          <w:i w:val="0"/>
        </w:rPr>
        <w:t xml:space="preserve">Table 11: </w:t>
      </w:r>
      <w:r>
        <w:rPr/>
        <w:t>Layers of a module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59"/>
        <w:gridCol w:w="4306"/>
        <w:gridCol w:w="4306"/>
      </w:tblGrid>
      <w:tr>
        <w:trPr>
          <w:tblHeader w:val="true"/>
          <w:cantSplit w:val="true"/>
        </w:trPr>
        <w:tc>
          <w:tcPr>
            <w:tcW w:type="dxa" w:w="1360"/>
            <w:shd w:val="clear" w:color="auto" w:fill="004EA8"/>
            <w:tcMar>
              <w:top w:w="50" w:type="dxa"/>
              <w:bottom w:w="50" w:type="dxa"/>
              <w:left w:w="90" w:type="dxa"/>
              <w:right w:w="90" w:type="dxa"/>
            </w:tcMar>
            <w:vAlign w:val="center"/>
          </w:tcPr>
          <w:p>
            <w:pPr>
              <w:pStyle w:val="BDOITableHeader"/>
            </w:pPr>
            <w:r>
              <w:rPr>
                <w:b/>
                <w:color w:val="FFFFFF"/>
                <w:sz w:val="17"/>
              </w:rPr>
              <w:t>Layer</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7"/>
              </w:rPr>
              <w:t>Contains</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7"/>
              </w:rPr>
              <w:t>Rules</w:t>
            </w:r>
          </w:p>
        </w:tc>
      </w:tr>
      <w:tr>
        <w:trPr>
          <w:cantSplit w:val="true"/>
        </w:trPr>
        <w:tc>
          <w:tcPr>
            <w:tcW w:type="dxa" w:w="1360"/>
            <w:tcMar>
              <w:top w:w="50" w:type="dxa"/>
              <w:bottom w:w="50" w:type="dxa"/>
              <w:left w:w="90" w:type="dxa"/>
              <w:right w:w="90" w:type="dxa"/>
            </w:tcMar>
          </w:tcPr>
          <w:p>
            <w:pPr>
              <w:pStyle w:val="BDOITable"/>
            </w:pPr>
            <w:r>
              <w:rPr>
                <w:b/>
                <w:sz w:val="17"/>
              </w:rPr>
              <w:t>api</w:t>
            </w:r>
          </w:p>
        </w:tc>
        <w:tc>
          <w:tcPr>
            <w:tcW w:type="dxa" w:w="4306"/>
            <w:tcMar>
              <w:top w:w="50" w:type="dxa"/>
              <w:bottom w:w="50" w:type="dxa"/>
              <w:left w:w="90" w:type="dxa"/>
              <w:right w:w="90" w:type="dxa"/>
            </w:tcMar>
          </w:tcPr>
          <w:p>
            <w:pPr>
              <w:pStyle w:val="BDOITable"/>
            </w:pPr>
            <w:r>
              <w:rPr>
                <w:sz w:val="17"/>
              </w:rPr>
              <w:t>REST controllers and the request and response records (Java records with bean validation)</w:t>
            </w:r>
          </w:p>
        </w:tc>
        <w:tc>
          <w:tcPr>
            <w:tcW w:type="dxa" w:w="4306"/>
            <w:tcMar>
              <w:top w:w="50" w:type="dxa"/>
              <w:bottom w:w="50" w:type="dxa"/>
              <w:left w:w="90" w:type="dxa"/>
              <w:right w:w="90" w:type="dxa"/>
            </w:tcMar>
          </w:tcPr>
          <w:p>
            <w:pPr>
              <w:pStyle w:val="BDOITable"/>
            </w:pPr>
            <w:r>
              <w:rPr>
                <w:sz w:val="17"/>
              </w:rPr>
              <w:t>Every operation names its permission; controllers return records, never persistent entities; no business logic</w:t>
            </w:r>
          </w:p>
        </w:tc>
      </w:tr>
      <w:tr>
        <w:trPr>
          <w:cantSplit w:val="true"/>
        </w:trPr>
        <w:tc>
          <w:tcPr>
            <w:tcW w:type="dxa" w:w="1360"/>
            <w:tcMar>
              <w:top w:w="50" w:type="dxa"/>
              <w:bottom w:w="50" w:type="dxa"/>
              <w:left w:w="90" w:type="dxa"/>
              <w:right w:w="90" w:type="dxa"/>
            </w:tcMar>
            <w:shd w:val="clear" w:color="auto" w:fill="E5F5FF"/>
          </w:tcPr>
          <w:p>
            <w:pPr>
              <w:pStyle w:val="BDOITable"/>
            </w:pPr>
            <w:r>
              <w:rPr>
                <w:b/>
                <w:sz w:val="17"/>
              </w:rPr>
              <w:t>service</w:t>
            </w:r>
          </w:p>
        </w:tc>
        <w:tc>
          <w:tcPr>
            <w:tcW w:type="dxa" w:w="4306"/>
            <w:tcMar>
              <w:top w:w="50" w:type="dxa"/>
              <w:bottom w:w="50" w:type="dxa"/>
              <w:left w:w="90" w:type="dxa"/>
              <w:right w:w="90" w:type="dxa"/>
            </w:tcMar>
            <w:shd w:val="clear" w:color="auto" w:fill="E5F5FF"/>
          </w:tcPr>
          <w:p>
            <w:pPr>
              <w:pStyle w:val="BDOITable"/>
            </w:pPr>
            <w:r>
              <w:rPr>
                <w:sz w:val="17"/>
              </w:rPr>
              <w:t>Transactional use cases, business rules, ports (interfaces) that other modules or external systems implement</w:t>
            </w:r>
          </w:p>
        </w:tc>
        <w:tc>
          <w:tcPr>
            <w:tcW w:type="dxa" w:w="4306"/>
            <w:tcMar>
              <w:top w:w="50" w:type="dxa"/>
              <w:bottom w:w="50" w:type="dxa"/>
              <w:left w:w="90" w:type="dxa"/>
              <w:right w:w="90" w:type="dxa"/>
            </w:tcMar>
            <w:shd w:val="clear" w:color="auto" w:fill="E5F5FF"/>
          </w:tcPr>
          <w:p>
            <w:pPr>
              <w:pStyle w:val="BDOITable"/>
            </w:pPr>
            <w:r>
              <w:rPr>
                <w:sz w:val="17"/>
              </w:rPr>
              <w:t>Services never depend on controllers; background work is a managed job with a run history and a failure alert</w:t>
            </w:r>
          </w:p>
        </w:tc>
      </w:tr>
      <w:tr>
        <w:trPr>
          <w:cantSplit w:val="true"/>
        </w:trPr>
        <w:tc>
          <w:tcPr>
            <w:tcW w:type="dxa" w:w="1360"/>
            <w:tcMar>
              <w:top w:w="50" w:type="dxa"/>
              <w:bottom w:w="50" w:type="dxa"/>
              <w:left w:w="90" w:type="dxa"/>
              <w:right w:w="90" w:type="dxa"/>
            </w:tcMar>
          </w:tcPr>
          <w:p>
            <w:pPr>
              <w:pStyle w:val="BDOITable"/>
            </w:pPr>
            <w:r>
              <w:rPr>
                <w:b/>
                <w:sz w:val="17"/>
              </w:rPr>
              <w:t>domain</w:t>
            </w:r>
          </w:p>
        </w:tc>
        <w:tc>
          <w:tcPr>
            <w:tcW w:type="dxa" w:w="4306"/>
            <w:tcMar>
              <w:top w:w="50" w:type="dxa"/>
              <w:bottom w:w="50" w:type="dxa"/>
              <w:left w:w="90" w:type="dxa"/>
              <w:right w:w="90" w:type="dxa"/>
            </w:tcMar>
          </w:tcPr>
          <w:p>
            <w:pPr>
              <w:pStyle w:val="BDOITable"/>
            </w:pPr>
            <w:r>
              <w:rPr>
                <w:sz w:val="17"/>
              </w:rPr>
              <w:t>Entities that enforce their invariants, value records, enumerations, repositories</w:t>
            </w:r>
          </w:p>
        </w:tc>
        <w:tc>
          <w:tcPr>
            <w:tcW w:type="dxa" w:w="4306"/>
            <w:tcMar>
              <w:top w:w="50" w:type="dxa"/>
              <w:bottom w:w="50" w:type="dxa"/>
              <w:left w:w="90" w:type="dxa"/>
              <w:right w:w="90" w:type="dxa"/>
            </w:tcMar>
          </w:tcPr>
          <w:p>
            <w:pPr>
              <w:pStyle w:val="BDOITable"/>
            </w:pPr>
            <w:r>
              <w:rPr>
                <w:sz w:val="17"/>
              </w:rPr>
              <w:t>Never depends on service or api; money as BigDecimal with scale 2; maker-checker masters authorize through the entity</w:t>
            </w:r>
          </w:p>
        </w:tc>
      </w:tr>
    </w:tbl>
    <w:p>
      <w:pPr>
        <w:pStyle w:val="BDOISpacer"/>
      </w:pPr>
    </w:p>
    <w:p>
      <w:pPr>
        <w:keepNext/>
        <w:spacing w:before="80" w:after="0"/>
        <w:jc w:val="center"/>
      </w:pPr>
      <w:r>
        <w:drawing>
          <wp:inline xmlns:a="http://schemas.openxmlformats.org/drawingml/2006/main" xmlns:pic="http://schemas.openxmlformats.org/drawingml/2006/picture">
            <wp:extent cx="5400000" cy="3267996"/>
            <wp:docPr id="5" name="Picture 5"/>
            <wp:cNvGraphicFramePr>
              <a:graphicFrameLocks noChangeAspect="1"/>
            </wp:cNvGraphicFramePr>
            <a:graphic>
              <a:graphicData uri="http://schemas.openxmlformats.org/drawingml/2006/picture">
                <pic:pic>
                  <pic:nvPicPr>
                    <pic:cNvPr id="0" name="sa_hexagonal_1003.jpg"/>
                    <pic:cNvPicPr/>
                  </pic:nvPicPr>
                  <pic:blipFill>
                    <a:blip r:embed="rId17"/>
                    <a:stretch>
                      <a:fillRect/>
                    </a:stretch>
                  </pic:blipFill>
                  <pic:spPr>
                    <a:xfrm>
                      <a:off x="0" y="0"/>
                      <a:ext cx="5400000" cy="3267996"/>
                    </a:xfrm>
                    <a:prstGeom prst="rect"/>
                  </pic:spPr>
                </pic:pic>
              </a:graphicData>
            </a:graphic>
          </wp:inline>
        </w:drawing>
      </w:r>
    </w:p>
    <w:p>
      <w:pPr>
        <w:pStyle w:val="Caption"/>
        <w:jc w:val="center"/>
      </w:pPr>
      <w:r>
        <w:rPr>
          <w:b/>
          <w:i w:val="0"/>
        </w:rPr>
        <w:t xml:space="preserve">Figure 3: </w:t>
      </w:r>
      <w:r>
        <w:rPr/>
        <w:t>Inside a module: ports and connectors</w:t>
      </w:r>
    </w:p>
    <w:p>
      <w:pPr>
        <w:pStyle w:val="Heading2"/>
      </w:pPr>
      <w:bookmarkStart w:id="121" w:name="_Toc000121"/>
      <w:r>
        <w:rPr/>
        <w:t>5.2 Rules checked at every compile</w:t>
      </w:r>
      <w:bookmarkEnd w:id="121"/>
    </w:p>
    <w:p>
      <w:r>
        <w:rPr/>
        <w:t>The architecture rules are executable: the pipeline fails when one is broken (ArchUnit, run with every compile and test cycle).</w:t>
      </w:r>
    </w:p>
    <w:p>
      <w:pPr>
        <w:pStyle w:val="Caption"/>
        <w:keepNext/>
        <w:spacing w:after="60"/>
      </w:pPr>
      <w:r>
        <w:rPr>
          <w:b/>
          <w:i w:val="0"/>
        </w:rPr>
        <w:t xml:space="preserve">Table 12: </w:t>
      </w:r>
      <w:r>
        <w:rPr/>
        <w:t>Architecture rules enforced at every compile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99"/>
        <w:gridCol w:w="6573"/>
      </w:tblGrid>
      <w:tr>
        <w:trPr>
          <w:tblHeader w:val="true"/>
          <w:cantSplit w:val="true"/>
        </w:trPr>
        <w:tc>
          <w:tcPr>
            <w:tcW w:type="dxa" w:w="3400"/>
            <w:shd w:val="clear" w:color="auto" w:fill="004EA8"/>
            <w:tcMar>
              <w:top w:w="50" w:type="dxa"/>
              <w:bottom w:w="50" w:type="dxa"/>
              <w:left w:w="90" w:type="dxa"/>
              <w:right w:w="90" w:type="dxa"/>
            </w:tcMar>
            <w:vAlign w:val="center"/>
          </w:tcPr>
          <w:p>
            <w:pPr>
              <w:pStyle w:val="BDOITableHeader"/>
            </w:pPr>
            <w:r>
              <w:rPr>
                <w:b/>
                <w:color w:val="FFFFFF"/>
                <w:sz w:val="17"/>
              </w:rPr>
              <w:t>Rule</w:t>
            </w:r>
          </w:p>
        </w:tc>
        <w:tc>
          <w:tcPr>
            <w:tcW w:type="dxa" w:w="6572"/>
            <w:shd w:val="clear" w:color="auto" w:fill="004EA8"/>
            <w:tcMar>
              <w:top w:w="50" w:type="dxa"/>
              <w:bottom w:w="50" w:type="dxa"/>
              <w:left w:w="90" w:type="dxa"/>
              <w:right w:w="90" w:type="dxa"/>
            </w:tcMar>
            <w:vAlign w:val="center"/>
          </w:tcPr>
          <w:p>
            <w:pPr>
              <w:pStyle w:val="BDOITableHeader"/>
            </w:pPr>
            <w:r>
              <w:rPr>
                <w:b/>
                <w:color w:val="FFFFFF"/>
                <w:sz w:val="17"/>
              </w:rPr>
              <w:t>Why</w:t>
            </w:r>
          </w:p>
        </w:tc>
      </w:tr>
      <w:tr>
        <w:trPr>
          <w:cantSplit w:val="true"/>
        </w:trPr>
        <w:tc>
          <w:tcPr>
            <w:tcW w:type="dxa" w:w="3400"/>
            <w:tcMar>
              <w:top w:w="50" w:type="dxa"/>
              <w:bottom w:w="50" w:type="dxa"/>
              <w:left w:w="90" w:type="dxa"/>
              <w:right w:w="90" w:type="dxa"/>
            </w:tcMar>
          </w:tcPr>
          <w:p>
            <w:pPr>
              <w:pStyle w:val="BDOITable"/>
            </w:pPr>
            <w:r>
              <w:rPr>
                <w:b/>
                <w:sz w:val="17"/>
              </w:rPr>
              <w:t>No dependency cycles between modules</w:t>
            </w:r>
          </w:p>
        </w:tc>
        <w:tc>
          <w:tcPr>
            <w:tcW w:type="dxa" w:w="6572"/>
            <w:tcMar>
              <w:top w:w="50" w:type="dxa"/>
              <w:bottom w:w="50" w:type="dxa"/>
              <w:left w:w="90" w:type="dxa"/>
              <w:right w:w="90" w:type="dxa"/>
            </w:tcMar>
          </w:tcPr>
          <w:p>
            <w:pPr>
              <w:pStyle w:val="BDOITable"/>
            </w:pPr>
            <w:r>
              <w:rPr>
                <w:sz w:val="17"/>
              </w:rPr>
              <w:t>Each context can be understood, tested and, if ever needed, deployed on its own</w:t>
            </w:r>
          </w:p>
        </w:tc>
      </w:tr>
      <w:tr>
        <w:trPr>
          <w:cantSplit w:val="true"/>
        </w:trPr>
        <w:tc>
          <w:tcPr>
            <w:tcW w:type="dxa" w:w="3400"/>
            <w:tcMar>
              <w:top w:w="50" w:type="dxa"/>
              <w:bottom w:w="50" w:type="dxa"/>
              <w:left w:w="90" w:type="dxa"/>
              <w:right w:w="90" w:type="dxa"/>
            </w:tcMar>
            <w:shd w:val="clear" w:color="auto" w:fill="E5F5FF"/>
          </w:tcPr>
          <w:p>
            <w:pPr>
              <w:pStyle w:val="BDOITable"/>
            </w:pPr>
            <w:r>
              <w:rPr>
                <w:b/>
                <w:sz w:val="17"/>
              </w:rPr>
              <w:t>The domain never depends on service or api</w:t>
            </w:r>
          </w:p>
        </w:tc>
        <w:tc>
          <w:tcPr>
            <w:tcW w:type="dxa" w:w="6572"/>
            <w:tcMar>
              <w:top w:w="50" w:type="dxa"/>
              <w:bottom w:w="50" w:type="dxa"/>
              <w:left w:w="90" w:type="dxa"/>
              <w:right w:w="90" w:type="dxa"/>
            </w:tcMar>
            <w:shd w:val="clear" w:color="auto" w:fill="E5F5FF"/>
          </w:tcPr>
          <w:p>
            <w:pPr>
              <w:pStyle w:val="BDOITable"/>
            </w:pPr>
            <w:r>
              <w:rPr>
                <w:sz w:val="17"/>
              </w:rPr>
              <w:t>Business invariants stay independent of transport and framework edges</w:t>
            </w:r>
          </w:p>
        </w:tc>
      </w:tr>
      <w:tr>
        <w:trPr>
          <w:cantSplit w:val="true"/>
        </w:trPr>
        <w:tc>
          <w:tcPr>
            <w:tcW w:type="dxa" w:w="3400"/>
            <w:tcMar>
              <w:top w:w="50" w:type="dxa"/>
              <w:bottom w:w="50" w:type="dxa"/>
              <w:left w:w="90" w:type="dxa"/>
              <w:right w:w="90" w:type="dxa"/>
            </w:tcMar>
          </w:tcPr>
          <w:p>
            <w:pPr>
              <w:pStyle w:val="BDOITable"/>
            </w:pPr>
            <w:r>
              <w:rPr>
                <w:b/>
                <w:sz w:val="17"/>
              </w:rPr>
              <w:t>Services never depend on controllers; controllers live in api packages</w:t>
            </w:r>
          </w:p>
        </w:tc>
        <w:tc>
          <w:tcPr>
            <w:tcW w:type="dxa" w:w="6572"/>
            <w:tcMar>
              <w:top w:w="50" w:type="dxa"/>
              <w:bottom w:w="50" w:type="dxa"/>
              <w:left w:w="90" w:type="dxa"/>
              <w:right w:w="90" w:type="dxa"/>
            </w:tcMar>
          </w:tcPr>
          <w:p>
            <w:pPr>
              <w:pStyle w:val="BDOITable"/>
            </w:pPr>
            <w:r>
              <w:rPr>
                <w:sz w:val="17"/>
              </w:rPr>
              <w:t>Clear inbound side; one place for permissions and validation</w:t>
            </w:r>
          </w:p>
        </w:tc>
      </w:tr>
      <w:tr>
        <w:trPr>
          <w:cantSplit w:val="true"/>
        </w:trPr>
        <w:tc>
          <w:tcPr>
            <w:tcW w:type="dxa" w:w="3400"/>
            <w:tcMar>
              <w:top w:w="50" w:type="dxa"/>
              <w:bottom w:w="50" w:type="dxa"/>
              <w:left w:w="90" w:type="dxa"/>
              <w:right w:w="90" w:type="dxa"/>
            </w:tcMar>
            <w:shd w:val="clear" w:color="auto" w:fill="E5F5FF"/>
          </w:tcPr>
          <w:p>
            <w:pPr>
              <w:pStyle w:val="BDOITable"/>
            </w:pPr>
            <w:r>
              <w:rPr>
                <w:b/>
                <w:sz w:val="17"/>
              </w:rPr>
              <w:t>Services live in service packages</w:t>
            </w:r>
          </w:p>
        </w:tc>
        <w:tc>
          <w:tcPr>
            <w:tcW w:type="dxa" w:w="6572"/>
            <w:tcMar>
              <w:top w:w="50" w:type="dxa"/>
              <w:bottom w:w="50" w:type="dxa"/>
              <w:left w:w="90" w:type="dxa"/>
              <w:right w:w="90" w:type="dxa"/>
            </w:tcMar>
            <w:shd w:val="clear" w:color="auto" w:fill="E5F5FF"/>
          </w:tcPr>
          <w:p>
            <w:pPr>
              <w:pStyle w:val="BDOITable"/>
            </w:pPr>
            <w:r>
              <w:rPr>
                <w:sz w:val="17"/>
              </w:rPr>
              <w:t>Predictable layout for support teams</w:t>
            </w:r>
          </w:p>
        </w:tc>
      </w:tr>
      <w:tr>
        <w:trPr>
          <w:cantSplit w:val="true"/>
        </w:trPr>
        <w:tc>
          <w:tcPr>
            <w:tcW w:type="dxa" w:w="3400"/>
            <w:tcMar>
              <w:top w:w="50" w:type="dxa"/>
              <w:bottom w:w="50" w:type="dxa"/>
              <w:left w:w="90" w:type="dxa"/>
              <w:right w:w="90" w:type="dxa"/>
            </w:tcMar>
          </w:tcPr>
          <w:p>
            <w:pPr>
              <w:pStyle w:val="BDOITable"/>
            </w:pPr>
            <w:r>
              <w:rPr>
                <w:b/>
                <w:sz w:val="17"/>
              </w:rPr>
              <w:t>No scheduled methods; background work is a managed job</w:t>
            </w:r>
          </w:p>
        </w:tc>
        <w:tc>
          <w:tcPr>
            <w:tcW w:type="dxa" w:w="6572"/>
            <w:tcMar>
              <w:top w:w="50" w:type="dxa"/>
              <w:bottom w:w="50" w:type="dxa"/>
              <w:left w:w="90" w:type="dxa"/>
              <w:right w:w="90" w:type="dxa"/>
            </w:tcMar>
          </w:tcPr>
          <w:p>
            <w:pPr>
              <w:pStyle w:val="BDOITable"/>
            </w:pPr>
            <w:r>
              <w:rPr>
                <w:sz w:val="17"/>
              </w:rPr>
              <w:t>Every job is visible in the Scheduled Jobs monitor with history and a failure alert, and runs once in the cluster</w:t>
            </w:r>
          </w:p>
        </w:tc>
      </w:tr>
      <w:tr>
        <w:trPr>
          <w:cantSplit w:val="true"/>
        </w:trPr>
        <w:tc>
          <w:tcPr>
            <w:tcW w:type="dxa" w:w="3400"/>
            <w:tcMar>
              <w:top w:w="50" w:type="dxa"/>
              <w:bottom w:w="50" w:type="dxa"/>
              <w:left w:w="90" w:type="dxa"/>
              <w:right w:w="90" w:type="dxa"/>
            </w:tcMar>
            <w:shd w:val="clear" w:color="auto" w:fill="E5F5FF"/>
          </w:tcPr>
          <w:p>
            <w:pPr>
              <w:pStyle w:val="BDOITable"/>
            </w:pPr>
            <w:r>
              <w:rPr>
                <w:b/>
                <w:sz w:val="17"/>
              </w:rPr>
              <w:t>Business dates come from the business clock (Asia/Manila by configuration); the clock is injected; no time-zone constants</w:t>
            </w:r>
          </w:p>
        </w:tc>
        <w:tc>
          <w:tcPr>
            <w:tcW w:type="dxa" w:w="6572"/>
            <w:tcMar>
              <w:top w:w="50" w:type="dxa"/>
              <w:bottom w:w="50" w:type="dxa"/>
              <w:left w:w="90" w:type="dxa"/>
              <w:right w:w="90" w:type="dxa"/>
            </w:tcMar>
            <w:shd w:val="clear" w:color="auto" w:fill="E5F5FF"/>
          </w:tcPr>
          <w:p>
            <w:pPr>
              <w:pStyle w:val="BDOITable"/>
            </w:pPr>
            <w:r>
              <w:rPr>
                <w:sz w:val="17"/>
              </w:rPr>
              <w:t>"Today", cut-offs and periods follow the business zone; time can be fixed in tests</w:t>
            </w:r>
          </w:p>
        </w:tc>
      </w:tr>
      <w:tr>
        <w:trPr>
          <w:cantSplit w:val="true"/>
        </w:trPr>
        <w:tc>
          <w:tcPr>
            <w:tcW w:type="dxa" w:w="3400"/>
            <w:tcMar>
              <w:top w:w="50" w:type="dxa"/>
              <w:bottom w:w="50" w:type="dxa"/>
              <w:left w:w="90" w:type="dxa"/>
              <w:right w:w="90" w:type="dxa"/>
            </w:tcMar>
          </w:tcPr>
          <w:p>
            <w:pPr>
              <w:pStyle w:val="BDOITable"/>
            </w:pPr>
            <w:r>
              <w:rPr>
                <w:b/>
                <w:sz w:val="17"/>
              </w:rPr>
              <w:t>Seed data only in seed packages with the seed profile</w:t>
            </w:r>
          </w:p>
        </w:tc>
        <w:tc>
          <w:tcPr>
            <w:tcW w:type="dxa" w:w="6572"/>
            <w:tcMar>
              <w:top w:w="50" w:type="dxa"/>
              <w:bottom w:w="50" w:type="dxa"/>
              <w:left w:w="90" w:type="dxa"/>
              <w:right w:w="90" w:type="dxa"/>
            </w:tcMar>
          </w:tcPr>
          <w:p>
            <w:pPr>
              <w:pStyle w:val="BDOITable"/>
            </w:pPr>
            <w:r>
              <w:rPr>
                <w:sz w:val="17"/>
              </w:rPr>
              <w:t>SIT and UAT seed data can never load in production</w:t>
            </w:r>
          </w:p>
        </w:tc>
      </w:tr>
      <w:tr>
        <w:trPr>
          <w:cantSplit w:val="true"/>
        </w:trPr>
        <w:tc>
          <w:tcPr>
            <w:tcW w:type="dxa" w:w="3400"/>
            <w:tcMar>
              <w:top w:w="50" w:type="dxa"/>
              <w:bottom w:w="50" w:type="dxa"/>
              <w:left w:w="90" w:type="dxa"/>
              <w:right w:w="90" w:type="dxa"/>
            </w:tcMar>
            <w:shd w:val="clear" w:color="auto" w:fill="E5F5FF"/>
          </w:tcPr>
          <w:p>
            <w:pPr>
              <w:pStyle w:val="BDOITable"/>
            </w:pPr>
            <w:r>
              <w:rPr>
                <w:b/>
                <w:sz w:val="17"/>
              </w:rPr>
              <w:t>Every controller operation that takes a company is checked against the data scope</w:t>
            </w:r>
          </w:p>
        </w:tc>
        <w:tc>
          <w:tcPr>
            <w:tcW w:type="dxa" w:w="6572"/>
            <w:tcMar>
              <w:top w:w="50" w:type="dxa"/>
              <w:bottom w:w="50" w:type="dxa"/>
              <w:left w:w="90" w:type="dxa"/>
              <w:right w:w="90" w:type="dxa"/>
            </w:tcMar>
            <w:shd w:val="clear" w:color="auto" w:fill="E5F5FF"/>
          </w:tcPr>
          <w:p>
            <w:pPr>
              <w:pStyle w:val="BDOITable"/>
            </w:pPr>
            <w:r>
              <w:rPr>
                <w:sz w:val="17"/>
              </w:rPr>
              <w:t>No operation can bypass the company and branch check (ADR-08)</w:t>
            </w:r>
          </w:p>
        </w:tc>
      </w:tr>
      <w:tr>
        <w:trPr>
          <w:cantSplit w:val="true"/>
        </w:trPr>
        <w:tc>
          <w:tcPr>
            <w:tcW w:type="dxa" w:w="3400"/>
            <w:tcMar>
              <w:top w:w="50" w:type="dxa"/>
              <w:bottom w:w="50" w:type="dxa"/>
              <w:left w:w="90" w:type="dxa"/>
              <w:right w:w="90" w:type="dxa"/>
            </w:tcMar>
          </w:tcPr>
          <w:p>
            <w:pPr>
              <w:pStyle w:val="BDOITable"/>
            </w:pPr>
            <w:r>
              <w:rPr>
                <w:b/>
                <w:sz w:val="17"/>
              </w:rPr>
              <w:t>No client name or currency code in platform logic (client neutrality check of backend and web client)</w:t>
            </w:r>
          </w:p>
        </w:tc>
        <w:tc>
          <w:tcPr>
            <w:tcW w:type="dxa" w:w="6572"/>
            <w:tcMar>
              <w:top w:w="50" w:type="dxa"/>
              <w:bottom w:w="50" w:type="dxa"/>
              <w:left w:w="90" w:type="dxa"/>
              <w:right w:w="90" w:type="dxa"/>
            </w:tcMar>
          </w:tcPr>
          <w:p>
            <w:pPr>
              <w:pStyle w:val="BDOITable"/>
            </w:pPr>
            <w:r>
              <w:rPr>
                <w:sz w:val="17"/>
              </w:rPr>
              <w:t>The platform stays configurable for any company, branch or country</w:t>
            </w:r>
          </w:p>
        </w:tc>
      </w:tr>
    </w:tbl>
    <w:p>
      <w:pPr>
        <w:pStyle w:val="BDOISpacer"/>
      </w:pPr>
    </w:p>
    <w:p>
      <w:r>
        <w:rPr/>
        <w:t>Quality gates of the same pipeline add size and complexity limits (method 60 lines, file 600 lines, cognitive complexity 15, no copy-pasted blocks over 120 tokens), static analysis and coverage of at least 80 % of lines and 65 % of branches (Deployment Architecture, chapter 8).</w:t>
      </w:r>
    </w:p>
    <w:p>
      <w:pPr>
        <w:pStyle w:val="Heading2"/>
      </w:pPr>
      <w:bookmarkStart w:id="122" w:name="_Toc000122"/>
      <w:r>
        <w:rPr/>
        <w:t>5.3 Ports and connectors</w:t>
      </w:r>
      <w:bookmarkEnd w:id="122"/>
    </w:p>
    <w:p>
      <w:r>
        <w:rPr/>
        <w:t>Outbound needs of a module are ports - interfaces owned by the module. The connector that implements a port is chosen by configuration, so an interface can start as a file exchange and move to an API without a change in the module. Examples:</w:t>
      </w:r>
    </w:p>
    <w:p>
      <w:pPr>
        <w:pStyle w:val="Caption"/>
        <w:keepNext/>
        <w:spacing w:after="60"/>
      </w:pPr>
      <w:r>
        <w:rPr>
          <w:b/>
          <w:i w:val="0"/>
        </w:rPr>
        <w:t xml:space="preserve">Table 13: </w:t>
      </w:r>
      <w:r>
        <w:rPr/>
        <w:t>Ports of the business modules (examples)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1926"/>
        <w:gridCol w:w="2833"/>
        <w:gridCol w:w="283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7"/>
              </w:rPr>
              <w:t>Port (business name)</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7"/>
              </w:rPr>
              <w:t>Owned by</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7"/>
              </w:rPr>
              <w:t>Connector in production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7"/>
              </w:rPr>
              <w:t>Purpose</w:t>
            </w:r>
          </w:p>
        </w:tc>
      </w:tr>
      <w:tr>
        <w:trPr>
          <w:cantSplit w:val="true"/>
        </w:trPr>
        <w:tc>
          <w:tcPr>
            <w:tcW w:type="dxa" w:w="2380"/>
            <w:tcMar>
              <w:top w:w="50" w:type="dxa"/>
              <w:bottom w:w="50" w:type="dxa"/>
              <w:left w:w="90" w:type="dxa"/>
              <w:right w:w="90" w:type="dxa"/>
            </w:tcMar>
          </w:tcPr>
          <w:p>
            <w:pPr>
              <w:pStyle w:val="BDOITable"/>
            </w:pPr>
            <w:r>
              <w:rPr>
                <w:b/>
                <w:sz w:val="17"/>
              </w:rPr>
              <w:t>File store</w:t>
            </w:r>
          </w:p>
        </w:tc>
        <w:tc>
          <w:tcPr>
            <w:tcW w:type="dxa" w:w="1926"/>
            <w:tcMar>
              <w:top w:w="50" w:type="dxa"/>
              <w:bottom w:w="50" w:type="dxa"/>
              <w:left w:w="90" w:type="dxa"/>
              <w:right w:w="90" w:type="dxa"/>
            </w:tcMar>
          </w:tcPr>
          <w:p>
            <w:pPr>
              <w:pStyle w:val="BDOITable"/>
            </w:pPr>
            <w:r>
              <w:rPr>
                <w:sz w:val="17"/>
              </w:rPr>
              <w:t>Platform (file storage)</w:t>
            </w:r>
          </w:p>
        </w:tc>
        <w:tc>
          <w:tcPr>
            <w:tcW w:type="dxa" w:w="2833"/>
            <w:tcMar>
              <w:top w:w="50" w:type="dxa"/>
              <w:bottom w:w="50" w:type="dxa"/>
              <w:left w:w="90" w:type="dxa"/>
              <w:right w:w="90" w:type="dxa"/>
            </w:tcMar>
          </w:tcPr>
          <w:p>
            <w:pPr>
              <w:pStyle w:val="BDOITable"/>
            </w:pPr>
            <w:r>
              <w:rPr>
                <w:sz w:val="17"/>
              </w:rPr>
              <w:t>Amazon S3 with SSE-KMS; local store on developer machines</w:t>
            </w:r>
          </w:p>
        </w:tc>
        <w:tc>
          <w:tcPr>
            <w:tcW w:type="dxa" w:w="2833"/>
            <w:tcMar>
              <w:top w:w="50" w:type="dxa"/>
              <w:bottom w:w="50" w:type="dxa"/>
              <w:left w:w="90" w:type="dxa"/>
              <w:right w:w="90" w:type="dxa"/>
            </w:tcMar>
          </w:tcPr>
          <w:p>
            <w:pPr>
              <w:pStyle w:val="BDOITable"/>
            </w:pPr>
            <w:r>
              <w:rPr>
                <w:sz w:val="17"/>
              </w:rPr>
              <w:t>Every document, attachment, report and inbound file</w:t>
            </w:r>
          </w:p>
        </w:tc>
      </w:tr>
      <w:tr>
        <w:trPr>
          <w:cantSplit w:val="true"/>
        </w:trPr>
        <w:tc>
          <w:tcPr>
            <w:tcW w:type="dxa" w:w="2380"/>
            <w:tcMar>
              <w:top w:w="50" w:type="dxa"/>
              <w:bottom w:w="50" w:type="dxa"/>
              <w:left w:w="90" w:type="dxa"/>
              <w:right w:w="90" w:type="dxa"/>
            </w:tcMar>
            <w:shd w:val="clear" w:color="auto" w:fill="E5F5FF"/>
          </w:tcPr>
          <w:p>
            <w:pPr>
              <w:pStyle w:val="BDOITable"/>
            </w:pPr>
            <w:r>
              <w:rPr>
                <w:b/>
                <w:sz w:val="17"/>
              </w:rPr>
              <w:t>Bank channel and disbursement gateway</w:t>
            </w:r>
          </w:p>
        </w:tc>
        <w:tc>
          <w:tcPr>
            <w:tcW w:type="dxa" w:w="1926"/>
            <w:tcMar>
              <w:top w:w="50" w:type="dxa"/>
              <w:bottom w:w="50" w:type="dxa"/>
              <w:left w:w="90" w:type="dxa"/>
              <w:right w:w="90" w:type="dxa"/>
            </w:tcMar>
            <w:shd w:val="clear" w:color="auto" w:fill="E5F5FF"/>
          </w:tcPr>
          <w:p>
            <w:pPr>
              <w:pStyle w:val="BDOITable"/>
            </w:pPr>
            <w:r>
              <w:rPr>
                <w:sz w:val="17"/>
              </w:rPr>
              <w:t>Disbursement, Operations</w:t>
            </w:r>
          </w:p>
        </w:tc>
        <w:tc>
          <w:tcPr>
            <w:tcW w:type="dxa" w:w="2833"/>
            <w:tcMar>
              <w:top w:w="50" w:type="dxa"/>
              <w:bottom w:w="50" w:type="dxa"/>
              <w:left w:w="90" w:type="dxa"/>
              <w:right w:w="90" w:type="dxa"/>
            </w:tcMar>
            <w:shd w:val="clear" w:color="auto" w:fill="E5F5FF"/>
          </w:tcPr>
          <w:p>
            <w:pPr>
              <w:pStyle w:val="BDOITable"/>
            </w:pPr>
            <w:r>
              <w:rPr>
                <w:sz w:val="17"/>
              </w:rPr>
              <w:t>CMS / New BOB payment file (INT-07)</w:t>
            </w:r>
          </w:p>
        </w:tc>
        <w:tc>
          <w:tcPr>
            <w:tcW w:type="dxa" w:w="2833"/>
            <w:tcMar>
              <w:top w:w="50" w:type="dxa"/>
              <w:bottom w:w="50" w:type="dxa"/>
              <w:left w:w="90" w:type="dxa"/>
              <w:right w:w="90" w:type="dxa"/>
            </w:tcMar>
            <w:shd w:val="clear" w:color="auto" w:fill="E5F5FF"/>
          </w:tcPr>
          <w:p>
            <w:pPr>
              <w:pStyle w:val="BDOITable"/>
            </w:pPr>
            <w:r>
              <w:rPr>
                <w:sz w:val="17"/>
              </w:rPr>
              <w:t>Outward payments and their status</w:t>
            </w:r>
          </w:p>
        </w:tc>
      </w:tr>
      <w:tr>
        <w:trPr>
          <w:cantSplit w:val="true"/>
        </w:trPr>
        <w:tc>
          <w:tcPr>
            <w:tcW w:type="dxa" w:w="2380"/>
            <w:tcMar>
              <w:top w:w="50" w:type="dxa"/>
              <w:bottom w:w="50" w:type="dxa"/>
              <w:left w:w="90" w:type="dxa"/>
              <w:right w:w="90" w:type="dxa"/>
            </w:tcMar>
          </w:tcPr>
          <w:p>
            <w:pPr>
              <w:pStyle w:val="BDOITable"/>
            </w:pPr>
            <w:r>
              <w:rPr>
                <w:b/>
                <w:sz w:val="17"/>
              </w:rPr>
              <w:t>Insurer file inbox</w:t>
            </w:r>
          </w:p>
        </w:tc>
        <w:tc>
          <w:tcPr>
            <w:tcW w:type="dxa" w:w="1926"/>
            <w:tcMar>
              <w:top w:w="50" w:type="dxa"/>
              <w:bottom w:w="50" w:type="dxa"/>
              <w:left w:w="90" w:type="dxa"/>
              <w:right w:w="90" w:type="dxa"/>
            </w:tcMar>
          </w:tcPr>
          <w:p>
            <w:pPr>
              <w:pStyle w:val="BDOITable"/>
            </w:pPr>
            <w:r>
              <w:rPr>
                <w:sz w:val="17"/>
              </w:rPr>
              <w:t>Operations</w:t>
            </w:r>
          </w:p>
        </w:tc>
        <w:tc>
          <w:tcPr>
            <w:tcW w:type="dxa" w:w="2833"/>
            <w:tcMar>
              <w:top w:w="50" w:type="dxa"/>
              <w:bottom w:w="50" w:type="dxa"/>
              <w:left w:w="90" w:type="dxa"/>
              <w:right w:w="90" w:type="dxa"/>
            </w:tcMar>
          </w:tcPr>
          <w:p>
            <w:pPr>
              <w:pStyle w:val="BDOITable"/>
            </w:pPr>
            <w:r>
              <w:rPr>
                <w:sz w:val="17"/>
              </w:rPr>
              <w:t>Inbound bucket, insurer channel (INT-19)</w:t>
            </w:r>
          </w:p>
        </w:tc>
        <w:tc>
          <w:tcPr>
            <w:tcW w:type="dxa" w:w="2833"/>
            <w:tcMar>
              <w:top w:w="50" w:type="dxa"/>
              <w:bottom w:w="50" w:type="dxa"/>
              <w:left w:w="90" w:type="dxa"/>
              <w:right w:w="90" w:type="dxa"/>
            </w:tcMar>
          </w:tcPr>
          <w:p>
            <w:pPr>
              <w:pStyle w:val="BDOITable"/>
            </w:pPr>
            <w:r>
              <w:rPr>
                <w:sz w:val="17"/>
              </w:rPr>
              <w:t>Insurer production, SOA and remittance files</w:t>
            </w:r>
          </w:p>
        </w:tc>
      </w:tr>
      <w:tr>
        <w:trPr>
          <w:cantSplit w:val="true"/>
        </w:trPr>
        <w:tc>
          <w:tcPr>
            <w:tcW w:type="dxa" w:w="2380"/>
            <w:tcMar>
              <w:top w:w="50" w:type="dxa"/>
              <w:bottom w:w="50" w:type="dxa"/>
              <w:left w:w="90" w:type="dxa"/>
              <w:right w:w="90" w:type="dxa"/>
            </w:tcMar>
            <w:shd w:val="clear" w:color="auto" w:fill="E5F5FF"/>
          </w:tcPr>
          <w:p>
            <w:pPr>
              <w:pStyle w:val="BDOITable"/>
            </w:pPr>
            <w:r>
              <w:rPr>
                <w:b/>
                <w:sz w:val="17"/>
              </w:rPr>
              <w:t>File drop</w:t>
            </w:r>
          </w:p>
        </w:tc>
        <w:tc>
          <w:tcPr>
            <w:tcW w:type="dxa" w:w="1926"/>
            <w:tcMar>
              <w:top w:w="50" w:type="dxa"/>
              <w:bottom w:w="50" w:type="dxa"/>
              <w:left w:w="90" w:type="dxa"/>
              <w:right w:w="90" w:type="dxa"/>
            </w:tcMar>
            <w:shd w:val="clear" w:color="auto" w:fill="E5F5FF"/>
          </w:tcPr>
          <w:p>
            <w:pPr>
              <w:pStyle w:val="BDOITable"/>
            </w:pPr>
            <w:r>
              <w:rPr>
                <w:sz w:val="17"/>
              </w:rPr>
              <w:t>Operations, Collections</w:t>
            </w:r>
          </w:p>
        </w:tc>
        <w:tc>
          <w:tcPr>
            <w:tcW w:type="dxa" w:w="2833"/>
            <w:tcMar>
              <w:top w:w="50" w:type="dxa"/>
              <w:bottom w:w="50" w:type="dxa"/>
              <w:left w:w="90" w:type="dxa"/>
              <w:right w:w="90" w:type="dxa"/>
            </w:tcMar>
            <w:shd w:val="clear" w:color="auto" w:fill="E5F5FF"/>
          </w:tcPr>
          <w:p>
            <w:pPr>
              <w:pStyle w:val="BDOITable"/>
            </w:pPr>
            <w:r>
              <w:rPr>
                <w:sz w:val="17"/>
              </w:rPr>
              <w:t>Reports bucket and the BDOI file server (INT-24)</w:t>
            </w:r>
          </w:p>
        </w:tc>
        <w:tc>
          <w:tcPr>
            <w:tcW w:type="dxa" w:w="2833"/>
            <w:tcMar>
              <w:top w:w="50" w:type="dxa"/>
              <w:bottom w:w="50" w:type="dxa"/>
              <w:left w:w="90" w:type="dxa"/>
              <w:right w:w="90" w:type="dxa"/>
            </w:tcMar>
            <w:shd w:val="clear" w:color="auto" w:fill="E5F5FF"/>
          </w:tcPr>
          <w:p>
            <w:pPr>
              <w:pStyle w:val="BDOITable"/>
            </w:pPr>
            <w:r>
              <w:rPr>
                <w:sz w:val="17"/>
              </w:rPr>
              <w:t>Scheduled files for BDOI units</w:t>
            </w:r>
          </w:p>
        </w:tc>
      </w:tr>
      <w:tr>
        <w:trPr>
          <w:cantSplit w:val="true"/>
        </w:trPr>
        <w:tc>
          <w:tcPr>
            <w:tcW w:type="dxa" w:w="2380"/>
            <w:tcMar>
              <w:top w:w="50" w:type="dxa"/>
              <w:bottom w:w="50" w:type="dxa"/>
              <w:left w:w="90" w:type="dxa"/>
              <w:right w:w="90" w:type="dxa"/>
            </w:tcMar>
          </w:tcPr>
          <w:p>
            <w:pPr>
              <w:pStyle w:val="BDOITable"/>
            </w:pPr>
            <w:r>
              <w:rPr>
                <w:b/>
                <w:sz w:val="17"/>
              </w:rPr>
              <w:t>Quotation request source</w:t>
            </w:r>
          </w:p>
        </w:tc>
        <w:tc>
          <w:tcPr>
            <w:tcW w:type="dxa" w:w="1926"/>
            <w:tcMar>
              <w:top w:w="50" w:type="dxa"/>
              <w:bottom w:w="50" w:type="dxa"/>
              <w:left w:w="90" w:type="dxa"/>
              <w:right w:w="90" w:type="dxa"/>
            </w:tcMar>
          </w:tcPr>
          <w:p>
            <w:pPr>
              <w:pStyle w:val="BDOITable"/>
            </w:pPr>
            <w:r>
              <w:rPr>
                <w:sz w:val="17"/>
              </w:rPr>
              <w:t>Package quotations</w:t>
            </w:r>
          </w:p>
        </w:tc>
        <w:tc>
          <w:tcPr>
            <w:tcW w:type="dxa" w:w="2833"/>
            <w:tcMar>
              <w:top w:w="50" w:type="dxa"/>
              <w:bottom w:w="50" w:type="dxa"/>
              <w:left w:w="90" w:type="dxa"/>
              <w:right w:w="90" w:type="dxa"/>
            </w:tcMar>
          </w:tcPr>
          <w:p>
            <w:pPr>
              <w:pStyle w:val="BDOITable"/>
            </w:pPr>
            <w:r>
              <w:rPr>
                <w:sz w:val="17"/>
              </w:rPr>
              <w:t>HL-LOAS through Apigee X (INT-04)</w:t>
            </w:r>
          </w:p>
        </w:tc>
        <w:tc>
          <w:tcPr>
            <w:tcW w:type="dxa" w:w="2833"/>
            <w:tcMar>
              <w:top w:w="50" w:type="dxa"/>
              <w:bottom w:w="50" w:type="dxa"/>
              <w:left w:w="90" w:type="dxa"/>
              <w:right w:w="90" w:type="dxa"/>
            </w:tcMar>
          </w:tcPr>
          <w:p>
            <w:pPr>
              <w:pStyle w:val="BDOITable"/>
            </w:pPr>
            <w:r>
              <w:rPr>
                <w:sz w:val="17"/>
              </w:rPr>
              <w:t>Quotation requests from source systems</w:t>
            </w:r>
          </w:p>
        </w:tc>
      </w:tr>
      <w:tr>
        <w:trPr>
          <w:cantSplit w:val="true"/>
        </w:trPr>
        <w:tc>
          <w:tcPr>
            <w:tcW w:type="dxa" w:w="2380"/>
            <w:tcMar>
              <w:top w:w="50" w:type="dxa"/>
              <w:bottom w:w="50" w:type="dxa"/>
              <w:left w:w="90" w:type="dxa"/>
              <w:right w:w="90" w:type="dxa"/>
            </w:tcMar>
            <w:shd w:val="clear" w:color="auto" w:fill="E5F5FF"/>
          </w:tcPr>
          <w:p>
            <w:pPr>
              <w:pStyle w:val="BDOITable"/>
            </w:pPr>
            <w:r>
              <w:rPr>
                <w:b/>
                <w:sz w:val="17"/>
              </w:rPr>
              <w:t>Payment confirmation source</w:t>
            </w:r>
          </w:p>
        </w:tc>
        <w:tc>
          <w:tcPr>
            <w:tcW w:type="dxa" w:w="1926"/>
            <w:tcMar>
              <w:top w:w="50" w:type="dxa"/>
              <w:bottom w:w="50" w:type="dxa"/>
              <w:left w:w="90" w:type="dxa"/>
              <w:right w:w="90" w:type="dxa"/>
            </w:tcMar>
            <w:shd w:val="clear" w:color="auto" w:fill="E5F5FF"/>
          </w:tcPr>
          <w:p>
            <w:pPr>
              <w:pStyle w:val="BDOITable"/>
            </w:pPr>
            <w:r>
              <w:rPr>
                <w:sz w:val="17"/>
              </w:rPr>
              <w:t>Placement</w:t>
            </w:r>
          </w:p>
        </w:tc>
        <w:tc>
          <w:tcPr>
            <w:tcW w:type="dxa" w:w="2833"/>
            <w:tcMar>
              <w:top w:w="50" w:type="dxa"/>
              <w:bottom w:w="50" w:type="dxa"/>
              <w:left w:w="90" w:type="dxa"/>
              <w:right w:w="90" w:type="dxa"/>
            </w:tcMar>
            <w:shd w:val="clear" w:color="auto" w:fill="E5F5FF"/>
          </w:tcPr>
          <w:p>
            <w:pPr>
              <w:pStyle w:val="BDOITable"/>
            </w:pPr>
            <w:r>
              <w:rPr>
                <w:sz w:val="17"/>
              </w:rPr>
              <w:t>Confirmed payment reports</w:t>
            </w:r>
          </w:p>
        </w:tc>
        <w:tc>
          <w:tcPr>
            <w:tcW w:type="dxa" w:w="2833"/>
            <w:tcMar>
              <w:top w:w="50" w:type="dxa"/>
              <w:bottom w:w="50" w:type="dxa"/>
              <w:left w:w="90" w:type="dxa"/>
              <w:right w:w="90" w:type="dxa"/>
            </w:tcMar>
            <w:shd w:val="clear" w:color="auto" w:fill="E5F5FF"/>
          </w:tcPr>
          <w:p>
            <w:pPr>
              <w:pStyle w:val="BDOITable"/>
            </w:pPr>
            <w:r>
              <w:rPr>
                <w:sz w:val="17"/>
              </w:rPr>
              <w:t>Opens the payment gate of an account</w:t>
            </w:r>
          </w:p>
        </w:tc>
      </w:tr>
      <w:tr>
        <w:trPr>
          <w:cantSplit w:val="true"/>
        </w:trPr>
        <w:tc>
          <w:tcPr>
            <w:tcW w:type="dxa" w:w="2380"/>
            <w:tcMar>
              <w:top w:w="50" w:type="dxa"/>
              <w:bottom w:w="50" w:type="dxa"/>
              <w:left w:w="90" w:type="dxa"/>
              <w:right w:w="90" w:type="dxa"/>
            </w:tcMar>
          </w:tcPr>
          <w:p>
            <w:pPr>
              <w:pStyle w:val="BDOITable"/>
            </w:pPr>
            <w:r>
              <w:rPr>
                <w:b/>
                <w:sz w:val="17"/>
              </w:rPr>
              <w:t>Watchlist feed</w:t>
            </w:r>
          </w:p>
        </w:tc>
        <w:tc>
          <w:tcPr>
            <w:tcW w:type="dxa" w:w="1926"/>
            <w:tcMar>
              <w:top w:w="50" w:type="dxa"/>
              <w:bottom w:w="50" w:type="dxa"/>
              <w:left w:w="90" w:type="dxa"/>
              <w:right w:w="90" w:type="dxa"/>
            </w:tcMar>
          </w:tcPr>
          <w:p>
            <w:pPr>
              <w:pStyle w:val="BDOITable"/>
            </w:pPr>
            <w:r>
              <w:rPr>
                <w:sz w:val="17"/>
              </w:rPr>
              <w:t>Sanction screening</w:t>
            </w:r>
          </w:p>
        </w:tc>
        <w:tc>
          <w:tcPr>
            <w:tcW w:type="dxa" w:w="2833"/>
            <w:tcMar>
              <w:top w:w="50" w:type="dxa"/>
              <w:bottom w:w="50" w:type="dxa"/>
              <w:left w:w="90" w:type="dxa"/>
              <w:right w:w="90" w:type="dxa"/>
            </w:tcMar>
          </w:tcPr>
          <w:p>
            <w:pPr>
              <w:pStyle w:val="BDOITable"/>
            </w:pPr>
            <w:r>
              <w:rPr>
                <w:sz w:val="17"/>
              </w:rPr>
              <w:t>List files (INT-21)</w:t>
            </w:r>
          </w:p>
        </w:tc>
        <w:tc>
          <w:tcPr>
            <w:tcW w:type="dxa" w:w="2833"/>
            <w:tcMar>
              <w:top w:w="50" w:type="dxa"/>
              <w:bottom w:w="50" w:type="dxa"/>
              <w:left w:w="90" w:type="dxa"/>
              <w:right w:w="90" w:type="dxa"/>
            </w:tcMar>
          </w:tcPr>
          <w:p>
            <w:pPr>
              <w:pStyle w:val="BDOITable"/>
            </w:pPr>
            <w:r>
              <w:rPr>
                <w:sz w:val="17"/>
              </w:rPr>
              <w:t>AML advisory and PEP lists</w:t>
            </w:r>
          </w:p>
        </w:tc>
      </w:tr>
      <w:tr>
        <w:trPr>
          <w:cantSplit w:val="true"/>
        </w:trPr>
        <w:tc>
          <w:tcPr>
            <w:tcW w:type="dxa" w:w="2380"/>
            <w:tcMar>
              <w:top w:w="50" w:type="dxa"/>
              <w:bottom w:w="50" w:type="dxa"/>
              <w:left w:w="90" w:type="dxa"/>
              <w:right w:w="90" w:type="dxa"/>
            </w:tcMar>
            <w:shd w:val="clear" w:color="auto" w:fill="E5F5FF"/>
          </w:tcPr>
          <w:p>
            <w:pPr>
              <w:pStyle w:val="BDOITable"/>
            </w:pPr>
            <w:r>
              <w:rPr>
                <w:b/>
                <w:sz w:val="17"/>
              </w:rPr>
              <w:t>STR file sink</w:t>
            </w:r>
          </w:p>
        </w:tc>
        <w:tc>
          <w:tcPr>
            <w:tcW w:type="dxa" w:w="1926"/>
            <w:tcMar>
              <w:top w:w="50" w:type="dxa"/>
              <w:bottom w:w="50" w:type="dxa"/>
              <w:left w:w="90" w:type="dxa"/>
              <w:right w:w="90" w:type="dxa"/>
            </w:tcMar>
            <w:shd w:val="clear" w:color="auto" w:fill="E5F5FF"/>
          </w:tcPr>
          <w:p>
            <w:pPr>
              <w:pStyle w:val="BDOITable"/>
            </w:pPr>
            <w:r>
              <w:rPr>
                <w:sz w:val="17"/>
              </w:rPr>
              <w:t>Sanction screening</w:t>
            </w:r>
          </w:p>
        </w:tc>
        <w:tc>
          <w:tcPr>
            <w:tcW w:type="dxa" w:w="2833"/>
            <w:tcMar>
              <w:top w:w="50" w:type="dxa"/>
              <w:bottom w:w="50" w:type="dxa"/>
              <w:left w:w="90" w:type="dxa"/>
              <w:right w:w="90" w:type="dxa"/>
            </w:tcMar>
            <w:shd w:val="clear" w:color="auto" w:fill="E5F5FF"/>
          </w:tcPr>
          <w:p>
            <w:pPr>
              <w:pStyle w:val="BDOITable"/>
            </w:pPr>
            <w:r>
              <w:rPr>
                <w:sz w:val="17"/>
              </w:rPr>
              <w:t>STR file for the AMLC portal (INT-22)</w:t>
            </w:r>
          </w:p>
        </w:tc>
        <w:tc>
          <w:tcPr>
            <w:tcW w:type="dxa" w:w="2833"/>
            <w:tcMar>
              <w:top w:w="50" w:type="dxa"/>
              <w:bottom w:w="50" w:type="dxa"/>
              <w:left w:w="90" w:type="dxa"/>
              <w:right w:w="90" w:type="dxa"/>
            </w:tcMar>
            <w:shd w:val="clear" w:color="auto" w:fill="E5F5FF"/>
          </w:tcPr>
          <w:p>
            <w:pPr>
              <w:pStyle w:val="BDOITable"/>
            </w:pPr>
            <w:r>
              <w:rPr>
                <w:sz w:val="17"/>
              </w:rPr>
              <w:t>Suspicious transaction reports</w:t>
            </w:r>
          </w:p>
        </w:tc>
      </w:tr>
      <w:tr>
        <w:trPr>
          <w:cantSplit w:val="true"/>
        </w:trPr>
        <w:tc>
          <w:tcPr>
            <w:tcW w:type="dxa" w:w="2380"/>
            <w:tcMar>
              <w:top w:w="50" w:type="dxa"/>
              <w:bottom w:w="50" w:type="dxa"/>
              <w:left w:w="90" w:type="dxa"/>
              <w:right w:w="90" w:type="dxa"/>
            </w:tcMar>
          </w:tcPr>
          <w:p>
            <w:pPr>
              <w:pStyle w:val="BDOITable"/>
            </w:pPr>
            <w:r>
              <w:rPr>
                <w:b/>
                <w:sz w:val="17"/>
              </w:rPr>
              <w:t>Mail transport</w:t>
            </w:r>
          </w:p>
        </w:tc>
        <w:tc>
          <w:tcPr>
            <w:tcW w:type="dxa" w:w="1926"/>
            <w:tcMar>
              <w:top w:w="50" w:type="dxa"/>
              <w:bottom w:w="50" w:type="dxa"/>
              <w:left w:w="90" w:type="dxa"/>
              <w:right w:w="90" w:type="dxa"/>
            </w:tcMar>
          </w:tcPr>
          <w:p>
            <w:pPr>
              <w:pStyle w:val="BDOITable"/>
            </w:pPr>
            <w:r>
              <w:rPr>
                <w:sz w:val="17"/>
              </w:rPr>
              <w:t>Messaging</w:t>
            </w:r>
          </w:p>
        </w:tc>
        <w:tc>
          <w:tcPr>
            <w:tcW w:type="dxa" w:w="2833"/>
            <w:tcMar>
              <w:top w:w="50" w:type="dxa"/>
              <w:bottom w:w="50" w:type="dxa"/>
              <w:left w:w="90" w:type="dxa"/>
              <w:right w:w="90" w:type="dxa"/>
            </w:tcMar>
          </w:tcPr>
          <w:p>
            <w:pPr>
              <w:pStyle w:val="BDOITable"/>
            </w:pPr>
            <w:r>
              <w:rPr>
                <w:sz w:val="17"/>
              </w:rPr>
              <w:t>SMTP relay of CCM (INT-13)</w:t>
            </w:r>
          </w:p>
        </w:tc>
        <w:tc>
          <w:tcPr>
            <w:tcW w:type="dxa" w:w="2833"/>
            <w:tcMar>
              <w:top w:w="50" w:type="dxa"/>
              <w:bottom w:w="50" w:type="dxa"/>
              <w:left w:w="90" w:type="dxa"/>
              <w:right w:w="90" w:type="dxa"/>
            </w:tcMar>
          </w:tcPr>
          <w:p>
            <w:pPr>
              <w:pStyle w:val="BDOITable"/>
            </w:pPr>
            <w:r>
              <w:rPr>
                <w:sz w:val="17"/>
              </w:rPr>
              <w:t>Outbound e-mail</w:t>
            </w:r>
          </w:p>
        </w:tc>
      </w:tr>
      <w:tr>
        <w:trPr>
          <w:cantSplit w:val="true"/>
        </w:trPr>
        <w:tc>
          <w:tcPr>
            <w:tcW w:type="dxa" w:w="2380"/>
            <w:tcMar>
              <w:top w:w="50" w:type="dxa"/>
              <w:bottom w:w="50" w:type="dxa"/>
              <w:left w:w="90" w:type="dxa"/>
              <w:right w:w="90" w:type="dxa"/>
            </w:tcMar>
            <w:shd w:val="clear" w:color="auto" w:fill="E5F5FF"/>
          </w:tcPr>
          <w:p>
            <w:pPr>
              <w:pStyle w:val="BDOITable"/>
            </w:pPr>
            <w:r>
              <w:rPr>
                <w:b/>
                <w:sz w:val="17"/>
              </w:rPr>
              <w:t>Mail house gateway</w:t>
            </w:r>
          </w:p>
        </w:tc>
        <w:tc>
          <w:tcPr>
            <w:tcW w:type="dxa" w:w="1926"/>
            <w:tcMar>
              <w:top w:w="50" w:type="dxa"/>
              <w:bottom w:w="50" w:type="dxa"/>
              <w:left w:w="90" w:type="dxa"/>
              <w:right w:w="90" w:type="dxa"/>
            </w:tcMar>
            <w:shd w:val="clear" w:color="auto" w:fill="E5F5FF"/>
          </w:tcPr>
          <w:p>
            <w:pPr>
              <w:pStyle w:val="BDOITable"/>
            </w:pPr>
            <w:r>
              <w:rPr>
                <w:sz w:val="17"/>
              </w:rPr>
              <w:t>Submitted policies, Renewal</w:t>
            </w:r>
          </w:p>
        </w:tc>
        <w:tc>
          <w:tcPr>
            <w:tcW w:type="dxa" w:w="2833"/>
            <w:tcMar>
              <w:top w:w="50" w:type="dxa"/>
              <w:bottom w:w="50" w:type="dxa"/>
              <w:left w:w="90" w:type="dxa"/>
              <w:right w:w="90" w:type="dxa"/>
            </w:tcMar>
            <w:shd w:val="clear" w:color="auto" w:fill="E5F5FF"/>
          </w:tcPr>
          <w:p>
            <w:pPr>
              <w:pStyle w:val="BDOITable"/>
            </w:pPr>
            <w:r>
              <w:rPr>
                <w:sz w:val="17"/>
              </w:rPr>
              <w:t>Print batch for the mail house (INT-25)</w:t>
            </w:r>
          </w:p>
        </w:tc>
        <w:tc>
          <w:tcPr>
            <w:tcW w:type="dxa" w:w="2833"/>
            <w:tcMar>
              <w:top w:w="50" w:type="dxa"/>
              <w:bottom w:w="50" w:type="dxa"/>
              <w:left w:w="90" w:type="dxa"/>
              <w:right w:w="90" w:type="dxa"/>
            </w:tcMar>
            <w:shd w:val="clear" w:color="auto" w:fill="E5F5FF"/>
          </w:tcPr>
          <w:p>
            <w:pPr>
              <w:pStyle w:val="BDOITable"/>
            </w:pPr>
            <w:r>
              <w:rPr>
                <w:sz w:val="17"/>
              </w:rPr>
              <w:t>Printed letters</w:t>
            </w:r>
          </w:p>
        </w:tc>
      </w:tr>
      <w:tr>
        <w:trPr>
          <w:cantSplit w:val="true"/>
        </w:trPr>
        <w:tc>
          <w:tcPr>
            <w:tcW w:type="dxa" w:w="2380"/>
            <w:tcMar>
              <w:top w:w="50" w:type="dxa"/>
              <w:bottom w:w="50" w:type="dxa"/>
              <w:left w:w="90" w:type="dxa"/>
              <w:right w:w="90" w:type="dxa"/>
            </w:tcMar>
          </w:tcPr>
          <w:p>
            <w:pPr>
              <w:pStyle w:val="BDOITable"/>
            </w:pPr>
            <w:r>
              <w:rPr>
                <w:b/>
                <w:sz w:val="17"/>
              </w:rPr>
              <w:t>Masking provider</w:t>
            </w:r>
          </w:p>
        </w:tc>
        <w:tc>
          <w:tcPr>
            <w:tcW w:type="dxa" w:w="1926"/>
            <w:tcMar>
              <w:top w:w="50" w:type="dxa"/>
              <w:bottom w:w="50" w:type="dxa"/>
              <w:left w:w="90" w:type="dxa"/>
              <w:right w:w="90" w:type="dxa"/>
            </w:tcMar>
          </w:tcPr>
          <w:p>
            <w:pPr>
              <w:pStyle w:val="BDOITable"/>
            </w:pPr>
            <w:r>
              <w:rPr>
                <w:sz w:val="17"/>
              </w:rPr>
              <w:t>Data migration</w:t>
            </w:r>
          </w:p>
        </w:tc>
        <w:tc>
          <w:tcPr>
            <w:tcW w:type="dxa" w:w="2833"/>
            <w:tcMar>
              <w:top w:w="50" w:type="dxa"/>
              <w:bottom w:w="50" w:type="dxa"/>
              <w:left w:w="90" w:type="dxa"/>
              <w:right w:w="90" w:type="dxa"/>
            </w:tcMar>
          </w:tcPr>
          <w:p>
            <w:pPr>
              <w:pStyle w:val="BDOITable"/>
            </w:pPr>
            <w:r>
              <w:rPr>
                <w:sz w:val="17"/>
              </w:rPr>
              <w:t>Keyed masking</w:t>
            </w:r>
          </w:p>
        </w:tc>
        <w:tc>
          <w:tcPr>
            <w:tcW w:type="dxa" w:w="2833"/>
            <w:tcMar>
              <w:top w:w="50" w:type="dxa"/>
              <w:bottom w:w="50" w:type="dxa"/>
              <w:left w:w="90" w:type="dxa"/>
              <w:right w:w="90" w:type="dxa"/>
            </w:tcMar>
          </w:tcPr>
          <w:p>
            <w:pPr>
              <w:pStyle w:val="BDOITable"/>
            </w:pPr>
            <w:r>
              <w:rPr>
                <w:sz w:val="17"/>
              </w:rPr>
              <w:t>Personal data masked outside production</w:t>
            </w:r>
          </w:p>
        </w:tc>
      </w:tr>
      <w:tr>
        <w:trPr>
          <w:cantSplit w:val="true"/>
        </w:trPr>
        <w:tc>
          <w:tcPr>
            <w:tcW w:type="dxa" w:w="2380"/>
            <w:tcMar>
              <w:top w:w="50" w:type="dxa"/>
              <w:bottom w:w="50" w:type="dxa"/>
              <w:left w:w="90" w:type="dxa"/>
              <w:right w:w="90" w:type="dxa"/>
            </w:tcMar>
            <w:shd w:val="clear" w:color="auto" w:fill="E5F5FF"/>
          </w:tcPr>
          <w:p>
            <w:pPr>
              <w:pStyle w:val="BDOITable"/>
            </w:pPr>
            <w:r>
              <w:rPr>
                <w:b/>
                <w:sz w:val="17"/>
              </w:rPr>
              <w:t>Period-close guard, account usage checker</w:t>
            </w:r>
          </w:p>
        </w:tc>
        <w:tc>
          <w:tcPr>
            <w:tcW w:type="dxa" w:w="1926"/>
            <w:tcMar>
              <w:top w:w="50" w:type="dxa"/>
              <w:bottom w:w="50" w:type="dxa"/>
              <w:left w:w="90" w:type="dxa"/>
              <w:right w:w="90" w:type="dxa"/>
            </w:tcMar>
            <w:shd w:val="clear" w:color="auto" w:fill="E5F5FF"/>
          </w:tcPr>
          <w:p>
            <w:pPr>
              <w:pStyle w:val="BDOITable"/>
            </w:pPr>
            <w:r>
              <w:rPr>
                <w:sz w:val="17"/>
              </w:rPr>
              <w:t>Finance core</w:t>
            </w:r>
          </w:p>
        </w:tc>
        <w:tc>
          <w:tcPr>
            <w:tcW w:type="dxa" w:w="2833"/>
            <w:tcMar>
              <w:top w:w="50" w:type="dxa"/>
              <w:bottom w:w="50" w:type="dxa"/>
              <w:left w:w="90" w:type="dxa"/>
              <w:right w:w="90" w:type="dxa"/>
            </w:tcMar>
            <w:shd w:val="clear" w:color="auto" w:fill="E5F5FF"/>
          </w:tcPr>
          <w:p>
            <w:pPr>
              <w:pStyle w:val="BDOITable"/>
            </w:pPr>
            <w:r>
              <w:rPr>
                <w:sz w:val="17"/>
              </w:rPr>
              <w:t>Implemented by Journals and the Ledger</w:t>
            </w:r>
          </w:p>
        </w:tc>
        <w:tc>
          <w:tcPr>
            <w:tcW w:type="dxa" w:w="2833"/>
            <w:tcMar>
              <w:top w:w="50" w:type="dxa"/>
              <w:bottom w:w="50" w:type="dxa"/>
              <w:left w:w="90" w:type="dxa"/>
              <w:right w:w="90" w:type="dxa"/>
            </w:tcMar>
            <w:shd w:val="clear" w:color="auto" w:fill="E5F5FF"/>
          </w:tcPr>
          <w:p>
            <w:pPr>
              <w:pStyle w:val="BDOITable"/>
            </w:pPr>
            <w:r>
              <w:rPr>
                <w:sz w:val="17"/>
              </w:rPr>
              <w:t>Call-backs inside the finance core without cycles</w:t>
            </w:r>
          </w:p>
        </w:tc>
      </w:tr>
    </w:tbl>
    <w:p>
      <w:pPr>
        <w:pStyle w:val="BDOISpacer"/>
      </w:pPr>
    </w:p>
    <w:p>
      <w:pPr>
        <w:pStyle w:val="Heading2"/>
      </w:pPr>
      <w:bookmarkStart w:id="123" w:name="_Toc000123"/>
      <w:r>
        <w:rPr/>
        <w:t>5.4 Workloads by runtime role</w:t>
      </w:r>
      <w:bookmarkEnd w:id="123"/>
    </w:p>
    <w:p>
      <w:r>
        <w:rPr/>
        <w:t>The same backend image runs as three workloads chosen by one variable (ADR-15): bibs-web serves the screens and user operations, bibs-jobs runs the scheduled and batch jobs, and bibs-integration runs the outbox relay, the Kafka consumers, the inbound files and the system integration operations. The modules do not change; the runtime role only switches the scheduler, the consumers and the HTTP routes on or off. The Deployment Architecture sizes each workload.</w:t>
      </w:r>
    </w:p>
    <w:p>
      <w:pPr>
        <w:pStyle w:val="Heading1"/>
        <w:pBdr>
          <w:bottom w:val="single" w:sz="4" w:space="4" w:color="99C1E7"/>
        </w:pBdr>
      </w:pPr>
      <w:bookmarkStart w:id="124" w:name="_Toc000124"/>
      <w:r>
        <w:rPr/>
        <w:t>6 Event-driven architecture</w:t>
      </w:r>
      <w:bookmarkEnd w:id="124"/>
    </w:p>
    <w:p>
      <w:pPr>
        <w:pStyle w:val="Heading2"/>
      </w:pPr>
      <w:bookmarkStart w:id="125" w:name="_Toc000125"/>
      <w:r>
        <w:rPr/>
        <w:t>6.1 Two kinds of events</w:t>
      </w:r>
      <w:bookmarkEnd w:id="125"/>
    </w:p>
    <w:p>
      <w:pPr>
        <w:tabs>
          <w:tab w:pos="312" w:val="left"/>
        </w:tabs>
        <w:spacing w:after="40"/>
        <w:ind w:left="312" w:hanging="283"/>
      </w:pPr>
      <w:r>
        <w:rPr>
          <w:color w:val="004EA8"/>
        </w:rPr>
        <w:t>•</w:t>
        <w:tab/>
      </w:r>
      <w:r>
        <w:rPr>
          <w:b/>
        </w:rPr>
        <w:t>In-process events</w:t>
      </w:r>
      <w:r>
        <w:rPr/>
        <w:t xml:space="preserve"> carry facts inside one transaction: a booking feeds the Operations invoice ledger, a workflow stage change mirrors to the record, an operational fact becomes an accounting business event that the accounting engine posts at once (ADR-20). They are synchronous and roll back with the transaction.</w:t>
      </w:r>
    </w:p>
    <w:p>
      <w:pPr>
        <w:tabs>
          <w:tab w:pos="312" w:val="left"/>
        </w:tabs>
        <w:spacing w:after="120"/>
        <w:ind w:left="312" w:hanging="283"/>
      </w:pPr>
      <w:r>
        <w:rPr>
          <w:color w:val="004EA8"/>
        </w:rPr>
        <w:t>•</w:t>
        <w:tab/>
      </w:r>
      <w:r>
        <w:rPr>
          <w:b/>
        </w:rPr>
        <w:t>Integration events</w:t>
      </w:r>
      <w:r>
        <w:rPr/>
        <w:t xml:space="preserve"> carry facts out of the transaction, to asynchronous work (e-mail delivery, the event archive, the ECM archive) and to other systems. They go through the transactional outbox to Kafka (ADR-05).</w:t>
      </w:r>
    </w:p>
    <w:p>
      <w:pPr>
        <w:pStyle w:val="Heading2"/>
      </w:pPr>
      <w:bookmarkStart w:id="126" w:name="_Toc000126"/>
      <w:r>
        <w:rPr/>
        <w:t>6.2 Transactional outbox to Kafka</w:t>
      </w:r>
      <w:bookmarkEnd w:id="126"/>
    </w:p>
    <w:p>
      <w:pPr>
        <w:keepNext/>
        <w:spacing w:before="80" w:after="0"/>
        <w:jc w:val="center"/>
      </w:pPr>
      <w:r>
        <w:drawing>
          <wp:inline xmlns:a="http://schemas.openxmlformats.org/drawingml/2006/main" xmlns:pic="http://schemas.openxmlformats.org/drawingml/2006/picture">
            <wp:extent cx="5400000" cy="3542572"/>
            <wp:docPr id="6" name="Picture 6"/>
            <wp:cNvGraphicFramePr>
              <a:graphicFrameLocks noChangeAspect="1"/>
            </wp:cNvGraphicFramePr>
            <a:graphic>
              <a:graphicData uri="http://schemas.openxmlformats.org/drawingml/2006/picture">
                <pic:pic>
                  <pic:nvPicPr>
                    <pic:cNvPr id="0" name="sa_outbox_1003.jpg"/>
                    <pic:cNvPicPr/>
                  </pic:nvPicPr>
                  <pic:blipFill>
                    <a:blip r:embed="rId18"/>
                    <a:stretch>
                      <a:fillRect/>
                    </a:stretch>
                  </pic:blipFill>
                  <pic:spPr>
                    <a:xfrm>
                      <a:off x="0" y="0"/>
                      <a:ext cx="5400000" cy="3542572"/>
                    </a:xfrm>
                    <a:prstGeom prst="rect"/>
                  </pic:spPr>
                </pic:pic>
              </a:graphicData>
            </a:graphic>
          </wp:inline>
        </w:drawing>
      </w:r>
    </w:p>
    <w:p>
      <w:pPr>
        <w:pStyle w:val="Caption"/>
        <w:jc w:val="center"/>
      </w:pPr>
      <w:r>
        <w:rPr>
          <w:b/>
          <w:i w:val="0"/>
        </w:rPr>
        <w:t xml:space="preserve">Figure 4: </w:t>
      </w:r>
      <w:r>
        <w:rPr/>
        <w:t>Event flow: transactional outbox to Kafka</w:t>
      </w:r>
    </w:p>
    <w:p>
      <w:pPr>
        <w:tabs>
          <w:tab w:pos="312" w:val="left"/>
        </w:tabs>
        <w:spacing w:after="40"/>
        <w:ind w:left="312" w:hanging="283"/>
      </w:pPr>
      <w:r>
        <w:rPr>
          <w:color w:val="004EA8"/>
        </w:rPr>
        <w:t>•</w:t>
        <w:tab/>
      </w:r>
      <w:r>
        <w:rPr>
          <w:b/>
        </w:rPr>
        <w:t>Publishing.</w:t>
      </w:r>
      <w:r>
        <w:rPr/>
        <w:t xml:space="preserve"> The module publishes an integration event in its own transaction; the event becomes a row of the outbox table that commits or rolls back with the business change. Where a module publishes no event (client, receipt), an entity-change listener writes the outbox row just before the commit.</w:t>
      </w:r>
    </w:p>
    <w:p>
      <w:pPr>
        <w:tabs>
          <w:tab w:pos="312" w:val="left"/>
        </w:tabs>
        <w:spacing w:after="40"/>
        <w:ind w:left="312" w:hanging="283"/>
      </w:pPr>
      <w:r>
        <w:rPr>
          <w:color w:val="004EA8"/>
        </w:rPr>
        <w:t>•</w:t>
        <w:tab/>
      </w:r>
      <w:r>
        <w:rPr>
          <w:b/>
        </w:rPr>
        <w:t>Relay.</w:t>
      </w:r>
      <w:r>
        <w:rPr/>
        <w:t xml:space="preserve"> After the commit the relay of bibs-integration is woken; a job also runs every minute for anything left and for due retries. One relay runs at a time in the cluster (job lock); rows are read in identifier order, so events of one key reach their partition in publication order. The producer waits for all in-sync replicas and uses producer idempotency. A row the broker does not acknowledge waits with a doubling back-off (from 30 seconds, at most 1 hour) and is marked failed after 10 attempts; the support screen puts it back in the queue.</w:t>
      </w:r>
    </w:p>
    <w:p>
      <w:pPr>
        <w:tabs>
          <w:tab w:pos="312" w:val="left"/>
        </w:tabs>
        <w:spacing w:after="40"/>
        <w:ind w:left="312" w:hanging="283"/>
      </w:pPr>
      <w:r>
        <w:rPr>
          <w:color w:val="004EA8"/>
        </w:rPr>
        <w:t>•</w:t>
        <w:tab/>
      </w:r>
      <w:r>
        <w:rPr>
          <w:b/>
        </w:rPr>
        <w:t>Envelope.</w:t>
      </w:r>
      <w:r>
        <w:rPr/>
        <w:t xml:space="preserve"> Record key = business key; headers event identifier, event type and correlation identifier; value = event identifier, type, schema version, time, company, key, correlation identifier, source and the payload. Payloads carry identifiers, status and amounts, never personal data (TIN, contact details, birth date) or e-mail content.</w:t>
      </w:r>
    </w:p>
    <w:p>
      <w:pPr>
        <w:tabs>
          <w:tab w:pos="312" w:val="left"/>
        </w:tabs>
        <w:spacing w:after="120"/>
        <w:ind w:left="312" w:hanging="283"/>
      </w:pPr>
      <w:r>
        <w:rPr>
          <w:color w:val="004EA8"/>
        </w:rPr>
        <w:t>•</w:t>
        <w:tab/>
      </w:r>
      <w:r>
        <w:rPr>
          <w:b/>
        </w:rPr>
        <w:t>Versioning.</w:t>
      </w:r>
      <w:r>
        <w:rPr/>
        <w:t xml:space="preserve"> A breaking payload change is a new topic version (.v2) published next to .v1 until every consumer has moved; added fields keep the version.</w:t>
      </w:r>
    </w:p>
    <w:p>
      <w:pPr>
        <w:pStyle w:val="Caption"/>
        <w:keepNext/>
        <w:spacing w:after="60"/>
      </w:pPr>
      <w:r>
        <w:rPr>
          <w:b/>
          <w:i w:val="0"/>
        </w:rPr>
        <w:t xml:space="preserve">Table 14: </w:t>
      </w:r>
      <w:r>
        <w:rPr/>
        <w:t>Kafka topics (each with a dead-letter topic .dlt)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39"/>
        <w:gridCol w:w="2493"/>
        <w:gridCol w:w="1699"/>
        <w:gridCol w:w="2039"/>
      </w:tblGrid>
      <w:tr>
        <w:trPr>
          <w:tblHeader w:val="true"/>
          <w:cantSplit w:val="true"/>
        </w:trPr>
        <w:tc>
          <w:tcPr>
            <w:tcW w:type="dxa" w:w="3739"/>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6"/>
              </w:rPr>
              <w:t>Event</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6"/>
              </w:rPr>
              <w:t>Record key</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6"/>
              </w:rPr>
              <w:t>Published by</w:t>
            </w:r>
          </w:p>
        </w:tc>
      </w:tr>
      <w:tr>
        <w:trPr>
          <w:cantSplit w:val="true"/>
        </w:trPr>
        <w:tc>
          <w:tcPr>
            <w:tcW w:type="dxa" w:w="3739"/>
            <w:tcMar>
              <w:top w:w="50" w:type="dxa"/>
              <w:bottom w:w="50" w:type="dxa"/>
              <w:left w:w="90" w:type="dxa"/>
              <w:right w:w="90" w:type="dxa"/>
            </w:tcMar>
          </w:tcPr>
          <w:p>
            <w:pPr>
              <w:pStyle w:val="BDOITable"/>
            </w:pPr>
            <w:r>
              <w:rPr>
                <w:b/>
                <w:sz w:val="16"/>
              </w:rPr>
              <w:t>bibs.booking.invoice-booked.v1</w:t>
            </w:r>
          </w:p>
        </w:tc>
        <w:tc>
          <w:tcPr>
            <w:tcW w:type="dxa" w:w="2493"/>
            <w:tcMar>
              <w:top w:w="50" w:type="dxa"/>
              <w:bottom w:w="50" w:type="dxa"/>
              <w:left w:w="90" w:type="dxa"/>
              <w:right w:w="90" w:type="dxa"/>
            </w:tcMar>
          </w:tcPr>
          <w:p>
            <w:pPr>
              <w:pStyle w:val="BDOITable"/>
            </w:pPr>
            <w:r>
              <w:rPr>
                <w:sz w:val="16"/>
              </w:rPr>
              <w:t>Invoice booked</w:t>
            </w:r>
          </w:p>
        </w:tc>
        <w:tc>
          <w:tcPr>
            <w:tcW w:type="dxa" w:w="1700"/>
            <w:tcMar>
              <w:top w:w="50" w:type="dxa"/>
              <w:bottom w:w="50" w:type="dxa"/>
              <w:left w:w="90" w:type="dxa"/>
              <w:right w:w="90" w:type="dxa"/>
            </w:tcMar>
          </w:tcPr>
          <w:p>
            <w:pPr>
              <w:pStyle w:val="BDOITable"/>
            </w:pPr>
            <w:r>
              <w:rPr>
                <w:sz w:val="16"/>
              </w:rPr>
              <w:t>Invoice number</w:t>
            </w:r>
          </w:p>
        </w:tc>
        <w:tc>
          <w:tcPr>
            <w:tcW w:type="dxa" w:w="2040"/>
            <w:tcMar>
              <w:top w:w="50" w:type="dxa"/>
              <w:bottom w:w="50" w:type="dxa"/>
              <w:left w:w="90" w:type="dxa"/>
              <w:right w:w="90" w:type="dxa"/>
            </w:tcMar>
          </w:tcPr>
          <w:p>
            <w:pPr>
              <w:pStyle w:val="BDOITable"/>
            </w:pPr>
            <w:r>
              <w:rPr>
                <w:sz w:val="16"/>
              </w:rPr>
              <w:t>Booking</w:t>
            </w:r>
          </w:p>
        </w:tc>
      </w:tr>
      <w:tr>
        <w:trPr>
          <w:cantSplit w:val="true"/>
        </w:trPr>
        <w:tc>
          <w:tcPr>
            <w:tcW w:type="dxa" w:w="3739"/>
            <w:tcMar>
              <w:top w:w="50" w:type="dxa"/>
              <w:bottom w:w="50" w:type="dxa"/>
              <w:left w:w="90" w:type="dxa"/>
              <w:right w:w="90" w:type="dxa"/>
            </w:tcMar>
            <w:shd w:val="clear" w:color="auto" w:fill="E5F5FF"/>
          </w:tcPr>
          <w:p>
            <w:pPr>
              <w:pStyle w:val="BDOITable"/>
            </w:pPr>
            <w:r>
              <w:rPr>
                <w:b/>
                <w:sz w:val="16"/>
              </w:rPr>
              <w:t>bibs.cashiering.payment-applied.v1</w:t>
            </w:r>
          </w:p>
        </w:tc>
        <w:tc>
          <w:tcPr>
            <w:tcW w:type="dxa" w:w="2493"/>
            <w:tcMar>
              <w:top w:w="50" w:type="dxa"/>
              <w:bottom w:w="50" w:type="dxa"/>
              <w:left w:w="90" w:type="dxa"/>
              <w:right w:w="90" w:type="dxa"/>
            </w:tcMar>
            <w:shd w:val="clear" w:color="auto" w:fill="E5F5FF"/>
          </w:tcPr>
          <w:p>
            <w:pPr>
              <w:pStyle w:val="BDOITable"/>
            </w:pPr>
            <w:r>
              <w:rPr>
                <w:sz w:val="16"/>
              </w:rPr>
              <w:t>Payment applied or unapplied</w:t>
            </w:r>
          </w:p>
        </w:tc>
        <w:tc>
          <w:tcPr>
            <w:tcW w:type="dxa" w:w="1700"/>
            <w:tcMar>
              <w:top w:w="50" w:type="dxa"/>
              <w:bottom w:w="50" w:type="dxa"/>
              <w:left w:w="90" w:type="dxa"/>
              <w:right w:w="90" w:type="dxa"/>
            </w:tcMar>
            <w:shd w:val="clear" w:color="auto" w:fill="E5F5FF"/>
          </w:tcPr>
          <w:p>
            <w:pPr>
              <w:pStyle w:val="BDOITable"/>
            </w:pPr>
            <w:r>
              <w:rPr>
                <w:sz w:val="16"/>
              </w:rPr>
              <w:t>Invoice number</w:t>
            </w:r>
          </w:p>
        </w:tc>
        <w:tc>
          <w:tcPr>
            <w:tcW w:type="dxa" w:w="2040"/>
            <w:tcMar>
              <w:top w:w="50" w:type="dxa"/>
              <w:bottom w:w="50" w:type="dxa"/>
              <w:left w:w="90" w:type="dxa"/>
              <w:right w:w="90" w:type="dxa"/>
            </w:tcMar>
            <w:shd w:val="clear" w:color="auto" w:fill="E5F5FF"/>
          </w:tcPr>
          <w:p>
            <w:pPr>
              <w:pStyle w:val="BDOITable"/>
            </w:pPr>
            <w:r>
              <w:rPr>
                <w:sz w:val="16"/>
              </w:rPr>
              <w:t>Operations invoice ledger</w:t>
            </w:r>
          </w:p>
        </w:tc>
      </w:tr>
      <w:tr>
        <w:trPr>
          <w:cantSplit w:val="true"/>
        </w:trPr>
        <w:tc>
          <w:tcPr>
            <w:tcW w:type="dxa" w:w="3739"/>
            <w:tcMar>
              <w:top w:w="50" w:type="dxa"/>
              <w:bottom w:w="50" w:type="dxa"/>
              <w:left w:w="90" w:type="dxa"/>
              <w:right w:w="90" w:type="dxa"/>
            </w:tcMar>
          </w:tcPr>
          <w:p>
            <w:pPr>
              <w:pStyle w:val="BDOITable"/>
            </w:pPr>
            <w:r>
              <w:rPr>
                <w:b/>
                <w:sz w:val="16"/>
              </w:rPr>
              <w:t>bibs.cashiering.receipt-issued.v1</w:t>
            </w:r>
          </w:p>
        </w:tc>
        <w:tc>
          <w:tcPr>
            <w:tcW w:type="dxa" w:w="2493"/>
            <w:tcMar>
              <w:top w:w="50" w:type="dxa"/>
              <w:bottom w:w="50" w:type="dxa"/>
              <w:left w:w="90" w:type="dxa"/>
              <w:right w:w="90" w:type="dxa"/>
            </w:tcMar>
          </w:tcPr>
          <w:p>
            <w:pPr>
              <w:pStyle w:val="BDOITable"/>
            </w:pPr>
            <w:r>
              <w:rPr>
                <w:sz w:val="16"/>
              </w:rPr>
              <w:t>Receipt issued</w:t>
            </w:r>
          </w:p>
        </w:tc>
        <w:tc>
          <w:tcPr>
            <w:tcW w:type="dxa" w:w="1700"/>
            <w:tcMar>
              <w:top w:w="50" w:type="dxa"/>
              <w:bottom w:w="50" w:type="dxa"/>
              <w:left w:w="90" w:type="dxa"/>
              <w:right w:w="90" w:type="dxa"/>
            </w:tcMar>
          </w:tcPr>
          <w:p>
            <w:pPr>
              <w:pStyle w:val="BDOITable"/>
            </w:pPr>
            <w:r>
              <w:rPr>
                <w:sz w:val="16"/>
              </w:rPr>
              <w:t>Receipt number</w:t>
            </w:r>
          </w:p>
        </w:tc>
        <w:tc>
          <w:tcPr>
            <w:tcW w:type="dxa" w:w="2040"/>
            <w:tcMar>
              <w:top w:w="50" w:type="dxa"/>
              <w:bottom w:w="50" w:type="dxa"/>
              <w:left w:w="90" w:type="dxa"/>
              <w:right w:w="90" w:type="dxa"/>
            </w:tcMar>
          </w:tcPr>
          <w:p>
            <w:pPr>
              <w:pStyle w:val="BDOITable"/>
            </w:pPr>
            <w:r>
              <w:rPr>
                <w:sz w:val="16"/>
              </w:rPr>
              <w:t>Cashiering</w:t>
            </w:r>
          </w:p>
        </w:tc>
      </w:tr>
      <w:tr>
        <w:trPr>
          <w:cantSplit w:val="true"/>
        </w:trPr>
        <w:tc>
          <w:tcPr>
            <w:tcW w:type="dxa" w:w="3739"/>
            <w:tcMar>
              <w:top w:w="50" w:type="dxa"/>
              <w:bottom w:w="50" w:type="dxa"/>
              <w:left w:w="90" w:type="dxa"/>
              <w:right w:w="90" w:type="dxa"/>
            </w:tcMar>
            <w:shd w:val="clear" w:color="auto" w:fill="E5F5FF"/>
          </w:tcPr>
          <w:p>
            <w:pPr>
              <w:pStyle w:val="BDOITable"/>
            </w:pPr>
            <w:r>
              <w:rPr>
                <w:b/>
                <w:sz w:val="16"/>
              </w:rPr>
              <w:t>bibs.remittance.batch-status.v1</w:t>
            </w:r>
          </w:p>
        </w:tc>
        <w:tc>
          <w:tcPr>
            <w:tcW w:type="dxa" w:w="2493"/>
            <w:tcMar>
              <w:top w:w="50" w:type="dxa"/>
              <w:bottom w:w="50" w:type="dxa"/>
              <w:left w:w="90" w:type="dxa"/>
              <w:right w:w="90" w:type="dxa"/>
            </w:tcMar>
            <w:shd w:val="clear" w:color="auto" w:fill="E5F5FF"/>
          </w:tcPr>
          <w:p>
            <w:pPr>
              <w:pStyle w:val="BDOITable"/>
            </w:pPr>
            <w:r>
              <w:rPr>
                <w:sz w:val="16"/>
              </w:rPr>
              <w:t>Remittance batch stage changed</w:t>
            </w:r>
          </w:p>
        </w:tc>
        <w:tc>
          <w:tcPr>
            <w:tcW w:type="dxa" w:w="1700"/>
            <w:tcMar>
              <w:top w:w="50" w:type="dxa"/>
              <w:bottom w:w="50" w:type="dxa"/>
              <w:left w:w="90" w:type="dxa"/>
              <w:right w:w="90" w:type="dxa"/>
            </w:tcMar>
            <w:shd w:val="clear" w:color="auto" w:fill="E5F5FF"/>
          </w:tcPr>
          <w:p>
            <w:pPr>
              <w:pStyle w:val="BDOITable"/>
            </w:pPr>
            <w:r>
              <w:rPr>
                <w:sz w:val="16"/>
              </w:rPr>
              <w:t>Batch number</w:t>
            </w:r>
          </w:p>
        </w:tc>
        <w:tc>
          <w:tcPr>
            <w:tcW w:type="dxa" w:w="2040"/>
            <w:tcMar>
              <w:top w:w="50" w:type="dxa"/>
              <w:bottom w:w="50" w:type="dxa"/>
              <w:left w:w="90" w:type="dxa"/>
              <w:right w:w="90" w:type="dxa"/>
            </w:tcMar>
            <w:shd w:val="clear" w:color="auto" w:fill="E5F5FF"/>
          </w:tcPr>
          <w:p>
            <w:pPr>
              <w:pStyle w:val="BDOITable"/>
            </w:pPr>
            <w:r>
              <w:rPr>
                <w:sz w:val="16"/>
              </w:rPr>
              <w:t>Remittance</w:t>
            </w:r>
          </w:p>
        </w:tc>
      </w:tr>
      <w:tr>
        <w:trPr>
          <w:cantSplit w:val="true"/>
        </w:trPr>
        <w:tc>
          <w:tcPr>
            <w:tcW w:type="dxa" w:w="3739"/>
            <w:tcMar>
              <w:top w:w="50" w:type="dxa"/>
              <w:bottom w:w="50" w:type="dxa"/>
              <w:left w:w="90" w:type="dxa"/>
              <w:right w:w="90" w:type="dxa"/>
            </w:tcMar>
          </w:tcPr>
          <w:p>
            <w:pPr>
              <w:pStyle w:val="BDOITable"/>
            </w:pPr>
            <w:r>
              <w:rPr>
                <w:b/>
                <w:sz w:val="16"/>
              </w:rPr>
              <w:t>bibs.disbursement.status-changed.v1</w:t>
            </w:r>
          </w:p>
        </w:tc>
        <w:tc>
          <w:tcPr>
            <w:tcW w:type="dxa" w:w="2493"/>
            <w:tcMar>
              <w:top w:w="50" w:type="dxa"/>
              <w:bottom w:w="50" w:type="dxa"/>
              <w:left w:w="90" w:type="dxa"/>
              <w:right w:w="90" w:type="dxa"/>
            </w:tcMar>
          </w:tcPr>
          <w:p>
            <w:pPr>
              <w:pStyle w:val="BDOITable"/>
            </w:pPr>
            <w:r>
              <w:rPr>
                <w:sz w:val="16"/>
              </w:rPr>
              <w:t>Disbursement request status changed</w:t>
            </w:r>
          </w:p>
        </w:tc>
        <w:tc>
          <w:tcPr>
            <w:tcW w:type="dxa" w:w="1700"/>
            <w:tcMar>
              <w:top w:w="50" w:type="dxa"/>
              <w:bottom w:w="50" w:type="dxa"/>
              <w:left w:w="90" w:type="dxa"/>
              <w:right w:w="90" w:type="dxa"/>
            </w:tcMar>
          </w:tcPr>
          <w:p>
            <w:pPr>
              <w:pStyle w:val="BDOITable"/>
            </w:pPr>
            <w:r>
              <w:rPr>
                <w:sz w:val="16"/>
              </w:rPr>
              <w:t>Request number</w:t>
            </w:r>
          </w:p>
        </w:tc>
        <w:tc>
          <w:tcPr>
            <w:tcW w:type="dxa" w:w="2040"/>
            <w:tcMar>
              <w:top w:w="50" w:type="dxa"/>
              <w:bottom w:w="50" w:type="dxa"/>
              <w:left w:w="90" w:type="dxa"/>
              <w:right w:w="90" w:type="dxa"/>
            </w:tcMar>
          </w:tcPr>
          <w:p>
            <w:pPr>
              <w:pStyle w:val="BDOITable"/>
            </w:pPr>
            <w:r>
              <w:rPr>
                <w:sz w:val="16"/>
              </w:rPr>
              <w:t>Disbursement</w:t>
            </w:r>
          </w:p>
        </w:tc>
      </w:tr>
      <w:tr>
        <w:trPr>
          <w:cantSplit w:val="true"/>
        </w:trPr>
        <w:tc>
          <w:tcPr>
            <w:tcW w:type="dxa" w:w="3739"/>
            <w:tcMar>
              <w:top w:w="50" w:type="dxa"/>
              <w:bottom w:w="50" w:type="dxa"/>
              <w:left w:w="90" w:type="dxa"/>
              <w:right w:w="90" w:type="dxa"/>
            </w:tcMar>
            <w:shd w:val="clear" w:color="auto" w:fill="E5F5FF"/>
          </w:tcPr>
          <w:p>
            <w:pPr>
              <w:pStyle w:val="BDOITable"/>
            </w:pPr>
            <w:r>
              <w:rPr>
                <w:b/>
                <w:sz w:val="16"/>
              </w:rPr>
              <w:t>bibs.collections.feed-ready.v1</w:t>
            </w:r>
          </w:p>
        </w:tc>
        <w:tc>
          <w:tcPr>
            <w:tcW w:type="dxa" w:w="2493"/>
            <w:tcMar>
              <w:top w:w="50" w:type="dxa"/>
              <w:bottom w:w="50" w:type="dxa"/>
              <w:left w:w="90" w:type="dxa"/>
              <w:right w:w="90" w:type="dxa"/>
            </w:tcMar>
            <w:shd w:val="clear" w:color="auto" w:fill="E5F5FF"/>
          </w:tcPr>
          <w:p>
            <w:pPr>
              <w:pStyle w:val="BDOITable"/>
            </w:pPr>
            <w:r>
              <w:rPr>
                <w:sz w:val="16"/>
              </w:rPr>
              <w:t>Collection feed ready</w:t>
            </w:r>
          </w:p>
        </w:tc>
        <w:tc>
          <w:tcPr>
            <w:tcW w:type="dxa" w:w="1700"/>
            <w:tcMar>
              <w:top w:w="50" w:type="dxa"/>
              <w:bottom w:w="50" w:type="dxa"/>
              <w:left w:w="90" w:type="dxa"/>
              <w:right w:w="90" w:type="dxa"/>
            </w:tcMar>
            <w:shd w:val="clear" w:color="auto" w:fill="E5F5FF"/>
          </w:tcPr>
          <w:p>
            <w:pPr>
              <w:pStyle w:val="BDOITable"/>
            </w:pPr>
            <w:r>
              <w:rPr>
                <w:sz w:val="16"/>
              </w:rPr>
              <w:t>Feed code</w:t>
            </w:r>
          </w:p>
        </w:tc>
        <w:tc>
          <w:tcPr>
            <w:tcW w:type="dxa" w:w="2040"/>
            <w:tcMar>
              <w:top w:w="50" w:type="dxa"/>
              <w:bottom w:w="50" w:type="dxa"/>
              <w:left w:w="90" w:type="dxa"/>
              <w:right w:w="90" w:type="dxa"/>
            </w:tcMar>
            <w:shd w:val="clear" w:color="auto" w:fill="E5F5FF"/>
          </w:tcPr>
          <w:p>
            <w:pPr>
              <w:pStyle w:val="BDOITable"/>
            </w:pPr>
            <w:r>
              <w:rPr>
                <w:sz w:val="16"/>
              </w:rPr>
              <w:t>Operations invoice ledger</w:t>
            </w:r>
          </w:p>
        </w:tc>
      </w:tr>
      <w:tr>
        <w:trPr>
          <w:cantSplit w:val="true"/>
        </w:trPr>
        <w:tc>
          <w:tcPr>
            <w:tcW w:type="dxa" w:w="3739"/>
            <w:tcMar>
              <w:top w:w="50" w:type="dxa"/>
              <w:bottom w:w="50" w:type="dxa"/>
              <w:left w:w="90" w:type="dxa"/>
              <w:right w:w="90" w:type="dxa"/>
            </w:tcMar>
          </w:tcPr>
          <w:p>
            <w:pPr>
              <w:pStyle w:val="BDOITable"/>
            </w:pPr>
            <w:r>
              <w:rPr>
                <w:b/>
                <w:sz w:val="16"/>
              </w:rPr>
              <w:t>bibs.catalog.product-version-released.v1</w:t>
            </w:r>
          </w:p>
        </w:tc>
        <w:tc>
          <w:tcPr>
            <w:tcW w:type="dxa" w:w="2493"/>
            <w:tcMar>
              <w:top w:w="50" w:type="dxa"/>
              <w:bottom w:w="50" w:type="dxa"/>
              <w:left w:w="90" w:type="dxa"/>
              <w:right w:w="90" w:type="dxa"/>
            </w:tcMar>
          </w:tcPr>
          <w:p>
            <w:pPr>
              <w:pStyle w:val="BDOITable"/>
            </w:pPr>
            <w:r>
              <w:rPr>
                <w:sz w:val="16"/>
              </w:rPr>
              <w:t>Package version released</w:t>
            </w:r>
          </w:p>
        </w:tc>
        <w:tc>
          <w:tcPr>
            <w:tcW w:type="dxa" w:w="1700"/>
            <w:tcMar>
              <w:top w:w="50" w:type="dxa"/>
              <w:bottom w:w="50" w:type="dxa"/>
              <w:left w:w="90" w:type="dxa"/>
              <w:right w:w="90" w:type="dxa"/>
            </w:tcMar>
          </w:tcPr>
          <w:p>
            <w:pPr>
              <w:pStyle w:val="BDOITable"/>
            </w:pPr>
            <w:r>
              <w:rPr>
                <w:sz w:val="16"/>
              </w:rPr>
              <w:t>Product code</w:t>
            </w:r>
          </w:p>
        </w:tc>
        <w:tc>
          <w:tcPr>
            <w:tcW w:type="dxa" w:w="2040"/>
            <w:tcMar>
              <w:top w:w="50" w:type="dxa"/>
              <w:bottom w:w="50" w:type="dxa"/>
              <w:left w:w="90" w:type="dxa"/>
              <w:right w:w="90" w:type="dxa"/>
            </w:tcMar>
          </w:tcPr>
          <w:p>
            <w:pPr>
              <w:pStyle w:val="BDOITable"/>
            </w:pPr>
            <w:r>
              <w:rPr>
                <w:sz w:val="16"/>
              </w:rPr>
              <w:t>Product catalogue</w:t>
            </w:r>
          </w:p>
        </w:tc>
      </w:tr>
      <w:tr>
        <w:trPr>
          <w:cantSplit w:val="true"/>
        </w:trPr>
        <w:tc>
          <w:tcPr>
            <w:tcW w:type="dxa" w:w="3739"/>
            <w:tcMar>
              <w:top w:w="50" w:type="dxa"/>
              <w:bottom w:w="50" w:type="dxa"/>
              <w:left w:w="90" w:type="dxa"/>
              <w:right w:w="90" w:type="dxa"/>
            </w:tcMar>
            <w:shd w:val="clear" w:color="auto" w:fill="E5F5FF"/>
          </w:tcPr>
          <w:p>
            <w:pPr>
              <w:pStyle w:val="BDOITable"/>
            </w:pPr>
            <w:r>
              <w:rPr>
                <w:b/>
                <w:sz w:val="16"/>
              </w:rPr>
              <w:t>bibs.crm.client-changed.v1</w:t>
            </w:r>
          </w:p>
        </w:tc>
        <w:tc>
          <w:tcPr>
            <w:tcW w:type="dxa" w:w="2493"/>
            <w:tcMar>
              <w:top w:w="50" w:type="dxa"/>
              <w:bottom w:w="50" w:type="dxa"/>
              <w:left w:w="90" w:type="dxa"/>
              <w:right w:w="90" w:type="dxa"/>
            </w:tcMar>
            <w:shd w:val="clear" w:color="auto" w:fill="E5F5FF"/>
          </w:tcPr>
          <w:p>
            <w:pPr>
              <w:pStyle w:val="BDOITable"/>
            </w:pPr>
            <w:r>
              <w:rPr>
                <w:sz w:val="16"/>
              </w:rPr>
              <w:t>Client registered or changed</w:t>
            </w:r>
          </w:p>
        </w:tc>
        <w:tc>
          <w:tcPr>
            <w:tcW w:type="dxa" w:w="1700"/>
            <w:tcMar>
              <w:top w:w="50" w:type="dxa"/>
              <w:bottom w:w="50" w:type="dxa"/>
              <w:left w:w="90" w:type="dxa"/>
              <w:right w:w="90" w:type="dxa"/>
            </w:tcMar>
            <w:shd w:val="clear" w:color="auto" w:fill="E5F5FF"/>
          </w:tcPr>
          <w:p>
            <w:pPr>
              <w:pStyle w:val="BDOITable"/>
            </w:pPr>
            <w:r>
              <w:rPr>
                <w:sz w:val="16"/>
              </w:rPr>
              <w:t>Client identifier</w:t>
            </w:r>
          </w:p>
        </w:tc>
        <w:tc>
          <w:tcPr>
            <w:tcW w:type="dxa" w:w="2040"/>
            <w:tcMar>
              <w:top w:w="50" w:type="dxa"/>
              <w:bottom w:w="50" w:type="dxa"/>
              <w:left w:w="90" w:type="dxa"/>
              <w:right w:w="90" w:type="dxa"/>
            </w:tcMar>
            <w:shd w:val="clear" w:color="auto" w:fill="E5F5FF"/>
          </w:tcPr>
          <w:p>
            <w:pPr>
              <w:pStyle w:val="BDOITable"/>
            </w:pPr>
            <w:r>
              <w:rPr>
                <w:sz w:val="16"/>
              </w:rPr>
              <w:t>Clients (CRM)</w:t>
            </w:r>
          </w:p>
        </w:tc>
      </w:tr>
      <w:tr>
        <w:trPr>
          <w:cantSplit w:val="true"/>
        </w:trPr>
        <w:tc>
          <w:tcPr>
            <w:tcW w:type="dxa" w:w="3739"/>
            <w:tcMar>
              <w:top w:w="50" w:type="dxa"/>
              <w:bottom w:w="50" w:type="dxa"/>
              <w:left w:w="90" w:type="dxa"/>
              <w:right w:w="90" w:type="dxa"/>
            </w:tcMar>
          </w:tcPr>
          <w:p>
            <w:pPr>
              <w:pStyle w:val="BDOITable"/>
            </w:pPr>
            <w:r>
              <w:rPr>
                <w:b/>
                <w:sz w:val="16"/>
              </w:rPr>
              <w:t>bibs.messaging.notification-requested.v1</w:t>
            </w:r>
          </w:p>
        </w:tc>
        <w:tc>
          <w:tcPr>
            <w:tcW w:type="dxa" w:w="2493"/>
            <w:tcMar>
              <w:top w:w="50" w:type="dxa"/>
              <w:bottom w:w="50" w:type="dxa"/>
              <w:left w:w="90" w:type="dxa"/>
              <w:right w:w="90" w:type="dxa"/>
            </w:tcMar>
          </w:tcPr>
          <w:p>
            <w:pPr>
              <w:pStyle w:val="BDOITable"/>
            </w:pPr>
            <w:r>
              <w:rPr>
                <w:sz w:val="16"/>
              </w:rPr>
              <w:t>E-mail or notification queued</w:t>
            </w:r>
          </w:p>
        </w:tc>
        <w:tc>
          <w:tcPr>
            <w:tcW w:type="dxa" w:w="1700"/>
            <w:tcMar>
              <w:top w:w="50" w:type="dxa"/>
              <w:bottom w:w="50" w:type="dxa"/>
              <w:left w:w="90" w:type="dxa"/>
              <w:right w:w="90" w:type="dxa"/>
            </w:tcMar>
          </w:tcPr>
          <w:p>
            <w:pPr>
              <w:pStyle w:val="BDOITable"/>
            </w:pPr>
            <w:r>
              <w:rPr>
                <w:sz w:val="16"/>
              </w:rPr>
              <w:t>Message identifier</w:t>
            </w:r>
          </w:p>
        </w:tc>
        <w:tc>
          <w:tcPr>
            <w:tcW w:type="dxa" w:w="2040"/>
            <w:tcMar>
              <w:top w:w="50" w:type="dxa"/>
              <w:bottom w:w="50" w:type="dxa"/>
              <w:left w:w="90" w:type="dxa"/>
              <w:right w:w="90" w:type="dxa"/>
            </w:tcMar>
          </w:tcPr>
          <w:p>
            <w:pPr>
              <w:pStyle w:val="BDOITable"/>
            </w:pPr>
            <w:r>
              <w:rPr>
                <w:sz w:val="16"/>
              </w:rPr>
              <w:t>Messaging</w:t>
            </w:r>
          </w:p>
        </w:tc>
      </w:tr>
      <w:tr>
        <w:trPr>
          <w:cantSplit w:val="true"/>
        </w:trPr>
        <w:tc>
          <w:tcPr>
            <w:tcW w:type="dxa" w:w="3739"/>
            <w:tcMar>
              <w:top w:w="50" w:type="dxa"/>
              <w:bottom w:w="50" w:type="dxa"/>
              <w:left w:w="90" w:type="dxa"/>
              <w:right w:w="90" w:type="dxa"/>
            </w:tcMar>
            <w:shd w:val="clear" w:color="auto" w:fill="E5F5FF"/>
          </w:tcPr>
          <w:p>
            <w:pPr>
              <w:pStyle w:val="BDOITable"/>
            </w:pPr>
            <w:r>
              <w:rPr>
                <w:b/>
                <w:sz w:val="16"/>
              </w:rPr>
              <w:t>bibs.storage.ecm-archive-requested.v1</w:t>
            </w:r>
          </w:p>
        </w:tc>
        <w:tc>
          <w:tcPr>
            <w:tcW w:type="dxa" w:w="2493"/>
            <w:tcMar>
              <w:top w:w="50" w:type="dxa"/>
              <w:bottom w:w="50" w:type="dxa"/>
              <w:left w:w="90" w:type="dxa"/>
              <w:right w:w="90" w:type="dxa"/>
            </w:tcMar>
            <w:shd w:val="clear" w:color="auto" w:fill="E5F5FF"/>
          </w:tcPr>
          <w:p>
            <w:pPr>
              <w:pStyle w:val="BDOITable"/>
            </w:pPr>
            <w:r>
              <w:rPr>
                <w:sz w:val="16"/>
              </w:rPr>
              <w:t>Final record ready for the ECM archive</w:t>
            </w:r>
          </w:p>
        </w:tc>
        <w:tc>
          <w:tcPr>
            <w:tcW w:type="dxa" w:w="1700"/>
            <w:tcMar>
              <w:top w:w="50" w:type="dxa"/>
              <w:bottom w:w="50" w:type="dxa"/>
              <w:left w:w="90" w:type="dxa"/>
              <w:right w:w="90" w:type="dxa"/>
            </w:tcMar>
            <w:shd w:val="clear" w:color="auto" w:fill="E5F5FF"/>
          </w:tcPr>
          <w:p>
            <w:pPr>
              <w:pStyle w:val="BDOITable"/>
            </w:pPr>
            <w:r>
              <w:rPr>
                <w:sz w:val="16"/>
              </w:rPr>
              <w:t>Stored file</w:t>
            </w:r>
          </w:p>
        </w:tc>
        <w:tc>
          <w:tcPr>
            <w:tcW w:type="dxa" w:w="2040"/>
            <w:tcMar>
              <w:top w:w="50" w:type="dxa"/>
              <w:bottom w:w="50" w:type="dxa"/>
              <w:left w:w="90" w:type="dxa"/>
              <w:right w:w="90" w:type="dxa"/>
            </w:tcMar>
            <w:shd w:val="clear" w:color="auto" w:fill="E5F5FF"/>
          </w:tcPr>
          <w:p>
            <w:pPr>
              <w:pStyle w:val="BDOITable"/>
            </w:pPr>
            <w:r>
              <w:rPr>
                <w:sz w:val="16"/>
              </w:rPr>
              <w:t>File storage</w:t>
            </w:r>
          </w:p>
        </w:tc>
      </w:tr>
    </w:tbl>
    <w:p>
      <w:pPr>
        <w:pStyle w:val="BDOISpacer"/>
      </w:pPr>
    </w:p>
    <w:p>
      <w:pPr>
        <w:pStyle w:val="Heading2"/>
      </w:pPr>
      <w:bookmarkStart w:id="127" w:name="_Toc000127"/>
      <w:r>
        <w:rPr/>
        <w:t>6.3 Consumers, idempotency and dead letters</w:t>
      </w:r>
      <w:bookmarkEnd w:id="127"/>
    </w:p>
    <w:p>
      <w:pPr>
        <w:pStyle w:val="Caption"/>
        <w:keepNext/>
        <w:spacing w:after="60"/>
      </w:pPr>
      <w:r>
        <w:rPr>
          <w:b/>
          <w:i w:val="0"/>
        </w:rPr>
        <w:t xml:space="preserve">Table 15: </w:t>
      </w:r>
      <w:r>
        <w:rPr/>
        <w:t>Consumer groups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3399"/>
        <w:gridCol w:w="45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7"/>
              </w:rPr>
              <w:t>Consumer group</w:t>
            </w:r>
          </w:p>
        </w:tc>
        <w:tc>
          <w:tcPr>
            <w:tcW w:type="dxa" w:w="3400"/>
            <w:shd w:val="clear" w:color="auto" w:fill="004EA8"/>
            <w:tcMar>
              <w:top w:w="50" w:type="dxa"/>
              <w:bottom w:w="50" w:type="dxa"/>
              <w:left w:w="90" w:type="dxa"/>
              <w:right w:w="90" w:type="dxa"/>
            </w:tcMar>
            <w:vAlign w:val="center"/>
          </w:tcPr>
          <w:p>
            <w:pPr>
              <w:pStyle w:val="BDOITableHeader"/>
            </w:pPr>
            <w:r>
              <w:rPr>
                <w:b/>
                <w:color w:val="FFFFFF"/>
                <w:sz w:val="17"/>
              </w:rPr>
              <w:t>Does</w:t>
            </w:r>
          </w:p>
        </w:tc>
        <w:tc>
          <w:tcPr>
            <w:tcW w:type="dxa" w:w="4533"/>
            <w:shd w:val="clear" w:color="auto" w:fill="004EA8"/>
            <w:tcMar>
              <w:top w:w="50" w:type="dxa"/>
              <w:bottom w:w="50" w:type="dxa"/>
              <w:left w:w="90" w:type="dxa"/>
              <w:right w:w="90" w:type="dxa"/>
            </w:tcMar>
            <w:vAlign w:val="center"/>
          </w:tcPr>
          <w:p>
            <w:pPr>
              <w:pStyle w:val="BDOITableHeader"/>
            </w:pPr>
            <w:r>
              <w:rPr>
                <w:b/>
                <w:color w:val="FFFFFF"/>
                <w:sz w:val="17"/>
              </w:rPr>
              <w:t>Duplicate and failure handling</w:t>
            </w:r>
          </w:p>
        </w:tc>
      </w:tr>
      <w:tr>
        <w:trPr>
          <w:cantSplit w:val="true"/>
        </w:trPr>
        <w:tc>
          <w:tcPr>
            <w:tcW w:type="dxa" w:w="2040"/>
            <w:tcMar>
              <w:top w:w="50" w:type="dxa"/>
              <w:bottom w:w="50" w:type="dxa"/>
              <w:left w:w="90" w:type="dxa"/>
              <w:right w:w="90" w:type="dxa"/>
            </w:tcMar>
          </w:tcPr>
          <w:p>
            <w:pPr>
              <w:pStyle w:val="BDOITable"/>
            </w:pPr>
            <w:r>
              <w:rPr>
                <w:b/>
                <w:sz w:val="17"/>
              </w:rPr>
              <w:t>bibs-mail-dispatch</w:t>
            </w:r>
          </w:p>
        </w:tc>
        <w:tc>
          <w:tcPr>
            <w:tcW w:type="dxa" w:w="3400"/>
            <w:tcMar>
              <w:top w:w="50" w:type="dxa"/>
              <w:bottom w:w="50" w:type="dxa"/>
              <w:left w:w="90" w:type="dxa"/>
              <w:right w:w="90" w:type="dxa"/>
            </w:tcMar>
          </w:tcPr>
          <w:p>
            <w:pPr>
              <w:pStyle w:val="BDOITable"/>
            </w:pPr>
            <w:r>
              <w:rPr>
                <w:sz w:val="17"/>
              </w:rPr>
              <w:t>Sends the queued e-mail of a notification event through CCM</w:t>
            </w:r>
          </w:p>
        </w:tc>
        <w:tc>
          <w:tcPr>
            <w:tcW w:type="dxa" w:w="4533"/>
            <w:tcMar>
              <w:top w:w="50" w:type="dxa"/>
              <w:bottom w:w="50" w:type="dxa"/>
              <w:left w:w="90" w:type="dxa"/>
              <w:right w:w="90" w:type="dxa"/>
            </w:tcMar>
          </w:tcPr>
          <w:p>
            <w:pPr>
              <w:pStyle w:val="BDOITable"/>
            </w:pPr>
            <w:r>
              <w:rPr>
                <w:sz w:val="17"/>
              </w:rPr>
              <w:t>Only messages still queued are sent, so a redelivered event sends nothing twice; a failed SMTP attempt stays queued for the mail dispatch job</w:t>
            </w:r>
          </w:p>
        </w:tc>
      </w:tr>
      <w:tr>
        <w:trPr>
          <w:cantSplit w:val="true"/>
        </w:trPr>
        <w:tc>
          <w:tcPr>
            <w:tcW w:type="dxa" w:w="2040"/>
            <w:tcMar>
              <w:top w:w="50" w:type="dxa"/>
              <w:bottom w:w="50" w:type="dxa"/>
              <w:left w:w="90" w:type="dxa"/>
              <w:right w:w="90" w:type="dxa"/>
            </w:tcMar>
            <w:shd w:val="clear" w:color="auto" w:fill="E5F5FF"/>
          </w:tcPr>
          <w:p>
            <w:pPr>
              <w:pStyle w:val="BDOITable"/>
            </w:pPr>
            <w:r>
              <w:rPr>
                <w:b/>
                <w:sz w:val="17"/>
              </w:rPr>
              <w:t>bibs-event-archive</w:t>
            </w:r>
          </w:p>
        </w:tc>
        <w:tc>
          <w:tcPr>
            <w:tcW w:type="dxa" w:w="3400"/>
            <w:tcMar>
              <w:top w:w="50" w:type="dxa"/>
              <w:bottom w:w="50" w:type="dxa"/>
              <w:left w:w="90" w:type="dxa"/>
              <w:right w:w="90" w:type="dxa"/>
            </w:tcMar>
            <w:shd w:val="clear" w:color="auto" w:fill="E5F5FF"/>
          </w:tcPr>
          <w:p>
            <w:pPr>
              <w:pStyle w:val="BDOITable"/>
            </w:pPr>
            <w:r>
              <w:rPr>
                <w:sz w:val="17"/>
              </w:rPr>
              <w:t>Stores every event envelope for traceability</w:t>
            </w:r>
          </w:p>
        </w:tc>
        <w:tc>
          <w:tcPr>
            <w:tcW w:type="dxa" w:w="4533"/>
            <w:tcMar>
              <w:top w:w="50" w:type="dxa"/>
              <w:bottom w:w="50" w:type="dxa"/>
              <w:left w:w="90" w:type="dxa"/>
              <w:right w:w="90" w:type="dxa"/>
            </w:tcMar>
            <w:shd w:val="clear" w:color="auto" w:fill="E5F5FF"/>
          </w:tcPr>
          <w:p>
            <w:pPr>
              <w:pStyle w:val="BDOITable"/>
            </w:pPr>
            <w:r>
              <w:rPr>
                <w:sz w:val="17"/>
              </w:rPr>
              <w:t>Unique event identifier: a redelivery is ignored</w:t>
            </w:r>
          </w:p>
        </w:tc>
      </w:tr>
      <w:tr>
        <w:trPr>
          <w:cantSplit w:val="true"/>
        </w:trPr>
        <w:tc>
          <w:tcPr>
            <w:tcW w:type="dxa" w:w="2040"/>
            <w:tcMar>
              <w:top w:w="50" w:type="dxa"/>
              <w:bottom w:w="50" w:type="dxa"/>
              <w:left w:w="90" w:type="dxa"/>
              <w:right w:w="90" w:type="dxa"/>
            </w:tcMar>
          </w:tcPr>
          <w:p>
            <w:pPr>
              <w:pStyle w:val="BDOITable"/>
            </w:pPr>
            <w:r>
              <w:rPr>
                <w:b/>
                <w:sz w:val="17"/>
              </w:rPr>
              <w:t>bibs-dead-letter-recorder</w:t>
            </w:r>
          </w:p>
        </w:tc>
        <w:tc>
          <w:tcPr>
            <w:tcW w:type="dxa" w:w="3400"/>
            <w:tcMar>
              <w:top w:w="50" w:type="dxa"/>
              <w:bottom w:w="50" w:type="dxa"/>
              <w:left w:w="90" w:type="dxa"/>
              <w:right w:w="90" w:type="dxa"/>
            </w:tcMar>
          </w:tcPr>
          <w:p>
            <w:pPr>
              <w:pStyle w:val="BDOITable"/>
            </w:pPr>
            <w:r>
              <w:rPr>
                <w:sz w:val="17"/>
              </w:rPr>
              <w:t>Stores records of every dead-letter topic with the original topic, consumer group and error</w:t>
            </w:r>
          </w:p>
        </w:tc>
        <w:tc>
          <w:tcPr>
            <w:tcW w:type="dxa" w:w="4533"/>
            <w:tcMar>
              <w:top w:w="50" w:type="dxa"/>
              <w:bottom w:w="50" w:type="dxa"/>
              <w:left w:w="90" w:type="dxa"/>
              <w:right w:w="90" w:type="dxa"/>
            </w:tcMar>
          </w:tcPr>
          <w:p>
            <w:pPr>
              <w:pStyle w:val="BDOITable"/>
            </w:pPr>
            <w:r>
              <w:rPr>
                <w:sz w:val="17"/>
              </w:rPr>
              <w:t>Unique position; never dead-letters itself</w:t>
            </w:r>
          </w:p>
        </w:tc>
      </w:tr>
      <w:tr>
        <w:trPr>
          <w:cantSplit w:val="true"/>
        </w:trPr>
        <w:tc>
          <w:tcPr>
            <w:tcW w:type="dxa" w:w="2040"/>
            <w:tcMar>
              <w:top w:w="50" w:type="dxa"/>
              <w:bottom w:w="50" w:type="dxa"/>
              <w:left w:w="90" w:type="dxa"/>
              <w:right w:w="90" w:type="dxa"/>
            </w:tcMar>
            <w:shd w:val="clear" w:color="auto" w:fill="E5F5FF"/>
          </w:tcPr>
          <w:p>
            <w:pPr>
              <w:pStyle w:val="BDOITable"/>
            </w:pPr>
            <w:r>
              <w:rPr>
                <w:b/>
                <w:sz w:val="17"/>
              </w:rPr>
              <w:t>ECM archive connector</w:t>
            </w:r>
          </w:p>
        </w:tc>
        <w:tc>
          <w:tcPr>
            <w:tcW w:type="dxa" w:w="3400"/>
            <w:tcMar>
              <w:top w:w="50" w:type="dxa"/>
              <w:bottom w:w="50" w:type="dxa"/>
              <w:left w:w="90" w:type="dxa"/>
              <w:right w:w="90" w:type="dxa"/>
            </w:tcMar>
            <w:shd w:val="clear" w:color="auto" w:fill="E5F5FF"/>
          </w:tcPr>
          <w:p>
            <w:pPr>
              <w:pStyle w:val="BDOITable"/>
            </w:pPr>
            <w:r>
              <w:rPr>
                <w:sz w:val="17"/>
              </w:rPr>
              <w:t>Archives final records of the "archive to ECM" classes and stores the ECM reference (INT-12)</w:t>
            </w:r>
          </w:p>
        </w:tc>
        <w:tc>
          <w:tcPr>
            <w:tcW w:type="dxa" w:w="4533"/>
            <w:tcMar>
              <w:top w:w="50" w:type="dxa"/>
              <w:bottom w:w="50" w:type="dxa"/>
              <w:left w:w="90" w:type="dxa"/>
              <w:right w:w="90" w:type="dxa"/>
            </w:tcMar>
            <w:shd w:val="clear" w:color="auto" w:fill="E5F5FF"/>
          </w:tcPr>
          <w:p>
            <w:pPr>
              <w:pStyle w:val="BDOITable"/>
            </w:pPr>
            <w:r>
              <w:rPr>
                <w:sz w:val="17"/>
              </w:rPr>
              <w:t>Checks the ECM reference before sending again</w:t>
            </w:r>
          </w:p>
        </w:tc>
      </w:tr>
    </w:tbl>
    <w:p>
      <w:pPr>
        <w:pStyle w:val="BDOISpacer"/>
      </w:pPr>
    </w:p>
    <w:p>
      <w:r>
        <w:rPr/>
        <w:t>Every consumer retries a failing record three times, two seconds apart, then sends it unchanged with the error in its headers to the dead-letter topic; a malformed envelope goes there at once. The Integration Events screen (System Administrator) lists outbox rows, archived events and dead letters, and offers retry and discard. Delivery is at least once; deduplication on the event identifier makes every consumer safe to replay.</w:t>
      </w:r>
    </w:p>
    <w:p>
      <w:pPr>
        <w:pStyle w:val="Heading2"/>
      </w:pPr>
      <w:bookmarkStart w:id="128" w:name="_Toc000128"/>
      <w:r>
        <w:rPr/>
        <w:t>6.4 Behaviour under failure</w:t>
      </w:r>
      <w:bookmarkEnd w:id="128"/>
    </w:p>
    <w:p>
      <w:pPr>
        <w:pStyle w:val="Caption"/>
        <w:keepNext/>
        <w:spacing w:after="60"/>
      </w:pPr>
      <w:r>
        <w:rPr>
          <w:b/>
          <w:i w:val="0"/>
        </w:rPr>
        <w:t xml:space="preserve">Table 16: </w:t>
      </w:r>
      <w:r>
        <w:rPr/>
        <w:t>What happens when a platform service fails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33"/>
        <w:gridCol w:w="7139"/>
      </w:tblGrid>
      <w:tr>
        <w:trPr>
          <w:tblHeader w:val="true"/>
          <w:cantSplit w:val="true"/>
        </w:trPr>
        <w:tc>
          <w:tcPr>
            <w:tcW w:type="dxa" w:w="2833"/>
            <w:shd w:val="clear" w:color="auto" w:fill="004EA8"/>
            <w:tcMar>
              <w:top w:w="50" w:type="dxa"/>
              <w:bottom w:w="50" w:type="dxa"/>
              <w:left w:w="90" w:type="dxa"/>
              <w:right w:w="90" w:type="dxa"/>
            </w:tcMar>
            <w:vAlign w:val="center"/>
          </w:tcPr>
          <w:p>
            <w:pPr>
              <w:pStyle w:val="BDOITableHeader"/>
            </w:pPr>
            <w:r>
              <w:rPr>
                <w:b/>
                <w:color w:val="FFFFFF"/>
                <w:sz w:val="17"/>
              </w:rPr>
              <w:t>Situation</w:t>
            </w:r>
          </w:p>
        </w:tc>
        <w:tc>
          <w:tcPr>
            <w:tcW w:type="dxa" w:w="7139"/>
            <w:shd w:val="clear" w:color="auto" w:fill="004EA8"/>
            <w:tcMar>
              <w:top w:w="50" w:type="dxa"/>
              <w:bottom w:w="50" w:type="dxa"/>
              <w:left w:w="90" w:type="dxa"/>
              <w:right w:w="90" w:type="dxa"/>
            </w:tcMar>
            <w:vAlign w:val="center"/>
          </w:tcPr>
          <w:p>
            <w:pPr>
              <w:pStyle w:val="BDOITableHeader"/>
            </w:pPr>
            <w:r>
              <w:rPr>
                <w:b/>
                <w:color w:val="FFFFFF"/>
                <w:sz w:val="17"/>
              </w:rPr>
              <w:t>Effect</w:t>
            </w:r>
          </w:p>
        </w:tc>
      </w:tr>
      <w:tr>
        <w:trPr>
          <w:cantSplit w:val="true"/>
        </w:trPr>
        <w:tc>
          <w:tcPr>
            <w:tcW w:type="dxa" w:w="2833"/>
            <w:tcMar>
              <w:top w:w="50" w:type="dxa"/>
              <w:bottom w:w="50" w:type="dxa"/>
              <w:left w:w="90" w:type="dxa"/>
              <w:right w:w="90" w:type="dxa"/>
            </w:tcMar>
          </w:tcPr>
          <w:p>
            <w:pPr>
              <w:pStyle w:val="BDOITable"/>
            </w:pPr>
            <w:r>
              <w:rPr>
                <w:b/>
                <w:sz w:val="17"/>
              </w:rPr>
              <w:t>Kafka unreachable</w:t>
            </w:r>
          </w:p>
        </w:tc>
        <w:tc>
          <w:tcPr>
            <w:tcW w:type="dxa" w:w="7139"/>
            <w:tcMar>
              <w:top w:w="50" w:type="dxa"/>
              <w:bottom w:w="50" w:type="dxa"/>
              <w:left w:w="90" w:type="dxa"/>
              <w:right w:w="90" w:type="dxa"/>
            </w:tcMar>
          </w:tcPr>
          <w:p>
            <w:pPr>
              <w:pStyle w:val="BDOITable"/>
            </w:pPr>
            <w:r>
              <w:rPr>
                <w:sz w:val="17"/>
              </w:rPr>
              <w:t>Business transactions are not affected (they only write the outbox). Rows wait and are sent with back-off once Kafka is back; the mail dispatch job still sends queued e-mail</w:t>
            </w:r>
          </w:p>
        </w:tc>
      </w:tr>
      <w:tr>
        <w:trPr>
          <w:cantSplit w:val="true"/>
        </w:trPr>
        <w:tc>
          <w:tcPr>
            <w:tcW w:type="dxa" w:w="2833"/>
            <w:tcMar>
              <w:top w:w="50" w:type="dxa"/>
              <w:bottom w:w="50" w:type="dxa"/>
              <w:left w:w="90" w:type="dxa"/>
              <w:right w:w="90" w:type="dxa"/>
            </w:tcMar>
            <w:shd w:val="clear" w:color="auto" w:fill="E5F5FF"/>
          </w:tcPr>
          <w:p>
            <w:pPr>
              <w:pStyle w:val="BDOITable"/>
            </w:pPr>
            <w:r>
              <w:rPr>
                <w:b/>
                <w:sz w:val="17"/>
              </w:rPr>
              <w:t>A consumer keeps failing</w:t>
            </w:r>
          </w:p>
        </w:tc>
        <w:tc>
          <w:tcPr>
            <w:tcW w:type="dxa" w:w="7139"/>
            <w:tcMar>
              <w:top w:w="50" w:type="dxa"/>
              <w:bottom w:w="50" w:type="dxa"/>
              <w:left w:w="90" w:type="dxa"/>
              <w:right w:w="90" w:type="dxa"/>
            </w:tcMar>
            <w:shd w:val="clear" w:color="auto" w:fill="E5F5FF"/>
          </w:tcPr>
          <w:p>
            <w:pPr>
              <w:pStyle w:val="BDOITable"/>
            </w:pPr>
            <w:r>
              <w:rPr>
                <w:sz w:val="17"/>
              </w:rPr>
              <w:t>After the retries the record is in the dead-letter topic and on the support screen for retry or discard</w:t>
            </w:r>
          </w:p>
        </w:tc>
      </w:tr>
      <w:tr>
        <w:trPr>
          <w:cantSplit w:val="true"/>
        </w:trPr>
        <w:tc>
          <w:tcPr>
            <w:tcW w:type="dxa" w:w="2833"/>
            <w:tcMar>
              <w:top w:w="50" w:type="dxa"/>
              <w:bottom w:w="50" w:type="dxa"/>
              <w:left w:w="90" w:type="dxa"/>
              <w:right w:w="90" w:type="dxa"/>
            </w:tcMar>
          </w:tcPr>
          <w:p>
            <w:pPr>
              <w:pStyle w:val="BDOITable"/>
            </w:pPr>
            <w:r>
              <w:rPr>
                <w:b/>
                <w:sz w:val="17"/>
              </w:rPr>
              <w:t>Valkey unreachable</w:t>
            </w:r>
          </w:p>
        </w:tc>
        <w:tc>
          <w:tcPr>
            <w:tcW w:type="dxa" w:w="7139"/>
            <w:tcMar>
              <w:top w:w="50" w:type="dxa"/>
              <w:bottom w:w="50" w:type="dxa"/>
              <w:left w:w="90" w:type="dxa"/>
              <w:right w:w="90" w:type="dxa"/>
            </w:tcMar>
          </w:tcPr>
          <w:p>
            <w:pPr>
              <w:pStyle w:val="BDOITable"/>
            </w:pPr>
            <w:r>
              <w:rPr>
                <w:sz w:val="17"/>
              </w:rPr>
              <w:t>Caches read from the database; the token deny-list falls back to the session log in PostgreSQL; a job is not run without its lock and is recorded failed with an alert</w:t>
            </w:r>
          </w:p>
        </w:tc>
      </w:tr>
      <w:tr>
        <w:trPr>
          <w:cantSplit w:val="true"/>
        </w:trPr>
        <w:tc>
          <w:tcPr>
            <w:tcW w:type="dxa" w:w="2833"/>
            <w:tcMar>
              <w:top w:w="50" w:type="dxa"/>
              <w:bottom w:w="50" w:type="dxa"/>
              <w:left w:w="90" w:type="dxa"/>
              <w:right w:w="90" w:type="dxa"/>
            </w:tcMar>
            <w:shd w:val="clear" w:color="auto" w:fill="E5F5FF"/>
          </w:tcPr>
          <w:p>
            <w:pPr>
              <w:pStyle w:val="BDOITable"/>
            </w:pPr>
            <w:r>
              <w:rPr>
                <w:b/>
                <w:sz w:val="17"/>
              </w:rPr>
              <w:t>A pod dies during a job</w:t>
            </w:r>
          </w:p>
        </w:tc>
        <w:tc>
          <w:tcPr>
            <w:tcW w:type="dxa" w:w="7139"/>
            <w:tcMar>
              <w:top w:w="50" w:type="dxa"/>
              <w:bottom w:w="50" w:type="dxa"/>
              <w:left w:w="90" w:type="dxa"/>
              <w:right w:w="90" w:type="dxa"/>
            </w:tcMar>
            <w:shd w:val="clear" w:color="auto" w:fill="E5F5FF"/>
          </w:tcPr>
          <w:p>
            <w:pPr>
              <w:pStyle w:val="BDOITable"/>
            </w:pPr>
            <w:r>
              <w:rPr>
                <w:sz w:val="17"/>
              </w:rPr>
              <w:t>The lock lease expires within 2 minutes; the next run proceeds</w:t>
            </w:r>
          </w:p>
        </w:tc>
      </w:tr>
      <w:tr>
        <w:trPr>
          <w:cantSplit w:val="true"/>
        </w:trPr>
        <w:tc>
          <w:tcPr>
            <w:tcW w:type="dxa" w:w="2833"/>
            <w:tcMar>
              <w:top w:w="50" w:type="dxa"/>
              <w:bottom w:w="50" w:type="dxa"/>
              <w:left w:w="90" w:type="dxa"/>
              <w:right w:w="90" w:type="dxa"/>
            </w:tcMar>
          </w:tcPr>
          <w:p>
            <w:pPr>
              <w:pStyle w:val="BDOITable"/>
            </w:pPr>
            <w:r>
              <w:rPr>
                <w:b/>
                <w:sz w:val="17"/>
              </w:rPr>
              <w:t>DR failover</w:t>
            </w:r>
          </w:p>
        </w:tc>
        <w:tc>
          <w:tcPr>
            <w:tcW w:type="dxa" w:w="7139"/>
            <w:tcMar>
              <w:top w:w="50" w:type="dxa"/>
              <w:bottom w:w="50" w:type="dxa"/>
              <w:left w:w="90" w:type="dxa"/>
              <w:right w:w="90" w:type="dxa"/>
            </w:tcMar>
          </w:tcPr>
          <w:p>
            <w:pPr>
              <w:pStyle w:val="BDOITable"/>
            </w:pPr>
            <w:r>
              <w:rPr>
                <w:sz w:val="17"/>
              </w:rPr>
              <w:t>Kafka and Valkey are created in the DR region; events not yet delivered are resent from the outbox</w:t>
            </w:r>
          </w:p>
        </w:tc>
      </w:tr>
    </w:tbl>
    <w:p>
      <w:pPr>
        <w:pStyle w:val="BDOISpacer"/>
      </w:pPr>
    </w:p>
    <w:p>
      <w:pPr>
        <w:pStyle w:val="Heading1"/>
        <w:pBdr>
          <w:bottom w:val="single" w:sz="4" w:space="4" w:color="99C1E7"/>
        </w:pBdr>
      </w:pPr>
      <w:bookmarkStart w:id="129" w:name="_Toc000129"/>
      <w:r>
        <w:rPr/>
        <w:t>7 API-first</w:t>
      </w:r>
      <w:bookmarkEnd w:id="129"/>
    </w:p>
    <w:p>
      <w:r>
        <w:rPr/>
        <w:t>Every screen of the web client calls typed operations of the backend; nothing is done in the browser that the backend does not check again. The same operations are open to automation and testing, and the system integration operations are a separate, versioned interface published through Apigee X.</w:t>
      </w:r>
    </w:p>
    <w:p>
      <w:pPr>
        <w:tabs>
          <w:tab w:pos="312" w:val="left"/>
        </w:tabs>
        <w:spacing w:after="40"/>
        <w:ind w:left="312" w:hanging="283"/>
      </w:pPr>
      <w:r>
        <w:rPr>
          <w:color w:val="004EA8"/>
        </w:rPr>
        <w:t>•</w:t>
        <w:tab/>
      </w:r>
      <w:r>
        <w:rPr>
          <w:b/>
        </w:rPr>
        <w:t>User interface</w:t>
      </w:r>
      <w:r>
        <w:rPr/>
        <w:t xml:space="preserve"> - 1,795 operations under the prefix api/v1, plus 36 administration operations under api/v1/admin, signed in with the BIBS access token and checked per permission and data scope.</w:t>
      </w:r>
    </w:p>
    <w:p>
      <w:pPr>
        <w:tabs>
          <w:tab w:pos="312" w:val="left"/>
        </w:tabs>
        <w:spacing w:after="40"/>
        <w:ind w:left="312" w:hanging="283"/>
      </w:pPr>
      <w:r>
        <w:rPr>
          <w:color w:val="004EA8"/>
        </w:rPr>
        <w:t>•</w:t>
        <w:tab/>
      </w:r>
      <w:r>
        <w:rPr>
          <w:b/>
        </w:rPr>
        <w:t>System integration</w:t>
      </w:r>
      <w:r>
        <w:rPr/>
        <w:t xml:space="preserve"> - operations under the prefix integration/v1, served only by bibs-integration, accepting only Apigee X tokens with the scopes configured for each API (1 operation today, the connectivity check; the interfaces of the Integration Architecture are added there).</w:t>
      </w:r>
    </w:p>
    <w:p>
      <w:pPr>
        <w:tabs>
          <w:tab w:pos="312" w:val="left"/>
        </w:tabs>
        <w:spacing w:after="40"/>
        <w:ind w:left="312" w:hanging="283"/>
      </w:pPr>
      <w:r>
        <w:rPr>
          <w:color w:val="004EA8"/>
        </w:rPr>
        <w:t>•</w:t>
        <w:tab/>
      </w:r>
      <w:r>
        <w:rPr>
          <w:b/>
        </w:rPr>
        <w:t>Contract</w:t>
      </w:r>
      <w:r>
        <w:rPr/>
        <w:t xml:space="preserve"> - an OpenAPI 3 description generated from the operations (served on developer environments only; switched off in SIT, UAT and production) and exported with each release (AP-01), and the API Catalogue of 1,832 operations in 64 modules, generated from the same request mappings.</w:t>
      </w:r>
    </w:p>
    <w:p>
      <w:pPr>
        <w:tabs>
          <w:tab w:pos="312" w:val="left"/>
        </w:tabs>
        <w:spacing w:after="120"/>
        <w:ind w:left="312" w:hanging="283"/>
      </w:pPr>
      <w:r>
        <w:rPr>
          <w:color w:val="004EA8"/>
        </w:rPr>
        <w:t>•</w:t>
        <w:tab/>
      </w:r>
      <w:r>
        <w:rPr>
          <w:b/>
        </w:rPr>
        <w:t>Standards</w:t>
      </w:r>
      <w:r>
        <w:rPr/>
        <w:t xml:space="preserve"> - versioning in the path, RFC 7807 problem details with a stable error code, page and size pagination, idempotency by business reference and record version, correlation identifier (API Specification, chapter 5).</w:t>
      </w:r>
    </w:p>
    <w:p>
      <w:pPr>
        <w:pStyle w:val="Heading1"/>
        <w:pBdr>
          <w:bottom w:val="single" w:sz="4" w:space="4" w:color="99C1E7"/>
        </w:pBdr>
      </w:pPr>
      <w:bookmarkStart w:id="130" w:name="_Toc000130"/>
      <w:r>
        <w:rPr/>
        <w:t>8 Cloud-native design</w:t>
      </w:r>
      <w:bookmarkEnd w:id="130"/>
    </w:p>
    <w:p>
      <w:pPr>
        <w:pStyle w:val="Caption"/>
        <w:keepNext/>
        <w:spacing w:after="60"/>
      </w:pPr>
      <w:r>
        <w:rPr>
          <w:b/>
          <w:i w:val="0"/>
        </w:rPr>
        <w:t xml:space="preserve">Table 17: </w:t>
      </w:r>
      <w:r>
        <w:rPr/>
        <w:t>Cloud-native properties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7"/>
              </w:rPr>
              <w:t>Property</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7"/>
              </w:rPr>
              <w:t>How BIBS meets it</w:t>
            </w:r>
          </w:p>
        </w:tc>
      </w:tr>
      <w:tr>
        <w:trPr>
          <w:cantSplit w:val="true"/>
        </w:trPr>
        <w:tc>
          <w:tcPr>
            <w:tcW w:type="dxa" w:w="2266"/>
            <w:tcMar>
              <w:top w:w="50" w:type="dxa"/>
              <w:bottom w:w="50" w:type="dxa"/>
              <w:left w:w="90" w:type="dxa"/>
              <w:right w:w="90" w:type="dxa"/>
            </w:tcMar>
          </w:tcPr>
          <w:p>
            <w:pPr>
              <w:pStyle w:val="BDOITable"/>
            </w:pPr>
            <w:r>
              <w:rPr>
                <w:b/>
                <w:sz w:val="17"/>
              </w:rPr>
              <w:t>One artefact, many environments</w:t>
            </w:r>
          </w:p>
        </w:tc>
        <w:tc>
          <w:tcPr>
            <w:tcW w:type="dxa" w:w="7706"/>
            <w:tcMar>
              <w:top w:w="50" w:type="dxa"/>
              <w:bottom w:w="50" w:type="dxa"/>
              <w:left w:w="90" w:type="dxa"/>
              <w:right w:w="90" w:type="dxa"/>
            </w:tcMar>
          </w:tcPr>
          <w:p>
            <w:pPr>
              <w:pStyle w:val="BDOITable"/>
            </w:pPr>
            <w:r>
              <w:rPr>
                <w:sz w:val="17"/>
              </w:rPr>
              <w:t>Each image is packaged once and promoted by digest; only the configuration of the environment changes (Deployment Architecture, chapter 8)</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Configuration in the environment</w:t>
            </w:r>
          </w:p>
        </w:tc>
        <w:tc>
          <w:tcPr>
            <w:tcW w:type="dxa" w:w="7706"/>
            <w:tcMar>
              <w:top w:w="50" w:type="dxa"/>
              <w:bottom w:w="50" w:type="dxa"/>
              <w:left w:w="90" w:type="dxa"/>
              <w:right w:w="90" w:type="dxa"/>
            </w:tcMar>
            <w:shd w:val="clear" w:color="auto" w:fill="E5F5FF"/>
          </w:tcPr>
          <w:p>
            <w:pPr>
              <w:pStyle w:val="BDOITable"/>
            </w:pPr>
            <w:r>
              <w:rPr>
                <w:sz w:val="17"/>
              </w:rPr>
              <w:t>All settings are environment variables; secrets come from AWS Secrets Manager; the defaults of the package are for developer machines only</w:t>
            </w:r>
          </w:p>
        </w:tc>
      </w:tr>
      <w:tr>
        <w:trPr>
          <w:cantSplit w:val="true"/>
        </w:trPr>
        <w:tc>
          <w:tcPr>
            <w:tcW w:type="dxa" w:w="2266"/>
            <w:tcMar>
              <w:top w:w="50" w:type="dxa"/>
              <w:bottom w:w="50" w:type="dxa"/>
              <w:left w:w="90" w:type="dxa"/>
              <w:right w:w="90" w:type="dxa"/>
            </w:tcMar>
          </w:tcPr>
          <w:p>
            <w:pPr>
              <w:pStyle w:val="BDOITable"/>
            </w:pPr>
            <w:r>
              <w:rPr>
                <w:b/>
                <w:sz w:val="17"/>
              </w:rPr>
              <w:t>Stateless processes</w:t>
            </w:r>
          </w:p>
        </w:tc>
        <w:tc>
          <w:tcPr>
            <w:tcW w:type="dxa" w:w="7706"/>
            <w:tcMar>
              <w:top w:w="50" w:type="dxa"/>
              <w:bottom w:w="50" w:type="dxa"/>
              <w:left w:w="90" w:type="dxa"/>
              <w:right w:w="90" w:type="dxa"/>
            </w:tcMar>
          </w:tcPr>
          <w:p>
            <w:pPr>
              <w:pStyle w:val="BDOITable"/>
            </w:pPr>
            <w:r>
              <w:rPr>
                <w:sz w:val="17"/>
              </w:rPr>
              <w:t>No session in the pods: short-lived access token, refresh cookie bound to a session in PostgreSQL, deny-list in Valkey; files in S3; any pod can serve any request</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Disposability</w:t>
            </w:r>
          </w:p>
        </w:tc>
        <w:tc>
          <w:tcPr>
            <w:tcW w:type="dxa" w:w="7706"/>
            <w:tcMar>
              <w:top w:w="50" w:type="dxa"/>
              <w:bottom w:w="50" w:type="dxa"/>
              <w:left w:w="90" w:type="dxa"/>
              <w:right w:w="90" w:type="dxa"/>
            </w:tcMar>
            <w:shd w:val="clear" w:color="auto" w:fill="E5F5FF"/>
          </w:tcPr>
          <w:p>
            <w:pPr>
              <w:pStyle w:val="BDOITable"/>
            </w:pPr>
            <w:r>
              <w:rPr>
                <w:sz w:val="17"/>
              </w:rPr>
              <w:t>Startup, readiness and liveness probes; graceful shutdown with a pre-stop pause so the load balancer drains a pod first; jobs finish their unit of work within a 120-second grace period</w:t>
            </w:r>
          </w:p>
        </w:tc>
      </w:tr>
      <w:tr>
        <w:trPr>
          <w:cantSplit w:val="true"/>
        </w:trPr>
        <w:tc>
          <w:tcPr>
            <w:tcW w:type="dxa" w:w="2266"/>
            <w:tcMar>
              <w:top w:w="50" w:type="dxa"/>
              <w:bottom w:w="50" w:type="dxa"/>
              <w:left w:w="90" w:type="dxa"/>
              <w:right w:w="90" w:type="dxa"/>
            </w:tcMar>
          </w:tcPr>
          <w:p>
            <w:pPr>
              <w:pStyle w:val="BDOITable"/>
            </w:pPr>
            <w:r>
              <w:rPr>
                <w:b/>
                <w:sz w:val="17"/>
              </w:rPr>
              <w:t>Horizontal scaling</w:t>
            </w:r>
          </w:p>
        </w:tc>
        <w:tc>
          <w:tcPr>
            <w:tcW w:type="dxa" w:w="7706"/>
            <w:tcMar>
              <w:top w:w="50" w:type="dxa"/>
              <w:bottom w:w="50" w:type="dxa"/>
              <w:left w:w="90" w:type="dxa"/>
              <w:right w:w="90" w:type="dxa"/>
            </w:tcMar>
          </w:tcPr>
          <w:p>
            <w:pPr>
              <w:pStyle w:val="BDOITable"/>
            </w:pPr>
            <w:r>
              <w:rPr>
                <w:sz w:val="17"/>
              </w:rPr>
              <w:t>Horizontal Pod Autoscaler on bibs-web and bibs-frontend; fixed, separately sized bibs-jobs and bibs-integration; cluster autoscaling of nodes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Backing services as attached resources</w:t>
            </w:r>
          </w:p>
        </w:tc>
        <w:tc>
          <w:tcPr>
            <w:tcW w:type="dxa" w:w="7706"/>
            <w:tcMar>
              <w:top w:w="50" w:type="dxa"/>
              <w:bottom w:w="50" w:type="dxa"/>
              <w:left w:w="90" w:type="dxa"/>
              <w:right w:w="90" w:type="dxa"/>
            </w:tcMar>
            <w:shd w:val="clear" w:color="auto" w:fill="E5F5FF"/>
          </w:tcPr>
          <w:p>
            <w:pPr>
              <w:pStyle w:val="BDOITable"/>
            </w:pPr>
            <w:r>
              <w:rPr>
                <w:sz w:val="17"/>
              </w:rPr>
              <w:t>PostgreSQL, Valkey, Kafka, S3 and the SMTP relay are reached by address and credentials from the environment, with TLS</w:t>
            </w:r>
          </w:p>
        </w:tc>
      </w:tr>
      <w:tr>
        <w:trPr>
          <w:cantSplit w:val="true"/>
        </w:trPr>
        <w:tc>
          <w:tcPr>
            <w:tcW w:type="dxa" w:w="2266"/>
            <w:tcMar>
              <w:top w:w="50" w:type="dxa"/>
              <w:bottom w:w="50" w:type="dxa"/>
              <w:left w:w="90" w:type="dxa"/>
              <w:right w:w="90" w:type="dxa"/>
            </w:tcMar>
          </w:tcPr>
          <w:p>
            <w:pPr>
              <w:pStyle w:val="BDOITable"/>
            </w:pPr>
            <w:r>
              <w:rPr>
                <w:b/>
                <w:sz w:val="17"/>
              </w:rPr>
              <w:t>Schema with the release</w:t>
            </w:r>
          </w:p>
        </w:tc>
        <w:tc>
          <w:tcPr>
            <w:tcW w:type="dxa" w:w="7706"/>
            <w:tcMar>
              <w:top w:w="50" w:type="dxa"/>
              <w:bottom w:w="50" w:type="dxa"/>
              <w:left w:w="90" w:type="dxa"/>
              <w:right w:w="90" w:type="dxa"/>
            </w:tcMar>
          </w:tcPr>
          <w:p>
            <w:pPr>
              <w:pStyle w:val="BDOITable"/>
            </w:pPr>
            <w:r>
              <w:rPr>
                <w:sz w:val="17"/>
              </w:rPr>
              <w:t>Versioned schema migrations applied at start-up by the schema owner login; the application runs with a least-privilege login</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Observability</w:t>
            </w:r>
          </w:p>
        </w:tc>
        <w:tc>
          <w:tcPr>
            <w:tcW w:type="dxa" w:w="7706"/>
            <w:tcMar>
              <w:top w:w="50" w:type="dxa"/>
              <w:bottom w:w="50" w:type="dxa"/>
              <w:left w:w="90" w:type="dxa"/>
              <w:right w:w="90" w:type="dxa"/>
            </w:tcMar>
            <w:shd w:val="clear" w:color="auto" w:fill="E5F5FF"/>
          </w:tcPr>
          <w:p>
            <w:pPr>
              <w:pStyle w:val="BDOITable"/>
            </w:pPr>
            <w:r>
              <w:rPr>
                <w:sz w:val="17"/>
              </w:rPr>
              <w:t>Prometheus metrics on a separate management port, structured console logs with correlation identifiers, health indicators of every backing service</w:t>
            </w:r>
          </w:p>
        </w:tc>
      </w:tr>
      <w:tr>
        <w:trPr>
          <w:cantSplit w:val="true"/>
        </w:trPr>
        <w:tc>
          <w:tcPr>
            <w:tcW w:type="dxa" w:w="2266"/>
            <w:tcMar>
              <w:top w:w="50" w:type="dxa"/>
              <w:bottom w:w="50" w:type="dxa"/>
              <w:left w:w="90" w:type="dxa"/>
              <w:right w:w="90" w:type="dxa"/>
            </w:tcMar>
          </w:tcPr>
          <w:p>
            <w:pPr>
              <w:pStyle w:val="BDOITable"/>
            </w:pPr>
            <w:r>
              <w:rPr>
                <w:b/>
                <w:sz w:val="17"/>
              </w:rPr>
              <w:t>Least privilege</w:t>
            </w:r>
          </w:p>
        </w:tc>
        <w:tc>
          <w:tcPr>
            <w:tcW w:type="dxa" w:w="7706"/>
            <w:tcMar>
              <w:top w:w="50" w:type="dxa"/>
              <w:bottom w:w="50" w:type="dxa"/>
              <w:left w:w="90" w:type="dxa"/>
              <w:right w:w="90" w:type="dxa"/>
            </w:tcMar>
          </w:tcPr>
          <w:p>
            <w:pPr>
              <w:pStyle w:val="BDOITable"/>
            </w:pPr>
            <w:r>
              <w:rPr>
                <w:sz w:val="17"/>
              </w:rPr>
              <w:t>Non-root containers with read-only file systems and no capabilities; one IAM role per workload (IRSA); network policies deny by default</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Immutable, scanned images</w:t>
            </w:r>
          </w:p>
        </w:tc>
        <w:tc>
          <w:tcPr>
            <w:tcW w:type="dxa" w:w="7706"/>
            <w:tcMar>
              <w:top w:w="50" w:type="dxa"/>
              <w:bottom w:w="50" w:type="dxa"/>
              <w:left w:w="90" w:type="dxa"/>
              <w:right w:w="90" w:type="dxa"/>
            </w:tcMar>
            <w:shd w:val="clear" w:color="auto" w:fill="E5F5FF"/>
          </w:tcPr>
          <w:p>
            <w:pPr>
              <w:pStyle w:val="BDOITable"/>
            </w:pPr>
            <w:r>
              <w:rPr>
                <w:sz w:val="17"/>
              </w:rPr>
              <w:t>Pinned base images by digest; Trivy scan before push; SBOM per image</w:t>
            </w:r>
          </w:p>
        </w:tc>
      </w:tr>
    </w:tbl>
    <w:p>
      <w:pPr>
        <w:pStyle w:val="BDOISpacer"/>
      </w:pPr>
    </w:p>
    <w:p>
      <w:pPr>
        <w:pStyle w:val="Heading1"/>
        <w:pBdr>
          <w:bottom w:val="single" w:sz="4" w:space="4" w:color="99C1E7"/>
        </w:pBdr>
      </w:pPr>
      <w:bookmarkStart w:id="131" w:name="_Toc000131"/>
      <w:r>
        <w:rPr/>
        <w:t>9 Configurable business rules</w:t>
      </w:r>
      <w:bookmarkEnd w:id="131"/>
    </w:p>
    <w:p>
      <w:pPr>
        <w:pStyle w:val="Heading2"/>
      </w:pPr>
      <w:bookmarkStart w:id="132" w:name="_Toc000132"/>
      <w:r>
        <w:rPr/>
        <w:t>9.1 Where business rules are configured</w:t>
      </w:r>
      <w:bookmarkEnd w:id="132"/>
    </w:p>
    <w:p>
      <w:r>
        <w:rPr/>
        <w:t>BIBS keeps business rules out of the program logic (ADR-19). A rule a business owner may need to change lives in data, is maintained on a screen by the role that owns it, and is audited; masters are authorized by a second user (maker-checker). A missing value stops the action with the code PARAMETER_NOT_SET instead of falling back to a coded value.</w:t>
      </w:r>
    </w:p>
    <w:p>
      <w:pPr>
        <w:pStyle w:val="Caption"/>
        <w:keepNext/>
        <w:spacing w:after="60"/>
      </w:pPr>
      <w:r>
        <w:rPr>
          <w:b/>
          <w:i w:val="0"/>
        </w:rPr>
        <w:t xml:space="preserve">Table 18: </w:t>
      </w:r>
      <w:r>
        <w:rPr/>
        <w:t>Configuration layers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3739"/>
        <w:gridCol w:w="2266"/>
        <w:gridCol w:w="1926"/>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6"/>
              </w:rPr>
              <w:t>Layer</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6"/>
              </w:rPr>
              <w:t>What is configured</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6"/>
              </w:rPr>
              <w:t>Where and by whom</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Control</w:t>
            </w:r>
          </w:p>
        </w:tc>
      </w:tr>
      <w:tr>
        <w:trPr>
          <w:cantSplit w:val="true"/>
        </w:trPr>
        <w:tc>
          <w:tcPr>
            <w:tcW w:type="dxa" w:w="2040"/>
            <w:tcMar>
              <w:top w:w="50" w:type="dxa"/>
              <w:bottom w:w="50" w:type="dxa"/>
              <w:left w:w="90" w:type="dxa"/>
              <w:right w:w="90" w:type="dxa"/>
            </w:tcMar>
          </w:tcPr>
          <w:p>
            <w:pPr>
              <w:pStyle w:val="BDOITable"/>
            </w:pPr>
            <w:r>
              <w:rPr>
                <w:b/>
                <w:sz w:val="16"/>
              </w:rPr>
              <w:t>System parameters</w:t>
            </w:r>
          </w:p>
        </w:tc>
        <w:tc>
          <w:tcPr>
            <w:tcW w:type="dxa" w:w="3739"/>
            <w:tcMar>
              <w:top w:w="50" w:type="dxa"/>
              <w:bottom w:w="50" w:type="dxa"/>
              <w:left w:w="90" w:type="dxa"/>
              <w:right w:w="90" w:type="dxa"/>
            </w:tcMar>
          </w:tcPr>
          <w:p>
            <w:pPr>
              <w:pStyle w:val="BDOITable"/>
            </w:pPr>
            <w:r>
              <w:rPr>
                <w:sz w:val="16"/>
              </w:rPr>
              <w:t>More than 200 parameters in 25 categories (security, broking, renewal, operations, collections, EB, screening, migration and others): limits, tolerances, days, switches, sender addresses, link validity</w:t>
            </w:r>
          </w:p>
        </w:tc>
        <w:tc>
          <w:tcPr>
            <w:tcW w:type="dxa" w:w="2266"/>
            <w:tcMar>
              <w:top w:w="50" w:type="dxa"/>
              <w:bottom w:w="50" w:type="dxa"/>
              <w:left w:w="90" w:type="dxa"/>
              <w:right w:w="90" w:type="dxa"/>
            </w:tcMar>
          </w:tcPr>
          <w:p>
            <w:pPr>
              <w:pStyle w:val="BDOITable"/>
            </w:pPr>
            <w:r>
              <w:rPr>
                <w:sz w:val="16"/>
              </w:rPr>
              <w:t>Administration › System Parameters; System Administrator; business administrators per category</w:t>
            </w:r>
          </w:p>
        </w:tc>
        <w:tc>
          <w:tcPr>
            <w:tcW w:type="dxa" w:w="1926"/>
            <w:tcMar>
              <w:top w:w="50" w:type="dxa"/>
              <w:bottom w:w="50" w:type="dxa"/>
              <w:left w:w="90" w:type="dxa"/>
              <w:right w:w="90" w:type="dxa"/>
            </w:tcMar>
          </w:tcPr>
          <w:p>
            <w:pPr>
              <w:pStyle w:val="BDOITable"/>
            </w:pPr>
            <w:r>
              <w:rPr>
                <w:sz w:val="16"/>
              </w:rPr>
              <w:t>Value type and range checked; security parameters need a second approval; every change audited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6"/>
              </w:rPr>
              <w:t>Lists of values</w:t>
            </w:r>
          </w:p>
        </w:tc>
        <w:tc>
          <w:tcPr>
            <w:tcW w:type="dxa" w:w="3739"/>
            <w:tcMar>
              <w:top w:w="50" w:type="dxa"/>
              <w:bottom w:w="50" w:type="dxa"/>
              <w:left w:w="90" w:type="dxa"/>
              <w:right w:w="90" w:type="dxa"/>
            </w:tcMar>
            <w:shd w:val="clear" w:color="auto" w:fill="E5F5FF"/>
          </w:tcPr>
          <w:p>
            <w:pPr>
              <w:pStyle w:val="BDOITable"/>
            </w:pPr>
            <w:r>
              <w:rPr>
                <w:sz w:val="16"/>
              </w:rPr>
              <w:t>134 list types with 854 values: reasons, statuses, document types, segments, channels; effectivity dates and parent-child lists</w:t>
            </w:r>
          </w:p>
        </w:tc>
        <w:tc>
          <w:tcPr>
            <w:tcW w:type="dxa" w:w="2266"/>
            <w:tcMar>
              <w:top w:w="50" w:type="dxa"/>
              <w:bottom w:w="50" w:type="dxa"/>
              <w:left w:w="90" w:type="dxa"/>
              <w:right w:w="90" w:type="dxa"/>
            </w:tcMar>
            <w:shd w:val="clear" w:color="auto" w:fill="E5F5FF"/>
          </w:tcPr>
          <w:p>
            <w:pPr>
              <w:pStyle w:val="BDOITable"/>
            </w:pPr>
            <w:r>
              <w:rPr>
                <w:sz w:val="16"/>
              </w:rPr>
              <w:t>Administration › Lists of Values; the owner permission of each list</w:t>
            </w:r>
          </w:p>
        </w:tc>
        <w:tc>
          <w:tcPr>
            <w:tcW w:type="dxa" w:w="1926"/>
            <w:tcMar>
              <w:top w:w="50" w:type="dxa"/>
              <w:bottom w:w="50" w:type="dxa"/>
              <w:left w:w="90" w:type="dxa"/>
              <w:right w:w="90" w:type="dxa"/>
            </w:tcMar>
            <w:shd w:val="clear" w:color="auto" w:fill="E5F5FF"/>
          </w:tcPr>
          <w:p>
            <w:pPr>
              <w:pStyle w:val="BDOITable"/>
            </w:pPr>
            <w:r>
              <w:rPr>
                <w:sz w:val="16"/>
              </w:rPr>
              <w:t>Maker-checker; the maker never authorizes</w:t>
            </w:r>
          </w:p>
        </w:tc>
      </w:tr>
      <w:tr>
        <w:trPr>
          <w:cantSplit w:val="true"/>
        </w:trPr>
        <w:tc>
          <w:tcPr>
            <w:tcW w:type="dxa" w:w="2040"/>
            <w:tcMar>
              <w:top w:w="50" w:type="dxa"/>
              <w:bottom w:w="50" w:type="dxa"/>
              <w:left w:w="90" w:type="dxa"/>
              <w:right w:w="90" w:type="dxa"/>
            </w:tcMar>
          </w:tcPr>
          <w:p>
            <w:pPr>
              <w:pStyle w:val="BDOITable"/>
            </w:pPr>
            <w:r>
              <w:rPr>
                <w:b/>
                <w:sz w:val="16"/>
              </w:rPr>
              <w:t>Rule tables</w:t>
            </w:r>
          </w:p>
        </w:tc>
        <w:tc>
          <w:tcPr>
            <w:tcW w:type="dxa" w:w="3739"/>
            <w:tcMar>
              <w:top w:w="50" w:type="dxa"/>
              <w:bottom w:w="50" w:type="dxa"/>
              <w:left w:w="90" w:type="dxa"/>
              <w:right w:w="90" w:type="dxa"/>
            </w:tcMar>
          </w:tcPr>
          <w:p>
            <w:pPr>
              <w:pStyle w:val="BDOITable"/>
            </w:pPr>
            <w:r>
              <w:rPr>
                <w:sz w:val="16"/>
              </w:rPr>
              <w:t>Accounting rules and cost-centre rules; TSU routing, minimum-field matrix, document rules, rate tables and rate-scheme exceptions; payment gate rules; auto-book and incentive rules; disposition and minimal-balance rules; collection assignment and escalation rules; renewal bucket and decision rules; submitted-policy rules and limits; screening match, risk, assignment, SLA and validation rules; EB threshold rules; service fee rules; retention rules; separation-of-duties rules; migration mapping, survivorship and masking rules</w:t>
            </w:r>
          </w:p>
        </w:tc>
        <w:tc>
          <w:tcPr>
            <w:tcW w:type="dxa" w:w="2266"/>
            <w:tcMar>
              <w:top w:w="50" w:type="dxa"/>
              <w:bottom w:w="50" w:type="dxa"/>
              <w:left w:w="90" w:type="dxa"/>
              <w:right w:w="90" w:type="dxa"/>
            </w:tcMar>
          </w:tcPr>
          <w:p>
            <w:pPr>
              <w:pStyle w:val="BDOITable"/>
            </w:pPr>
            <w:r>
              <w:rPr>
                <w:sz w:val="16"/>
              </w:rPr>
              <w:t>The setup screens of each module; the module's administrator role</w:t>
            </w:r>
          </w:p>
        </w:tc>
        <w:tc>
          <w:tcPr>
            <w:tcW w:type="dxa" w:w="1926"/>
            <w:tcMar>
              <w:top w:w="50" w:type="dxa"/>
              <w:bottom w:w="50" w:type="dxa"/>
              <w:left w:w="90" w:type="dxa"/>
              <w:right w:w="90" w:type="dxa"/>
            </w:tcMar>
          </w:tcPr>
          <w:p>
            <w:pPr>
              <w:pStyle w:val="BDOITable"/>
            </w:pPr>
            <w:r>
              <w:rPr>
                <w:sz w:val="16"/>
              </w:rPr>
              <w:t>Maker-checker; effectivity dates; simulator for accounting rules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6"/>
              </w:rPr>
              <w:t>Workflow configuration</w:t>
            </w:r>
          </w:p>
        </w:tc>
        <w:tc>
          <w:tcPr>
            <w:tcW w:type="dxa" w:w="3739"/>
            <w:tcMar>
              <w:top w:w="50" w:type="dxa"/>
              <w:bottom w:w="50" w:type="dxa"/>
              <w:left w:w="90" w:type="dxa"/>
              <w:right w:w="90" w:type="dxa"/>
            </w:tcMar>
            <w:shd w:val="clear" w:color="auto" w:fill="E5F5FF"/>
          </w:tcPr>
          <w:p>
            <w:pPr>
              <w:pStyle w:val="BDOITable"/>
            </w:pPr>
            <w:r>
              <w:rPr>
                <w:sz w:val="16"/>
              </w:rPr>
              <w:t>42 workflows with 292 stages and 459 transitions: stage owner permission, SLA hours, allowed actions, permission per action, reason list</w:t>
            </w:r>
          </w:p>
        </w:tc>
        <w:tc>
          <w:tcPr>
            <w:tcW w:type="dxa" w:w="2266"/>
            <w:tcMar>
              <w:top w:w="50" w:type="dxa"/>
              <w:bottom w:w="50" w:type="dxa"/>
              <w:left w:w="90" w:type="dxa"/>
              <w:right w:w="90" w:type="dxa"/>
            </w:tcMar>
            <w:shd w:val="clear" w:color="auto" w:fill="E5F5FF"/>
          </w:tcPr>
          <w:p>
            <w:pPr>
              <w:pStyle w:val="BDOITable"/>
            </w:pPr>
            <w:r>
              <w:rPr>
                <w:sz w:val="16"/>
              </w:rPr>
              <w:t>Workflow definitions delivered with each module and maintained as data</w:t>
            </w:r>
          </w:p>
        </w:tc>
        <w:tc>
          <w:tcPr>
            <w:tcW w:type="dxa" w:w="1926"/>
            <w:tcMar>
              <w:top w:w="50" w:type="dxa"/>
              <w:bottom w:w="50" w:type="dxa"/>
              <w:left w:w="90" w:type="dxa"/>
              <w:right w:w="90" w:type="dxa"/>
            </w:tcMar>
            <w:shd w:val="clear" w:color="auto" w:fill="E5F5FF"/>
          </w:tcPr>
          <w:p>
            <w:pPr>
              <w:pStyle w:val="BDOITable"/>
            </w:pPr>
            <w:r>
              <w:rPr>
                <w:sz w:val="16"/>
              </w:rPr>
              <w:t>Changes are versioned with the release that carries them and audited</w:t>
            </w:r>
          </w:p>
        </w:tc>
      </w:tr>
      <w:tr>
        <w:trPr>
          <w:cantSplit w:val="true"/>
        </w:trPr>
        <w:tc>
          <w:tcPr>
            <w:tcW w:type="dxa" w:w="2040"/>
            <w:tcMar>
              <w:top w:w="50" w:type="dxa"/>
              <w:bottom w:w="50" w:type="dxa"/>
              <w:left w:w="90" w:type="dxa"/>
              <w:right w:w="90" w:type="dxa"/>
            </w:tcMar>
          </w:tcPr>
          <w:p>
            <w:pPr>
              <w:pStyle w:val="BDOITable"/>
            </w:pPr>
            <w:r>
              <w:rPr>
                <w:b/>
                <w:sz w:val="16"/>
              </w:rPr>
              <w:t>Exception codes and alerts</w:t>
            </w:r>
          </w:p>
        </w:tc>
        <w:tc>
          <w:tcPr>
            <w:tcW w:type="dxa" w:w="3739"/>
            <w:tcMar>
              <w:top w:w="50" w:type="dxa"/>
              <w:bottom w:w="50" w:type="dxa"/>
              <w:left w:w="90" w:type="dxa"/>
              <w:right w:w="90" w:type="dxa"/>
            </w:tcMar>
          </w:tcPr>
          <w:p>
            <w:pPr>
              <w:pStyle w:val="BDOITable"/>
            </w:pPr>
            <w:r>
              <w:rPr>
                <w:sz w:val="16"/>
              </w:rPr>
              <w:t>About 80 exception codes with severity, amount and day thresholds, per module</w:t>
            </w:r>
          </w:p>
        </w:tc>
        <w:tc>
          <w:tcPr>
            <w:tcW w:type="dxa" w:w="2266"/>
            <w:tcMar>
              <w:top w:w="50" w:type="dxa"/>
              <w:bottom w:w="50" w:type="dxa"/>
              <w:left w:w="90" w:type="dxa"/>
              <w:right w:w="90" w:type="dxa"/>
            </w:tcMar>
          </w:tcPr>
          <w:p>
            <w:pPr>
              <w:pStyle w:val="BDOITable"/>
            </w:pPr>
            <w:r>
              <w:rPr>
                <w:sz w:val="16"/>
              </w:rPr>
              <w:t>Administration › Exception Codes</w:t>
            </w:r>
          </w:p>
        </w:tc>
        <w:tc>
          <w:tcPr>
            <w:tcW w:type="dxa" w:w="1926"/>
            <w:tcMar>
              <w:top w:w="50" w:type="dxa"/>
              <w:bottom w:w="50" w:type="dxa"/>
              <w:left w:w="90" w:type="dxa"/>
              <w:right w:w="90" w:type="dxa"/>
            </w:tcMar>
          </w:tcPr>
          <w:p>
            <w:pPr>
              <w:pStyle w:val="BDOITable"/>
            </w:pPr>
            <w:r>
              <w:rPr>
                <w:sz w:val="16"/>
              </w:rPr>
              <w:t>Audited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6"/>
              </w:rPr>
              <w:t>Notifications</w:t>
            </w:r>
          </w:p>
        </w:tc>
        <w:tc>
          <w:tcPr>
            <w:tcW w:type="dxa" w:w="3739"/>
            <w:tcMar>
              <w:top w:w="50" w:type="dxa"/>
              <w:bottom w:w="50" w:type="dxa"/>
              <w:left w:w="90" w:type="dxa"/>
              <w:right w:w="90" w:type="dxa"/>
            </w:tcMar>
            <w:shd w:val="clear" w:color="auto" w:fill="E5F5FF"/>
          </w:tcPr>
          <w:p>
            <w:pPr>
              <w:pStyle w:val="BDOITable"/>
            </w:pPr>
            <w:r>
              <w:rPr>
                <w:sz w:val="16"/>
              </w:rPr>
              <w:t>90 notification events with default channels (in-app, e-mail) and user preferences</w:t>
            </w:r>
          </w:p>
        </w:tc>
        <w:tc>
          <w:tcPr>
            <w:tcW w:type="dxa" w:w="2266"/>
            <w:tcMar>
              <w:top w:w="50" w:type="dxa"/>
              <w:bottom w:w="50" w:type="dxa"/>
              <w:left w:w="90" w:type="dxa"/>
              <w:right w:w="90" w:type="dxa"/>
            </w:tcMar>
            <w:shd w:val="clear" w:color="auto" w:fill="E5F5FF"/>
          </w:tcPr>
          <w:p>
            <w:pPr>
              <w:pStyle w:val="BDOITable"/>
            </w:pPr>
            <w:r>
              <w:rPr>
                <w:sz w:val="16"/>
              </w:rPr>
              <w:t>Administration › Notifications; each user for preferences</w:t>
            </w:r>
          </w:p>
        </w:tc>
        <w:tc>
          <w:tcPr>
            <w:tcW w:type="dxa" w:w="1926"/>
            <w:tcMar>
              <w:top w:w="50" w:type="dxa"/>
              <w:bottom w:w="50" w:type="dxa"/>
              <w:left w:w="90" w:type="dxa"/>
              <w:right w:w="90" w:type="dxa"/>
            </w:tcMar>
            <w:shd w:val="clear" w:color="auto" w:fill="E5F5FF"/>
          </w:tcPr>
          <w:p>
            <w:pPr>
              <w:pStyle w:val="BDOITable"/>
            </w:pPr>
            <w:r>
              <w:rPr>
                <w:sz w:val="16"/>
              </w:rPr>
              <w:t>Audited</w:t>
            </w:r>
          </w:p>
        </w:tc>
      </w:tr>
      <w:tr>
        <w:trPr>
          <w:cantSplit w:val="true"/>
        </w:trPr>
        <w:tc>
          <w:tcPr>
            <w:tcW w:type="dxa" w:w="2040"/>
            <w:tcMar>
              <w:top w:w="50" w:type="dxa"/>
              <w:bottom w:w="50" w:type="dxa"/>
              <w:left w:w="90" w:type="dxa"/>
              <w:right w:w="90" w:type="dxa"/>
            </w:tcMar>
          </w:tcPr>
          <w:p>
            <w:pPr>
              <w:pStyle w:val="BDOITable"/>
            </w:pPr>
            <w:r>
              <w:rPr>
                <w:b/>
                <w:sz w:val="16"/>
              </w:rPr>
              <w:t>Document templates</w:t>
            </w:r>
          </w:p>
        </w:tc>
        <w:tc>
          <w:tcPr>
            <w:tcW w:type="dxa" w:w="3739"/>
            <w:tcMar>
              <w:top w:w="50" w:type="dxa"/>
              <w:bottom w:w="50" w:type="dxa"/>
              <w:left w:w="90" w:type="dxa"/>
              <w:right w:w="90" w:type="dxa"/>
            </w:tcMar>
          </w:tcPr>
          <w:p>
            <w:pPr>
              <w:pStyle w:val="BDOITable"/>
            </w:pPr>
            <w:r>
              <w:rPr>
                <w:sz w:val="16"/>
              </w:rPr>
              <w:t>62 versioned templates (slips, advices, letters, invoices) with placeholders and effectivity</w:t>
            </w:r>
          </w:p>
        </w:tc>
        <w:tc>
          <w:tcPr>
            <w:tcW w:type="dxa" w:w="2266"/>
            <w:tcMar>
              <w:top w:w="50" w:type="dxa"/>
              <w:bottom w:w="50" w:type="dxa"/>
              <w:left w:w="90" w:type="dxa"/>
              <w:right w:w="90" w:type="dxa"/>
            </w:tcMar>
          </w:tcPr>
          <w:p>
            <w:pPr>
              <w:pStyle w:val="BDOITable"/>
            </w:pPr>
            <w:r>
              <w:rPr>
                <w:sz w:val="16"/>
              </w:rPr>
              <w:t>Administration › Document Templates</w:t>
            </w:r>
          </w:p>
        </w:tc>
        <w:tc>
          <w:tcPr>
            <w:tcW w:type="dxa" w:w="1926"/>
            <w:tcMar>
              <w:top w:w="50" w:type="dxa"/>
              <w:bottom w:w="50" w:type="dxa"/>
              <w:left w:w="90" w:type="dxa"/>
              <w:right w:w="90" w:type="dxa"/>
            </w:tcMar>
          </w:tcPr>
          <w:p>
            <w:pPr>
              <w:pStyle w:val="BDOITable"/>
            </w:pPr>
            <w:r>
              <w:rPr>
                <w:sz w:val="16"/>
              </w:rPr>
              <w:t>Versioned; effectivity dates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6"/>
              </w:rPr>
              <w:t>Record classes and retention</w:t>
            </w:r>
          </w:p>
        </w:tc>
        <w:tc>
          <w:tcPr>
            <w:tcW w:type="dxa" w:w="3739"/>
            <w:tcMar>
              <w:top w:w="50" w:type="dxa"/>
              <w:bottom w:w="50" w:type="dxa"/>
              <w:left w:w="90" w:type="dxa"/>
              <w:right w:w="90" w:type="dxa"/>
            </w:tcMar>
            <w:shd w:val="clear" w:color="auto" w:fill="E5F5FF"/>
          </w:tcPr>
          <w:p>
            <w:pPr>
              <w:pStyle w:val="BDOITable"/>
            </w:pPr>
            <w:r>
              <w:rPr>
                <w:sz w:val="16"/>
              </w:rPr>
              <w:t>Retention per record type (years online and in archive), legal hold, archive-to-ECM classes</w:t>
            </w:r>
          </w:p>
        </w:tc>
        <w:tc>
          <w:tcPr>
            <w:tcW w:type="dxa" w:w="2266"/>
            <w:tcMar>
              <w:top w:w="50" w:type="dxa"/>
              <w:bottom w:w="50" w:type="dxa"/>
              <w:left w:w="90" w:type="dxa"/>
              <w:right w:w="90" w:type="dxa"/>
            </w:tcMar>
            <w:shd w:val="clear" w:color="auto" w:fill="E5F5FF"/>
          </w:tcPr>
          <w:p>
            <w:pPr>
              <w:pStyle w:val="BDOITable"/>
            </w:pPr>
            <w:r>
              <w:rPr>
                <w:sz w:val="16"/>
              </w:rPr>
              <w:t>Administration › Retention; the DOA roles for legal hold</w:t>
            </w:r>
          </w:p>
        </w:tc>
        <w:tc>
          <w:tcPr>
            <w:tcW w:type="dxa" w:w="1926"/>
            <w:tcMar>
              <w:top w:w="50" w:type="dxa"/>
              <w:bottom w:w="50" w:type="dxa"/>
              <w:left w:w="90" w:type="dxa"/>
              <w:right w:w="90" w:type="dxa"/>
            </w:tcMar>
            <w:shd w:val="clear" w:color="auto" w:fill="E5F5FF"/>
          </w:tcPr>
          <w:p>
            <w:pPr>
              <w:pStyle w:val="BDOITable"/>
            </w:pPr>
            <w:r>
              <w:rPr>
                <w:sz w:val="16"/>
              </w:rPr>
              <w:t>Changes by the DOA approvers only; audited</w:t>
            </w:r>
          </w:p>
        </w:tc>
      </w:tr>
      <w:tr>
        <w:trPr>
          <w:cantSplit w:val="true"/>
        </w:trPr>
        <w:tc>
          <w:tcPr>
            <w:tcW w:type="dxa" w:w="2040"/>
            <w:tcMar>
              <w:top w:w="50" w:type="dxa"/>
              <w:bottom w:w="50" w:type="dxa"/>
              <w:left w:w="90" w:type="dxa"/>
              <w:right w:w="90" w:type="dxa"/>
            </w:tcMar>
          </w:tcPr>
          <w:p>
            <w:pPr>
              <w:pStyle w:val="BDOITable"/>
            </w:pPr>
            <w:r>
              <w:rPr>
                <w:b/>
                <w:sz w:val="16"/>
              </w:rPr>
              <w:t>Job schedules</w:t>
            </w:r>
          </w:p>
        </w:tc>
        <w:tc>
          <w:tcPr>
            <w:tcW w:type="dxa" w:w="3739"/>
            <w:tcMar>
              <w:top w:w="50" w:type="dxa"/>
              <w:bottom w:w="50" w:type="dxa"/>
              <w:left w:w="90" w:type="dxa"/>
              <w:right w:w="90" w:type="dxa"/>
            </w:tcMar>
          </w:tcPr>
          <w:p>
            <w:pPr>
              <w:pStyle w:val="BDOITable"/>
            </w:pPr>
            <w:r>
              <w:rPr>
                <w:sz w:val="16"/>
              </w:rPr>
              <w:t>Time of every scheduled job (for example 20:00 booking batch and remittance extraction, 22:15 to 23:00 collection runs, 05:00 application file)</w:t>
            </w:r>
          </w:p>
        </w:tc>
        <w:tc>
          <w:tcPr>
            <w:tcW w:type="dxa" w:w="2266"/>
            <w:tcMar>
              <w:top w:w="50" w:type="dxa"/>
              <w:bottom w:w="50" w:type="dxa"/>
              <w:left w:w="90" w:type="dxa"/>
              <w:right w:w="90" w:type="dxa"/>
            </w:tcMar>
          </w:tcPr>
          <w:p>
            <w:pPr>
              <w:pStyle w:val="BDOITable"/>
            </w:pPr>
            <w:r>
              <w:rPr>
                <w:sz w:val="16"/>
              </w:rPr>
              <w:t>Deployment settings per environment (UTC cron); run now from the Scheduled Jobs monitor</w:t>
            </w:r>
          </w:p>
        </w:tc>
        <w:tc>
          <w:tcPr>
            <w:tcW w:type="dxa" w:w="1926"/>
            <w:tcMar>
              <w:top w:w="50" w:type="dxa"/>
              <w:bottom w:w="50" w:type="dxa"/>
              <w:left w:w="90" w:type="dxa"/>
              <w:right w:w="90" w:type="dxa"/>
            </w:tcMar>
          </w:tcPr>
          <w:p>
            <w:pPr>
              <w:pStyle w:val="BDOITable"/>
            </w:pPr>
            <w:r>
              <w:rPr>
                <w:sz w:val="16"/>
              </w:rPr>
              <w:t>Release record; non-production times moved into working hours by configuration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6"/>
              </w:rPr>
              <w:t>Client profile and theme</w:t>
            </w:r>
          </w:p>
        </w:tc>
        <w:tc>
          <w:tcPr>
            <w:tcW w:type="dxa" w:w="3739"/>
            <w:tcMar>
              <w:top w:w="50" w:type="dxa"/>
              <w:bottom w:w="50" w:type="dxa"/>
              <w:left w:w="90" w:type="dxa"/>
              <w:right w:w="90" w:type="dxa"/>
            </w:tcMar>
            <w:shd w:val="clear" w:color="auto" w:fill="E5F5FF"/>
          </w:tcPr>
          <w:p>
            <w:pPr>
              <w:pStyle w:val="BDOITable"/>
            </w:pPr>
            <w:r>
              <w:rPr>
                <w:sz w:val="16"/>
              </w:rPr>
              <w:t>Legal name, short name, group name, document logo, head office code, base currency, default bank account; system name, logo and colours of the theme pack</w:t>
            </w:r>
          </w:p>
        </w:tc>
        <w:tc>
          <w:tcPr>
            <w:tcW w:type="dxa" w:w="2266"/>
            <w:tcMar>
              <w:top w:w="50" w:type="dxa"/>
              <w:bottom w:w="50" w:type="dxa"/>
              <w:left w:w="90" w:type="dxa"/>
              <w:right w:w="90" w:type="dxa"/>
            </w:tcMar>
            <w:shd w:val="clear" w:color="auto" w:fill="E5F5FF"/>
          </w:tcPr>
          <w:p>
            <w:pPr>
              <w:pStyle w:val="BDOITable"/>
            </w:pPr>
            <w:r>
              <w:rPr>
                <w:sz w:val="16"/>
              </w:rPr>
              <w:t>Setup › Companies (client profile); theme pack chosen at packaging time</w:t>
            </w:r>
          </w:p>
        </w:tc>
        <w:tc>
          <w:tcPr>
            <w:tcW w:type="dxa" w:w="1926"/>
            <w:tcMar>
              <w:top w:w="50" w:type="dxa"/>
              <w:bottom w:w="50" w:type="dxa"/>
              <w:left w:w="90" w:type="dxa"/>
              <w:right w:w="90" w:type="dxa"/>
            </w:tcMar>
            <w:shd w:val="clear" w:color="auto" w:fill="E5F5FF"/>
          </w:tcPr>
          <w:p>
            <w:pPr>
              <w:pStyle w:val="BDOITable"/>
            </w:pPr>
            <w:r>
              <w:rPr>
                <w:sz w:val="16"/>
              </w:rPr>
              <w:t>Maker-checker on the company</w:t>
            </w:r>
          </w:p>
        </w:tc>
      </w:tr>
    </w:tbl>
    <w:p>
      <w:pPr>
        <w:pStyle w:val="BDOISpacer"/>
      </w:pPr>
    </w:p>
    <w:p>
      <w:pPr>
        <w:pStyle w:val="Heading2"/>
      </w:pPr>
      <w:bookmarkStart w:id="133" w:name="_Toc000133"/>
      <w:r>
        <w:rPr/>
        <w:t>9.2 What stays in the program logic</w:t>
      </w:r>
      <w:bookmarkEnd w:id="133"/>
    </w:p>
    <w:p>
      <w:r>
        <w:rPr/>
        <w:t>Technical limits, scales and algorithm constants are not business rules and stay in the program logic after review: field lengths and list sizes, rate scales and percent bounds, date-range limits of files and screens (for example a payment notification covers at most 31 days), the client-matching scores of data migration, and the default values that the platform seeds into parameters. The client neutrality check of the pipeline refuses any client name or currency code in platform logic of the backend and the web client.</w:t>
      </w:r>
    </w:p>
    <w:p>
      <w:pPr>
        <w:pStyle w:val="Heading2"/>
      </w:pPr>
      <w:bookmarkStart w:id="134" w:name="_Toc000134"/>
      <w:r>
        <w:rPr/>
        <w:t>9.3 How configuration reaches production</w:t>
      </w:r>
      <w:bookmarkEnd w:id="134"/>
    </w:p>
    <w:p>
      <w:r>
        <w:rPr/>
        <w:t>Configuration values are part of the release record. For each drop the configuration inputs workbook lists every parameter, list, rule table, event and template with its owner, its route into production (seeded with the release, loaded by template, or entered on screen in production) and the sign-off. Values entered in UAT are not copied to production by database copy; they follow the same route.</w:t>
      </w:r>
    </w:p>
    <w:p>
      <w:pPr>
        <w:pStyle w:val="Heading1"/>
        <w:pBdr>
          <w:bottom w:val="single" w:sz="4" w:space="4" w:color="99C1E7"/>
        </w:pBdr>
      </w:pPr>
      <w:bookmarkStart w:id="135" w:name="_Toc000135"/>
      <w:r>
        <w:rPr/>
        <w:t>10 Multi-company, multi-product, multi-channel and multi-country readiness</w:t>
      </w:r>
      <w:bookmarkEnd w:id="135"/>
    </w:p>
    <w:p>
      <w:pPr>
        <w:pStyle w:val="Caption"/>
        <w:keepNext/>
        <w:spacing w:after="60"/>
      </w:pPr>
      <w:r>
        <w:rPr>
          <w:b/>
          <w:i w:val="0"/>
        </w:rPr>
        <w:t xml:space="preserve">Table 19: </w:t>
      </w:r>
      <w:r>
        <w:rPr/>
        <w:t>Readiness for more companies, branches, products, channels and countries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4193"/>
        <w:gridCol w:w="4079"/>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6"/>
              </w:rPr>
              <w:t>Dimension</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6"/>
              </w:rPr>
              <w:t>How BIBS supports it</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6"/>
              </w:rPr>
              <w:t>Limits and open points</w:t>
            </w:r>
          </w:p>
        </w:tc>
      </w:tr>
      <w:tr>
        <w:trPr>
          <w:cantSplit w:val="true"/>
        </w:trPr>
        <w:tc>
          <w:tcPr>
            <w:tcW w:type="dxa" w:w="1700"/>
            <w:tcMar>
              <w:top w:w="50" w:type="dxa"/>
              <w:bottom w:w="50" w:type="dxa"/>
              <w:left w:w="90" w:type="dxa"/>
              <w:right w:w="90" w:type="dxa"/>
            </w:tcMar>
          </w:tcPr>
          <w:p>
            <w:pPr>
              <w:pStyle w:val="BDOITable"/>
            </w:pPr>
            <w:r>
              <w:rPr>
                <w:b/>
                <w:sz w:val="16"/>
              </w:rPr>
              <w:t>Multi-company</w:t>
            </w:r>
          </w:p>
        </w:tc>
        <w:tc>
          <w:tcPr>
            <w:tcW w:type="dxa" w:w="4193"/>
            <w:tcMar>
              <w:top w:w="50" w:type="dxa"/>
              <w:bottom w:w="50" w:type="dxa"/>
              <w:left w:w="90" w:type="dxa"/>
              <w:right w:w="90" w:type="dxa"/>
            </w:tcMar>
          </w:tcPr>
          <w:p>
            <w:pPr>
              <w:pStyle w:val="BDOITable"/>
            </w:pPr>
            <w:r>
              <w:rPr>
                <w:sz w:val="16"/>
              </w:rPr>
              <w:t>Every business record carries its company; masters, numbering series, chart of accounts, periods and reports are per company; consolidated reporting reads across companies in one database</w:t>
            </w:r>
          </w:p>
        </w:tc>
        <w:tc>
          <w:tcPr>
            <w:tcW w:type="dxa" w:w="4079"/>
            <w:tcMar>
              <w:top w:w="50" w:type="dxa"/>
              <w:bottom w:w="50" w:type="dxa"/>
              <w:left w:w="90" w:type="dxa"/>
              <w:right w:w="90" w:type="dxa"/>
            </w:tcMar>
          </w:tcPr>
          <w:p>
            <w:pPr>
              <w:pStyle w:val="BDOITable"/>
            </w:pPr>
            <w:r>
              <w:rPr>
                <w:sz w:val="16"/>
              </w:rPr>
              <w:t>New company: set-up order company, branches, currencies, chart of accounts, dimensions, periods, parties, accounting rules, users (runbook)</w:t>
            </w:r>
          </w:p>
        </w:tc>
      </w:tr>
      <w:tr>
        <w:trPr>
          <w:cantSplit w:val="true"/>
        </w:trPr>
        <w:tc>
          <w:tcPr>
            <w:tcW w:type="dxa" w:w="1700"/>
            <w:tcMar>
              <w:top w:w="50" w:type="dxa"/>
              <w:bottom w:w="50" w:type="dxa"/>
              <w:left w:w="90" w:type="dxa"/>
              <w:right w:w="90" w:type="dxa"/>
            </w:tcMar>
            <w:shd w:val="clear" w:color="auto" w:fill="E5F5FF"/>
          </w:tcPr>
          <w:p>
            <w:pPr>
              <w:pStyle w:val="BDOITable"/>
            </w:pPr>
            <w:r>
              <w:rPr>
                <w:b/>
                <w:sz w:val="16"/>
              </w:rPr>
              <w:t>Multi-branch</w:t>
            </w:r>
          </w:p>
        </w:tc>
        <w:tc>
          <w:tcPr>
            <w:tcW w:type="dxa" w:w="4193"/>
            <w:tcMar>
              <w:top w:w="50" w:type="dxa"/>
              <w:bottom w:w="50" w:type="dxa"/>
              <w:left w:w="90" w:type="dxa"/>
              <w:right w:w="90" w:type="dxa"/>
            </w:tcMar>
            <w:shd w:val="clear" w:color="auto" w:fill="E5F5FF"/>
          </w:tcPr>
          <w:p>
            <w:pPr>
              <w:pStyle w:val="BDOITable"/>
            </w:pPr>
            <w:r>
              <w:rPr>
                <w:sz w:val="16"/>
              </w:rPr>
              <w:t>Branches (office master) per company with holiday calendars; branch on every transaction where the BRD needs it; reports by branch and unit</w:t>
            </w:r>
          </w:p>
        </w:tc>
        <w:tc>
          <w:tcPr>
            <w:tcW w:type="dxa" w:w="4079"/>
            <w:tcMar>
              <w:top w:w="50" w:type="dxa"/>
              <w:bottom w:w="50" w:type="dxa"/>
              <w:left w:w="90" w:type="dxa"/>
              <w:right w:w="90" w:type="dxa"/>
            </w:tcMar>
            <w:shd w:val="clear" w:color="auto" w:fill="E5F5FF"/>
          </w:tcPr>
          <w:p>
            <w:pPr>
              <w:pStyle w:val="BDOITable"/>
            </w:pPr>
            <w:r>
              <w:rPr>
                <w:sz w:val="16"/>
              </w:rPr>
              <w:t>Whether branch scope filters company-wide reports (SA-04)</w:t>
            </w:r>
          </w:p>
        </w:tc>
      </w:tr>
      <w:tr>
        <w:trPr>
          <w:cantSplit w:val="true"/>
        </w:trPr>
        <w:tc>
          <w:tcPr>
            <w:tcW w:type="dxa" w:w="1700"/>
            <w:tcMar>
              <w:top w:w="50" w:type="dxa"/>
              <w:bottom w:w="50" w:type="dxa"/>
              <w:left w:w="90" w:type="dxa"/>
              <w:right w:w="90" w:type="dxa"/>
            </w:tcMar>
          </w:tcPr>
          <w:p>
            <w:pPr>
              <w:pStyle w:val="BDOITable"/>
            </w:pPr>
            <w:r>
              <w:rPr>
                <w:b/>
                <w:sz w:val="16"/>
              </w:rPr>
              <w:t>Data scope</w:t>
            </w:r>
          </w:p>
        </w:tc>
        <w:tc>
          <w:tcPr>
            <w:tcW w:type="dxa" w:w="4193"/>
            <w:tcMar>
              <w:top w:w="50" w:type="dxa"/>
              <w:bottom w:w="50" w:type="dxa"/>
              <w:left w:w="90" w:type="dxa"/>
              <w:right w:w="90" w:type="dxa"/>
            </w:tcMar>
          </w:tcPr>
          <w:p>
            <w:pPr>
              <w:pStyle w:val="BDOITable"/>
            </w:pPr>
            <w:r>
              <w:rPr>
                <w:sz w:val="16"/>
              </w:rPr>
              <w:t>Users act only for the companies and branches of their scope; checked centrally (ADR-08)</w:t>
            </w:r>
          </w:p>
        </w:tc>
        <w:tc>
          <w:tcPr>
            <w:tcW w:type="dxa" w:w="4079"/>
            <w:tcMar>
              <w:top w:w="50" w:type="dxa"/>
              <w:bottom w:w="50" w:type="dxa"/>
              <w:left w:w="90" w:type="dxa"/>
              <w:right w:w="90" w:type="dxa"/>
            </w:tcMar>
          </w:tcPr>
          <w:p>
            <w:pPr>
              <w:pStyle w:val="BDOITable"/>
            </w:pPr>
            <w:r>
              <w:rPr>
                <w:sz w:val="16"/>
              </w:rPr>
              <w:t>Default "all companies" for every user until an administrator narrows it</w:t>
            </w:r>
          </w:p>
        </w:tc>
      </w:tr>
      <w:tr>
        <w:trPr>
          <w:cantSplit w:val="true"/>
        </w:trPr>
        <w:tc>
          <w:tcPr>
            <w:tcW w:type="dxa" w:w="1700"/>
            <w:tcMar>
              <w:top w:w="50" w:type="dxa"/>
              <w:bottom w:w="50" w:type="dxa"/>
              <w:left w:w="90" w:type="dxa"/>
              <w:right w:w="90" w:type="dxa"/>
            </w:tcMar>
            <w:shd w:val="clear" w:color="auto" w:fill="E5F5FF"/>
          </w:tcPr>
          <w:p>
            <w:pPr>
              <w:pStyle w:val="BDOITable"/>
            </w:pPr>
            <w:r>
              <w:rPr>
                <w:b/>
                <w:sz w:val="16"/>
              </w:rPr>
              <w:t>Multi-product</w:t>
            </w:r>
          </w:p>
        </w:tc>
        <w:tc>
          <w:tcPr>
            <w:tcW w:type="dxa" w:w="4193"/>
            <w:tcMar>
              <w:top w:w="50" w:type="dxa"/>
              <w:bottom w:w="50" w:type="dxa"/>
              <w:left w:w="90" w:type="dxa"/>
              <w:right w:w="90" w:type="dxa"/>
            </w:tcMar>
            <w:shd w:val="clear" w:color="auto" w:fill="E5F5FF"/>
          </w:tcPr>
          <w:p>
            <w:pPr>
              <w:pStyle w:val="BDOITable"/>
            </w:pPr>
            <w:r>
              <w:rPr>
                <w:sz w:val="16"/>
              </w:rPr>
              <w:t>Product lines, cover types, BDOI risk products and package versions with validity periods; rate, commission and tax tables; minimum-field matrix and TSU routing per product - all data</w:t>
            </w:r>
          </w:p>
        </w:tc>
        <w:tc>
          <w:tcPr>
            <w:tcW w:type="dxa" w:w="4079"/>
            <w:tcMar>
              <w:top w:w="50" w:type="dxa"/>
              <w:bottom w:w="50" w:type="dxa"/>
              <w:left w:w="90" w:type="dxa"/>
              <w:right w:w="90" w:type="dxa"/>
            </w:tcMar>
            <w:shd w:val="clear" w:color="auto" w:fill="E5F5FF"/>
          </w:tcPr>
          <w:p>
            <w:pPr>
              <w:pStyle w:val="BDOITable"/>
            </w:pPr>
            <w:r>
              <w:rPr>
                <w:sz w:val="16"/>
              </w:rPr>
              <w:t>A new line of business needs its accounting rules and document templates configured</w:t>
            </w:r>
          </w:p>
        </w:tc>
      </w:tr>
      <w:tr>
        <w:trPr>
          <w:cantSplit w:val="true"/>
        </w:trPr>
        <w:tc>
          <w:tcPr>
            <w:tcW w:type="dxa" w:w="1700"/>
            <w:tcMar>
              <w:top w:w="50" w:type="dxa"/>
              <w:bottom w:w="50" w:type="dxa"/>
              <w:left w:w="90" w:type="dxa"/>
              <w:right w:w="90" w:type="dxa"/>
            </w:tcMar>
          </w:tcPr>
          <w:p>
            <w:pPr>
              <w:pStyle w:val="BDOITable"/>
            </w:pPr>
            <w:r>
              <w:rPr>
                <w:b/>
                <w:sz w:val="16"/>
              </w:rPr>
              <w:t>Multi-channel</w:t>
            </w:r>
          </w:p>
        </w:tc>
        <w:tc>
          <w:tcPr>
            <w:tcW w:type="dxa" w:w="4193"/>
            <w:tcMar>
              <w:top w:w="50" w:type="dxa"/>
              <w:bottom w:w="50" w:type="dxa"/>
              <w:left w:w="90" w:type="dxa"/>
              <w:right w:w="90" w:type="dxa"/>
            </w:tcMar>
          </w:tcPr>
          <w:p>
            <w:pPr>
              <w:pStyle w:val="BDOITable"/>
            </w:pPr>
            <w:r>
              <w:rPr>
                <w:sz w:val="16"/>
              </w:rPr>
              <w:t>Web client for users; system integration interface through Apigee X; file channels for banks, loans, insurers and BDOI units; e-mail through CCM; in-app notifications</w:t>
            </w:r>
          </w:p>
        </w:tc>
        <w:tc>
          <w:tcPr>
            <w:tcW w:type="dxa" w:w="4079"/>
            <w:tcMar>
              <w:top w:w="50" w:type="dxa"/>
              <w:bottom w:w="50" w:type="dxa"/>
              <w:left w:w="90" w:type="dxa"/>
              <w:right w:w="90" w:type="dxa"/>
            </w:tcMar>
          </w:tcPr>
          <w:p>
            <w:pPr>
              <w:pStyle w:val="BDOITable"/>
            </w:pPr>
            <w:r>
              <w:rPr>
                <w:sz w:val="16"/>
              </w:rPr>
              <w:t>SMS is not required by any BRD; it would be a further messaging channel (IN-05)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6"/>
              </w:rPr>
              <w:t>Multi-currency</w:t>
            </w:r>
          </w:p>
        </w:tc>
        <w:tc>
          <w:tcPr>
            <w:tcW w:type="dxa" w:w="4193"/>
            <w:tcMar>
              <w:top w:w="50" w:type="dxa"/>
              <w:bottom w:w="50" w:type="dxa"/>
              <w:left w:w="90" w:type="dxa"/>
              <w:right w:w="90" w:type="dxa"/>
            </w:tcMar>
            <w:shd w:val="clear" w:color="auto" w:fill="E5F5FF"/>
          </w:tcPr>
          <w:p>
            <w:pPr>
              <w:pStyle w:val="BDOITable"/>
            </w:pPr>
            <w:r>
              <w:rPr>
                <w:sz w:val="16"/>
              </w:rPr>
              <w:t>Currency master, rate types and dated exchange rates; base and transaction currency on every accounting line; rounding differences corrected deterministically; base currency per company</w:t>
            </w:r>
          </w:p>
        </w:tc>
        <w:tc>
          <w:tcPr>
            <w:tcW w:type="dxa" w:w="4079"/>
            <w:tcMar>
              <w:top w:w="50" w:type="dxa"/>
              <w:bottom w:w="50" w:type="dxa"/>
              <w:left w:w="90" w:type="dxa"/>
              <w:right w:w="90" w:type="dxa"/>
            </w:tcMar>
            <w:shd w:val="clear" w:color="auto" w:fill="E5F5FF"/>
          </w:tcPr>
          <w:p>
            <w:pPr>
              <w:pStyle w:val="BDOITable"/>
            </w:pPr>
            <w:r>
              <w:rPr>
                <w:sz w:val="16"/>
              </w:rPr>
              <w:t>Revaluation rules per currency configured by Accounting</w:t>
            </w:r>
          </w:p>
        </w:tc>
      </w:tr>
      <w:tr>
        <w:trPr>
          <w:cantSplit w:val="true"/>
        </w:trPr>
        <w:tc>
          <w:tcPr>
            <w:tcW w:type="dxa" w:w="1700"/>
            <w:tcMar>
              <w:top w:w="50" w:type="dxa"/>
              <w:bottom w:w="50" w:type="dxa"/>
              <w:left w:w="90" w:type="dxa"/>
              <w:right w:w="90" w:type="dxa"/>
            </w:tcMar>
          </w:tcPr>
          <w:p>
            <w:pPr>
              <w:pStyle w:val="BDOITable"/>
            </w:pPr>
            <w:r>
              <w:rPr>
                <w:b/>
                <w:sz w:val="16"/>
              </w:rPr>
              <w:t>Taxes</w:t>
            </w:r>
          </w:p>
        </w:tc>
        <w:tc>
          <w:tcPr>
            <w:tcW w:type="dxa" w:w="4193"/>
            <w:tcMar>
              <w:top w:w="50" w:type="dxa"/>
              <w:bottom w:w="50" w:type="dxa"/>
              <w:left w:w="90" w:type="dxa"/>
              <w:right w:w="90" w:type="dxa"/>
            </w:tcMar>
          </w:tcPr>
          <w:p>
            <w:pPr>
              <w:pStyle w:val="BDOITable"/>
            </w:pPr>
            <w:r>
              <w:rPr>
                <w:sz w:val="16"/>
              </w:rPr>
              <w:t>Tax codes per company with rates and dates (VAT, EWT by ATC, DST); tax forms as master data (frequency, due rule, accounts); BIR certificates and returns of the broker</w:t>
            </w:r>
          </w:p>
        </w:tc>
        <w:tc>
          <w:tcPr>
            <w:tcW w:type="dxa" w:w="4079"/>
            <w:tcMar>
              <w:top w:w="50" w:type="dxa"/>
              <w:bottom w:w="50" w:type="dxa"/>
              <w:left w:w="90" w:type="dxa"/>
              <w:right w:w="90" w:type="dxa"/>
            </w:tcMar>
          </w:tcPr>
          <w:p>
            <w:pPr>
              <w:pStyle w:val="BDOITable"/>
            </w:pPr>
            <w:r>
              <w:rPr>
                <w:sz w:val="16"/>
              </w:rPr>
              <w:t>Other countries' forms need their own form definitions and reports</w:t>
            </w:r>
          </w:p>
        </w:tc>
      </w:tr>
      <w:tr>
        <w:trPr>
          <w:cantSplit w:val="true"/>
        </w:trPr>
        <w:tc>
          <w:tcPr>
            <w:tcW w:type="dxa" w:w="1700"/>
            <w:tcMar>
              <w:top w:w="50" w:type="dxa"/>
              <w:bottom w:w="50" w:type="dxa"/>
              <w:left w:w="90" w:type="dxa"/>
              <w:right w:w="90" w:type="dxa"/>
            </w:tcMar>
            <w:shd w:val="clear" w:color="auto" w:fill="E5F5FF"/>
          </w:tcPr>
          <w:p>
            <w:pPr>
              <w:pStyle w:val="BDOITable"/>
            </w:pPr>
            <w:r>
              <w:rPr>
                <w:b/>
                <w:sz w:val="16"/>
              </w:rPr>
              <w:t>Time zone and calendar</w:t>
            </w:r>
          </w:p>
        </w:tc>
        <w:tc>
          <w:tcPr>
            <w:tcW w:type="dxa" w:w="4193"/>
            <w:tcMar>
              <w:top w:w="50" w:type="dxa"/>
              <w:bottom w:w="50" w:type="dxa"/>
              <w:left w:w="90" w:type="dxa"/>
              <w:right w:w="90" w:type="dxa"/>
            </w:tcMar>
            <w:shd w:val="clear" w:color="auto" w:fill="E5F5FF"/>
          </w:tcPr>
          <w:p>
            <w:pPr>
              <w:pStyle w:val="BDOITable"/>
            </w:pPr>
            <w:r>
              <w:rPr>
                <w:sz w:val="16"/>
              </w:rPr>
              <w:t>Business zone setting (Asia/Manila) for "today", cut-offs, periods and job dates; timestamps in UTC; holiday calendars per branch</w:t>
            </w:r>
          </w:p>
        </w:tc>
        <w:tc>
          <w:tcPr>
            <w:tcW w:type="dxa" w:w="4079"/>
            <w:tcMar>
              <w:top w:w="50" w:type="dxa"/>
              <w:bottom w:w="50" w:type="dxa"/>
              <w:left w:w="90" w:type="dxa"/>
              <w:right w:w="90" w:type="dxa"/>
            </w:tcMar>
            <w:shd w:val="clear" w:color="auto" w:fill="E5F5FF"/>
          </w:tcPr>
          <w:p>
            <w:pPr>
              <w:pStyle w:val="BDOITable"/>
            </w:pPr>
            <w:r>
              <w:rPr>
                <w:sz w:val="16"/>
              </w:rPr>
              <w:t>One business zone per deployment</w:t>
            </w:r>
          </w:p>
        </w:tc>
      </w:tr>
      <w:tr>
        <w:trPr>
          <w:cantSplit w:val="true"/>
        </w:trPr>
        <w:tc>
          <w:tcPr>
            <w:tcW w:type="dxa" w:w="1700"/>
            <w:tcMar>
              <w:top w:w="50" w:type="dxa"/>
              <w:bottom w:w="50" w:type="dxa"/>
              <w:left w:w="90" w:type="dxa"/>
              <w:right w:w="90" w:type="dxa"/>
            </w:tcMar>
          </w:tcPr>
          <w:p>
            <w:pPr>
              <w:pStyle w:val="BDOITable"/>
            </w:pPr>
            <w:r>
              <w:rPr>
                <w:b/>
                <w:sz w:val="16"/>
              </w:rPr>
              <w:t>Languages</w:t>
            </w:r>
          </w:p>
        </w:tc>
        <w:tc>
          <w:tcPr>
            <w:tcW w:type="dxa" w:w="4193"/>
            <w:tcMar>
              <w:top w:w="50" w:type="dxa"/>
              <w:bottom w:w="50" w:type="dxa"/>
              <w:left w:w="90" w:type="dxa"/>
              <w:right w:w="90" w:type="dxa"/>
            </w:tcMar>
          </w:tcPr>
          <w:p>
            <w:pPr>
              <w:pStyle w:val="BDOITable"/>
            </w:pPr>
            <w:r>
              <w:rPr>
                <w:sz w:val="16"/>
              </w:rPr>
              <w:t>English, the language of the BRDs; dates and amounts formatted in one place for the locale (dd-MMM-yyyy, thousands separators); user-facing texts kept in one place per module</w:t>
            </w:r>
          </w:p>
        </w:tc>
        <w:tc>
          <w:tcPr>
            <w:tcW w:type="dxa" w:w="4079"/>
            <w:tcMar>
              <w:top w:w="50" w:type="dxa"/>
              <w:bottom w:w="50" w:type="dxa"/>
              <w:left w:w="90" w:type="dxa"/>
              <w:right w:w="90" w:type="dxa"/>
            </w:tcMar>
          </w:tcPr>
          <w:p>
            <w:pPr>
              <w:pStyle w:val="BDOITable"/>
            </w:pPr>
            <w:r>
              <w:rPr>
                <w:sz w:val="16"/>
              </w:rPr>
              <w:t>A second screen language is a change request (SA-06)</w:t>
            </w:r>
          </w:p>
        </w:tc>
      </w:tr>
      <w:tr>
        <w:trPr>
          <w:cantSplit w:val="true"/>
        </w:trPr>
        <w:tc>
          <w:tcPr>
            <w:tcW w:type="dxa" w:w="1700"/>
            <w:tcMar>
              <w:top w:w="50" w:type="dxa"/>
              <w:bottom w:w="50" w:type="dxa"/>
              <w:left w:w="90" w:type="dxa"/>
              <w:right w:w="90" w:type="dxa"/>
            </w:tcMar>
            <w:shd w:val="clear" w:color="auto" w:fill="E5F5FF"/>
          </w:tcPr>
          <w:p>
            <w:pPr>
              <w:pStyle w:val="BDOITable"/>
            </w:pPr>
            <w:r>
              <w:rPr>
                <w:b/>
                <w:sz w:val="16"/>
              </w:rPr>
              <w:t>Client identity</w:t>
            </w:r>
          </w:p>
        </w:tc>
        <w:tc>
          <w:tcPr>
            <w:tcW w:type="dxa" w:w="4193"/>
            <w:tcMar>
              <w:top w:w="50" w:type="dxa"/>
              <w:bottom w:w="50" w:type="dxa"/>
              <w:left w:w="90" w:type="dxa"/>
              <w:right w:w="90" w:type="dxa"/>
            </w:tcMar>
            <w:shd w:val="clear" w:color="auto" w:fill="E5F5FF"/>
          </w:tcPr>
          <w:p>
            <w:pPr>
              <w:pStyle w:val="BDOITable"/>
            </w:pPr>
            <w:r>
              <w:rPr>
                <w:sz w:val="16"/>
              </w:rPr>
              <w:t>Client profile and theme pack (system name, logos, colours); no client name in platform logic</w:t>
            </w:r>
          </w:p>
        </w:tc>
        <w:tc>
          <w:tcPr>
            <w:tcW w:type="dxa" w:w="4079"/>
            <w:tcMar>
              <w:top w:w="50" w:type="dxa"/>
              <w:bottom w:w="50" w:type="dxa"/>
              <w:left w:w="90" w:type="dxa"/>
              <w:right w:w="90" w:type="dxa"/>
            </w:tcMar>
            <w:shd w:val="clear" w:color="auto" w:fill="E5F5FF"/>
          </w:tcPr>
          <w:p>
            <w:pPr>
              <w:pStyle w:val="BDOITable"/>
            </w:pPr>
            <w:r>
              <w:rPr>
                <w:sz w:val="16"/>
              </w:rPr>
              <w:t>-</w:t>
            </w:r>
          </w:p>
        </w:tc>
      </w:tr>
    </w:tbl>
    <w:p>
      <w:pPr>
        <w:pStyle w:val="BDOISpacer"/>
      </w:pPr>
    </w:p>
    <w:p>
      <w:pPr>
        <w:pStyle w:val="Heading1"/>
        <w:pBdr>
          <w:bottom w:val="single" w:sz="4" w:space="4" w:color="99C1E7"/>
        </w:pBdr>
      </w:pPr>
      <w:bookmarkStart w:id="136" w:name="_Toc000136"/>
      <w:r>
        <w:rPr/>
        <w:t>11 Quality attributes</w:t>
      </w:r>
      <w:bookmarkEnd w:id="136"/>
    </w:p>
    <w:p>
      <w:pPr>
        <w:pStyle w:val="Caption"/>
        <w:keepNext/>
        <w:spacing w:after="60"/>
      </w:pPr>
      <w:r>
        <w:rPr>
          <w:b/>
          <w:i w:val="0"/>
        </w:rPr>
        <w:t xml:space="preserve">Table 20: </w:t>
      </w:r>
      <w:r>
        <w:rPr/>
        <w:t>Quality attributes and how they are met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73"/>
        <w:gridCol w:w="2493"/>
        <w:gridCol w:w="6006"/>
      </w:tblGrid>
      <w:tr>
        <w:trPr>
          <w:tblHeader w:val="true"/>
          <w:cantSplit w:val="true"/>
        </w:trPr>
        <w:tc>
          <w:tcPr>
            <w:tcW w:type="dxa" w:w="1473"/>
            <w:shd w:val="clear" w:color="auto" w:fill="004EA8"/>
            <w:tcMar>
              <w:top w:w="50" w:type="dxa"/>
              <w:bottom w:w="50" w:type="dxa"/>
              <w:left w:w="90" w:type="dxa"/>
              <w:right w:w="90" w:type="dxa"/>
            </w:tcMar>
            <w:vAlign w:val="center"/>
          </w:tcPr>
          <w:p>
            <w:pPr>
              <w:pStyle w:val="BDOITableHeader"/>
            </w:pPr>
            <w:r>
              <w:rPr>
                <w:b/>
                <w:color w:val="FFFFFF"/>
                <w:sz w:val="16"/>
              </w:rPr>
              <w:t>Attribute</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6"/>
              </w:rPr>
              <w:t>Target</w:t>
            </w:r>
          </w:p>
        </w:tc>
        <w:tc>
          <w:tcPr>
            <w:tcW w:type="dxa" w:w="6006"/>
            <w:shd w:val="clear" w:color="auto" w:fill="004EA8"/>
            <w:tcMar>
              <w:top w:w="50" w:type="dxa"/>
              <w:bottom w:w="50" w:type="dxa"/>
              <w:left w:w="90" w:type="dxa"/>
              <w:right w:w="90" w:type="dxa"/>
            </w:tcMar>
            <w:vAlign w:val="center"/>
          </w:tcPr>
          <w:p>
            <w:pPr>
              <w:pStyle w:val="BDOITableHeader"/>
            </w:pPr>
            <w:r>
              <w:rPr>
                <w:b/>
                <w:color w:val="FFFFFF"/>
                <w:sz w:val="16"/>
              </w:rPr>
              <w:t>How it is met</w:t>
            </w:r>
          </w:p>
        </w:tc>
      </w:tr>
      <w:tr>
        <w:trPr>
          <w:cantSplit w:val="true"/>
        </w:trPr>
        <w:tc>
          <w:tcPr>
            <w:tcW w:type="dxa" w:w="1473"/>
            <w:tcMar>
              <w:top w:w="50" w:type="dxa"/>
              <w:bottom w:w="50" w:type="dxa"/>
              <w:left w:w="90" w:type="dxa"/>
              <w:right w:w="90" w:type="dxa"/>
            </w:tcMar>
          </w:tcPr>
          <w:p>
            <w:pPr>
              <w:pStyle w:val="BDOITable"/>
            </w:pPr>
            <w:r>
              <w:rPr>
                <w:b/>
                <w:sz w:val="16"/>
              </w:rPr>
              <w:t>Performance</w:t>
            </w:r>
          </w:p>
        </w:tc>
        <w:tc>
          <w:tcPr>
            <w:tcW w:type="dxa" w:w="2493"/>
            <w:tcMar>
              <w:top w:w="50" w:type="dxa"/>
              <w:bottom w:w="50" w:type="dxa"/>
              <w:left w:w="90" w:type="dxa"/>
              <w:right w:w="90" w:type="dxa"/>
            </w:tcMar>
          </w:tcPr>
          <w:p>
            <w:pPr>
              <w:pStyle w:val="BDOITable"/>
            </w:pPr>
            <w:r>
              <w:rPr>
                <w:sz w:val="16"/>
              </w:rPr>
              <w:t>Screens p95 under 2 s; every role under 5 s; reports per BRD</w:t>
            </w:r>
          </w:p>
        </w:tc>
        <w:tc>
          <w:tcPr>
            <w:tcW w:type="dxa" w:w="6006"/>
            <w:tcMar>
              <w:top w:w="50" w:type="dxa"/>
              <w:bottom w:w="50" w:type="dxa"/>
              <w:left w:w="90" w:type="dxa"/>
              <w:right w:w="90" w:type="dxa"/>
            </w:tcMar>
          </w:tcPr>
          <w:p>
            <w:pPr>
              <w:pStyle w:val="BDOITable"/>
            </w:pPr>
            <w:r>
              <w:rPr>
                <w:sz w:val="16"/>
              </w:rPr>
              <w:t>Reference-data cache on Valkey; daily balances for trial balances and statements; paged lists; reports and extracts run as jobs with results in S3; downloads by presigned link, not through the pods; performance test at 429 concurrent sessions on Pre-Prod (Nov - Dec 2027)</w:t>
            </w:r>
          </w:p>
        </w:tc>
      </w:tr>
      <w:tr>
        <w:trPr>
          <w:cantSplit w:val="true"/>
        </w:trPr>
        <w:tc>
          <w:tcPr>
            <w:tcW w:type="dxa" w:w="1473"/>
            <w:tcMar>
              <w:top w:w="50" w:type="dxa"/>
              <w:bottom w:w="50" w:type="dxa"/>
              <w:left w:w="90" w:type="dxa"/>
              <w:right w:w="90" w:type="dxa"/>
            </w:tcMar>
            <w:shd w:val="clear" w:color="auto" w:fill="E5F5FF"/>
          </w:tcPr>
          <w:p>
            <w:pPr>
              <w:pStyle w:val="BDOITable"/>
            </w:pPr>
            <w:r>
              <w:rPr>
                <w:b/>
                <w:sz w:val="16"/>
              </w:rPr>
              <w:t>Scalability</w:t>
            </w:r>
          </w:p>
        </w:tc>
        <w:tc>
          <w:tcPr>
            <w:tcW w:type="dxa" w:w="2493"/>
            <w:tcMar>
              <w:top w:w="50" w:type="dxa"/>
              <w:bottom w:w="50" w:type="dxa"/>
              <w:left w:w="90" w:type="dxa"/>
              <w:right w:w="90" w:type="dxa"/>
            </w:tcMar>
            <w:shd w:val="clear" w:color="auto" w:fill="E5F5FF"/>
          </w:tcPr>
          <w:p>
            <w:pPr>
              <w:pStyle w:val="BDOITable"/>
            </w:pPr>
            <w:r>
              <w:rPr>
                <w:sz w:val="16"/>
              </w:rPr>
              <w:t>15 % growth a year over 60 months</w:t>
            </w:r>
          </w:p>
        </w:tc>
        <w:tc>
          <w:tcPr>
            <w:tcW w:type="dxa" w:w="6006"/>
            <w:tcMar>
              <w:top w:w="50" w:type="dxa"/>
              <w:bottom w:w="50" w:type="dxa"/>
              <w:left w:w="90" w:type="dxa"/>
              <w:right w:w="90" w:type="dxa"/>
            </w:tcMar>
            <w:shd w:val="clear" w:color="auto" w:fill="E5F5FF"/>
          </w:tcPr>
          <w:p>
            <w:pPr>
              <w:pStyle w:val="BDOITable"/>
            </w:pPr>
            <w:r>
              <w:rPr>
                <w:sz w:val="16"/>
              </w:rPr>
              <w:t>Horizontal scaling of bibs-web (3 to 10 pods in PROD); separate sizing of jobs and integration; cluster autoscaling; RDS vertical scaling and storage autoscaling</w:t>
            </w:r>
          </w:p>
        </w:tc>
      </w:tr>
      <w:tr>
        <w:trPr>
          <w:cantSplit w:val="true"/>
        </w:trPr>
        <w:tc>
          <w:tcPr>
            <w:tcW w:type="dxa" w:w="1473"/>
            <w:tcMar>
              <w:top w:w="50" w:type="dxa"/>
              <w:bottom w:w="50" w:type="dxa"/>
              <w:left w:w="90" w:type="dxa"/>
              <w:right w:w="90" w:type="dxa"/>
            </w:tcMar>
          </w:tcPr>
          <w:p>
            <w:pPr>
              <w:pStyle w:val="BDOITable"/>
            </w:pPr>
            <w:r>
              <w:rPr>
                <w:b/>
                <w:sz w:val="16"/>
              </w:rPr>
              <w:t>Availability</w:t>
            </w:r>
          </w:p>
        </w:tc>
        <w:tc>
          <w:tcPr>
            <w:tcW w:type="dxa" w:w="2493"/>
            <w:tcMar>
              <w:top w:w="50" w:type="dxa"/>
              <w:bottom w:w="50" w:type="dxa"/>
              <w:left w:w="90" w:type="dxa"/>
              <w:right w:w="90" w:type="dxa"/>
            </w:tcMar>
          </w:tcPr>
          <w:p>
            <w:pPr>
              <w:pStyle w:val="BDOITable"/>
            </w:pPr>
            <w:r>
              <w:rPr>
                <w:sz w:val="16"/>
              </w:rPr>
              <w:t>99.9 % in service hours</w:t>
            </w:r>
          </w:p>
        </w:tc>
        <w:tc>
          <w:tcPr>
            <w:tcW w:type="dxa" w:w="6006"/>
            <w:tcMar>
              <w:top w:w="50" w:type="dxa"/>
              <w:bottom w:w="50" w:type="dxa"/>
              <w:left w:w="90" w:type="dxa"/>
              <w:right w:w="90" w:type="dxa"/>
            </w:tcMar>
          </w:tcPr>
          <w:p>
            <w:pPr>
              <w:pStyle w:val="BDOITable"/>
            </w:pPr>
            <w:r>
              <w:rPr>
                <w:sz w:val="16"/>
              </w:rPr>
              <w:t>Three availability zones; at least two pods per user-facing workload with disruption budgets; RDS Multi-AZ; Valkey primary and replica; three Kafka brokers; rolling updates with no unavailable pod</w:t>
            </w:r>
          </w:p>
        </w:tc>
      </w:tr>
      <w:tr>
        <w:trPr>
          <w:cantSplit w:val="true"/>
        </w:trPr>
        <w:tc>
          <w:tcPr>
            <w:tcW w:type="dxa" w:w="1473"/>
            <w:tcMar>
              <w:top w:w="50" w:type="dxa"/>
              <w:bottom w:w="50" w:type="dxa"/>
              <w:left w:w="90" w:type="dxa"/>
              <w:right w:w="90" w:type="dxa"/>
            </w:tcMar>
            <w:shd w:val="clear" w:color="auto" w:fill="E5F5FF"/>
          </w:tcPr>
          <w:p>
            <w:pPr>
              <w:pStyle w:val="BDOITable"/>
            </w:pPr>
            <w:r>
              <w:rPr>
                <w:b/>
                <w:sz w:val="16"/>
              </w:rPr>
              <w:t>Recoverability</w:t>
            </w:r>
          </w:p>
        </w:tc>
        <w:tc>
          <w:tcPr>
            <w:tcW w:type="dxa" w:w="2493"/>
            <w:tcMar>
              <w:top w:w="50" w:type="dxa"/>
              <w:bottom w:w="50" w:type="dxa"/>
              <w:left w:w="90" w:type="dxa"/>
              <w:right w:w="90" w:type="dxa"/>
            </w:tcMar>
            <w:shd w:val="clear" w:color="auto" w:fill="E5F5FF"/>
          </w:tcPr>
          <w:p>
            <w:pPr>
              <w:pStyle w:val="BDOITable"/>
            </w:pPr>
            <w:r>
              <w:rPr>
                <w:sz w:val="16"/>
              </w:rPr>
              <w:t>RPO 15 minutes, RTO 4 hours</w:t>
            </w:r>
          </w:p>
        </w:tc>
        <w:tc>
          <w:tcPr>
            <w:tcW w:type="dxa" w:w="6006"/>
            <w:tcMar>
              <w:top w:w="50" w:type="dxa"/>
              <w:bottom w:w="50" w:type="dxa"/>
              <w:left w:w="90" w:type="dxa"/>
              <w:right w:w="90" w:type="dxa"/>
            </w:tcMar>
            <w:shd w:val="clear" w:color="auto" w:fill="E5F5FF"/>
          </w:tcPr>
          <w:p>
            <w:pPr>
              <w:pStyle w:val="BDOITable"/>
            </w:pPr>
            <w:r>
              <w:rPr>
                <w:sz w:val="16"/>
              </w:rPr>
              <w:t>Point-in-time recovery, 4-hourly snapshots, cross-region read replica and S3 replication; outbox resends events; DR runbook and yearly failover test (Infrastructure Architecture, chapter 7)</w:t>
            </w:r>
          </w:p>
        </w:tc>
      </w:tr>
      <w:tr>
        <w:trPr>
          <w:cantSplit w:val="true"/>
        </w:trPr>
        <w:tc>
          <w:tcPr>
            <w:tcW w:type="dxa" w:w="1473"/>
            <w:tcMar>
              <w:top w:w="50" w:type="dxa"/>
              <w:bottom w:w="50" w:type="dxa"/>
              <w:left w:w="90" w:type="dxa"/>
              <w:right w:w="90" w:type="dxa"/>
            </w:tcMar>
          </w:tcPr>
          <w:p>
            <w:pPr>
              <w:pStyle w:val="BDOITable"/>
            </w:pPr>
            <w:r>
              <w:rPr>
                <w:b/>
                <w:sz w:val="16"/>
              </w:rPr>
              <w:t>Security</w:t>
            </w:r>
          </w:p>
        </w:tc>
        <w:tc>
          <w:tcPr>
            <w:tcW w:type="dxa" w:w="2493"/>
            <w:tcMar>
              <w:top w:w="50" w:type="dxa"/>
              <w:bottom w:w="50" w:type="dxa"/>
              <w:left w:w="90" w:type="dxa"/>
              <w:right w:w="90" w:type="dxa"/>
            </w:tcMar>
          </w:tcPr>
          <w:p>
            <w:pPr>
              <w:pStyle w:val="BDOITable"/>
            </w:pPr>
            <w:r>
              <w:rPr>
                <w:sz w:val="16"/>
              </w:rPr>
              <w:t>BDO security standards; BRD-11</w:t>
            </w:r>
          </w:p>
        </w:tc>
        <w:tc>
          <w:tcPr>
            <w:tcW w:type="dxa" w:w="6006"/>
            <w:tcMar>
              <w:top w:w="50" w:type="dxa"/>
              <w:bottom w:w="50" w:type="dxa"/>
              <w:left w:w="90" w:type="dxa"/>
              <w:right w:w="90" w:type="dxa"/>
            </w:tcMar>
          </w:tcPr>
          <w:p>
            <w:pPr>
              <w:pStyle w:val="BDOITable"/>
            </w:pPr>
            <w:r>
              <w:rPr>
                <w:sz w:val="16"/>
              </w:rPr>
              <w:t>SSO with EIAM, TOTP for privileged users, 15-minute access tokens, permissions on every operation, data scope, maker-checker and separation of duties, TLS on every hop, KMS encryption with BDOI keys, WAF, network policies, security gates in the pipeline</w:t>
            </w:r>
          </w:p>
        </w:tc>
      </w:tr>
      <w:tr>
        <w:trPr>
          <w:cantSplit w:val="true"/>
        </w:trPr>
        <w:tc>
          <w:tcPr>
            <w:tcW w:type="dxa" w:w="1473"/>
            <w:tcMar>
              <w:top w:w="50" w:type="dxa"/>
              <w:bottom w:w="50" w:type="dxa"/>
              <w:left w:w="90" w:type="dxa"/>
              <w:right w:w="90" w:type="dxa"/>
            </w:tcMar>
            <w:shd w:val="clear" w:color="auto" w:fill="E5F5FF"/>
          </w:tcPr>
          <w:p>
            <w:pPr>
              <w:pStyle w:val="BDOITable"/>
            </w:pPr>
            <w:r>
              <w:rPr>
                <w:b/>
                <w:sz w:val="16"/>
              </w:rPr>
              <w:t>Auditability</w:t>
            </w:r>
          </w:p>
        </w:tc>
        <w:tc>
          <w:tcPr>
            <w:tcW w:type="dxa" w:w="2493"/>
            <w:tcMar>
              <w:top w:w="50" w:type="dxa"/>
              <w:bottom w:w="50" w:type="dxa"/>
              <w:left w:w="90" w:type="dxa"/>
              <w:right w:w="90" w:type="dxa"/>
            </w:tcMar>
            <w:shd w:val="clear" w:color="auto" w:fill="E5F5FF"/>
          </w:tcPr>
          <w:p>
            <w:pPr>
              <w:pStyle w:val="BDOITable"/>
            </w:pPr>
            <w:r>
              <w:rPr>
                <w:sz w:val="16"/>
              </w:rPr>
              <w:t>Every change traceable</w:t>
            </w:r>
          </w:p>
        </w:tc>
        <w:tc>
          <w:tcPr>
            <w:tcW w:type="dxa" w:w="6006"/>
            <w:tcMar>
              <w:top w:w="50" w:type="dxa"/>
              <w:bottom w:w="50" w:type="dxa"/>
              <w:left w:w="90" w:type="dxa"/>
              <w:right w:w="90" w:type="dxa"/>
            </w:tcMar>
            <w:shd w:val="clear" w:color="auto" w:fill="E5F5FF"/>
          </w:tcPr>
          <w:p>
            <w:pPr>
              <w:pStyle w:val="BDOITable"/>
            </w:pPr>
            <w:r>
              <w:rPr>
                <w:sz w:val="16"/>
              </w:rPr>
              <w:t>Insert-only audit trail protected by database triggers, written in the same transaction; access change log; immutable ledger with reversal-only corrections; correlation identifier from request to event</w:t>
            </w:r>
          </w:p>
        </w:tc>
      </w:tr>
      <w:tr>
        <w:trPr>
          <w:cantSplit w:val="true"/>
        </w:trPr>
        <w:tc>
          <w:tcPr>
            <w:tcW w:type="dxa" w:w="1473"/>
            <w:tcMar>
              <w:top w:w="50" w:type="dxa"/>
              <w:bottom w:w="50" w:type="dxa"/>
              <w:left w:w="90" w:type="dxa"/>
              <w:right w:w="90" w:type="dxa"/>
            </w:tcMar>
          </w:tcPr>
          <w:p>
            <w:pPr>
              <w:pStyle w:val="BDOITable"/>
            </w:pPr>
            <w:r>
              <w:rPr>
                <w:b/>
                <w:sz w:val="16"/>
              </w:rPr>
              <w:t>Data integrity</w:t>
            </w:r>
          </w:p>
        </w:tc>
        <w:tc>
          <w:tcPr>
            <w:tcW w:type="dxa" w:w="2493"/>
            <w:tcMar>
              <w:top w:w="50" w:type="dxa"/>
              <w:bottom w:w="50" w:type="dxa"/>
              <w:left w:w="90" w:type="dxa"/>
              <w:right w:w="90" w:type="dxa"/>
            </w:tcMar>
          </w:tcPr>
          <w:p>
            <w:pPr>
              <w:pStyle w:val="BDOITable"/>
            </w:pPr>
            <w:r>
              <w:rPr>
                <w:sz w:val="16"/>
              </w:rPr>
              <w:t>Ledgers agree to the centavo</w:t>
            </w:r>
          </w:p>
        </w:tc>
        <w:tc>
          <w:tcPr>
            <w:tcW w:type="dxa" w:w="6006"/>
            <w:tcMar>
              <w:top w:w="50" w:type="dxa"/>
              <w:bottom w:w="50" w:type="dxa"/>
              <w:left w:w="90" w:type="dxa"/>
              <w:right w:w="90" w:type="dxa"/>
            </w:tcMar>
          </w:tcPr>
          <w:p>
            <w:pPr>
              <w:pStyle w:val="BDOITable"/>
            </w:pPr>
            <w:r>
              <w:rPr>
                <w:sz w:val="16"/>
              </w:rPr>
              <w:t>One transaction per business fact; balanced-journal invariant; optimistic locking (409 on a stale update); gapless document numbers; SHA-256 on every file</w:t>
            </w:r>
          </w:p>
        </w:tc>
      </w:tr>
      <w:tr>
        <w:trPr>
          <w:cantSplit w:val="true"/>
        </w:trPr>
        <w:tc>
          <w:tcPr>
            <w:tcW w:type="dxa" w:w="1473"/>
            <w:tcMar>
              <w:top w:w="50" w:type="dxa"/>
              <w:bottom w:w="50" w:type="dxa"/>
              <w:left w:w="90" w:type="dxa"/>
              <w:right w:w="90" w:type="dxa"/>
            </w:tcMar>
            <w:shd w:val="clear" w:color="auto" w:fill="E5F5FF"/>
          </w:tcPr>
          <w:p>
            <w:pPr>
              <w:pStyle w:val="BDOITable"/>
            </w:pPr>
            <w:r>
              <w:rPr>
                <w:b/>
                <w:sz w:val="16"/>
              </w:rPr>
              <w:t>Maintainability</w:t>
            </w:r>
          </w:p>
        </w:tc>
        <w:tc>
          <w:tcPr>
            <w:tcW w:type="dxa" w:w="2493"/>
            <w:tcMar>
              <w:top w:w="50" w:type="dxa"/>
              <w:bottom w:w="50" w:type="dxa"/>
              <w:left w:w="90" w:type="dxa"/>
              <w:right w:w="90" w:type="dxa"/>
            </w:tcMar>
            <w:shd w:val="clear" w:color="auto" w:fill="E5F5FF"/>
          </w:tcPr>
          <w:p>
            <w:pPr>
              <w:pStyle w:val="BDOITable"/>
            </w:pPr>
            <w:r>
              <w:rPr>
                <w:sz w:val="16"/>
              </w:rPr>
              <w:t>Support by BDOI IT and iorta TechNXT for 10+ years</w:t>
            </w:r>
          </w:p>
        </w:tc>
        <w:tc>
          <w:tcPr>
            <w:tcW w:type="dxa" w:w="6006"/>
            <w:tcMar>
              <w:top w:w="50" w:type="dxa"/>
              <w:bottom w:w="50" w:type="dxa"/>
              <w:left w:w="90" w:type="dxa"/>
              <w:right w:w="90" w:type="dxa"/>
            </w:tcMar>
            <w:shd w:val="clear" w:color="auto" w:fill="E5F5FF"/>
          </w:tcPr>
          <w:p>
            <w:pPr>
              <w:pStyle w:val="BDOITable"/>
            </w:pPr>
            <w:r>
              <w:rPr>
                <w:sz w:val="16"/>
              </w:rPr>
              <w:t>Same layout in every module; architecture rules and complexity limits enforced; Javadoc on public types; configuration instead of code changes</w:t>
            </w:r>
          </w:p>
        </w:tc>
      </w:tr>
      <w:tr>
        <w:trPr>
          <w:cantSplit w:val="true"/>
        </w:trPr>
        <w:tc>
          <w:tcPr>
            <w:tcW w:type="dxa" w:w="1473"/>
            <w:tcMar>
              <w:top w:w="50" w:type="dxa"/>
              <w:bottom w:w="50" w:type="dxa"/>
              <w:left w:w="90" w:type="dxa"/>
              <w:right w:w="90" w:type="dxa"/>
            </w:tcMar>
          </w:tcPr>
          <w:p>
            <w:pPr>
              <w:pStyle w:val="BDOITable"/>
            </w:pPr>
            <w:r>
              <w:rPr>
                <w:b/>
                <w:sz w:val="16"/>
              </w:rPr>
              <w:t>Operability</w:t>
            </w:r>
          </w:p>
        </w:tc>
        <w:tc>
          <w:tcPr>
            <w:tcW w:type="dxa" w:w="2493"/>
            <w:tcMar>
              <w:top w:w="50" w:type="dxa"/>
              <w:bottom w:w="50" w:type="dxa"/>
              <w:left w:w="90" w:type="dxa"/>
              <w:right w:w="90" w:type="dxa"/>
            </w:tcMar>
          </w:tcPr>
          <w:p>
            <w:pPr>
              <w:pStyle w:val="BDOITable"/>
            </w:pPr>
            <w:r>
              <w:rPr>
                <w:sz w:val="16"/>
              </w:rPr>
              <w:t>Supportable without the delivery team</w:t>
            </w:r>
          </w:p>
        </w:tc>
        <w:tc>
          <w:tcPr>
            <w:tcW w:type="dxa" w:w="6006"/>
            <w:tcMar>
              <w:top w:w="50" w:type="dxa"/>
              <w:bottom w:w="50" w:type="dxa"/>
              <w:left w:w="90" w:type="dxa"/>
              <w:right w:w="90" w:type="dxa"/>
            </w:tcMar>
          </w:tcPr>
          <w:p>
            <w:pPr>
              <w:pStyle w:val="BDOITable"/>
            </w:pPr>
            <w:r>
              <w:rPr>
                <w:sz w:val="16"/>
              </w:rPr>
              <w:t>Job monitor with run history, Integration Events screen, exception codes and alerts, health indicators, runbook per module</w:t>
            </w:r>
          </w:p>
        </w:tc>
      </w:tr>
      <w:tr>
        <w:trPr>
          <w:cantSplit w:val="true"/>
        </w:trPr>
        <w:tc>
          <w:tcPr>
            <w:tcW w:type="dxa" w:w="1473"/>
            <w:tcMar>
              <w:top w:w="50" w:type="dxa"/>
              <w:bottom w:w="50" w:type="dxa"/>
              <w:left w:w="90" w:type="dxa"/>
              <w:right w:w="90" w:type="dxa"/>
            </w:tcMar>
            <w:shd w:val="clear" w:color="auto" w:fill="E5F5FF"/>
          </w:tcPr>
          <w:p>
            <w:pPr>
              <w:pStyle w:val="BDOITable"/>
            </w:pPr>
            <w:r>
              <w:rPr>
                <w:b/>
                <w:sz w:val="16"/>
              </w:rPr>
              <w:t>Portability</w:t>
            </w:r>
          </w:p>
        </w:tc>
        <w:tc>
          <w:tcPr>
            <w:tcW w:type="dxa" w:w="2493"/>
            <w:tcMar>
              <w:top w:w="50" w:type="dxa"/>
              <w:bottom w:w="50" w:type="dxa"/>
              <w:left w:w="90" w:type="dxa"/>
              <w:right w:w="90" w:type="dxa"/>
            </w:tcMar>
            <w:shd w:val="clear" w:color="auto" w:fill="E5F5FF"/>
          </w:tcPr>
          <w:p>
            <w:pPr>
              <w:pStyle w:val="BDOITable"/>
            </w:pPr>
            <w:r>
              <w:rPr>
                <w:sz w:val="16"/>
              </w:rPr>
              <w:t>Managed Kubernetes and standard services</w:t>
            </w:r>
          </w:p>
        </w:tc>
        <w:tc>
          <w:tcPr>
            <w:tcW w:type="dxa" w:w="6006"/>
            <w:tcMar>
              <w:top w:w="50" w:type="dxa"/>
              <w:bottom w:w="50" w:type="dxa"/>
              <w:left w:w="90" w:type="dxa"/>
              <w:right w:w="90" w:type="dxa"/>
            </w:tcMar>
            <w:shd w:val="clear" w:color="auto" w:fill="E5F5FF"/>
          </w:tcPr>
          <w:p>
            <w:pPr>
              <w:pStyle w:val="BDOITable"/>
            </w:pPr>
            <w:r>
              <w:rPr>
                <w:sz w:val="16"/>
              </w:rPr>
              <w:t>Standard Kubernetes resources and Gateway API; PostgreSQL, Valkey and Kafka protocols; S3 interface</w:t>
            </w:r>
          </w:p>
        </w:tc>
      </w:tr>
      <w:tr>
        <w:trPr>
          <w:cantSplit w:val="true"/>
        </w:trPr>
        <w:tc>
          <w:tcPr>
            <w:tcW w:type="dxa" w:w="1473"/>
            <w:tcMar>
              <w:top w:w="50" w:type="dxa"/>
              <w:bottom w:w="50" w:type="dxa"/>
              <w:left w:w="90" w:type="dxa"/>
              <w:right w:w="90" w:type="dxa"/>
            </w:tcMar>
          </w:tcPr>
          <w:p>
            <w:pPr>
              <w:pStyle w:val="BDOITable"/>
            </w:pPr>
            <w:r>
              <w:rPr>
                <w:b/>
                <w:sz w:val="16"/>
              </w:rPr>
              <w:t>Usability and accessibility</w:t>
            </w:r>
          </w:p>
        </w:tc>
        <w:tc>
          <w:tcPr>
            <w:tcW w:type="dxa" w:w="2493"/>
            <w:tcMar>
              <w:top w:w="50" w:type="dxa"/>
              <w:bottom w:w="50" w:type="dxa"/>
              <w:left w:w="90" w:type="dxa"/>
              <w:right w:w="90" w:type="dxa"/>
            </w:tcMar>
          </w:tcPr>
          <w:p>
            <w:pPr>
              <w:pStyle w:val="BDOITable"/>
            </w:pPr>
            <w:r>
              <w:rPr>
                <w:sz w:val="16"/>
              </w:rPr>
              <w:t>BDO UX guidelines; WCAG</w:t>
            </w:r>
          </w:p>
        </w:tc>
        <w:tc>
          <w:tcPr>
            <w:tcW w:type="dxa" w:w="6006"/>
            <w:tcMar>
              <w:top w:w="50" w:type="dxa"/>
              <w:bottom w:w="50" w:type="dxa"/>
              <w:left w:w="90" w:type="dxa"/>
              <w:right w:w="90" w:type="dxa"/>
            </w:tcMar>
          </w:tcPr>
          <w:p>
            <w:pPr>
              <w:pStyle w:val="BDOITable"/>
            </w:pPr>
            <w:r>
              <w:rPr>
                <w:sz w:val="16"/>
              </w:rPr>
              <w:t>One design system and theme; accessibility rules checked by the web client linter (jsx-a11y strict)</w:t>
            </w:r>
          </w:p>
        </w:tc>
      </w:tr>
    </w:tbl>
    <w:p>
      <w:pPr>
        <w:pStyle w:val="BDOISpacer"/>
      </w:pPr>
    </w:p>
    <w:p>
      <w:pPr>
        <w:pStyle w:val="Heading1"/>
        <w:pBdr>
          <w:bottom w:val="single" w:sz="4" w:space="4" w:color="99C1E7"/>
        </w:pBdr>
      </w:pPr>
      <w:bookmarkStart w:id="137" w:name="_Toc000137"/>
      <w:r>
        <w:rPr/>
        <w:t>12 Security architecture summary</w:t>
      </w:r>
      <w:bookmarkEnd w:id="137"/>
    </w:p>
    <w:p>
      <w:r>
        <w:rPr/>
        <w:t>Security is part of every chapter; the essentials for the Information Security Office:</w:t>
      </w:r>
    </w:p>
    <w:p>
      <w:pPr>
        <w:tabs>
          <w:tab w:pos="312" w:val="left"/>
        </w:tabs>
        <w:spacing w:after="40"/>
        <w:ind w:left="312" w:hanging="283"/>
      </w:pPr>
      <w:r>
        <w:rPr>
          <w:color w:val="004EA8"/>
        </w:rPr>
        <w:t>•</w:t>
        <w:tab/>
      </w:r>
      <w:r>
        <w:rPr>
          <w:b/>
        </w:rPr>
        <w:t>Identity.</w:t>
      </w:r>
      <w:r>
        <w:rPr/>
        <w:t xml:space="preserve"> Single sign-on with EIAM by OpenID Connect (SAML 2.0 supported); identities linked to existing active BIBS users only; break-glass administrators with a local password and TOTP (ADR-09). Accounts provisioned from UIDM-ISC (ADR-10, proposed).</w:t>
      </w:r>
    </w:p>
    <w:p>
      <w:pPr>
        <w:tabs>
          <w:tab w:pos="312" w:val="left"/>
        </w:tabs>
        <w:spacing w:after="40"/>
        <w:ind w:left="312" w:hanging="283"/>
      </w:pPr>
      <w:r>
        <w:rPr>
          <w:color w:val="004EA8"/>
        </w:rPr>
        <w:t>•</w:t>
        <w:tab/>
      </w:r>
      <w:r>
        <w:rPr>
          <w:b/>
        </w:rPr>
        <w:t>Authorization.</w:t>
      </w:r>
      <w:r>
        <w:rPr/>
        <w:t xml:space="preserve"> Fine-grained permissions on every operation (282 permission codes in use), roles as permission bundles granted through access requests under four eyes; company and branch data scope (ADR-08); maker-checker and authorization limits; separation-of-duties rules.</w:t>
      </w:r>
    </w:p>
    <w:p>
      <w:pPr>
        <w:tabs>
          <w:tab w:pos="312" w:val="left"/>
        </w:tabs>
        <w:spacing w:after="40"/>
        <w:ind w:left="312" w:hanging="283"/>
      </w:pPr>
      <w:r>
        <w:rPr>
          <w:color w:val="004EA8"/>
        </w:rPr>
        <w:t>•</w:t>
        <w:tab/>
      </w:r>
      <w:r>
        <w:rPr>
          <w:b/>
        </w:rPr>
        <w:t>Sessions.</w:t>
      </w:r>
      <w:r>
        <w:rPr/>
        <w:t xml:space="preserve"> Access token of 15 minutes (security parameter, 5 to 60), refresh cookie rotated on every renewal and bound to the session, inactivity time-out and an absolute end after 8 hours; sign-out ends the session at once; tokens refused when the session cannot be checked.</w:t>
      </w:r>
    </w:p>
    <w:p>
      <w:pPr>
        <w:tabs>
          <w:tab w:pos="312" w:val="left"/>
        </w:tabs>
        <w:spacing w:after="40"/>
        <w:ind w:left="312" w:hanging="283"/>
      </w:pPr>
      <w:r>
        <w:rPr>
          <w:color w:val="004EA8"/>
        </w:rPr>
        <w:t>•</w:t>
        <w:tab/>
      </w:r>
      <w:r>
        <w:rPr>
          <w:b/>
        </w:rPr>
        <w:t>Data protection.</w:t>
      </w:r>
      <w:r>
        <w:rPr/>
        <w:t xml:space="preserve"> TLS 1.2 or higher on every hop; RDS, S3, Valkey, MSK and backups encrypted with BDOI-owned KMS keys; personal data masked outside production; no personal data in object keys or event payloads.</w:t>
      </w:r>
    </w:p>
    <w:p>
      <w:pPr>
        <w:tabs>
          <w:tab w:pos="312" w:val="left"/>
        </w:tabs>
        <w:spacing w:after="120"/>
        <w:ind w:left="312" w:hanging="283"/>
      </w:pPr>
      <w:r>
        <w:rPr>
          <w:color w:val="004EA8"/>
        </w:rPr>
        <w:t>•</w:t>
        <w:tab/>
      </w:r>
      <w:r>
        <w:rPr>
          <w:b/>
        </w:rPr>
        <w:t>Assurance.</w:t>
      </w:r>
      <w:r>
        <w:rPr/>
        <w:t xml:space="preserve"> Security gates in every pipeline run (ADR-13) with time-boxed exceptions (ADR-14); penetration test on Pre-Prod in November - December 2027 (IQ35).</w:t>
      </w:r>
    </w:p>
    <w:p>
      <w:pPr>
        <w:pStyle w:val="Heading1"/>
        <w:pBdr>
          <w:bottom w:val="single" w:sz="4" w:space="4" w:color="99C1E7"/>
        </w:pBdr>
      </w:pPr>
      <w:bookmarkStart w:id="138" w:name="_Toc000138"/>
      <w:r>
        <w:rPr/>
        <w:t>13 Roles and responsibilities</w:t>
      </w:r>
      <w:bookmarkEnd w:id="138"/>
    </w:p>
    <w:p>
      <w:pPr>
        <w:pStyle w:val="Caption"/>
        <w:keepNext/>
        <w:spacing w:after="60"/>
      </w:pPr>
      <w:r>
        <w:rPr>
          <w:b/>
          <w:i w:val="0"/>
        </w:rPr>
        <w:t xml:space="preserve">Table 21: </w:t>
      </w:r>
      <w:r>
        <w:rPr/>
        <w:t>Architecture responsibilities (R responsible, A accountable, C consulted, I informed)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73"/>
        <w:gridCol w:w="1133"/>
        <w:gridCol w:w="1133"/>
        <w:gridCol w:w="1133"/>
        <w:gridCol w:w="1133"/>
        <w:gridCol w:w="1133"/>
        <w:gridCol w:w="1133"/>
      </w:tblGrid>
      <w:tr>
        <w:trPr>
          <w:tblHeader w:val="true"/>
          <w:cantSplit w:val="true"/>
        </w:trPr>
        <w:tc>
          <w:tcPr>
            <w:tcW w:type="dxa" w:w="3173"/>
            <w:shd w:val="clear" w:color="auto" w:fill="004EA8"/>
            <w:tcMar>
              <w:top w:w="50" w:type="dxa"/>
              <w:bottom w:w="50" w:type="dxa"/>
              <w:left w:w="90" w:type="dxa"/>
              <w:right w:w="90" w:type="dxa"/>
            </w:tcMar>
            <w:vAlign w:val="center"/>
          </w:tcPr>
          <w:p>
            <w:pPr>
              <w:pStyle w:val="BDOITableHeader"/>
            </w:pPr>
            <w:r>
              <w:rPr>
                <w:b/>
                <w:color w:val="FFFFFF"/>
                <w:sz w:val="16"/>
              </w:rPr>
              <w:t>Activity</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6"/>
              </w:rPr>
              <w:t>BDOI Enterprise Architecture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6"/>
              </w:rPr>
              <w:t>BDOI IT Security</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6"/>
              </w:rPr>
              <w:t>BDOI IT Cloud</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6"/>
              </w:rPr>
              <w:t>BDOI business owners</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6"/>
              </w:rPr>
              <w:t>iorta TechNXT Solution Architect</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6"/>
              </w:rPr>
              <w:t>iorta TechNXT Tech Lead</w:t>
            </w:r>
          </w:p>
        </w:tc>
      </w:tr>
      <w:tr>
        <w:trPr>
          <w:cantSplit w:val="true"/>
        </w:trPr>
        <w:tc>
          <w:tcPr>
            <w:tcW w:type="dxa" w:w="3173"/>
            <w:tcMar>
              <w:top w:w="50" w:type="dxa"/>
              <w:bottom w:w="50" w:type="dxa"/>
              <w:left w:w="90" w:type="dxa"/>
              <w:right w:w="90" w:type="dxa"/>
            </w:tcMar>
          </w:tcPr>
          <w:p>
            <w:pPr>
              <w:pStyle w:val="BDOITable"/>
            </w:pPr>
            <w:r>
              <w:rPr>
                <w:b/>
                <w:sz w:val="16"/>
              </w:rPr>
              <w:t>Architecture decisions (ADR)</w:t>
            </w:r>
          </w:p>
        </w:tc>
        <w:tc>
          <w:tcPr>
            <w:tcW w:type="dxa" w:w="1133"/>
            <w:tcMar>
              <w:top w:w="50" w:type="dxa"/>
              <w:bottom w:w="50" w:type="dxa"/>
              <w:left w:w="90" w:type="dxa"/>
              <w:right w:w="90" w:type="dxa"/>
            </w:tcMar>
          </w:tcPr>
          <w:p>
            <w:pPr>
              <w:pStyle w:val="BDOITable"/>
            </w:pPr>
            <w:r>
              <w:rPr>
                <w:sz w:val="16"/>
              </w:rPr>
              <w:t>A</w:t>
            </w:r>
          </w:p>
        </w:tc>
        <w:tc>
          <w:tcPr>
            <w:tcW w:type="dxa" w:w="1133"/>
            <w:tcMar>
              <w:top w:w="50" w:type="dxa"/>
              <w:bottom w:w="50" w:type="dxa"/>
              <w:left w:w="90" w:type="dxa"/>
              <w:right w:w="90" w:type="dxa"/>
            </w:tcMar>
          </w:tcPr>
          <w:p>
            <w:pPr>
              <w:pStyle w:val="BDOITable"/>
            </w:pPr>
            <w:r>
              <w:rPr>
                <w:sz w:val="16"/>
              </w:rPr>
              <w:t>C</w:t>
            </w:r>
          </w:p>
        </w:tc>
        <w:tc>
          <w:tcPr>
            <w:tcW w:type="dxa" w:w="1133"/>
            <w:tcMar>
              <w:top w:w="50" w:type="dxa"/>
              <w:bottom w:w="50" w:type="dxa"/>
              <w:left w:w="90" w:type="dxa"/>
              <w:right w:w="90" w:type="dxa"/>
            </w:tcMar>
          </w:tcPr>
          <w:p>
            <w:pPr>
              <w:pStyle w:val="BDOITable"/>
            </w:pPr>
            <w:r>
              <w:rPr>
                <w:sz w:val="16"/>
              </w:rPr>
              <w:t>C</w:t>
            </w:r>
          </w:p>
        </w:tc>
        <w:tc>
          <w:tcPr>
            <w:tcW w:type="dxa" w:w="1133"/>
            <w:tcMar>
              <w:top w:w="50" w:type="dxa"/>
              <w:bottom w:w="50" w:type="dxa"/>
              <w:left w:w="90" w:type="dxa"/>
              <w:right w:w="90" w:type="dxa"/>
            </w:tcMar>
          </w:tcPr>
          <w:p>
            <w:pPr>
              <w:pStyle w:val="BDOITable"/>
            </w:pPr>
            <w:r>
              <w:rPr>
                <w:sz w:val="16"/>
              </w:rPr>
              <w:t>I</w:t>
            </w:r>
          </w:p>
        </w:tc>
        <w:tc>
          <w:tcPr>
            <w:tcW w:type="dxa" w:w="1133"/>
            <w:tcMar>
              <w:top w:w="50" w:type="dxa"/>
              <w:bottom w:w="50" w:type="dxa"/>
              <w:left w:w="90" w:type="dxa"/>
              <w:right w:w="90" w:type="dxa"/>
            </w:tcMar>
          </w:tcPr>
          <w:p>
            <w:pPr>
              <w:pStyle w:val="BDOITable"/>
            </w:pPr>
            <w:r>
              <w:rPr>
                <w:sz w:val="16"/>
              </w:rPr>
              <w:t>R</w:t>
            </w:r>
          </w:p>
        </w:tc>
        <w:tc>
          <w:tcPr>
            <w:tcW w:type="dxa" w:w="1133"/>
            <w:tcMar>
              <w:top w:w="50" w:type="dxa"/>
              <w:bottom w:w="50" w:type="dxa"/>
              <w:left w:w="90" w:type="dxa"/>
              <w:right w:w="90" w:type="dxa"/>
            </w:tcMar>
          </w:tcPr>
          <w:p>
            <w:pPr>
              <w:pStyle w:val="BDOITable"/>
            </w:pPr>
            <w:r>
              <w:rPr>
                <w:sz w:val="16"/>
              </w:rPr>
              <w:t>C</w:t>
            </w:r>
          </w:p>
        </w:tc>
      </w:tr>
      <w:tr>
        <w:trPr>
          <w:cantSplit w:val="true"/>
        </w:trPr>
        <w:tc>
          <w:tcPr>
            <w:tcW w:type="dxa" w:w="3173"/>
            <w:tcMar>
              <w:top w:w="50" w:type="dxa"/>
              <w:bottom w:w="50" w:type="dxa"/>
              <w:left w:w="90" w:type="dxa"/>
              <w:right w:w="90" w:type="dxa"/>
            </w:tcMar>
            <w:shd w:val="clear" w:color="auto" w:fill="E5F5FF"/>
          </w:tcPr>
          <w:p>
            <w:pPr>
              <w:pStyle w:val="BDOITable"/>
            </w:pPr>
            <w:r>
              <w:rPr>
                <w:b/>
                <w:sz w:val="16"/>
              </w:rPr>
              <w:t>Component baseline and annual technology review</w:t>
            </w:r>
          </w:p>
        </w:tc>
        <w:tc>
          <w:tcPr>
            <w:tcW w:type="dxa" w:w="1133"/>
            <w:tcMar>
              <w:top w:w="50" w:type="dxa"/>
              <w:bottom w:w="50" w:type="dxa"/>
              <w:left w:w="90" w:type="dxa"/>
              <w:right w:w="90" w:type="dxa"/>
            </w:tcMar>
            <w:shd w:val="clear" w:color="auto" w:fill="E5F5FF"/>
          </w:tcPr>
          <w:p>
            <w:pPr>
              <w:pStyle w:val="BDOITable"/>
            </w:pPr>
            <w:r>
              <w:rPr>
                <w:sz w:val="16"/>
              </w:rPr>
              <w:t>A</w:t>
            </w:r>
          </w:p>
        </w:tc>
        <w:tc>
          <w:tcPr>
            <w:tcW w:type="dxa" w:w="1133"/>
            <w:tcMar>
              <w:top w:w="50" w:type="dxa"/>
              <w:bottom w:w="50" w:type="dxa"/>
              <w:left w:w="90" w:type="dxa"/>
              <w:right w:w="90" w:type="dxa"/>
            </w:tcMar>
            <w:shd w:val="clear" w:color="auto" w:fill="E5F5FF"/>
          </w:tcPr>
          <w:p>
            <w:pPr>
              <w:pStyle w:val="BDOITable"/>
            </w:pPr>
            <w:r>
              <w:rPr>
                <w:sz w:val="16"/>
              </w:rPr>
              <w:t>C</w:t>
            </w:r>
          </w:p>
        </w:tc>
        <w:tc>
          <w:tcPr>
            <w:tcW w:type="dxa" w:w="1133"/>
            <w:tcMar>
              <w:top w:w="50" w:type="dxa"/>
              <w:bottom w:w="50" w:type="dxa"/>
              <w:left w:w="90" w:type="dxa"/>
              <w:right w:w="90" w:type="dxa"/>
            </w:tcMar>
            <w:shd w:val="clear" w:color="auto" w:fill="E5F5FF"/>
          </w:tcPr>
          <w:p>
            <w:pPr>
              <w:pStyle w:val="BDOITable"/>
            </w:pPr>
            <w:r>
              <w:rPr>
                <w:sz w:val="16"/>
              </w:rPr>
              <w:t>C</w:t>
            </w:r>
          </w:p>
        </w:tc>
        <w:tc>
          <w:tcPr>
            <w:tcW w:type="dxa" w:w="1133"/>
            <w:tcMar>
              <w:top w:w="50" w:type="dxa"/>
              <w:bottom w:w="50" w:type="dxa"/>
              <w:left w:w="90" w:type="dxa"/>
              <w:right w:w="90" w:type="dxa"/>
            </w:tcMar>
            <w:shd w:val="clear" w:color="auto" w:fill="E5F5FF"/>
          </w:tcPr>
          <w:p>
            <w:pPr>
              <w:pStyle w:val="BDOITable"/>
            </w:pPr>
            <w:r>
              <w:rPr>
                <w:sz w:val="16"/>
              </w:rPr>
              <w:t>I</w:t>
            </w:r>
          </w:p>
        </w:tc>
        <w:tc>
          <w:tcPr>
            <w:tcW w:type="dxa" w:w="1133"/>
            <w:tcMar>
              <w:top w:w="50" w:type="dxa"/>
              <w:bottom w:w="50" w:type="dxa"/>
              <w:left w:w="90" w:type="dxa"/>
              <w:right w:w="90" w:type="dxa"/>
            </w:tcMar>
            <w:shd w:val="clear" w:color="auto" w:fill="E5F5FF"/>
          </w:tcPr>
          <w:p>
            <w:pPr>
              <w:pStyle w:val="BDOITable"/>
            </w:pPr>
            <w:r>
              <w:rPr>
                <w:sz w:val="16"/>
              </w:rPr>
              <w:t>R</w:t>
            </w:r>
          </w:p>
        </w:tc>
        <w:tc>
          <w:tcPr>
            <w:tcW w:type="dxa" w:w="1133"/>
            <w:tcMar>
              <w:top w:w="50" w:type="dxa"/>
              <w:bottom w:w="50" w:type="dxa"/>
              <w:left w:w="90" w:type="dxa"/>
              <w:right w:w="90" w:type="dxa"/>
            </w:tcMar>
            <w:shd w:val="clear" w:color="auto" w:fill="E5F5FF"/>
          </w:tcPr>
          <w:p>
            <w:pPr>
              <w:pStyle w:val="BDOITable"/>
            </w:pPr>
            <w:r>
              <w:rPr>
                <w:sz w:val="16"/>
              </w:rPr>
              <w:t>R</w:t>
            </w:r>
          </w:p>
        </w:tc>
      </w:tr>
      <w:tr>
        <w:trPr>
          <w:cantSplit w:val="true"/>
        </w:trPr>
        <w:tc>
          <w:tcPr>
            <w:tcW w:type="dxa" w:w="3173"/>
            <w:tcMar>
              <w:top w:w="50" w:type="dxa"/>
              <w:bottom w:w="50" w:type="dxa"/>
              <w:left w:w="90" w:type="dxa"/>
              <w:right w:w="90" w:type="dxa"/>
            </w:tcMar>
          </w:tcPr>
          <w:p>
            <w:pPr>
              <w:pStyle w:val="BDOITable"/>
            </w:pPr>
            <w:r>
              <w:rPr>
                <w:b/>
                <w:sz w:val="16"/>
              </w:rPr>
              <w:t>Security architecture and exceptions</w:t>
            </w:r>
          </w:p>
        </w:tc>
        <w:tc>
          <w:tcPr>
            <w:tcW w:type="dxa" w:w="1133"/>
            <w:tcMar>
              <w:top w:w="50" w:type="dxa"/>
              <w:bottom w:w="50" w:type="dxa"/>
              <w:left w:w="90" w:type="dxa"/>
              <w:right w:w="90" w:type="dxa"/>
            </w:tcMar>
          </w:tcPr>
          <w:p>
            <w:pPr>
              <w:pStyle w:val="BDOITable"/>
            </w:pPr>
            <w:r>
              <w:rPr>
                <w:sz w:val="16"/>
              </w:rPr>
              <w:t>C</w:t>
            </w:r>
          </w:p>
        </w:tc>
        <w:tc>
          <w:tcPr>
            <w:tcW w:type="dxa" w:w="1133"/>
            <w:tcMar>
              <w:top w:w="50" w:type="dxa"/>
              <w:bottom w:w="50" w:type="dxa"/>
              <w:left w:w="90" w:type="dxa"/>
              <w:right w:w="90" w:type="dxa"/>
            </w:tcMar>
          </w:tcPr>
          <w:p>
            <w:pPr>
              <w:pStyle w:val="BDOITable"/>
            </w:pPr>
            <w:r>
              <w:rPr>
                <w:sz w:val="16"/>
              </w:rPr>
              <w:t>A</w:t>
            </w:r>
          </w:p>
        </w:tc>
        <w:tc>
          <w:tcPr>
            <w:tcW w:type="dxa" w:w="1133"/>
            <w:tcMar>
              <w:top w:w="50" w:type="dxa"/>
              <w:bottom w:w="50" w:type="dxa"/>
              <w:left w:w="90" w:type="dxa"/>
              <w:right w:w="90" w:type="dxa"/>
            </w:tcMar>
          </w:tcPr>
          <w:p>
            <w:pPr>
              <w:pStyle w:val="BDOITable"/>
            </w:pPr>
            <w:r>
              <w:rPr>
                <w:sz w:val="16"/>
              </w:rPr>
              <w:t>C</w:t>
            </w:r>
          </w:p>
        </w:tc>
        <w:tc>
          <w:tcPr>
            <w:tcW w:type="dxa" w:w="1133"/>
            <w:tcMar>
              <w:top w:w="50" w:type="dxa"/>
              <w:bottom w:w="50" w:type="dxa"/>
              <w:left w:w="90" w:type="dxa"/>
              <w:right w:w="90" w:type="dxa"/>
            </w:tcMar>
          </w:tcPr>
          <w:p>
            <w:pPr>
              <w:pStyle w:val="BDOITable"/>
            </w:pPr>
            <w:r>
              <w:rPr>
                <w:sz w:val="16"/>
              </w:rPr>
              <w:t>I</w:t>
            </w:r>
          </w:p>
        </w:tc>
        <w:tc>
          <w:tcPr>
            <w:tcW w:type="dxa" w:w="1133"/>
            <w:tcMar>
              <w:top w:w="50" w:type="dxa"/>
              <w:bottom w:w="50" w:type="dxa"/>
              <w:left w:w="90" w:type="dxa"/>
              <w:right w:w="90" w:type="dxa"/>
            </w:tcMar>
          </w:tcPr>
          <w:p>
            <w:pPr>
              <w:pStyle w:val="BDOITable"/>
            </w:pPr>
            <w:r>
              <w:rPr>
                <w:sz w:val="16"/>
              </w:rPr>
              <w:t>R</w:t>
            </w:r>
          </w:p>
        </w:tc>
        <w:tc>
          <w:tcPr>
            <w:tcW w:type="dxa" w:w="1133"/>
            <w:tcMar>
              <w:top w:w="50" w:type="dxa"/>
              <w:bottom w:w="50" w:type="dxa"/>
              <w:left w:w="90" w:type="dxa"/>
              <w:right w:w="90" w:type="dxa"/>
            </w:tcMar>
          </w:tcPr>
          <w:p>
            <w:pPr>
              <w:pStyle w:val="BDOITable"/>
            </w:pPr>
            <w:r>
              <w:rPr>
                <w:sz w:val="16"/>
              </w:rPr>
              <w:t>R</w:t>
            </w:r>
          </w:p>
        </w:tc>
      </w:tr>
      <w:tr>
        <w:trPr>
          <w:cantSplit w:val="true"/>
        </w:trPr>
        <w:tc>
          <w:tcPr>
            <w:tcW w:type="dxa" w:w="3173"/>
            <w:tcMar>
              <w:top w:w="50" w:type="dxa"/>
              <w:bottom w:w="50" w:type="dxa"/>
              <w:left w:w="90" w:type="dxa"/>
              <w:right w:w="90" w:type="dxa"/>
            </w:tcMar>
            <w:shd w:val="clear" w:color="auto" w:fill="E5F5FF"/>
          </w:tcPr>
          <w:p>
            <w:pPr>
              <w:pStyle w:val="BDOITable"/>
            </w:pPr>
            <w:r>
              <w:rPr>
                <w:b/>
                <w:sz w:val="16"/>
              </w:rPr>
              <w:t>Bounded contexts and module boundaries</w:t>
            </w:r>
          </w:p>
        </w:tc>
        <w:tc>
          <w:tcPr>
            <w:tcW w:type="dxa" w:w="1133"/>
            <w:tcMar>
              <w:top w:w="50" w:type="dxa"/>
              <w:bottom w:w="50" w:type="dxa"/>
              <w:left w:w="90" w:type="dxa"/>
              <w:right w:w="90" w:type="dxa"/>
            </w:tcMar>
            <w:shd w:val="clear" w:color="auto" w:fill="E5F5FF"/>
          </w:tcPr>
          <w:p>
            <w:pPr>
              <w:pStyle w:val="BDOITable"/>
            </w:pPr>
            <w:r>
              <w:rPr>
                <w:sz w:val="16"/>
              </w:rPr>
              <w:t>I</w:t>
            </w:r>
          </w:p>
        </w:tc>
        <w:tc>
          <w:tcPr>
            <w:tcW w:type="dxa" w:w="1133"/>
            <w:tcMar>
              <w:top w:w="50" w:type="dxa"/>
              <w:bottom w:w="50" w:type="dxa"/>
              <w:left w:w="90" w:type="dxa"/>
              <w:right w:w="90" w:type="dxa"/>
            </w:tcMar>
            <w:shd w:val="clear" w:color="auto" w:fill="E5F5FF"/>
          </w:tcPr>
          <w:p>
            <w:pPr>
              <w:pStyle w:val="BDOITable"/>
            </w:pPr>
            <w:r>
              <w:rPr>
                <w:sz w:val="16"/>
              </w:rPr>
              <w:t>I</w:t>
            </w:r>
          </w:p>
        </w:tc>
        <w:tc>
          <w:tcPr>
            <w:tcW w:type="dxa" w:w="1133"/>
            <w:tcMar>
              <w:top w:w="50" w:type="dxa"/>
              <w:bottom w:w="50" w:type="dxa"/>
              <w:left w:w="90" w:type="dxa"/>
              <w:right w:w="90" w:type="dxa"/>
            </w:tcMar>
            <w:shd w:val="clear" w:color="auto" w:fill="E5F5FF"/>
          </w:tcPr>
          <w:p>
            <w:pPr>
              <w:pStyle w:val="BDOITable"/>
            </w:pPr>
            <w:r>
              <w:rPr>
                <w:sz w:val="16"/>
              </w:rPr>
              <w:t>I</w:t>
            </w:r>
          </w:p>
        </w:tc>
        <w:tc>
          <w:tcPr>
            <w:tcW w:type="dxa" w:w="1133"/>
            <w:tcMar>
              <w:top w:w="50" w:type="dxa"/>
              <w:bottom w:w="50" w:type="dxa"/>
              <w:left w:w="90" w:type="dxa"/>
              <w:right w:w="90" w:type="dxa"/>
            </w:tcMar>
            <w:shd w:val="clear" w:color="auto" w:fill="E5F5FF"/>
          </w:tcPr>
          <w:p>
            <w:pPr>
              <w:pStyle w:val="BDOITable"/>
            </w:pPr>
            <w:r>
              <w:rPr>
                <w:sz w:val="16"/>
              </w:rPr>
              <w:t>C</w:t>
            </w:r>
          </w:p>
        </w:tc>
        <w:tc>
          <w:tcPr>
            <w:tcW w:type="dxa" w:w="1133"/>
            <w:tcMar>
              <w:top w:w="50" w:type="dxa"/>
              <w:bottom w:w="50" w:type="dxa"/>
              <w:left w:w="90" w:type="dxa"/>
              <w:right w:w="90" w:type="dxa"/>
            </w:tcMar>
            <w:shd w:val="clear" w:color="auto" w:fill="E5F5FF"/>
          </w:tcPr>
          <w:p>
            <w:pPr>
              <w:pStyle w:val="BDOITable"/>
            </w:pPr>
            <w:r>
              <w:rPr>
                <w:sz w:val="16"/>
              </w:rPr>
              <w:t>A</w:t>
            </w:r>
          </w:p>
        </w:tc>
        <w:tc>
          <w:tcPr>
            <w:tcW w:type="dxa" w:w="1133"/>
            <w:tcMar>
              <w:top w:w="50" w:type="dxa"/>
              <w:bottom w:w="50" w:type="dxa"/>
              <w:left w:w="90" w:type="dxa"/>
              <w:right w:w="90" w:type="dxa"/>
            </w:tcMar>
            <w:shd w:val="clear" w:color="auto" w:fill="E5F5FF"/>
          </w:tcPr>
          <w:p>
            <w:pPr>
              <w:pStyle w:val="BDOITable"/>
            </w:pPr>
            <w:r>
              <w:rPr>
                <w:sz w:val="16"/>
              </w:rPr>
              <w:t>R</w:t>
            </w:r>
          </w:p>
        </w:tc>
      </w:tr>
      <w:tr>
        <w:trPr>
          <w:cantSplit w:val="true"/>
        </w:trPr>
        <w:tc>
          <w:tcPr>
            <w:tcW w:type="dxa" w:w="3173"/>
            <w:tcMar>
              <w:top w:w="50" w:type="dxa"/>
              <w:bottom w:w="50" w:type="dxa"/>
              <w:left w:w="90" w:type="dxa"/>
              <w:right w:w="90" w:type="dxa"/>
            </w:tcMar>
          </w:tcPr>
          <w:p>
            <w:pPr>
              <w:pStyle w:val="BDOITable"/>
            </w:pPr>
            <w:r>
              <w:rPr>
                <w:b/>
                <w:sz w:val="16"/>
              </w:rPr>
              <w:t>Business rules as configuration (values)</w:t>
            </w:r>
          </w:p>
        </w:tc>
        <w:tc>
          <w:tcPr>
            <w:tcW w:type="dxa" w:w="1133"/>
            <w:tcMar>
              <w:top w:w="50" w:type="dxa"/>
              <w:bottom w:w="50" w:type="dxa"/>
              <w:left w:w="90" w:type="dxa"/>
              <w:right w:w="90" w:type="dxa"/>
            </w:tcMar>
          </w:tcPr>
          <w:p>
            <w:pPr>
              <w:pStyle w:val="BDOITable"/>
            </w:pPr>
            <w:r>
              <w:rPr>
                <w:sz w:val="16"/>
              </w:rPr>
              <w:t>I</w:t>
            </w:r>
          </w:p>
        </w:tc>
        <w:tc>
          <w:tcPr>
            <w:tcW w:type="dxa" w:w="1133"/>
            <w:tcMar>
              <w:top w:w="50" w:type="dxa"/>
              <w:bottom w:w="50" w:type="dxa"/>
              <w:left w:w="90" w:type="dxa"/>
              <w:right w:w="90" w:type="dxa"/>
            </w:tcMar>
          </w:tcPr>
          <w:p>
            <w:pPr>
              <w:pStyle w:val="BDOITable"/>
            </w:pPr>
            <w:r>
              <w:rPr>
                <w:sz w:val="16"/>
              </w:rPr>
              <w:t>I</w:t>
            </w:r>
          </w:p>
        </w:tc>
        <w:tc>
          <w:tcPr>
            <w:tcW w:type="dxa" w:w="1133"/>
            <w:tcMar>
              <w:top w:w="50" w:type="dxa"/>
              <w:bottom w:w="50" w:type="dxa"/>
              <w:left w:w="90" w:type="dxa"/>
              <w:right w:w="90" w:type="dxa"/>
            </w:tcMar>
          </w:tcPr>
          <w:p>
            <w:pPr>
              <w:pStyle w:val="BDOITable"/>
            </w:pPr>
            <w:r>
              <w:rPr>
                <w:sz w:val="16"/>
              </w:rPr>
              <w:t>I</w:t>
            </w:r>
          </w:p>
        </w:tc>
        <w:tc>
          <w:tcPr>
            <w:tcW w:type="dxa" w:w="1133"/>
            <w:tcMar>
              <w:top w:w="50" w:type="dxa"/>
              <w:bottom w:w="50" w:type="dxa"/>
              <w:left w:w="90" w:type="dxa"/>
              <w:right w:w="90" w:type="dxa"/>
            </w:tcMar>
          </w:tcPr>
          <w:p>
            <w:pPr>
              <w:pStyle w:val="BDOITable"/>
            </w:pPr>
            <w:r>
              <w:rPr>
                <w:sz w:val="16"/>
              </w:rPr>
              <w:t>A</w:t>
            </w:r>
          </w:p>
        </w:tc>
        <w:tc>
          <w:tcPr>
            <w:tcW w:type="dxa" w:w="1133"/>
            <w:tcMar>
              <w:top w:w="50" w:type="dxa"/>
              <w:bottom w:w="50" w:type="dxa"/>
              <w:left w:w="90" w:type="dxa"/>
              <w:right w:w="90" w:type="dxa"/>
            </w:tcMar>
          </w:tcPr>
          <w:p>
            <w:pPr>
              <w:pStyle w:val="BDOITable"/>
            </w:pPr>
            <w:r>
              <w:rPr>
                <w:sz w:val="16"/>
              </w:rPr>
              <w:t>C</w:t>
            </w:r>
          </w:p>
        </w:tc>
        <w:tc>
          <w:tcPr>
            <w:tcW w:type="dxa" w:w="1133"/>
            <w:tcMar>
              <w:top w:w="50" w:type="dxa"/>
              <w:bottom w:w="50" w:type="dxa"/>
              <w:left w:w="90" w:type="dxa"/>
              <w:right w:w="90" w:type="dxa"/>
            </w:tcMar>
          </w:tcPr>
          <w:p>
            <w:pPr>
              <w:pStyle w:val="BDOITable"/>
            </w:pPr>
            <w:r>
              <w:rPr>
                <w:sz w:val="16"/>
              </w:rPr>
              <w:t>R</w:t>
            </w:r>
          </w:p>
        </w:tc>
      </w:tr>
      <w:tr>
        <w:trPr>
          <w:cantSplit w:val="true"/>
        </w:trPr>
        <w:tc>
          <w:tcPr>
            <w:tcW w:type="dxa" w:w="3173"/>
            <w:tcMar>
              <w:top w:w="50" w:type="dxa"/>
              <w:bottom w:w="50" w:type="dxa"/>
              <w:left w:w="90" w:type="dxa"/>
              <w:right w:w="90" w:type="dxa"/>
            </w:tcMar>
            <w:shd w:val="clear" w:color="auto" w:fill="E5F5FF"/>
          </w:tcPr>
          <w:p>
            <w:pPr>
              <w:pStyle w:val="BDOITable"/>
            </w:pPr>
            <w:r>
              <w:rPr>
                <w:b/>
                <w:sz w:val="16"/>
              </w:rPr>
              <w:t>Interface specifications</w:t>
            </w:r>
          </w:p>
        </w:tc>
        <w:tc>
          <w:tcPr>
            <w:tcW w:type="dxa" w:w="1133"/>
            <w:tcMar>
              <w:top w:w="50" w:type="dxa"/>
              <w:bottom w:w="50" w:type="dxa"/>
              <w:left w:w="90" w:type="dxa"/>
              <w:right w:w="90" w:type="dxa"/>
            </w:tcMar>
            <w:shd w:val="clear" w:color="auto" w:fill="E5F5FF"/>
          </w:tcPr>
          <w:p>
            <w:pPr>
              <w:pStyle w:val="BDOITable"/>
            </w:pPr>
            <w:r>
              <w:rPr>
                <w:sz w:val="16"/>
              </w:rPr>
              <w:t>C</w:t>
            </w:r>
          </w:p>
        </w:tc>
        <w:tc>
          <w:tcPr>
            <w:tcW w:type="dxa" w:w="1133"/>
            <w:tcMar>
              <w:top w:w="50" w:type="dxa"/>
              <w:bottom w:w="50" w:type="dxa"/>
              <w:left w:w="90" w:type="dxa"/>
              <w:right w:w="90" w:type="dxa"/>
            </w:tcMar>
            <w:shd w:val="clear" w:color="auto" w:fill="E5F5FF"/>
          </w:tcPr>
          <w:p>
            <w:pPr>
              <w:pStyle w:val="BDOITable"/>
            </w:pPr>
            <w:r>
              <w:rPr>
                <w:sz w:val="16"/>
              </w:rPr>
              <w:t>C</w:t>
            </w:r>
          </w:p>
        </w:tc>
        <w:tc>
          <w:tcPr>
            <w:tcW w:type="dxa" w:w="1133"/>
            <w:tcMar>
              <w:top w:w="50" w:type="dxa"/>
              <w:bottom w:w="50" w:type="dxa"/>
              <w:left w:w="90" w:type="dxa"/>
              <w:right w:w="90" w:type="dxa"/>
            </w:tcMar>
            <w:shd w:val="clear" w:color="auto" w:fill="E5F5FF"/>
          </w:tcPr>
          <w:p>
            <w:pPr>
              <w:pStyle w:val="BDOITable"/>
            </w:pPr>
            <w:r>
              <w:rPr>
                <w:sz w:val="16"/>
              </w:rPr>
              <w:t>C</w:t>
            </w:r>
          </w:p>
        </w:tc>
        <w:tc>
          <w:tcPr>
            <w:tcW w:type="dxa" w:w="1133"/>
            <w:tcMar>
              <w:top w:w="50" w:type="dxa"/>
              <w:bottom w:w="50" w:type="dxa"/>
              <w:left w:w="90" w:type="dxa"/>
              <w:right w:w="90" w:type="dxa"/>
            </w:tcMar>
            <w:shd w:val="clear" w:color="auto" w:fill="E5F5FF"/>
          </w:tcPr>
          <w:p>
            <w:pPr>
              <w:pStyle w:val="BDOITable"/>
            </w:pPr>
            <w:r>
              <w:rPr>
                <w:sz w:val="16"/>
              </w:rPr>
              <w:t>C</w:t>
            </w:r>
          </w:p>
        </w:tc>
        <w:tc>
          <w:tcPr>
            <w:tcW w:type="dxa" w:w="1133"/>
            <w:tcMar>
              <w:top w:w="50" w:type="dxa"/>
              <w:bottom w:w="50" w:type="dxa"/>
              <w:left w:w="90" w:type="dxa"/>
              <w:right w:w="90" w:type="dxa"/>
            </w:tcMar>
            <w:shd w:val="clear" w:color="auto" w:fill="E5F5FF"/>
          </w:tcPr>
          <w:p>
            <w:pPr>
              <w:pStyle w:val="BDOITable"/>
            </w:pPr>
            <w:r>
              <w:rPr>
                <w:sz w:val="16"/>
              </w:rPr>
              <w:t>A</w:t>
            </w:r>
          </w:p>
        </w:tc>
        <w:tc>
          <w:tcPr>
            <w:tcW w:type="dxa" w:w="1133"/>
            <w:tcMar>
              <w:top w:w="50" w:type="dxa"/>
              <w:bottom w:w="50" w:type="dxa"/>
              <w:left w:w="90" w:type="dxa"/>
              <w:right w:w="90" w:type="dxa"/>
            </w:tcMar>
            <w:shd w:val="clear" w:color="auto" w:fill="E5F5FF"/>
          </w:tcPr>
          <w:p>
            <w:pPr>
              <w:pStyle w:val="BDOITable"/>
            </w:pPr>
            <w:r>
              <w:rPr>
                <w:sz w:val="16"/>
              </w:rPr>
              <w:t>R</w:t>
            </w:r>
          </w:p>
        </w:tc>
      </w:tr>
      <w:tr>
        <w:trPr>
          <w:cantSplit w:val="true"/>
        </w:trPr>
        <w:tc>
          <w:tcPr>
            <w:tcW w:type="dxa" w:w="3173"/>
            <w:tcMar>
              <w:top w:w="50" w:type="dxa"/>
              <w:bottom w:w="50" w:type="dxa"/>
              <w:left w:w="90" w:type="dxa"/>
              <w:right w:w="90" w:type="dxa"/>
            </w:tcMar>
          </w:tcPr>
          <w:p>
            <w:pPr>
              <w:pStyle w:val="BDOITable"/>
            </w:pPr>
            <w:r>
              <w:rPr>
                <w:b/>
                <w:sz w:val="16"/>
              </w:rPr>
              <w:t>Infrastructure provisioning</w:t>
            </w:r>
          </w:p>
        </w:tc>
        <w:tc>
          <w:tcPr>
            <w:tcW w:type="dxa" w:w="1133"/>
            <w:tcMar>
              <w:top w:w="50" w:type="dxa"/>
              <w:bottom w:w="50" w:type="dxa"/>
              <w:left w:w="90" w:type="dxa"/>
              <w:right w:w="90" w:type="dxa"/>
            </w:tcMar>
          </w:tcPr>
          <w:p>
            <w:pPr>
              <w:pStyle w:val="BDOITable"/>
            </w:pPr>
            <w:r>
              <w:rPr>
                <w:sz w:val="16"/>
              </w:rPr>
              <w:t>C</w:t>
            </w:r>
          </w:p>
        </w:tc>
        <w:tc>
          <w:tcPr>
            <w:tcW w:type="dxa" w:w="1133"/>
            <w:tcMar>
              <w:top w:w="50" w:type="dxa"/>
              <w:bottom w:w="50" w:type="dxa"/>
              <w:left w:w="90" w:type="dxa"/>
              <w:right w:w="90" w:type="dxa"/>
            </w:tcMar>
          </w:tcPr>
          <w:p>
            <w:pPr>
              <w:pStyle w:val="BDOITable"/>
            </w:pPr>
            <w:r>
              <w:rPr>
                <w:sz w:val="16"/>
              </w:rPr>
              <w:t>C</w:t>
            </w:r>
          </w:p>
        </w:tc>
        <w:tc>
          <w:tcPr>
            <w:tcW w:type="dxa" w:w="1133"/>
            <w:tcMar>
              <w:top w:w="50" w:type="dxa"/>
              <w:bottom w:w="50" w:type="dxa"/>
              <w:left w:w="90" w:type="dxa"/>
              <w:right w:w="90" w:type="dxa"/>
            </w:tcMar>
          </w:tcPr>
          <w:p>
            <w:pPr>
              <w:pStyle w:val="BDOITable"/>
            </w:pPr>
            <w:r>
              <w:rPr>
                <w:sz w:val="16"/>
              </w:rPr>
              <w:t>A</w:t>
            </w:r>
          </w:p>
        </w:tc>
        <w:tc>
          <w:tcPr>
            <w:tcW w:type="dxa" w:w="1133"/>
            <w:tcMar>
              <w:top w:w="50" w:type="dxa"/>
              <w:bottom w:w="50" w:type="dxa"/>
              <w:left w:w="90" w:type="dxa"/>
              <w:right w:w="90" w:type="dxa"/>
            </w:tcMar>
          </w:tcPr>
          <w:p>
            <w:pPr>
              <w:pStyle w:val="BDOITable"/>
            </w:pPr>
            <w:r>
              <w:rPr>
                <w:sz w:val="16"/>
              </w:rPr>
              <w:t>I</w:t>
            </w:r>
          </w:p>
        </w:tc>
        <w:tc>
          <w:tcPr>
            <w:tcW w:type="dxa" w:w="1133"/>
            <w:tcMar>
              <w:top w:w="50" w:type="dxa"/>
              <w:bottom w:w="50" w:type="dxa"/>
              <w:left w:w="90" w:type="dxa"/>
              <w:right w:w="90" w:type="dxa"/>
            </w:tcMar>
          </w:tcPr>
          <w:p>
            <w:pPr>
              <w:pStyle w:val="BDOITable"/>
            </w:pPr>
            <w:r>
              <w:rPr>
                <w:sz w:val="16"/>
              </w:rPr>
              <w:t>C</w:t>
            </w:r>
          </w:p>
        </w:tc>
        <w:tc>
          <w:tcPr>
            <w:tcW w:type="dxa" w:w="1133"/>
            <w:tcMar>
              <w:top w:w="50" w:type="dxa"/>
              <w:bottom w:w="50" w:type="dxa"/>
              <w:left w:w="90" w:type="dxa"/>
              <w:right w:w="90" w:type="dxa"/>
            </w:tcMar>
          </w:tcPr>
          <w:p>
            <w:pPr>
              <w:pStyle w:val="BDOITable"/>
            </w:pPr>
            <w:r>
              <w:rPr>
                <w:sz w:val="16"/>
              </w:rPr>
              <w:t>R</w:t>
            </w:r>
          </w:p>
        </w:tc>
      </w:tr>
      <w:tr>
        <w:trPr>
          <w:cantSplit w:val="true"/>
        </w:trPr>
        <w:tc>
          <w:tcPr>
            <w:tcW w:type="dxa" w:w="3173"/>
            <w:tcMar>
              <w:top w:w="50" w:type="dxa"/>
              <w:bottom w:w="50" w:type="dxa"/>
              <w:left w:w="90" w:type="dxa"/>
              <w:right w:w="90" w:type="dxa"/>
            </w:tcMar>
            <w:shd w:val="clear" w:color="auto" w:fill="E5F5FF"/>
          </w:tcPr>
          <w:p>
            <w:pPr>
              <w:pStyle w:val="BDOITable"/>
            </w:pPr>
            <w:r>
              <w:rPr>
                <w:b/>
                <w:sz w:val="16"/>
              </w:rPr>
              <w:t>Release approval to production</w:t>
            </w:r>
          </w:p>
        </w:tc>
        <w:tc>
          <w:tcPr>
            <w:tcW w:type="dxa" w:w="1133"/>
            <w:tcMar>
              <w:top w:w="50" w:type="dxa"/>
              <w:bottom w:w="50" w:type="dxa"/>
              <w:left w:w="90" w:type="dxa"/>
              <w:right w:w="90" w:type="dxa"/>
            </w:tcMar>
            <w:shd w:val="clear" w:color="auto" w:fill="E5F5FF"/>
          </w:tcPr>
          <w:p>
            <w:pPr>
              <w:pStyle w:val="BDOITable"/>
            </w:pPr>
            <w:r>
              <w:rPr>
                <w:sz w:val="16"/>
              </w:rPr>
              <w:t>C</w:t>
            </w:r>
          </w:p>
        </w:tc>
        <w:tc>
          <w:tcPr>
            <w:tcW w:type="dxa" w:w="1133"/>
            <w:tcMar>
              <w:top w:w="50" w:type="dxa"/>
              <w:bottom w:w="50" w:type="dxa"/>
              <w:left w:w="90" w:type="dxa"/>
              <w:right w:w="90" w:type="dxa"/>
            </w:tcMar>
            <w:shd w:val="clear" w:color="auto" w:fill="E5F5FF"/>
          </w:tcPr>
          <w:p>
            <w:pPr>
              <w:pStyle w:val="BDOITable"/>
            </w:pPr>
            <w:r>
              <w:rPr>
                <w:sz w:val="16"/>
              </w:rPr>
              <w:t>C</w:t>
            </w:r>
          </w:p>
        </w:tc>
        <w:tc>
          <w:tcPr>
            <w:tcW w:type="dxa" w:w="1133"/>
            <w:tcMar>
              <w:top w:w="50" w:type="dxa"/>
              <w:bottom w:w="50" w:type="dxa"/>
              <w:left w:w="90" w:type="dxa"/>
              <w:right w:w="90" w:type="dxa"/>
            </w:tcMar>
            <w:shd w:val="clear" w:color="auto" w:fill="E5F5FF"/>
          </w:tcPr>
          <w:p>
            <w:pPr>
              <w:pStyle w:val="BDOITable"/>
            </w:pPr>
            <w:r>
              <w:rPr>
                <w:sz w:val="16"/>
              </w:rPr>
              <w:t>R</w:t>
            </w:r>
          </w:p>
        </w:tc>
        <w:tc>
          <w:tcPr>
            <w:tcW w:type="dxa" w:w="1133"/>
            <w:tcMar>
              <w:top w:w="50" w:type="dxa"/>
              <w:bottom w:w="50" w:type="dxa"/>
              <w:left w:w="90" w:type="dxa"/>
              <w:right w:w="90" w:type="dxa"/>
            </w:tcMar>
            <w:shd w:val="clear" w:color="auto" w:fill="E5F5FF"/>
          </w:tcPr>
          <w:p>
            <w:pPr>
              <w:pStyle w:val="BDOITable"/>
            </w:pPr>
            <w:r>
              <w:rPr>
                <w:sz w:val="16"/>
              </w:rPr>
              <w:t>A</w:t>
            </w:r>
          </w:p>
        </w:tc>
        <w:tc>
          <w:tcPr>
            <w:tcW w:type="dxa" w:w="1133"/>
            <w:tcMar>
              <w:top w:w="50" w:type="dxa"/>
              <w:bottom w:w="50" w:type="dxa"/>
              <w:left w:w="90" w:type="dxa"/>
              <w:right w:w="90" w:type="dxa"/>
            </w:tcMar>
            <w:shd w:val="clear" w:color="auto" w:fill="E5F5FF"/>
          </w:tcPr>
          <w:p>
            <w:pPr>
              <w:pStyle w:val="BDOITable"/>
            </w:pPr>
            <w:r>
              <w:rPr>
                <w:sz w:val="16"/>
              </w:rPr>
              <w:t>C</w:t>
            </w:r>
          </w:p>
        </w:tc>
        <w:tc>
          <w:tcPr>
            <w:tcW w:type="dxa" w:w="1133"/>
            <w:tcMar>
              <w:top w:w="50" w:type="dxa"/>
              <w:bottom w:w="50" w:type="dxa"/>
              <w:left w:w="90" w:type="dxa"/>
              <w:right w:w="90" w:type="dxa"/>
            </w:tcMar>
            <w:shd w:val="clear" w:color="auto" w:fill="E5F5FF"/>
          </w:tcPr>
          <w:p>
            <w:pPr>
              <w:pStyle w:val="BDOITable"/>
            </w:pPr>
            <w:r>
              <w:rPr>
                <w:sz w:val="16"/>
              </w:rPr>
              <w:t>R</w:t>
            </w:r>
          </w:p>
        </w:tc>
      </w:tr>
    </w:tbl>
    <w:p>
      <w:pPr>
        <w:pStyle w:val="BDOISpacer"/>
      </w:pPr>
    </w:p>
    <w:p>
      <w:pPr>
        <w:pStyle w:val="Heading1"/>
        <w:pBdr>
          <w:bottom w:val="single" w:sz="4" w:space="4" w:color="99C1E7"/>
        </w:pBdr>
      </w:pPr>
      <w:bookmarkStart w:id="139" w:name="_Toc000139"/>
      <w:r>
        <w:rPr/>
        <w:t>14 Decisions and open points for BDOI</w:t>
      </w:r>
      <w:bookmarkEnd w:id="139"/>
    </w:p>
    <w:p>
      <w:pPr>
        <w:pStyle w:val="Caption"/>
        <w:keepNext/>
        <w:spacing w:after="60"/>
      </w:pPr>
      <w:r>
        <w:rPr>
          <w:b/>
          <w:i w:val="0"/>
        </w:rPr>
        <w:t xml:space="preserve">Table 22: </w:t>
      </w:r>
      <w:r>
        <w:rPr/>
        <w:t>Decisions and open points for BDOI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1699"/>
        <w:gridCol w:w="4759"/>
        <w:gridCol w:w="1586"/>
        <w:gridCol w:w="12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4759"/>
            <w:shd w:val="clear" w:color="auto" w:fill="004EA8"/>
            <w:tcMar>
              <w:top w:w="50" w:type="dxa"/>
              <w:bottom w:w="50" w:type="dxa"/>
              <w:left w:w="90" w:type="dxa"/>
              <w:right w:w="90" w:type="dxa"/>
            </w:tcMar>
            <w:vAlign w:val="center"/>
          </w:tcPr>
          <w:p>
            <w:pPr>
              <w:pStyle w:val="BDOITableHeader"/>
            </w:pPr>
            <w:r>
              <w:rPr>
                <w:b/>
                <w:color w:val="FFFFFF"/>
                <w:sz w:val="16"/>
              </w:rPr>
              <w:t>Our proposal</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Needed by</w:t>
            </w:r>
          </w:p>
        </w:tc>
      </w:tr>
      <w:tr>
        <w:trPr>
          <w:cantSplit w:val="true"/>
        </w:trPr>
        <w:tc>
          <w:tcPr>
            <w:tcW w:type="dxa" w:w="680"/>
            <w:tcMar>
              <w:top w:w="50" w:type="dxa"/>
              <w:bottom w:w="50" w:type="dxa"/>
              <w:left w:w="90" w:type="dxa"/>
              <w:right w:w="90" w:type="dxa"/>
            </w:tcMar>
          </w:tcPr>
          <w:p>
            <w:pPr>
              <w:pStyle w:val="BDOITable"/>
            </w:pPr>
            <w:r>
              <w:rPr>
                <w:b/>
                <w:sz w:val="16"/>
              </w:rPr>
              <w:t>SA-01</w:t>
            </w:r>
          </w:p>
        </w:tc>
        <w:tc>
          <w:tcPr>
            <w:tcW w:type="dxa" w:w="1700"/>
            <w:tcMar>
              <w:top w:w="50" w:type="dxa"/>
              <w:bottom w:w="50" w:type="dxa"/>
              <w:left w:w="90" w:type="dxa"/>
              <w:right w:w="90" w:type="dxa"/>
            </w:tcMar>
          </w:tcPr>
          <w:p>
            <w:pPr>
              <w:pStyle w:val="BDOITable"/>
            </w:pPr>
            <w:r>
              <w:rPr>
                <w:sz w:val="16"/>
              </w:rPr>
              <w:t>IER restatement</w:t>
            </w:r>
          </w:p>
        </w:tc>
        <w:tc>
          <w:tcPr>
            <w:tcW w:type="dxa" w:w="4759"/>
            <w:tcMar>
              <w:top w:w="50" w:type="dxa"/>
              <w:bottom w:w="50" w:type="dxa"/>
              <w:left w:w="90" w:type="dxa"/>
              <w:right w:w="90" w:type="dxa"/>
            </w:tcMar>
          </w:tcPr>
          <w:p>
            <w:pPr>
              <w:pStyle w:val="BDOITable"/>
            </w:pPr>
            <w:r>
              <w:rPr>
                <w:sz w:val="16"/>
              </w:rPr>
              <w:t>BDOI IT restates the IER architecture and Kubernetes sheets with the BIBS architecture of this set (four workloads, managed services, no microservices) and adds the Pre-Prod and DR sheets (IQ25, IQ33)</w:t>
            </w:r>
          </w:p>
        </w:tc>
        <w:tc>
          <w:tcPr>
            <w:tcW w:type="dxa" w:w="1586"/>
            <w:tcMar>
              <w:top w:w="50" w:type="dxa"/>
              <w:bottom w:w="50" w:type="dxa"/>
              <w:left w:w="90" w:type="dxa"/>
              <w:right w:w="90" w:type="dxa"/>
            </w:tcMar>
          </w:tcPr>
          <w:p>
            <w:pPr>
              <w:pStyle w:val="BDOITable"/>
            </w:pPr>
            <w:r>
              <w:rPr>
                <w:sz w:val="16"/>
              </w:rPr>
              <w:t>BDOI IT Cloud and Digital Operations Engineering</w:t>
            </w:r>
          </w:p>
        </w:tc>
        <w:tc>
          <w:tcPr>
            <w:tcW w:type="dxa" w:w="1246"/>
            <w:tcMar>
              <w:top w:w="50" w:type="dxa"/>
              <w:bottom w:w="50" w:type="dxa"/>
              <w:left w:w="90" w:type="dxa"/>
              <w:right w:w="90" w:type="dxa"/>
            </w:tcMar>
          </w:tcPr>
          <w:p>
            <w:pPr>
              <w:pStyle w:val="BDOITable"/>
            </w:pPr>
            <w:r>
              <w:rPr>
                <w:sz w:val="16"/>
              </w:rPr>
              <w:t>30-Nov-2026</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SA-02</w:t>
            </w:r>
          </w:p>
        </w:tc>
        <w:tc>
          <w:tcPr>
            <w:tcW w:type="dxa" w:w="1700"/>
            <w:tcMar>
              <w:top w:w="50" w:type="dxa"/>
              <w:bottom w:w="50" w:type="dxa"/>
              <w:left w:w="90" w:type="dxa"/>
              <w:right w:w="90" w:type="dxa"/>
            </w:tcMar>
            <w:shd w:val="clear" w:color="auto" w:fill="E5F5FF"/>
          </w:tcPr>
          <w:p>
            <w:pPr>
              <w:pStyle w:val="BDOITable"/>
            </w:pPr>
            <w:r>
              <w:rPr>
                <w:sz w:val="16"/>
              </w:rPr>
              <w:t>Sizing basis</w:t>
            </w:r>
          </w:p>
        </w:tc>
        <w:tc>
          <w:tcPr>
            <w:tcW w:type="dxa" w:w="4759"/>
            <w:tcMar>
              <w:top w:w="50" w:type="dxa"/>
              <w:bottom w:w="50" w:type="dxa"/>
              <w:left w:w="90" w:type="dxa"/>
              <w:right w:w="90" w:type="dxa"/>
            </w:tcMar>
            <w:shd w:val="clear" w:color="auto" w:fill="E5F5FF"/>
          </w:tcPr>
          <w:p>
            <w:pPr>
              <w:pStyle w:val="BDOITable"/>
            </w:pPr>
            <w:r>
              <w:rPr>
                <w:sz w:val="16"/>
              </w:rPr>
              <w:t>429 concurrent sessions as the peak case of the performance test and of the PROD sizing; 1,344 named users (CRQ21, IQ32)</w:t>
            </w:r>
          </w:p>
        </w:tc>
        <w:tc>
          <w:tcPr>
            <w:tcW w:type="dxa" w:w="1586"/>
            <w:tcMar>
              <w:top w:w="50" w:type="dxa"/>
              <w:bottom w:w="50" w:type="dxa"/>
              <w:left w:w="90" w:type="dxa"/>
              <w:right w:w="90" w:type="dxa"/>
            </w:tcMar>
            <w:shd w:val="clear" w:color="auto" w:fill="E5F5FF"/>
          </w:tcPr>
          <w:p>
            <w:pPr>
              <w:pStyle w:val="BDOITable"/>
            </w:pPr>
            <w:r>
              <w:rPr>
                <w:sz w:val="16"/>
              </w:rPr>
              <w:t>BDOI Program Manager</w:t>
            </w:r>
          </w:p>
        </w:tc>
        <w:tc>
          <w:tcPr>
            <w:tcW w:type="dxa" w:w="1246"/>
            <w:tcMar>
              <w:top w:w="50" w:type="dxa"/>
              <w:bottom w:w="50" w:type="dxa"/>
              <w:left w:w="90" w:type="dxa"/>
              <w:right w:w="90" w:type="dxa"/>
            </w:tcMar>
            <w:shd w:val="clear" w:color="auto" w:fill="E5F5FF"/>
          </w:tcPr>
          <w:p>
            <w:pPr>
              <w:pStyle w:val="BDOITable"/>
            </w:pPr>
            <w:r>
              <w:rPr>
                <w:sz w:val="16"/>
              </w:rPr>
              <w:t>30-Nov-2026</w:t>
            </w:r>
          </w:p>
        </w:tc>
      </w:tr>
      <w:tr>
        <w:trPr>
          <w:cantSplit w:val="true"/>
        </w:trPr>
        <w:tc>
          <w:tcPr>
            <w:tcW w:type="dxa" w:w="680"/>
            <w:tcMar>
              <w:top w:w="50" w:type="dxa"/>
              <w:bottom w:w="50" w:type="dxa"/>
              <w:left w:w="90" w:type="dxa"/>
              <w:right w:w="90" w:type="dxa"/>
            </w:tcMar>
          </w:tcPr>
          <w:p>
            <w:pPr>
              <w:pStyle w:val="BDOITable"/>
            </w:pPr>
            <w:r>
              <w:rPr>
                <w:b/>
                <w:sz w:val="16"/>
              </w:rPr>
              <w:t>SA-03</w:t>
            </w:r>
          </w:p>
        </w:tc>
        <w:tc>
          <w:tcPr>
            <w:tcW w:type="dxa" w:w="1700"/>
            <w:tcMar>
              <w:top w:w="50" w:type="dxa"/>
              <w:bottom w:w="50" w:type="dxa"/>
              <w:left w:w="90" w:type="dxa"/>
              <w:right w:w="90" w:type="dxa"/>
            </w:tcMar>
          </w:tcPr>
          <w:p>
            <w:pPr>
              <w:pStyle w:val="BDOITable"/>
            </w:pPr>
            <w:r>
              <w:rPr>
                <w:sz w:val="16"/>
              </w:rPr>
              <w:t>Response-time targets</w:t>
            </w:r>
          </w:p>
        </w:tc>
        <w:tc>
          <w:tcPr>
            <w:tcW w:type="dxa" w:w="4759"/>
            <w:tcMar>
              <w:top w:w="50" w:type="dxa"/>
              <w:bottom w:w="50" w:type="dxa"/>
              <w:left w:w="90" w:type="dxa"/>
              <w:right w:w="90" w:type="dxa"/>
            </w:tcMar>
          </w:tcPr>
          <w:p>
            <w:pPr>
              <w:pStyle w:val="BDOITable"/>
            </w:pPr>
            <w:r>
              <w:rPr>
                <w:sz w:val="16"/>
              </w:rPr>
              <w:t>Screens p95 under 2 seconds and every role under 5 seconds; reports and batch at the value of each BRD</w:t>
            </w:r>
          </w:p>
        </w:tc>
        <w:tc>
          <w:tcPr>
            <w:tcW w:type="dxa" w:w="1586"/>
            <w:tcMar>
              <w:top w:w="50" w:type="dxa"/>
              <w:bottom w:w="50" w:type="dxa"/>
              <w:left w:w="90" w:type="dxa"/>
              <w:right w:w="90" w:type="dxa"/>
            </w:tcMar>
          </w:tcPr>
          <w:p>
            <w:pPr>
              <w:pStyle w:val="BDOITable"/>
            </w:pPr>
            <w:r>
              <w:rPr>
                <w:sz w:val="16"/>
              </w:rPr>
              <w:t>BRD owners</w:t>
            </w:r>
          </w:p>
        </w:tc>
        <w:tc>
          <w:tcPr>
            <w:tcW w:type="dxa" w:w="1246"/>
            <w:tcMar>
              <w:top w:w="50" w:type="dxa"/>
              <w:bottom w:w="50" w:type="dxa"/>
              <w:left w:w="90" w:type="dxa"/>
              <w:right w:w="90" w:type="dxa"/>
            </w:tcMar>
          </w:tcPr>
          <w:p>
            <w:pPr>
              <w:pStyle w:val="BDOITable"/>
            </w:pPr>
            <w:r>
              <w:rPr>
                <w:sz w:val="16"/>
              </w:rPr>
              <w:t>30-Nov-2026</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SA-04</w:t>
            </w:r>
          </w:p>
        </w:tc>
        <w:tc>
          <w:tcPr>
            <w:tcW w:type="dxa" w:w="1700"/>
            <w:tcMar>
              <w:top w:w="50" w:type="dxa"/>
              <w:bottom w:w="50" w:type="dxa"/>
              <w:left w:w="90" w:type="dxa"/>
              <w:right w:w="90" w:type="dxa"/>
            </w:tcMar>
            <w:shd w:val="clear" w:color="auto" w:fill="E5F5FF"/>
          </w:tcPr>
          <w:p>
            <w:pPr>
              <w:pStyle w:val="BDOITable"/>
            </w:pPr>
            <w:r>
              <w:rPr>
                <w:sz w:val="16"/>
              </w:rPr>
              <w:t>Data scope business options</w:t>
            </w:r>
          </w:p>
        </w:tc>
        <w:tc>
          <w:tcPr>
            <w:tcW w:type="dxa" w:w="4759"/>
            <w:tcMar>
              <w:top w:w="50" w:type="dxa"/>
              <w:bottom w:w="50" w:type="dxa"/>
              <w:left w:w="90" w:type="dxa"/>
              <w:right w:w="90" w:type="dxa"/>
            </w:tcMar>
            <w:shd w:val="clear" w:color="auto" w:fill="E5F5FF"/>
          </w:tcPr>
          <w:p>
            <w:pPr>
              <w:pStyle w:val="BDOITable"/>
            </w:pPr>
            <w:r>
              <w:rPr>
                <w:sz w:val="16"/>
              </w:rPr>
              <w:t>(1) any holder of user maintenance with an approved request may narrow a scope; (2) branch scope filters only requests that name a branch; (3) a restricted user's home branch is always in the scope; (4) a scope change carries the risk flag and needs a second approval</w:t>
            </w:r>
          </w:p>
        </w:tc>
        <w:tc>
          <w:tcPr>
            <w:tcW w:type="dxa" w:w="1586"/>
            <w:tcMar>
              <w:top w:w="50" w:type="dxa"/>
              <w:bottom w:w="50" w:type="dxa"/>
              <w:left w:w="90" w:type="dxa"/>
              <w:right w:w="90" w:type="dxa"/>
            </w:tcMar>
            <w:shd w:val="clear" w:color="auto" w:fill="E5F5FF"/>
          </w:tcPr>
          <w:p>
            <w:pPr>
              <w:pStyle w:val="BDOITable"/>
            </w:pPr>
            <w:r>
              <w:rPr>
                <w:sz w:val="16"/>
              </w:rPr>
              <w:t>BRD-11 owner, Information Security Office</w:t>
            </w:r>
          </w:p>
        </w:tc>
        <w:tc>
          <w:tcPr>
            <w:tcW w:type="dxa" w:w="1246"/>
            <w:tcMar>
              <w:top w:w="50" w:type="dxa"/>
              <w:bottom w:w="50" w:type="dxa"/>
              <w:left w:w="90" w:type="dxa"/>
              <w:right w:w="90" w:type="dxa"/>
            </w:tcMar>
            <w:shd w:val="clear" w:color="auto" w:fill="E5F5FF"/>
          </w:tcPr>
          <w:p>
            <w:pPr>
              <w:pStyle w:val="BDOITable"/>
            </w:pPr>
            <w:r>
              <w:rPr>
                <w:sz w:val="16"/>
              </w:rPr>
              <w:t>30-Nov-2026</w:t>
            </w:r>
          </w:p>
        </w:tc>
      </w:tr>
      <w:tr>
        <w:trPr>
          <w:cantSplit w:val="true"/>
        </w:trPr>
        <w:tc>
          <w:tcPr>
            <w:tcW w:type="dxa" w:w="680"/>
            <w:tcMar>
              <w:top w:w="50" w:type="dxa"/>
              <w:bottom w:w="50" w:type="dxa"/>
              <w:left w:w="90" w:type="dxa"/>
              <w:right w:w="90" w:type="dxa"/>
            </w:tcMar>
          </w:tcPr>
          <w:p>
            <w:pPr>
              <w:pStyle w:val="BDOITable"/>
            </w:pPr>
            <w:r>
              <w:rPr>
                <w:b/>
                <w:sz w:val="16"/>
              </w:rPr>
              <w:t>SA-05</w:t>
            </w:r>
          </w:p>
        </w:tc>
        <w:tc>
          <w:tcPr>
            <w:tcW w:type="dxa" w:w="1700"/>
            <w:tcMar>
              <w:top w:w="50" w:type="dxa"/>
              <w:bottom w:w="50" w:type="dxa"/>
              <w:left w:w="90" w:type="dxa"/>
              <w:right w:w="90" w:type="dxa"/>
            </w:tcMar>
          </w:tcPr>
          <w:p>
            <w:pPr>
              <w:pStyle w:val="BDOITable"/>
            </w:pPr>
            <w:r>
              <w:rPr>
                <w:sz w:val="16"/>
              </w:rPr>
              <w:t>UIDM-ISC provisioning</w:t>
            </w:r>
          </w:p>
        </w:tc>
        <w:tc>
          <w:tcPr>
            <w:tcW w:type="dxa" w:w="4759"/>
            <w:tcMar>
              <w:top w:w="50" w:type="dxa"/>
              <w:bottom w:w="50" w:type="dxa"/>
              <w:left w:w="90" w:type="dxa"/>
              <w:right w:w="90" w:type="dxa"/>
            </w:tcMar>
          </w:tcPr>
          <w:p>
            <w:pPr>
              <w:pStyle w:val="BDOITable"/>
            </w:pPr>
            <w:r>
              <w:rPr>
                <w:sz w:val="16"/>
              </w:rPr>
              <w:t>Option (a) of ADR-10: accounts from UIDM-ISC through SCIM 2.0, roles and data scope as BIBS requests (IQ05)</w:t>
            </w:r>
          </w:p>
        </w:tc>
        <w:tc>
          <w:tcPr>
            <w:tcW w:type="dxa" w:w="1586"/>
            <w:tcMar>
              <w:top w:w="50" w:type="dxa"/>
              <w:bottom w:w="50" w:type="dxa"/>
              <w:left w:w="90" w:type="dxa"/>
              <w:right w:w="90" w:type="dxa"/>
            </w:tcMar>
          </w:tcPr>
          <w:p>
            <w:pPr>
              <w:pStyle w:val="BDOITable"/>
            </w:pPr>
            <w:r>
              <w:rPr>
                <w:sz w:val="16"/>
              </w:rPr>
              <w:t>BDOI IT Identity Governance</w:t>
            </w:r>
          </w:p>
        </w:tc>
        <w:tc>
          <w:tcPr>
            <w:tcW w:type="dxa" w:w="1246"/>
            <w:tcMar>
              <w:top w:w="50" w:type="dxa"/>
              <w:bottom w:w="50" w:type="dxa"/>
              <w:left w:w="90" w:type="dxa"/>
              <w:right w:w="90" w:type="dxa"/>
            </w:tcMar>
          </w:tcPr>
          <w:p>
            <w:pPr>
              <w:pStyle w:val="BDOITable"/>
            </w:pPr>
            <w:r>
              <w:rPr>
                <w:sz w:val="16"/>
              </w:rPr>
              <w:t>16-Oct-2026</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SA-06</w:t>
            </w:r>
          </w:p>
        </w:tc>
        <w:tc>
          <w:tcPr>
            <w:tcW w:type="dxa" w:w="1700"/>
            <w:tcMar>
              <w:top w:w="50" w:type="dxa"/>
              <w:bottom w:w="50" w:type="dxa"/>
              <w:left w:w="90" w:type="dxa"/>
              <w:right w:w="90" w:type="dxa"/>
            </w:tcMar>
            <w:shd w:val="clear" w:color="auto" w:fill="E5F5FF"/>
          </w:tcPr>
          <w:p>
            <w:pPr>
              <w:pStyle w:val="BDOITable"/>
            </w:pPr>
            <w:r>
              <w:rPr>
                <w:sz w:val="16"/>
              </w:rPr>
              <w:t>Screen language</w:t>
            </w:r>
          </w:p>
        </w:tc>
        <w:tc>
          <w:tcPr>
            <w:tcW w:type="dxa" w:w="4759"/>
            <w:tcMar>
              <w:top w:w="50" w:type="dxa"/>
              <w:bottom w:w="50" w:type="dxa"/>
              <w:left w:w="90" w:type="dxa"/>
              <w:right w:w="90" w:type="dxa"/>
            </w:tcMar>
            <w:shd w:val="clear" w:color="auto" w:fill="E5F5FF"/>
          </w:tcPr>
          <w:p>
            <w:pPr>
              <w:pStyle w:val="BDOITable"/>
            </w:pPr>
            <w:r>
              <w:rPr>
                <w:sz w:val="16"/>
              </w:rPr>
              <w:t>English only; no second language at go-live</w:t>
            </w:r>
          </w:p>
        </w:tc>
        <w:tc>
          <w:tcPr>
            <w:tcW w:type="dxa" w:w="1586"/>
            <w:tcMar>
              <w:top w:w="50" w:type="dxa"/>
              <w:bottom w:w="50" w:type="dxa"/>
              <w:left w:w="90" w:type="dxa"/>
              <w:right w:w="90" w:type="dxa"/>
            </w:tcMar>
            <w:shd w:val="clear" w:color="auto" w:fill="E5F5FF"/>
          </w:tcPr>
          <w:p>
            <w:pPr>
              <w:pStyle w:val="BDOITable"/>
            </w:pPr>
            <w:r>
              <w:rPr>
                <w:sz w:val="16"/>
              </w:rPr>
              <w:t>BIBS Product Owner</w:t>
            </w:r>
          </w:p>
        </w:tc>
        <w:tc>
          <w:tcPr>
            <w:tcW w:type="dxa" w:w="1246"/>
            <w:tcMar>
              <w:top w:w="50" w:type="dxa"/>
              <w:bottom w:w="50" w:type="dxa"/>
              <w:left w:w="90" w:type="dxa"/>
              <w:right w:w="90" w:type="dxa"/>
            </w:tcMar>
            <w:shd w:val="clear" w:color="auto" w:fill="E5F5FF"/>
          </w:tcPr>
          <w:p>
            <w:pPr>
              <w:pStyle w:val="BDOITable"/>
            </w:pPr>
            <w:r>
              <w:rPr>
                <w:sz w:val="16"/>
              </w:rPr>
              <w:t>30-Nov-2026</w:t>
            </w:r>
          </w:p>
        </w:tc>
      </w:tr>
      <w:tr>
        <w:trPr>
          <w:cantSplit w:val="true"/>
        </w:trPr>
        <w:tc>
          <w:tcPr>
            <w:tcW w:type="dxa" w:w="680"/>
            <w:tcMar>
              <w:top w:w="50" w:type="dxa"/>
              <w:bottom w:w="50" w:type="dxa"/>
              <w:left w:w="90" w:type="dxa"/>
              <w:right w:w="90" w:type="dxa"/>
            </w:tcMar>
          </w:tcPr>
          <w:p>
            <w:pPr>
              <w:pStyle w:val="BDOITable"/>
            </w:pPr>
            <w:r>
              <w:rPr>
                <w:b/>
                <w:sz w:val="16"/>
              </w:rPr>
              <w:t>SA-07</w:t>
            </w:r>
          </w:p>
        </w:tc>
        <w:tc>
          <w:tcPr>
            <w:tcW w:type="dxa" w:w="1700"/>
            <w:tcMar>
              <w:top w:w="50" w:type="dxa"/>
              <w:bottom w:w="50" w:type="dxa"/>
              <w:left w:w="90" w:type="dxa"/>
              <w:right w:w="90" w:type="dxa"/>
            </w:tcMar>
          </w:tcPr>
          <w:p>
            <w:pPr>
              <w:pStyle w:val="BDOITable"/>
            </w:pPr>
            <w:r>
              <w:rPr>
                <w:sz w:val="16"/>
              </w:rPr>
              <w:t>Spring Boot 3.5 support</w:t>
            </w:r>
          </w:p>
        </w:tc>
        <w:tc>
          <w:tcPr>
            <w:tcW w:type="dxa" w:w="4759"/>
            <w:tcMar>
              <w:top w:w="50" w:type="dxa"/>
              <w:bottom w:w="50" w:type="dxa"/>
              <w:left w:w="90" w:type="dxa"/>
              <w:right w:w="90" w:type="dxa"/>
            </w:tcMar>
          </w:tcPr>
          <w:p>
            <w:pPr>
              <w:pStyle w:val="BDOITable"/>
            </w:pPr>
            <w:r>
              <w:rPr>
                <w:sz w:val="16"/>
              </w:rPr>
              <w:t>Decide at the first technology review (31-Jan-2027) between the move to Spring Boot 4.x before UAT and commercial support of 3.5, on the upstream support dates then published</w:t>
            </w:r>
          </w:p>
        </w:tc>
        <w:tc>
          <w:tcPr>
            <w:tcW w:type="dxa" w:w="1586"/>
            <w:tcMar>
              <w:top w:w="50" w:type="dxa"/>
              <w:bottom w:w="50" w:type="dxa"/>
              <w:left w:w="90" w:type="dxa"/>
              <w:right w:w="90" w:type="dxa"/>
            </w:tcMar>
          </w:tcPr>
          <w:p>
            <w:pPr>
              <w:pStyle w:val="BDOITable"/>
            </w:pPr>
            <w:r>
              <w:rPr>
                <w:sz w:val="16"/>
              </w:rPr>
              <w:t>BDOI Enterprise Architecture</w:t>
            </w:r>
          </w:p>
        </w:tc>
        <w:tc>
          <w:tcPr>
            <w:tcW w:type="dxa" w:w="1246"/>
            <w:tcMar>
              <w:top w:w="50" w:type="dxa"/>
              <w:bottom w:w="50" w:type="dxa"/>
              <w:left w:w="90" w:type="dxa"/>
              <w:right w:w="90" w:type="dxa"/>
            </w:tcMar>
          </w:tcPr>
          <w:p>
            <w:pPr>
              <w:pStyle w:val="BDOITable"/>
            </w:pPr>
            <w:r>
              <w:rPr>
                <w:sz w:val="16"/>
              </w:rPr>
              <w:t>31-Jan-2027</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SA-08</w:t>
            </w:r>
          </w:p>
        </w:tc>
        <w:tc>
          <w:tcPr>
            <w:tcW w:type="dxa" w:w="1700"/>
            <w:tcMar>
              <w:top w:w="50" w:type="dxa"/>
              <w:bottom w:w="50" w:type="dxa"/>
              <w:left w:w="90" w:type="dxa"/>
              <w:right w:w="90" w:type="dxa"/>
            </w:tcMar>
            <w:shd w:val="clear" w:color="auto" w:fill="E5F5FF"/>
          </w:tcPr>
          <w:p>
            <w:pPr>
              <w:pStyle w:val="BDOITable"/>
            </w:pPr>
            <w:r>
              <w:rPr>
                <w:sz w:val="16"/>
              </w:rPr>
              <w:t>Node 22 end of life (30-Apr-2027)</w:t>
            </w:r>
          </w:p>
        </w:tc>
        <w:tc>
          <w:tcPr>
            <w:tcW w:type="dxa" w:w="4759"/>
            <w:tcMar>
              <w:top w:w="50" w:type="dxa"/>
              <w:bottom w:w="50" w:type="dxa"/>
              <w:left w:w="90" w:type="dxa"/>
              <w:right w:w="90" w:type="dxa"/>
            </w:tcMar>
            <w:shd w:val="clear" w:color="auto" w:fill="E5F5FF"/>
          </w:tcPr>
          <w:p>
            <w:pPr>
              <w:pStyle w:val="BDOITable"/>
            </w:pPr>
            <w:r>
              <w:rPr>
                <w:sz w:val="16"/>
              </w:rPr>
              <w:t>Move the web client pipeline to Node 24 LTS by 31-Mar-2027 (no production impact: Node does not run in production)</w:t>
            </w:r>
          </w:p>
        </w:tc>
        <w:tc>
          <w:tcPr>
            <w:tcW w:type="dxa" w:w="1586"/>
            <w:tcMar>
              <w:top w:w="50" w:type="dxa"/>
              <w:bottom w:w="50" w:type="dxa"/>
              <w:left w:w="90" w:type="dxa"/>
              <w:right w:w="90" w:type="dxa"/>
            </w:tcMar>
            <w:shd w:val="clear" w:color="auto" w:fill="E5F5FF"/>
          </w:tcPr>
          <w:p>
            <w:pPr>
              <w:pStyle w:val="BDOITable"/>
            </w:pPr>
            <w:r>
              <w:rPr>
                <w:sz w:val="16"/>
              </w:rPr>
              <w:t>iorta TechNXT Tech Lead; informed BDOI EA</w:t>
            </w:r>
          </w:p>
        </w:tc>
        <w:tc>
          <w:tcPr>
            <w:tcW w:type="dxa" w:w="1246"/>
            <w:tcMar>
              <w:top w:w="50" w:type="dxa"/>
              <w:bottom w:w="50" w:type="dxa"/>
              <w:left w:w="90" w:type="dxa"/>
              <w:right w:w="90" w:type="dxa"/>
            </w:tcMar>
            <w:shd w:val="clear" w:color="auto" w:fill="E5F5FF"/>
          </w:tcPr>
          <w:p>
            <w:pPr>
              <w:pStyle w:val="BDOITable"/>
            </w:pPr>
            <w:r>
              <w:rPr>
                <w:sz w:val="16"/>
              </w:rPr>
              <w:t>31-Mar-2027</w:t>
            </w:r>
          </w:p>
        </w:tc>
      </w:tr>
      <w:tr>
        <w:trPr>
          <w:cantSplit w:val="true"/>
        </w:trPr>
        <w:tc>
          <w:tcPr>
            <w:tcW w:type="dxa" w:w="680"/>
            <w:tcMar>
              <w:top w:w="50" w:type="dxa"/>
              <w:bottom w:w="50" w:type="dxa"/>
              <w:left w:w="90" w:type="dxa"/>
              <w:right w:w="90" w:type="dxa"/>
            </w:tcMar>
          </w:tcPr>
          <w:p>
            <w:pPr>
              <w:pStyle w:val="BDOITable"/>
            </w:pPr>
            <w:r>
              <w:rPr>
                <w:b/>
                <w:sz w:val="16"/>
              </w:rPr>
              <w:t>SA-09</w:t>
            </w:r>
          </w:p>
        </w:tc>
        <w:tc>
          <w:tcPr>
            <w:tcW w:type="dxa" w:w="1700"/>
            <w:tcMar>
              <w:top w:w="50" w:type="dxa"/>
              <w:bottom w:w="50" w:type="dxa"/>
              <w:left w:w="90" w:type="dxa"/>
              <w:right w:w="90" w:type="dxa"/>
            </w:tcMar>
          </w:tcPr>
          <w:p>
            <w:pPr>
              <w:pStyle w:val="BDOITable"/>
            </w:pPr>
            <w:r>
              <w:rPr>
                <w:sz w:val="16"/>
              </w:rPr>
              <w:t>Retention exceptions</w:t>
            </w:r>
          </w:p>
        </w:tc>
        <w:tc>
          <w:tcPr>
            <w:tcW w:type="dxa" w:w="4759"/>
            <w:tcMar>
              <w:top w:w="50" w:type="dxa"/>
              <w:bottom w:w="50" w:type="dxa"/>
              <w:left w:w="90" w:type="dxa"/>
              <w:right w:w="90" w:type="dxa"/>
            </w:tcMar>
          </w:tcPr>
          <w:p>
            <w:pPr>
              <w:pStyle w:val="BDOITable"/>
            </w:pPr>
            <w:r>
              <w:rPr>
                <w:sz w:val="16"/>
              </w:rPr>
              <w:t>Platform rule 5 years online and 15 offline; BRD-7 10 / 15; BRD-5, BRD-10, BRD-12 5 / 5 (CRQ22)</w:t>
            </w:r>
          </w:p>
        </w:tc>
        <w:tc>
          <w:tcPr>
            <w:tcW w:type="dxa" w:w="1586"/>
            <w:tcMar>
              <w:top w:w="50" w:type="dxa"/>
              <w:bottom w:w="50" w:type="dxa"/>
              <w:left w:w="90" w:type="dxa"/>
              <w:right w:w="90" w:type="dxa"/>
            </w:tcMar>
          </w:tcPr>
          <w:p>
            <w:pPr>
              <w:pStyle w:val="BDOITable"/>
            </w:pPr>
            <w:r>
              <w:rPr>
                <w:sz w:val="16"/>
              </w:rPr>
              <w:t>BRD owners, Compliance</w:t>
            </w:r>
          </w:p>
        </w:tc>
        <w:tc>
          <w:tcPr>
            <w:tcW w:type="dxa" w:w="1246"/>
            <w:tcMar>
              <w:top w:w="50" w:type="dxa"/>
              <w:bottom w:w="50" w:type="dxa"/>
              <w:left w:w="90" w:type="dxa"/>
              <w:right w:w="90" w:type="dxa"/>
            </w:tcMar>
          </w:tcPr>
          <w:p>
            <w:pPr>
              <w:pStyle w:val="BDOITable"/>
            </w:pPr>
            <w:r>
              <w:rPr>
                <w:sz w:val="16"/>
              </w:rPr>
              <w:t>30-Nov-2026</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SA-10</w:t>
            </w:r>
          </w:p>
        </w:tc>
        <w:tc>
          <w:tcPr>
            <w:tcW w:type="dxa" w:w="1700"/>
            <w:tcMar>
              <w:top w:w="50" w:type="dxa"/>
              <w:bottom w:w="50" w:type="dxa"/>
              <w:left w:w="90" w:type="dxa"/>
              <w:right w:w="90" w:type="dxa"/>
            </w:tcMar>
            <w:shd w:val="clear" w:color="auto" w:fill="E5F5FF"/>
          </w:tcPr>
          <w:p>
            <w:pPr>
              <w:pStyle w:val="BDOITable"/>
            </w:pPr>
            <w:r>
              <w:rPr>
                <w:sz w:val="16"/>
              </w:rPr>
              <w:t>Reviewer of CVE exceptions</w:t>
            </w:r>
          </w:p>
        </w:tc>
        <w:tc>
          <w:tcPr>
            <w:tcW w:type="dxa" w:w="4759"/>
            <w:tcMar>
              <w:top w:w="50" w:type="dxa"/>
              <w:bottom w:w="50" w:type="dxa"/>
              <w:left w:w="90" w:type="dxa"/>
              <w:right w:w="90" w:type="dxa"/>
            </w:tcMar>
            <w:shd w:val="clear" w:color="auto" w:fill="E5F5FF"/>
          </w:tcPr>
          <w:p>
            <w:pPr>
              <w:pStyle w:val="BDOITable"/>
            </w:pPr>
            <w:r>
              <w:rPr>
                <w:sz w:val="16"/>
              </w:rPr>
              <w:t>The BDOI Information Security Officer approves every accepted finding before a production release (ADR-14)</w:t>
            </w:r>
          </w:p>
        </w:tc>
        <w:tc>
          <w:tcPr>
            <w:tcW w:type="dxa" w:w="1586"/>
            <w:tcMar>
              <w:top w:w="50" w:type="dxa"/>
              <w:bottom w:w="50" w:type="dxa"/>
              <w:left w:w="90" w:type="dxa"/>
              <w:right w:w="90" w:type="dxa"/>
            </w:tcMar>
            <w:shd w:val="clear" w:color="auto" w:fill="E5F5FF"/>
          </w:tcPr>
          <w:p>
            <w:pPr>
              <w:pStyle w:val="BDOITable"/>
            </w:pPr>
            <w:r>
              <w:rPr>
                <w:sz w:val="16"/>
              </w:rPr>
              <w:t>Information Security Office</w:t>
            </w:r>
          </w:p>
        </w:tc>
        <w:tc>
          <w:tcPr>
            <w:tcW w:type="dxa" w:w="1246"/>
            <w:tcMar>
              <w:top w:w="50" w:type="dxa"/>
              <w:bottom w:w="50" w:type="dxa"/>
              <w:left w:w="90" w:type="dxa"/>
              <w:right w:w="90" w:type="dxa"/>
            </w:tcMar>
            <w:shd w:val="clear" w:color="auto" w:fill="E5F5FF"/>
          </w:tcPr>
          <w:p>
            <w:pPr>
              <w:pStyle w:val="BDOITable"/>
            </w:pPr>
            <w:r>
              <w:rPr>
                <w:sz w:val="16"/>
              </w:rPr>
              <w:t>31-Dec-2026</w:t>
            </w:r>
          </w:p>
        </w:tc>
      </w:tr>
      <w:tr>
        <w:trPr>
          <w:cantSplit w:val="true"/>
        </w:trPr>
        <w:tc>
          <w:tcPr>
            <w:tcW w:type="dxa" w:w="680"/>
            <w:tcMar>
              <w:top w:w="50" w:type="dxa"/>
              <w:bottom w:w="50" w:type="dxa"/>
              <w:left w:w="90" w:type="dxa"/>
              <w:right w:w="90" w:type="dxa"/>
            </w:tcMar>
          </w:tcPr>
          <w:p>
            <w:pPr>
              <w:pStyle w:val="BDOITable"/>
            </w:pPr>
            <w:r>
              <w:rPr>
                <w:b/>
                <w:sz w:val="16"/>
              </w:rPr>
              <w:t>SA-11</w:t>
            </w:r>
          </w:p>
        </w:tc>
        <w:tc>
          <w:tcPr>
            <w:tcW w:type="dxa" w:w="1700"/>
            <w:tcMar>
              <w:top w:w="50" w:type="dxa"/>
              <w:bottom w:w="50" w:type="dxa"/>
              <w:left w:w="90" w:type="dxa"/>
              <w:right w:w="90" w:type="dxa"/>
            </w:tcMar>
          </w:tcPr>
          <w:p>
            <w:pPr>
              <w:pStyle w:val="BDOITable"/>
            </w:pPr>
            <w:r>
              <w:rPr>
                <w:sz w:val="16"/>
              </w:rPr>
              <w:t>Availability target</w:t>
            </w:r>
          </w:p>
        </w:tc>
        <w:tc>
          <w:tcPr>
            <w:tcW w:type="dxa" w:w="4759"/>
            <w:tcMar>
              <w:top w:w="50" w:type="dxa"/>
              <w:bottom w:w="50" w:type="dxa"/>
              <w:left w:w="90" w:type="dxa"/>
              <w:right w:w="90" w:type="dxa"/>
            </w:tcMar>
          </w:tcPr>
          <w:p>
            <w:pPr>
              <w:pStyle w:val="BDOITable"/>
            </w:pPr>
            <w:r>
              <w:rPr>
                <w:sz w:val="16"/>
              </w:rPr>
              <w:t>99.9 % in service hours 06:00-22:00 Monday to Saturday; maintenance window 00:00-04:00</w:t>
            </w:r>
          </w:p>
        </w:tc>
        <w:tc>
          <w:tcPr>
            <w:tcW w:type="dxa" w:w="1586"/>
            <w:tcMar>
              <w:top w:w="50" w:type="dxa"/>
              <w:bottom w:w="50" w:type="dxa"/>
              <w:left w:w="90" w:type="dxa"/>
              <w:right w:w="90" w:type="dxa"/>
            </w:tcMar>
          </w:tcPr>
          <w:p>
            <w:pPr>
              <w:pStyle w:val="BDOITable"/>
            </w:pPr>
            <w:r>
              <w:rPr>
                <w:sz w:val="16"/>
              </w:rPr>
              <w:t>BDOI IT Operations</w:t>
            </w:r>
          </w:p>
        </w:tc>
        <w:tc>
          <w:tcPr>
            <w:tcW w:type="dxa" w:w="1246"/>
            <w:tcMar>
              <w:top w:w="50" w:type="dxa"/>
              <w:bottom w:w="50" w:type="dxa"/>
              <w:left w:w="90" w:type="dxa"/>
              <w:right w:w="90" w:type="dxa"/>
            </w:tcMar>
          </w:tcPr>
          <w:p>
            <w:pPr>
              <w:pStyle w:val="BDOITable"/>
            </w:pPr>
            <w:r>
              <w:rPr>
                <w:sz w:val="16"/>
              </w:rPr>
              <w:t>30-Nov-2026</w:t>
            </w:r>
          </w:p>
        </w:tc>
      </w:tr>
    </w:tbl>
    <w:p>
      <w:pPr>
        <w:pStyle w:val="BDOISpacer"/>
      </w:pPr>
    </w:p>
    <w:p>
      <w:pPr>
        <w:pStyle w:val="Heading1"/>
        <w:pBdr>
          <w:bottom w:val="single" w:sz="4" w:space="4" w:color="99C1E7"/>
        </w:pBdr>
      </w:pPr>
      <w:bookmarkStart w:id="140" w:name="_Toc000140"/>
      <w:r>
        <w:rPr/>
        <w:t>Glossary</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ABAC</w:t>
            </w:r>
          </w:p>
        </w:tc>
        <w:tc>
          <w:tcPr>
            <w:tcW w:type="dxa" w:w="7932"/>
            <w:tcMar>
              <w:top w:w="50" w:type="dxa"/>
              <w:bottom w:w="50" w:type="dxa"/>
              <w:left w:w="90" w:type="dxa"/>
              <w:right w:w="90" w:type="dxa"/>
            </w:tcMar>
          </w:tcPr>
          <w:p>
            <w:pPr>
              <w:pStyle w:val="BDOITable"/>
            </w:pPr>
            <w:r>
              <w:rPr>
                <w:sz w:val="18"/>
              </w:rPr>
              <w:t>Attribute-based access control (company and branch data scope)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ACSL</w:t>
            </w:r>
          </w:p>
        </w:tc>
        <w:tc>
          <w:tcPr>
            <w:tcW w:type="dxa" w:w="7932"/>
            <w:tcMar>
              <w:top w:w="50" w:type="dxa"/>
              <w:bottom w:w="50" w:type="dxa"/>
              <w:left w:w="90" w:type="dxa"/>
              <w:right w:w="90" w:type="dxa"/>
            </w:tcMar>
            <w:shd w:val="clear" w:color="auto" w:fill="E5F5FF"/>
          </w:tcPr>
          <w:p>
            <w:pPr>
              <w:pStyle w:val="BDOITable"/>
            </w:pPr>
            <w:r>
              <w:rPr>
                <w:sz w:val="18"/>
              </w:rPr>
              <w:t>Accounting Control and Sub-Ledger (BRD-5)</w:t>
            </w:r>
          </w:p>
        </w:tc>
      </w:tr>
      <w:tr>
        <w:trPr>
          <w:cantSplit w:val="true"/>
        </w:trPr>
        <w:tc>
          <w:tcPr>
            <w:tcW w:type="dxa" w:w="2040"/>
            <w:tcMar>
              <w:top w:w="50" w:type="dxa"/>
              <w:bottom w:w="50" w:type="dxa"/>
              <w:left w:w="90" w:type="dxa"/>
              <w:right w:w="90" w:type="dxa"/>
            </w:tcMar>
          </w:tcPr>
          <w:p>
            <w:pPr>
              <w:pStyle w:val="BDOITable"/>
            </w:pPr>
            <w:r>
              <w:rPr>
                <w:b/>
                <w:sz w:val="18"/>
              </w:rPr>
              <w:t>ADR</w:t>
            </w:r>
          </w:p>
        </w:tc>
        <w:tc>
          <w:tcPr>
            <w:tcW w:type="dxa" w:w="7932"/>
            <w:tcMar>
              <w:top w:w="50" w:type="dxa"/>
              <w:bottom w:w="50" w:type="dxa"/>
              <w:left w:w="90" w:type="dxa"/>
              <w:right w:w="90" w:type="dxa"/>
            </w:tcMar>
          </w:tcPr>
          <w:p>
            <w:pPr>
              <w:pStyle w:val="BDOITable"/>
            </w:pPr>
            <w:r>
              <w:rPr>
                <w:sz w:val="18"/>
              </w:rPr>
              <w:t>Architecture decision record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w:t>
            </w:r>
          </w:p>
        </w:tc>
      </w:tr>
      <w:tr>
        <w:trPr>
          <w:cantSplit w:val="true"/>
        </w:trPr>
        <w:tc>
          <w:tcPr>
            <w:tcW w:type="dxa" w:w="2040"/>
            <w:tcMar>
              <w:top w:w="50" w:type="dxa"/>
              <w:bottom w:w="50" w:type="dxa"/>
              <w:left w:w="90" w:type="dxa"/>
              <w:right w:w="90" w:type="dxa"/>
            </w:tcMar>
          </w:tcPr>
          <w:p>
            <w:pPr>
              <w:pStyle w:val="BDOITable"/>
            </w:pPr>
            <w:r>
              <w:rPr>
                <w:b/>
                <w:sz w:val="18"/>
              </w:rPr>
              <w:t>BC</w:t>
            </w:r>
          </w:p>
        </w:tc>
        <w:tc>
          <w:tcPr>
            <w:tcW w:type="dxa" w:w="7932"/>
            <w:tcMar>
              <w:top w:w="50" w:type="dxa"/>
              <w:bottom w:w="50" w:type="dxa"/>
              <w:left w:w="90" w:type="dxa"/>
              <w:right w:w="90" w:type="dxa"/>
            </w:tcMar>
          </w:tcPr>
          <w:p>
            <w:pPr>
              <w:pStyle w:val="BDOITable"/>
            </w:pPr>
            <w:r>
              <w:rPr>
                <w:sz w:val="18"/>
              </w:rPr>
              <w:t>Bounded context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CCM</w:t>
            </w:r>
          </w:p>
        </w:tc>
        <w:tc>
          <w:tcPr>
            <w:tcW w:type="dxa" w:w="7932"/>
            <w:tcMar>
              <w:top w:w="50" w:type="dxa"/>
              <w:bottom w:w="50" w:type="dxa"/>
              <w:left w:w="90" w:type="dxa"/>
              <w:right w:w="90" w:type="dxa"/>
            </w:tcMar>
            <w:shd w:val="clear" w:color="auto" w:fill="E5F5FF"/>
          </w:tcPr>
          <w:p>
            <w:pPr>
              <w:pStyle w:val="BDOITable"/>
            </w:pPr>
            <w:r>
              <w:rPr>
                <w:sz w:val="18"/>
              </w:rPr>
              <w:t>Centralized Communications Management (e-mail sending)</w:t>
            </w:r>
          </w:p>
        </w:tc>
      </w:tr>
      <w:tr>
        <w:trPr>
          <w:cantSplit w:val="true"/>
        </w:trPr>
        <w:tc>
          <w:tcPr>
            <w:tcW w:type="dxa" w:w="2040"/>
            <w:tcMar>
              <w:top w:w="50" w:type="dxa"/>
              <w:bottom w:w="50" w:type="dxa"/>
              <w:left w:w="90" w:type="dxa"/>
              <w:right w:w="90" w:type="dxa"/>
            </w:tcMar>
          </w:tcPr>
          <w:p>
            <w:pPr>
              <w:pStyle w:val="BDOITable"/>
            </w:pPr>
            <w:r>
              <w:rPr>
                <w:b/>
                <w:sz w:val="18"/>
              </w:rPr>
              <w:t>DOA</w:t>
            </w:r>
          </w:p>
        </w:tc>
        <w:tc>
          <w:tcPr>
            <w:tcW w:type="dxa" w:w="7932"/>
            <w:tcMar>
              <w:top w:w="50" w:type="dxa"/>
              <w:bottom w:w="50" w:type="dxa"/>
              <w:left w:w="90" w:type="dxa"/>
              <w:right w:w="90" w:type="dxa"/>
            </w:tcMar>
          </w:tcPr>
          <w:p>
            <w:pPr>
              <w:pStyle w:val="BDOITable"/>
            </w:pPr>
            <w:r>
              <w:rPr>
                <w:sz w:val="18"/>
              </w:rPr>
              <w:t>Delegation of Authority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EIAM</w:t>
            </w:r>
          </w:p>
        </w:tc>
        <w:tc>
          <w:tcPr>
            <w:tcW w:type="dxa" w:w="7932"/>
            <w:tcMar>
              <w:top w:w="50" w:type="dxa"/>
              <w:bottom w:w="50" w:type="dxa"/>
              <w:left w:w="90" w:type="dxa"/>
              <w:right w:w="90" w:type="dxa"/>
            </w:tcMar>
            <w:shd w:val="clear" w:color="auto" w:fill="E5F5FF"/>
          </w:tcPr>
          <w:p>
            <w:pPr>
              <w:pStyle w:val="BDOITable"/>
            </w:pPr>
            <w:r>
              <w:rPr>
                <w:sz w:val="18"/>
              </w:rPr>
              <w:t>Enterprise Identity Access Management (Microsoft Entra ID)</w:t>
            </w:r>
          </w:p>
        </w:tc>
      </w:tr>
      <w:tr>
        <w:trPr>
          <w:cantSplit w:val="true"/>
        </w:trPr>
        <w:tc>
          <w:tcPr>
            <w:tcW w:type="dxa" w:w="2040"/>
            <w:tcMar>
              <w:top w:w="50" w:type="dxa"/>
              <w:bottom w:w="50" w:type="dxa"/>
              <w:left w:w="90" w:type="dxa"/>
              <w:right w:w="90" w:type="dxa"/>
            </w:tcMar>
          </w:tcPr>
          <w:p>
            <w:pPr>
              <w:pStyle w:val="BDOITable"/>
            </w:pPr>
            <w:r>
              <w:rPr>
                <w:b/>
                <w:sz w:val="18"/>
              </w:rPr>
              <w:t>IER</w:t>
            </w:r>
          </w:p>
        </w:tc>
        <w:tc>
          <w:tcPr>
            <w:tcW w:type="dxa" w:w="7932"/>
            <w:tcMar>
              <w:top w:w="50" w:type="dxa"/>
              <w:bottom w:w="50" w:type="dxa"/>
              <w:left w:w="90" w:type="dxa"/>
              <w:right w:w="90" w:type="dxa"/>
            </w:tcMar>
          </w:tcPr>
          <w:p>
            <w:pPr>
              <w:pStyle w:val="BDOITable"/>
            </w:pPr>
            <w:r>
              <w:rPr>
                <w:sz w:val="18"/>
              </w:rPr>
              <w:t>Infrastructure Estimation and Recommendation workbook</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IRSA</w:t>
            </w:r>
          </w:p>
        </w:tc>
        <w:tc>
          <w:tcPr>
            <w:tcW w:type="dxa" w:w="7932"/>
            <w:tcMar>
              <w:top w:w="50" w:type="dxa"/>
              <w:bottom w:w="50" w:type="dxa"/>
              <w:left w:w="90" w:type="dxa"/>
              <w:right w:w="90" w:type="dxa"/>
            </w:tcMar>
            <w:shd w:val="clear" w:color="auto" w:fill="E5F5FF"/>
          </w:tcPr>
          <w:p>
            <w:pPr>
              <w:pStyle w:val="BDOITable"/>
            </w:pPr>
            <w:r>
              <w:rPr>
                <w:sz w:val="18"/>
              </w:rPr>
              <w:t>IAM roles for service accounts (Amazon EKS)</w:t>
            </w:r>
          </w:p>
        </w:tc>
      </w:tr>
      <w:tr>
        <w:trPr>
          <w:cantSplit w:val="true"/>
        </w:trPr>
        <w:tc>
          <w:tcPr>
            <w:tcW w:type="dxa" w:w="2040"/>
            <w:tcMar>
              <w:top w:w="50" w:type="dxa"/>
              <w:bottom w:w="50" w:type="dxa"/>
              <w:left w:w="90" w:type="dxa"/>
              <w:right w:w="90" w:type="dxa"/>
            </w:tcMar>
          </w:tcPr>
          <w:p>
            <w:pPr>
              <w:pStyle w:val="BDOITable"/>
            </w:pPr>
            <w:r>
              <w:rPr>
                <w:b/>
                <w:sz w:val="18"/>
              </w:rPr>
              <w:t>KRaft</w:t>
            </w:r>
          </w:p>
        </w:tc>
        <w:tc>
          <w:tcPr>
            <w:tcW w:type="dxa" w:w="7932"/>
            <w:tcMar>
              <w:top w:w="50" w:type="dxa"/>
              <w:bottom w:w="50" w:type="dxa"/>
              <w:left w:w="90" w:type="dxa"/>
              <w:right w:w="90" w:type="dxa"/>
            </w:tcMar>
          </w:tcPr>
          <w:p>
            <w:pPr>
              <w:pStyle w:val="BDOITable"/>
            </w:pPr>
            <w:r>
              <w:rPr>
                <w:sz w:val="18"/>
              </w:rPr>
              <w:t>Kafka Raft metadata mode (no ZooKeeper)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MSK</w:t>
            </w:r>
          </w:p>
        </w:tc>
        <w:tc>
          <w:tcPr>
            <w:tcW w:type="dxa" w:w="7932"/>
            <w:tcMar>
              <w:top w:w="50" w:type="dxa"/>
              <w:bottom w:w="50" w:type="dxa"/>
              <w:left w:w="90" w:type="dxa"/>
              <w:right w:w="90" w:type="dxa"/>
            </w:tcMar>
            <w:shd w:val="clear" w:color="auto" w:fill="E5F5FF"/>
          </w:tcPr>
          <w:p>
            <w:pPr>
              <w:pStyle w:val="BDOITable"/>
            </w:pPr>
            <w:r>
              <w:rPr>
                <w:sz w:val="18"/>
              </w:rPr>
              <w:t>Amazon Managed Streaming for Apache Kafka</w:t>
            </w:r>
          </w:p>
        </w:tc>
      </w:tr>
      <w:tr>
        <w:trPr>
          <w:cantSplit w:val="true"/>
        </w:trPr>
        <w:tc>
          <w:tcPr>
            <w:tcW w:type="dxa" w:w="2040"/>
            <w:tcMar>
              <w:top w:w="50" w:type="dxa"/>
              <w:bottom w:w="50" w:type="dxa"/>
              <w:left w:w="90" w:type="dxa"/>
              <w:right w:w="90" w:type="dxa"/>
            </w:tcMar>
          </w:tcPr>
          <w:p>
            <w:pPr>
              <w:pStyle w:val="BDOITable"/>
            </w:pPr>
            <w:r>
              <w:rPr>
                <w:b/>
                <w:sz w:val="18"/>
              </w:rPr>
              <w:t>OIDC</w:t>
            </w:r>
          </w:p>
        </w:tc>
        <w:tc>
          <w:tcPr>
            <w:tcW w:type="dxa" w:w="7932"/>
            <w:tcMar>
              <w:top w:w="50" w:type="dxa"/>
              <w:bottom w:w="50" w:type="dxa"/>
              <w:left w:w="90" w:type="dxa"/>
              <w:right w:w="90" w:type="dxa"/>
            </w:tcMar>
          </w:tcPr>
          <w:p>
            <w:pPr>
              <w:pStyle w:val="BDOITable"/>
            </w:pPr>
            <w:r>
              <w:rPr>
                <w:sz w:val="18"/>
              </w:rPr>
              <w:t>OpenID Connect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PRF</w:t>
            </w:r>
          </w:p>
        </w:tc>
        <w:tc>
          <w:tcPr>
            <w:tcW w:type="dxa" w:w="7932"/>
            <w:tcMar>
              <w:top w:w="50" w:type="dxa"/>
              <w:bottom w:w="50" w:type="dxa"/>
              <w:left w:w="90" w:type="dxa"/>
              <w:right w:w="90" w:type="dxa"/>
            </w:tcMar>
            <w:shd w:val="clear" w:color="auto" w:fill="E5F5FF"/>
          </w:tcPr>
          <w:p>
            <w:pPr>
              <w:pStyle w:val="BDOITable"/>
            </w:pPr>
            <w:r>
              <w:rPr>
                <w:sz w:val="18"/>
              </w:rPr>
              <w:t>Proposal Request Form</w:t>
            </w:r>
          </w:p>
        </w:tc>
      </w:tr>
      <w:tr>
        <w:trPr>
          <w:cantSplit w:val="true"/>
        </w:trPr>
        <w:tc>
          <w:tcPr>
            <w:tcW w:type="dxa" w:w="2040"/>
            <w:tcMar>
              <w:top w:w="50" w:type="dxa"/>
              <w:bottom w:w="50" w:type="dxa"/>
              <w:left w:w="90" w:type="dxa"/>
              <w:right w:w="90" w:type="dxa"/>
            </w:tcMar>
          </w:tcPr>
          <w:p>
            <w:pPr>
              <w:pStyle w:val="BDOITable"/>
            </w:pPr>
            <w:r>
              <w:rPr>
                <w:b/>
                <w:sz w:val="18"/>
              </w:rPr>
              <w:t>RPO / RTO</w:t>
            </w:r>
          </w:p>
        </w:tc>
        <w:tc>
          <w:tcPr>
            <w:tcW w:type="dxa" w:w="7932"/>
            <w:tcMar>
              <w:top w:w="50" w:type="dxa"/>
              <w:bottom w:w="50" w:type="dxa"/>
              <w:left w:w="90" w:type="dxa"/>
              <w:right w:w="90" w:type="dxa"/>
            </w:tcMar>
          </w:tcPr>
          <w:p>
            <w:pPr>
              <w:pStyle w:val="BDOITable"/>
            </w:pPr>
            <w:r>
              <w:rPr>
                <w:sz w:val="18"/>
              </w:rPr>
              <w:t>Recovery point objective / recovery time objective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SCIM</w:t>
            </w:r>
          </w:p>
        </w:tc>
        <w:tc>
          <w:tcPr>
            <w:tcW w:type="dxa" w:w="7932"/>
            <w:tcMar>
              <w:top w:w="50" w:type="dxa"/>
              <w:bottom w:w="50" w:type="dxa"/>
              <w:left w:w="90" w:type="dxa"/>
              <w:right w:w="90" w:type="dxa"/>
            </w:tcMar>
            <w:shd w:val="clear" w:color="auto" w:fill="E5F5FF"/>
          </w:tcPr>
          <w:p>
            <w:pPr>
              <w:pStyle w:val="BDOITable"/>
            </w:pPr>
            <w:r>
              <w:rPr>
                <w:sz w:val="18"/>
              </w:rPr>
              <w:t>System for Cross-domain Identity Management</w:t>
            </w:r>
          </w:p>
        </w:tc>
      </w:tr>
      <w:tr>
        <w:trPr>
          <w:cantSplit w:val="true"/>
        </w:trPr>
        <w:tc>
          <w:tcPr>
            <w:tcW w:type="dxa" w:w="2040"/>
            <w:tcMar>
              <w:top w:w="50" w:type="dxa"/>
              <w:bottom w:w="50" w:type="dxa"/>
              <w:left w:w="90" w:type="dxa"/>
              <w:right w:w="90" w:type="dxa"/>
            </w:tcMar>
          </w:tcPr>
          <w:p>
            <w:pPr>
              <w:pStyle w:val="BDOITable"/>
            </w:pPr>
            <w:r>
              <w:rPr>
                <w:b/>
                <w:sz w:val="18"/>
              </w:rPr>
              <w:t>TOTP</w:t>
            </w:r>
          </w:p>
        </w:tc>
        <w:tc>
          <w:tcPr>
            <w:tcW w:type="dxa" w:w="7932"/>
            <w:tcMar>
              <w:top w:w="50" w:type="dxa"/>
              <w:bottom w:w="50" w:type="dxa"/>
              <w:left w:w="90" w:type="dxa"/>
              <w:right w:w="90" w:type="dxa"/>
            </w:tcMar>
          </w:tcPr>
          <w:p>
            <w:pPr>
              <w:pStyle w:val="BDOITable"/>
            </w:pPr>
            <w:r>
              <w:rPr>
                <w:sz w:val="18"/>
              </w:rPr>
              <w:t>Time-based one-time password (authenticator app)</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TSU</w:t>
            </w:r>
          </w:p>
        </w:tc>
        <w:tc>
          <w:tcPr>
            <w:tcW w:type="dxa" w:w="7932"/>
            <w:tcMar>
              <w:top w:w="50" w:type="dxa"/>
              <w:bottom w:w="50" w:type="dxa"/>
              <w:left w:w="90" w:type="dxa"/>
              <w:right w:w="90" w:type="dxa"/>
            </w:tcMar>
            <w:shd w:val="clear" w:color="auto" w:fill="E5F5FF"/>
          </w:tcPr>
          <w:p>
            <w:pPr>
              <w:pStyle w:val="BDOITable"/>
            </w:pPr>
            <w:r>
              <w:rPr>
                <w:sz w:val="18"/>
              </w:rPr>
              <w:t>Technical Support Unit</w:t>
            </w:r>
          </w:p>
        </w:tc>
      </w:tr>
      <w:tr>
        <w:trPr>
          <w:cantSplit w:val="true"/>
        </w:trPr>
        <w:tc>
          <w:tcPr>
            <w:tcW w:type="dxa" w:w="2040"/>
            <w:tcMar>
              <w:top w:w="50" w:type="dxa"/>
              <w:bottom w:w="50" w:type="dxa"/>
              <w:left w:w="90" w:type="dxa"/>
              <w:right w:w="90" w:type="dxa"/>
            </w:tcMar>
          </w:tcPr>
          <w:p>
            <w:pPr>
              <w:pStyle w:val="BDOITable"/>
            </w:pPr>
            <w:r>
              <w:rPr>
                <w:b/>
                <w:sz w:val="18"/>
              </w:rPr>
              <w:t>UIDM-ISC</w:t>
            </w:r>
          </w:p>
        </w:tc>
        <w:tc>
          <w:tcPr>
            <w:tcW w:type="dxa" w:w="7932"/>
            <w:tcMar>
              <w:top w:w="50" w:type="dxa"/>
              <w:bottom w:w="50" w:type="dxa"/>
              <w:left w:w="90" w:type="dxa"/>
              <w:right w:w="90" w:type="dxa"/>
            </w:tcMar>
          </w:tcPr>
          <w:p>
            <w:pPr>
              <w:pStyle w:val="BDOITable"/>
            </w:pPr>
            <w:r>
              <w:rPr>
                <w:sz w:val="18"/>
              </w:rPr>
              <w:t>User ID Maintenance - Identity Security Cloud (identity governance)</w:t>
            </w: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Architecture set, document 1 of 6</w:t>
    </w:r>
    <w:r>
      <w:rPr>
        <w:color w:val="656565"/>
        <w:sz w:val="16"/>
      </w:rPr>
      <w:t xml:space="preserve">   Solution Architecture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Architecture BRD-00 Solution Architecture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